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2C6" w:rsidRDefault="003251C2" w:rsidP="003251C2">
      <w:pPr>
        <w:jc w:val="center"/>
        <w:rPr>
          <w:color w:val="FF0000"/>
        </w:rPr>
      </w:pPr>
      <w:r w:rsidRPr="003251C2">
        <w:rPr>
          <w:noProof/>
          <w:color w:val="FF0000"/>
        </w:rPr>
        <w:drawing>
          <wp:inline distT="0" distB="0" distL="0" distR="0">
            <wp:extent cx="5822787" cy="1057275"/>
            <wp:effectExtent l="19050" t="0" r="6513" b="0"/>
            <wp:docPr id="33" name="Picture 1" descr="G:\LM_nab_izvertejums\Nodevumi\logo_ansamblis_kras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M_nab_izvertejums\Nodevumi\logo_ansamblis_krasains.jpg"/>
                    <pic:cNvPicPr>
                      <a:picLocks noChangeAspect="1" noChangeArrowheads="1"/>
                    </pic:cNvPicPr>
                  </pic:nvPicPr>
                  <pic:blipFill>
                    <a:blip r:embed="rId8" cstate="print"/>
                    <a:srcRect/>
                    <a:stretch>
                      <a:fillRect/>
                    </a:stretch>
                  </pic:blipFill>
                  <pic:spPr bwMode="auto">
                    <a:xfrm>
                      <a:off x="0" y="0"/>
                      <a:ext cx="5822787" cy="1057275"/>
                    </a:xfrm>
                    <a:prstGeom prst="rect">
                      <a:avLst/>
                    </a:prstGeom>
                    <a:noFill/>
                    <a:ln w="9525">
                      <a:noFill/>
                      <a:miter lim="800000"/>
                      <a:headEnd/>
                      <a:tailEnd/>
                    </a:ln>
                  </pic:spPr>
                </pic:pic>
              </a:graphicData>
            </a:graphic>
          </wp:inline>
        </w:drawing>
      </w:r>
    </w:p>
    <w:p w:rsidR="00A76E1D" w:rsidRDefault="00A566D0" w:rsidP="00064C1E">
      <w:pPr>
        <w:rPr>
          <w:color w:val="FF0000"/>
        </w:rPr>
      </w:pPr>
      <w:r>
        <w:rPr>
          <w:color w:val="FF0000"/>
        </w:rPr>
        <w:t xml:space="preserve"> </w:t>
      </w:r>
    </w:p>
    <w:p w:rsidR="00A566D0" w:rsidRDefault="00A566D0" w:rsidP="00064C1E">
      <w:pPr>
        <w:jc w:val="center"/>
        <w:rPr>
          <w:b/>
          <w:sz w:val="22"/>
          <w:szCs w:val="22"/>
        </w:rPr>
      </w:pPr>
    </w:p>
    <w:p w:rsidR="00A566D0" w:rsidRDefault="00A566D0" w:rsidP="00064C1E">
      <w:pPr>
        <w:jc w:val="center"/>
        <w:rPr>
          <w:b/>
          <w:sz w:val="22"/>
          <w:szCs w:val="22"/>
        </w:rPr>
      </w:pPr>
    </w:p>
    <w:p w:rsidR="00A566D0" w:rsidRDefault="00A566D0" w:rsidP="00064C1E">
      <w:pPr>
        <w:jc w:val="center"/>
        <w:rPr>
          <w:b/>
          <w:sz w:val="32"/>
          <w:szCs w:val="32"/>
        </w:rPr>
      </w:pPr>
    </w:p>
    <w:p w:rsidR="00DE2DE8" w:rsidRDefault="00DE2DE8" w:rsidP="00064C1E">
      <w:pPr>
        <w:jc w:val="center"/>
        <w:rPr>
          <w:b/>
          <w:sz w:val="32"/>
          <w:szCs w:val="32"/>
        </w:rPr>
      </w:pPr>
    </w:p>
    <w:p w:rsidR="005B3329" w:rsidRDefault="00A76E1D" w:rsidP="00064C1E">
      <w:pPr>
        <w:jc w:val="center"/>
        <w:rPr>
          <w:b/>
          <w:color w:val="244061" w:themeColor="accent1" w:themeShade="80"/>
          <w:sz w:val="32"/>
          <w:szCs w:val="32"/>
        </w:rPr>
      </w:pPr>
      <w:r w:rsidRPr="003174E8">
        <w:rPr>
          <w:b/>
          <w:color w:val="244061" w:themeColor="accent1" w:themeShade="80"/>
          <w:sz w:val="32"/>
          <w:szCs w:val="32"/>
        </w:rPr>
        <w:t xml:space="preserve">Ikgadējs </w:t>
      </w:r>
      <w:r w:rsidRPr="003174E8">
        <w:rPr>
          <w:b/>
          <w:bCs/>
          <w:color w:val="244061" w:themeColor="accent1" w:themeShade="80"/>
          <w:sz w:val="32"/>
          <w:szCs w:val="32"/>
        </w:rPr>
        <w:t>nabadzības un sociālās atstumtības mazināšanas rīcībpolitikas izvērtējums (t.sk. izvērtējums par nevienlīdzību veselības aprūpē un nevienlīdzību mājokļa pieejamības jomā)</w:t>
      </w:r>
      <w:r w:rsidRPr="003174E8">
        <w:rPr>
          <w:b/>
          <w:color w:val="244061" w:themeColor="accent1" w:themeShade="80"/>
          <w:sz w:val="32"/>
          <w:szCs w:val="32"/>
        </w:rPr>
        <w:t xml:space="preserve"> </w:t>
      </w:r>
    </w:p>
    <w:p w:rsidR="00A76E1D" w:rsidRPr="005B3329" w:rsidRDefault="00A76E1D" w:rsidP="00064C1E">
      <w:pPr>
        <w:jc w:val="center"/>
        <w:rPr>
          <w:b/>
          <w:color w:val="244061" w:themeColor="accent1" w:themeShade="80"/>
        </w:rPr>
      </w:pPr>
      <w:r w:rsidRPr="005B3329">
        <w:rPr>
          <w:b/>
          <w:color w:val="244061" w:themeColor="accent1" w:themeShade="80"/>
        </w:rPr>
        <w:t>(identifikācijas numurs: LRLM2018/28-3-03/13ESF)</w:t>
      </w:r>
    </w:p>
    <w:p w:rsidR="00A566D0" w:rsidRPr="003174E8" w:rsidRDefault="00A566D0" w:rsidP="00064C1E">
      <w:pPr>
        <w:jc w:val="center"/>
        <w:rPr>
          <w:b/>
          <w:color w:val="244061" w:themeColor="accent1" w:themeShade="80"/>
          <w:sz w:val="32"/>
          <w:szCs w:val="32"/>
        </w:rPr>
      </w:pPr>
    </w:p>
    <w:p w:rsidR="00A566D0" w:rsidRPr="003174E8" w:rsidRDefault="00A566D0" w:rsidP="00064C1E">
      <w:pPr>
        <w:jc w:val="center"/>
        <w:rPr>
          <w:b/>
          <w:color w:val="244061" w:themeColor="accent1" w:themeShade="80"/>
          <w:sz w:val="32"/>
          <w:szCs w:val="32"/>
        </w:rPr>
      </w:pPr>
    </w:p>
    <w:p w:rsidR="00A566D0" w:rsidRPr="00A661B6" w:rsidRDefault="00203E06" w:rsidP="00DE4D97">
      <w:pPr>
        <w:pStyle w:val="galaziojums"/>
      </w:pPr>
      <w:bookmarkStart w:id="0" w:name="_Toc6219163"/>
      <w:bookmarkStart w:id="1" w:name="_Toc6220044"/>
      <w:bookmarkStart w:id="2" w:name="_Toc6841499"/>
      <w:r w:rsidRPr="00A661B6">
        <w:t>GALA ZIŅOJUM</w:t>
      </w:r>
      <w:r w:rsidR="00A933DA" w:rsidRPr="00A661B6">
        <w:t>S</w:t>
      </w:r>
      <w:bookmarkEnd w:id="0"/>
      <w:bookmarkEnd w:id="1"/>
      <w:bookmarkEnd w:id="2"/>
    </w:p>
    <w:p w:rsidR="00E85989" w:rsidRDefault="00E85989" w:rsidP="00064C1E">
      <w:pPr>
        <w:jc w:val="center"/>
        <w:rPr>
          <w:b/>
          <w:color w:val="244061" w:themeColor="accent1" w:themeShade="80"/>
          <w:sz w:val="32"/>
        </w:rPr>
      </w:pPr>
    </w:p>
    <w:p w:rsidR="00E85989" w:rsidRPr="003174E8" w:rsidRDefault="00E85989" w:rsidP="00064C1E">
      <w:pPr>
        <w:jc w:val="center"/>
        <w:rPr>
          <w:b/>
          <w:color w:val="244061" w:themeColor="accent1" w:themeShade="80"/>
        </w:rPr>
      </w:pPr>
    </w:p>
    <w:p w:rsidR="00453215" w:rsidRDefault="00453215" w:rsidP="00064C1E">
      <w:pPr>
        <w:jc w:val="center"/>
        <w:rPr>
          <w:b/>
          <w:sz w:val="32"/>
          <w:szCs w:val="32"/>
        </w:rPr>
      </w:pPr>
      <w:bookmarkStart w:id="3" w:name="_Toc526419066"/>
      <w:bookmarkStart w:id="4" w:name="_Toc526419231"/>
    </w:p>
    <w:bookmarkEnd w:id="3"/>
    <w:bookmarkEnd w:id="4"/>
    <w:p w:rsidR="00A566D0" w:rsidRDefault="000732C6" w:rsidP="00064C1E">
      <w:pPr>
        <w:jc w:val="center"/>
      </w:pPr>
      <w:r>
        <w:t>S</w:t>
      </w:r>
      <w:r w:rsidRPr="00AD6DD4">
        <w:t>askaņā ar Eiropas Sociālā fonda projektu „</w:t>
      </w:r>
      <w:r w:rsidR="00DE2DE8">
        <w:t>Iekļaujoša darba tirgus un nabadzības risku pētījumi un monitorings</w:t>
      </w:r>
      <w:r w:rsidRPr="00AD6DD4">
        <w:t xml:space="preserve">” (projekta identifikācijas Nr. </w:t>
      </w:r>
      <w:r w:rsidR="00DE2DE8">
        <w:t>9.2.1.2./15/I/001</w:t>
      </w:r>
      <w:r w:rsidRPr="00AD6DD4">
        <w:t>)</w:t>
      </w:r>
    </w:p>
    <w:p w:rsidR="000732C6" w:rsidRDefault="000732C6" w:rsidP="00064C1E"/>
    <w:p w:rsidR="00A566D0" w:rsidRDefault="00A566D0" w:rsidP="00064C1E"/>
    <w:p w:rsidR="00A566D0" w:rsidRPr="00A661B6" w:rsidRDefault="00A566D0" w:rsidP="00DE4D97">
      <w:pPr>
        <w:pStyle w:val="Style3"/>
      </w:pPr>
      <w:bookmarkStart w:id="5" w:name="_Toc2761017"/>
      <w:bookmarkStart w:id="6" w:name="_Toc2848120"/>
      <w:bookmarkStart w:id="7" w:name="_Toc6219164"/>
      <w:bookmarkStart w:id="8" w:name="_Toc6220045"/>
      <w:bookmarkStart w:id="9" w:name="_Toc6841500"/>
      <w:r w:rsidRPr="00A661B6">
        <w:t>Pasūtītājs: Labklājības ministrija</w:t>
      </w:r>
      <w:bookmarkEnd w:id="5"/>
      <w:bookmarkEnd w:id="6"/>
      <w:bookmarkEnd w:id="7"/>
      <w:bookmarkEnd w:id="8"/>
      <w:bookmarkEnd w:id="9"/>
    </w:p>
    <w:p w:rsidR="00A566D0" w:rsidRDefault="00A566D0" w:rsidP="00064C1E">
      <w:pPr>
        <w:jc w:val="center"/>
      </w:pPr>
    </w:p>
    <w:p w:rsidR="00A566D0" w:rsidRPr="00A661B6" w:rsidRDefault="00A566D0" w:rsidP="00DE4D97">
      <w:pPr>
        <w:pStyle w:val="Style3"/>
      </w:pPr>
      <w:bookmarkStart w:id="10" w:name="_Toc2761018"/>
      <w:bookmarkStart w:id="11" w:name="_Toc2848121"/>
      <w:bookmarkStart w:id="12" w:name="_Toc6219165"/>
      <w:bookmarkStart w:id="13" w:name="_Toc6220046"/>
      <w:bookmarkStart w:id="14" w:name="_Toc6841501"/>
      <w:r w:rsidRPr="00A661B6">
        <w:t>Izpildītājs: Nodibinājums “Baltic Institute of Social Sciences”</w:t>
      </w:r>
      <w:bookmarkEnd w:id="10"/>
      <w:bookmarkEnd w:id="11"/>
      <w:bookmarkEnd w:id="12"/>
      <w:bookmarkEnd w:id="13"/>
      <w:bookmarkEnd w:id="14"/>
    </w:p>
    <w:p w:rsidR="00DE2DE8" w:rsidRDefault="00DE2DE8" w:rsidP="00064C1E">
      <w:pPr>
        <w:jc w:val="center"/>
      </w:pPr>
    </w:p>
    <w:p w:rsidR="00DE2DE8" w:rsidRDefault="00DE2DE8" w:rsidP="00064C1E">
      <w:pPr>
        <w:jc w:val="center"/>
      </w:pPr>
      <w:r w:rsidRPr="00DE2DE8">
        <w:rPr>
          <w:noProof/>
        </w:rPr>
        <w:drawing>
          <wp:anchor distT="0" distB="0" distL="114300" distR="114300" simplePos="0" relativeHeight="251662336" behindDoc="0" locked="0" layoutInCell="1" allowOverlap="1">
            <wp:simplePos x="0" y="0"/>
            <wp:positionH relativeFrom="column">
              <wp:posOffset>2459222</wp:posOffset>
            </wp:positionH>
            <wp:positionV relativeFrom="paragraph">
              <wp:posOffset>89284</wp:posOffset>
            </wp:positionV>
            <wp:extent cx="1150532" cy="478465"/>
            <wp:effectExtent l="19050" t="0" r="0" b="0"/>
            <wp:wrapNone/>
            <wp:docPr id="107" name="Picture 107" descr="C:\Users\Liva.Viksne\AppData\Local\Microsoft\Windows\INetCache\Content.Word\~3317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Liva.Viksne\AppData\Local\Microsoft\Windows\INetCache\Content.Word\~331708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0532" cy="478465"/>
                    </a:xfrm>
                    <a:prstGeom prst="rect">
                      <a:avLst/>
                    </a:prstGeom>
                    <a:noFill/>
                    <a:ln>
                      <a:noFill/>
                    </a:ln>
                  </pic:spPr>
                </pic:pic>
              </a:graphicData>
            </a:graphic>
          </wp:anchor>
        </w:drawing>
      </w:r>
    </w:p>
    <w:p w:rsidR="00A566D0" w:rsidRDefault="00A566D0" w:rsidP="00064C1E">
      <w:pPr>
        <w:jc w:val="center"/>
      </w:pPr>
    </w:p>
    <w:p w:rsidR="00A566D0" w:rsidRDefault="00A566D0" w:rsidP="00064C1E">
      <w:pPr>
        <w:jc w:val="center"/>
      </w:pPr>
    </w:p>
    <w:p w:rsidR="00A566D0" w:rsidRDefault="00A566D0" w:rsidP="00064C1E">
      <w:pPr>
        <w:jc w:val="center"/>
      </w:pPr>
    </w:p>
    <w:p w:rsidR="00A566D0" w:rsidRDefault="00A566D0" w:rsidP="00064C1E">
      <w:pPr>
        <w:jc w:val="center"/>
      </w:pPr>
    </w:p>
    <w:p w:rsidR="00E85989" w:rsidRDefault="00E85989" w:rsidP="00064C1E">
      <w:pPr>
        <w:jc w:val="center"/>
      </w:pPr>
    </w:p>
    <w:p w:rsidR="00E85989" w:rsidRDefault="00E85989" w:rsidP="00064C1E">
      <w:pPr>
        <w:jc w:val="center"/>
      </w:pPr>
    </w:p>
    <w:p w:rsidR="00A566D0" w:rsidRPr="00DE4D97" w:rsidRDefault="00A566D0" w:rsidP="00DE4D97">
      <w:pPr>
        <w:jc w:val="center"/>
      </w:pPr>
      <w:bookmarkStart w:id="15" w:name="_Toc2761019"/>
      <w:bookmarkStart w:id="16" w:name="_Toc2848122"/>
      <w:bookmarkStart w:id="17" w:name="_Toc6219166"/>
      <w:bookmarkStart w:id="18" w:name="_Toc6220047"/>
      <w:bookmarkStart w:id="19" w:name="_Toc6841502"/>
      <w:r w:rsidRPr="00DE4D97">
        <w:t>Rīga</w:t>
      </w:r>
      <w:bookmarkEnd w:id="15"/>
      <w:bookmarkEnd w:id="16"/>
      <w:bookmarkEnd w:id="17"/>
      <w:bookmarkEnd w:id="18"/>
      <w:bookmarkEnd w:id="19"/>
    </w:p>
    <w:p w:rsidR="00A566D0" w:rsidRDefault="00A566D0" w:rsidP="00064C1E">
      <w:pPr>
        <w:jc w:val="center"/>
      </w:pPr>
      <w:r>
        <w:t>201</w:t>
      </w:r>
      <w:r w:rsidR="000248EA">
        <w:t>9</w:t>
      </w:r>
      <w:r>
        <w:t>.</w:t>
      </w:r>
      <w:r w:rsidR="00D54545">
        <w:t xml:space="preserve"> </w:t>
      </w:r>
      <w:r>
        <w:t xml:space="preserve">gada </w:t>
      </w:r>
      <w:r w:rsidR="00BC22F8">
        <w:t>19</w:t>
      </w:r>
      <w:r>
        <w:t>.</w:t>
      </w:r>
      <w:r w:rsidR="00D54545">
        <w:t xml:space="preserve"> </w:t>
      </w:r>
      <w:r w:rsidR="001C29AD">
        <w:t>jūnijā</w:t>
      </w:r>
      <w:r>
        <w:t xml:space="preserve"> </w:t>
      </w:r>
    </w:p>
    <w:p w:rsidR="00F0340A" w:rsidRDefault="00F0340A" w:rsidP="00064C1E">
      <w:pPr>
        <w:jc w:val="center"/>
        <w:rPr>
          <w:b/>
          <w:color w:val="002060"/>
          <w:sz w:val="32"/>
          <w:szCs w:val="32"/>
        </w:rPr>
      </w:pPr>
      <w:bookmarkStart w:id="20" w:name="_Toc526419067"/>
      <w:bookmarkStart w:id="21" w:name="_Toc526419232"/>
    </w:p>
    <w:p w:rsidR="005813CB" w:rsidRDefault="005813CB" w:rsidP="00064C1E">
      <w:pPr>
        <w:jc w:val="center"/>
        <w:rPr>
          <w:b/>
          <w:color w:val="002060"/>
          <w:sz w:val="32"/>
          <w:szCs w:val="32"/>
        </w:rPr>
      </w:pPr>
    </w:p>
    <w:p w:rsidR="005813CB" w:rsidRDefault="005813CB" w:rsidP="00064C1E">
      <w:pPr>
        <w:jc w:val="center"/>
        <w:rPr>
          <w:b/>
          <w:color w:val="002060"/>
          <w:sz w:val="32"/>
          <w:szCs w:val="32"/>
        </w:rPr>
      </w:pPr>
    </w:p>
    <w:p w:rsidR="00A566D0" w:rsidRDefault="004C2B94" w:rsidP="003945E0">
      <w:pPr>
        <w:jc w:val="center"/>
        <w:outlineLvl w:val="0"/>
        <w:rPr>
          <w:b/>
          <w:color w:val="002060"/>
          <w:sz w:val="32"/>
          <w:szCs w:val="32"/>
        </w:rPr>
      </w:pPr>
      <w:r w:rsidRPr="0028243F">
        <w:rPr>
          <w:b/>
          <w:color w:val="002060"/>
          <w:sz w:val="32"/>
          <w:szCs w:val="32"/>
        </w:rPr>
        <w:lastRenderedPageBreak/>
        <w:t>Saturs</w:t>
      </w:r>
      <w:bookmarkEnd w:id="20"/>
      <w:bookmarkEnd w:id="21"/>
    </w:p>
    <w:sdt>
      <w:sdtPr>
        <w:rPr>
          <w:b w:val="0"/>
          <w:noProof w:val="0"/>
          <w:sz w:val="22"/>
          <w:szCs w:val="22"/>
        </w:rPr>
        <w:id w:val="-1679655217"/>
        <w:docPartObj>
          <w:docPartGallery w:val="Table of Contents"/>
          <w:docPartUnique/>
        </w:docPartObj>
      </w:sdtPr>
      <w:sdtEndPr>
        <w:rPr>
          <w:noProof/>
          <w:sz w:val="24"/>
          <w:szCs w:val="24"/>
        </w:rPr>
      </w:sdtEndPr>
      <w:sdtContent>
        <w:p w:rsidR="006D1607" w:rsidRPr="006D1607" w:rsidRDefault="00AD3EDD">
          <w:pPr>
            <w:pStyle w:val="TOC1"/>
            <w:rPr>
              <w:rFonts w:asciiTheme="minorHAnsi" w:eastAsiaTheme="minorEastAsia" w:hAnsiTheme="minorHAnsi" w:cstheme="minorBidi"/>
              <w:b w:val="0"/>
              <w:sz w:val="22"/>
              <w:szCs w:val="22"/>
            </w:rPr>
          </w:pPr>
          <w:r w:rsidRPr="00AD3EDD">
            <w:rPr>
              <w:sz w:val="22"/>
              <w:szCs w:val="22"/>
            </w:rPr>
            <w:fldChar w:fldCharType="begin"/>
          </w:r>
          <w:r w:rsidR="00CA21DF" w:rsidRPr="006D1607">
            <w:rPr>
              <w:sz w:val="22"/>
              <w:szCs w:val="22"/>
            </w:rPr>
            <w:instrText xml:space="preserve"> TOC \o "1-3" \h \z \u </w:instrText>
          </w:r>
          <w:r w:rsidRPr="00AD3EDD">
            <w:rPr>
              <w:sz w:val="22"/>
              <w:szCs w:val="22"/>
            </w:rPr>
            <w:fldChar w:fldCharType="separate"/>
          </w:r>
        </w:p>
        <w:p w:rsidR="006D1607" w:rsidRPr="006D1607" w:rsidRDefault="00AD3EDD">
          <w:pPr>
            <w:pStyle w:val="TOC3"/>
            <w:rPr>
              <w:rFonts w:asciiTheme="minorHAnsi" w:eastAsiaTheme="minorEastAsia" w:hAnsiTheme="minorHAnsi" w:cstheme="minorBidi"/>
              <w:sz w:val="22"/>
              <w:szCs w:val="22"/>
            </w:rPr>
          </w:pPr>
          <w:hyperlink w:anchor="_Toc6841503" w:history="1">
            <w:r w:rsidR="006D1607" w:rsidRPr="006D1607">
              <w:rPr>
                <w:rStyle w:val="Hyperlink"/>
                <w:sz w:val="22"/>
                <w:szCs w:val="22"/>
              </w:rPr>
              <w:t>Jēdzienu un terminu skaidrojums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_Toc6841503 \h </w:instrText>
            </w:r>
            <w:r w:rsidRPr="006D1607">
              <w:rPr>
                <w:webHidden/>
                <w:sz w:val="22"/>
                <w:szCs w:val="22"/>
              </w:rPr>
            </w:r>
            <w:r w:rsidRPr="006D1607">
              <w:rPr>
                <w:webHidden/>
                <w:sz w:val="22"/>
                <w:szCs w:val="22"/>
              </w:rPr>
              <w:fldChar w:fldCharType="separate"/>
            </w:r>
            <w:r w:rsidR="00224B50">
              <w:rPr>
                <w:webHidden/>
                <w:sz w:val="22"/>
                <w:szCs w:val="22"/>
              </w:rPr>
              <w:t>6</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504" w:history="1">
            <w:r w:rsidR="006D1607" w:rsidRPr="006D1607">
              <w:rPr>
                <w:rStyle w:val="Hyperlink"/>
                <w:sz w:val="22"/>
                <w:szCs w:val="22"/>
              </w:rPr>
              <w:t>Saīsinājumi</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_Toc6841504 \h </w:instrText>
            </w:r>
            <w:r w:rsidRPr="006D1607">
              <w:rPr>
                <w:webHidden/>
                <w:sz w:val="22"/>
                <w:szCs w:val="22"/>
              </w:rPr>
            </w:r>
            <w:r w:rsidRPr="006D1607">
              <w:rPr>
                <w:webHidden/>
                <w:sz w:val="22"/>
                <w:szCs w:val="22"/>
              </w:rPr>
              <w:fldChar w:fldCharType="separate"/>
            </w:r>
            <w:r w:rsidR="00224B50">
              <w:rPr>
                <w:webHidden/>
                <w:sz w:val="22"/>
                <w:szCs w:val="22"/>
              </w:rPr>
              <w:t>10</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506" w:history="1">
            <w:r w:rsidR="006D1607" w:rsidRPr="006D1607">
              <w:rPr>
                <w:rStyle w:val="Hyperlink"/>
                <w:sz w:val="22"/>
                <w:szCs w:val="22"/>
              </w:rPr>
              <w:t>Tabulu rādītājs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_Toc6841506 \h </w:instrText>
            </w:r>
            <w:r w:rsidRPr="006D1607">
              <w:rPr>
                <w:webHidden/>
                <w:sz w:val="22"/>
                <w:szCs w:val="22"/>
              </w:rPr>
            </w:r>
            <w:r w:rsidRPr="006D1607">
              <w:rPr>
                <w:webHidden/>
                <w:sz w:val="22"/>
                <w:szCs w:val="22"/>
              </w:rPr>
              <w:fldChar w:fldCharType="separate"/>
            </w:r>
            <w:r w:rsidR="00224B50">
              <w:rPr>
                <w:webHidden/>
                <w:sz w:val="22"/>
                <w:szCs w:val="22"/>
              </w:rPr>
              <w:t>12</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507" w:history="1">
            <w:r w:rsidR="006D1607" w:rsidRPr="006D1607">
              <w:rPr>
                <w:rStyle w:val="Hyperlink"/>
                <w:sz w:val="22"/>
                <w:szCs w:val="22"/>
              </w:rPr>
              <w:t>Attēlu rādītājs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_Toc6841507 \h </w:instrText>
            </w:r>
            <w:r w:rsidRPr="006D1607">
              <w:rPr>
                <w:webHidden/>
                <w:sz w:val="22"/>
                <w:szCs w:val="22"/>
              </w:rPr>
            </w:r>
            <w:r w:rsidRPr="006D1607">
              <w:rPr>
                <w:webHidden/>
                <w:sz w:val="22"/>
                <w:szCs w:val="22"/>
              </w:rPr>
              <w:fldChar w:fldCharType="separate"/>
            </w:r>
            <w:r w:rsidR="00224B50">
              <w:rPr>
                <w:webHidden/>
                <w:sz w:val="22"/>
                <w:szCs w:val="22"/>
              </w:rPr>
              <w:t>15</w:t>
            </w:r>
            <w:r w:rsidRPr="006D1607">
              <w:rPr>
                <w:webHidden/>
                <w:sz w:val="22"/>
                <w:szCs w:val="22"/>
              </w:rPr>
              <w:fldChar w:fldCharType="end"/>
            </w:r>
          </w:hyperlink>
        </w:p>
        <w:p w:rsidR="006D1607" w:rsidRPr="006D1607" w:rsidRDefault="00AD3EDD">
          <w:pPr>
            <w:pStyle w:val="TOC1"/>
            <w:rPr>
              <w:rFonts w:asciiTheme="minorHAnsi" w:eastAsiaTheme="minorEastAsia" w:hAnsiTheme="minorHAnsi" w:cstheme="minorBidi"/>
              <w:b w:val="0"/>
              <w:sz w:val="22"/>
              <w:szCs w:val="22"/>
            </w:rPr>
          </w:pPr>
          <w:hyperlink w:anchor="_Toc6841508" w:history="1">
            <w:r w:rsidR="006D1607" w:rsidRPr="006D1607">
              <w:rPr>
                <w:rStyle w:val="Hyperlink"/>
                <w:sz w:val="22"/>
                <w:szCs w:val="22"/>
              </w:rPr>
              <w:t>Ievads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_Toc6841508 \h </w:instrText>
            </w:r>
            <w:r w:rsidRPr="006D1607">
              <w:rPr>
                <w:webHidden/>
                <w:sz w:val="22"/>
                <w:szCs w:val="22"/>
              </w:rPr>
            </w:r>
            <w:r w:rsidRPr="006D1607">
              <w:rPr>
                <w:webHidden/>
                <w:sz w:val="22"/>
                <w:szCs w:val="22"/>
              </w:rPr>
              <w:fldChar w:fldCharType="separate"/>
            </w:r>
            <w:r w:rsidR="00224B50">
              <w:rPr>
                <w:webHidden/>
                <w:sz w:val="22"/>
                <w:szCs w:val="22"/>
              </w:rPr>
              <w:t>19</w:t>
            </w:r>
            <w:r w:rsidRPr="006D1607">
              <w:rPr>
                <w:webHidden/>
                <w:sz w:val="22"/>
                <w:szCs w:val="22"/>
              </w:rPr>
              <w:fldChar w:fldCharType="end"/>
            </w:r>
          </w:hyperlink>
        </w:p>
        <w:p w:rsidR="006D1607" w:rsidRPr="006D1607" w:rsidRDefault="00AD3EDD">
          <w:pPr>
            <w:pStyle w:val="TOC1"/>
            <w:rPr>
              <w:rFonts w:asciiTheme="minorHAnsi" w:eastAsiaTheme="minorEastAsia" w:hAnsiTheme="minorHAnsi" w:cstheme="minorBidi"/>
              <w:b w:val="0"/>
              <w:sz w:val="22"/>
              <w:szCs w:val="22"/>
            </w:rPr>
          </w:pPr>
          <w:hyperlink w:anchor="_Toc6841511" w:history="1">
            <w:r w:rsidR="006D1607" w:rsidRPr="006D1607">
              <w:rPr>
                <w:rStyle w:val="Hyperlink"/>
                <w:sz w:val="22"/>
                <w:szCs w:val="22"/>
              </w:rPr>
              <w:t>Izvērtējuma metodoloģijas kopējais ietvars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_Toc6841511 \h </w:instrText>
            </w:r>
            <w:r w:rsidRPr="006D1607">
              <w:rPr>
                <w:webHidden/>
                <w:sz w:val="22"/>
                <w:szCs w:val="22"/>
              </w:rPr>
            </w:r>
            <w:r w:rsidRPr="006D1607">
              <w:rPr>
                <w:webHidden/>
                <w:sz w:val="22"/>
                <w:szCs w:val="22"/>
              </w:rPr>
              <w:fldChar w:fldCharType="separate"/>
            </w:r>
            <w:r w:rsidR="00224B50">
              <w:rPr>
                <w:webHidden/>
                <w:sz w:val="22"/>
                <w:szCs w:val="22"/>
              </w:rPr>
              <w:t>22</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512" w:history="1">
            <w:r w:rsidR="006D1607" w:rsidRPr="006D1607">
              <w:rPr>
                <w:rStyle w:val="Hyperlink"/>
                <w:sz w:val="22"/>
                <w:szCs w:val="22"/>
              </w:rPr>
              <w:t>Izvērtējuma teorētiskais modelis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_Toc6841512 \h </w:instrText>
            </w:r>
            <w:r w:rsidRPr="006D1607">
              <w:rPr>
                <w:webHidden/>
                <w:sz w:val="22"/>
                <w:szCs w:val="22"/>
              </w:rPr>
            </w:r>
            <w:r w:rsidRPr="006D1607">
              <w:rPr>
                <w:webHidden/>
                <w:sz w:val="22"/>
                <w:szCs w:val="22"/>
              </w:rPr>
              <w:fldChar w:fldCharType="separate"/>
            </w:r>
            <w:r w:rsidR="00224B50">
              <w:rPr>
                <w:webHidden/>
                <w:sz w:val="22"/>
                <w:szCs w:val="22"/>
              </w:rPr>
              <w:t>23</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513" w:history="1">
            <w:r w:rsidR="006D1607" w:rsidRPr="006D1607">
              <w:rPr>
                <w:rStyle w:val="Hyperlink"/>
                <w:sz w:val="22"/>
                <w:szCs w:val="22"/>
              </w:rPr>
              <w:t>Metožu vispārējs raksturojums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_Toc6841513 \h </w:instrText>
            </w:r>
            <w:r w:rsidRPr="006D1607">
              <w:rPr>
                <w:webHidden/>
                <w:sz w:val="22"/>
                <w:szCs w:val="22"/>
              </w:rPr>
            </w:r>
            <w:r w:rsidRPr="006D1607">
              <w:rPr>
                <w:webHidden/>
                <w:sz w:val="22"/>
                <w:szCs w:val="22"/>
              </w:rPr>
              <w:fldChar w:fldCharType="separate"/>
            </w:r>
            <w:r w:rsidR="00224B50">
              <w:rPr>
                <w:webHidden/>
                <w:sz w:val="22"/>
                <w:szCs w:val="22"/>
              </w:rPr>
              <w:t>24</w:t>
            </w:r>
            <w:r w:rsidRPr="006D1607">
              <w:rPr>
                <w:webHidden/>
                <w:sz w:val="22"/>
                <w:szCs w:val="22"/>
              </w:rPr>
              <w:fldChar w:fldCharType="end"/>
            </w:r>
          </w:hyperlink>
        </w:p>
        <w:p w:rsidR="006D1607" w:rsidRPr="006D1607" w:rsidRDefault="00AD3EDD">
          <w:pPr>
            <w:pStyle w:val="TOC1"/>
            <w:rPr>
              <w:rFonts w:asciiTheme="minorHAnsi" w:eastAsiaTheme="minorEastAsia" w:hAnsiTheme="minorHAnsi" w:cstheme="minorBidi"/>
              <w:b w:val="0"/>
              <w:sz w:val="22"/>
              <w:szCs w:val="22"/>
            </w:rPr>
          </w:pPr>
          <w:hyperlink w:anchor="_Toc6841518" w:history="1">
            <w:r w:rsidR="006D1607" w:rsidRPr="006D1607">
              <w:rPr>
                <w:rStyle w:val="Hyperlink"/>
                <w:sz w:val="22"/>
                <w:szCs w:val="22"/>
              </w:rPr>
              <w:t>1.</w:t>
            </w:r>
            <w:r w:rsidR="006D1607" w:rsidRPr="006D1607">
              <w:rPr>
                <w:rFonts w:asciiTheme="minorHAnsi" w:eastAsiaTheme="minorEastAsia" w:hAnsiTheme="minorHAnsi" w:cstheme="minorBidi"/>
                <w:b w:val="0"/>
                <w:sz w:val="22"/>
                <w:szCs w:val="22"/>
              </w:rPr>
              <w:tab/>
            </w:r>
            <w:r w:rsidR="006D1607" w:rsidRPr="006D1607">
              <w:rPr>
                <w:rStyle w:val="Hyperlink"/>
                <w:sz w:val="22"/>
                <w:szCs w:val="22"/>
              </w:rPr>
              <w:t>Sociālās atstumtības un nabadzības mazināšanas jomas izvērtējums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_Toc6841518 \h </w:instrText>
            </w:r>
            <w:r w:rsidRPr="006D1607">
              <w:rPr>
                <w:webHidden/>
                <w:sz w:val="22"/>
                <w:szCs w:val="22"/>
              </w:rPr>
            </w:r>
            <w:r w:rsidRPr="006D1607">
              <w:rPr>
                <w:webHidden/>
                <w:sz w:val="22"/>
                <w:szCs w:val="22"/>
              </w:rPr>
              <w:fldChar w:fldCharType="separate"/>
            </w:r>
            <w:r w:rsidR="00224B50">
              <w:rPr>
                <w:webHidden/>
                <w:sz w:val="22"/>
                <w:szCs w:val="22"/>
              </w:rPr>
              <w:t>30</w:t>
            </w:r>
            <w:r w:rsidRPr="006D1607">
              <w:rPr>
                <w:webHidden/>
                <w:sz w:val="22"/>
                <w:szCs w:val="22"/>
              </w:rPr>
              <w:fldChar w:fldCharType="end"/>
            </w:r>
          </w:hyperlink>
        </w:p>
        <w:p w:rsidR="006D1607" w:rsidRPr="006D1607" w:rsidRDefault="00AD3EDD">
          <w:pPr>
            <w:pStyle w:val="TOC2"/>
            <w:rPr>
              <w:rFonts w:asciiTheme="minorHAnsi" w:eastAsiaTheme="minorEastAsia" w:hAnsiTheme="minorHAnsi" w:cstheme="minorBidi"/>
              <w:b w:val="0"/>
              <w:sz w:val="22"/>
              <w:szCs w:val="22"/>
            </w:rPr>
          </w:pPr>
          <w:hyperlink w:anchor="_Toc6841519" w:history="1">
            <w:r w:rsidR="006D1607" w:rsidRPr="006D1607">
              <w:rPr>
                <w:rStyle w:val="Hyperlink"/>
                <w:sz w:val="22"/>
                <w:szCs w:val="22"/>
              </w:rPr>
              <w:t>1.1.</w:t>
            </w:r>
            <w:r w:rsidR="006D1607" w:rsidRPr="006D1607">
              <w:rPr>
                <w:rFonts w:asciiTheme="minorHAnsi" w:eastAsiaTheme="minorEastAsia" w:hAnsiTheme="minorHAnsi" w:cstheme="minorBidi"/>
                <w:b w:val="0"/>
                <w:sz w:val="22"/>
                <w:szCs w:val="22"/>
              </w:rPr>
              <w:tab/>
            </w:r>
            <w:r w:rsidR="006D1607" w:rsidRPr="006D1607">
              <w:rPr>
                <w:rStyle w:val="Hyperlink"/>
                <w:sz w:val="22"/>
                <w:szCs w:val="22"/>
              </w:rPr>
              <w:t>Tiesību aktu un rīcībpolitikas izmaiņas 2015. un 2016.</w:t>
            </w:r>
            <w:r w:rsidR="001F2A27">
              <w:rPr>
                <w:rStyle w:val="Hyperlink"/>
                <w:sz w:val="22"/>
                <w:szCs w:val="22"/>
              </w:rPr>
              <w:t xml:space="preserve"> </w:t>
            </w:r>
            <w:r w:rsidR="006D1607" w:rsidRPr="006D1607">
              <w:rPr>
                <w:rStyle w:val="Hyperlink"/>
                <w:sz w:val="22"/>
                <w:szCs w:val="22"/>
              </w:rPr>
              <w:t>gadā sociālās atstumtības un nabadzības, kā arī ienākumu nevienlīdzības mazināšanas jomā</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_Toc6841519 \h </w:instrText>
            </w:r>
            <w:r w:rsidRPr="006D1607">
              <w:rPr>
                <w:webHidden/>
                <w:sz w:val="22"/>
                <w:szCs w:val="22"/>
              </w:rPr>
            </w:r>
            <w:r w:rsidRPr="006D1607">
              <w:rPr>
                <w:webHidden/>
                <w:sz w:val="22"/>
                <w:szCs w:val="22"/>
              </w:rPr>
              <w:fldChar w:fldCharType="separate"/>
            </w:r>
            <w:r w:rsidR="00224B50">
              <w:rPr>
                <w:webHidden/>
                <w:sz w:val="22"/>
                <w:szCs w:val="22"/>
              </w:rPr>
              <w:t>30</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520" w:history="1">
            <w:r w:rsidR="006D1607" w:rsidRPr="006D1607">
              <w:rPr>
                <w:rStyle w:val="Hyperlink"/>
                <w:sz w:val="22"/>
                <w:szCs w:val="22"/>
              </w:rPr>
              <w:t>1.1.1.</w:t>
            </w:r>
            <w:r w:rsidR="006D1607" w:rsidRPr="006D1607">
              <w:rPr>
                <w:rFonts w:asciiTheme="minorHAnsi" w:eastAsiaTheme="minorEastAsia" w:hAnsiTheme="minorHAnsi" w:cstheme="minorBidi"/>
                <w:sz w:val="22"/>
                <w:szCs w:val="22"/>
              </w:rPr>
              <w:tab/>
            </w:r>
            <w:r w:rsidR="006D1607" w:rsidRPr="006D1607">
              <w:rPr>
                <w:rStyle w:val="Hyperlink"/>
                <w:sz w:val="22"/>
                <w:szCs w:val="22"/>
              </w:rPr>
              <w:t>Galvenās tiesību aktu izmaiņas un rīcībpolitikas pasākumi 2015. gadā</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_Toc6841520 \h </w:instrText>
            </w:r>
            <w:r w:rsidRPr="006D1607">
              <w:rPr>
                <w:webHidden/>
                <w:sz w:val="22"/>
                <w:szCs w:val="22"/>
              </w:rPr>
            </w:r>
            <w:r w:rsidRPr="006D1607">
              <w:rPr>
                <w:webHidden/>
                <w:sz w:val="22"/>
                <w:szCs w:val="22"/>
              </w:rPr>
              <w:fldChar w:fldCharType="separate"/>
            </w:r>
            <w:r w:rsidR="00224B50">
              <w:rPr>
                <w:webHidden/>
                <w:sz w:val="22"/>
                <w:szCs w:val="22"/>
              </w:rPr>
              <w:t>32</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524" w:history="1">
            <w:r w:rsidR="006D1607" w:rsidRPr="006D1607">
              <w:rPr>
                <w:rStyle w:val="Hyperlink"/>
                <w:sz w:val="22"/>
                <w:szCs w:val="22"/>
              </w:rPr>
              <w:t>1.1.2.</w:t>
            </w:r>
            <w:r w:rsidR="006D1607" w:rsidRPr="006D1607">
              <w:rPr>
                <w:rFonts w:asciiTheme="minorHAnsi" w:eastAsiaTheme="minorEastAsia" w:hAnsiTheme="minorHAnsi" w:cstheme="minorBidi"/>
                <w:sz w:val="22"/>
                <w:szCs w:val="22"/>
              </w:rPr>
              <w:tab/>
            </w:r>
            <w:r w:rsidR="006D1607" w:rsidRPr="006D1607">
              <w:rPr>
                <w:rStyle w:val="Hyperlink"/>
                <w:sz w:val="22"/>
                <w:szCs w:val="22"/>
              </w:rPr>
              <w:t xml:space="preserve">Galvenās tiesību aktu izmaiņas un  rīcībpolitikas pasākumi 2016. </w:t>
            </w:r>
            <w:r w:rsidR="00D001D0">
              <w:rPr>
                <w:rStyle w:val="Hyperlink"/>
                <w:sz w:val="22"/>
                <w:szCs w:val="22"/>
              </w:rPr>
              <w:t>g</w:t>
            </w:r>
            <w:r w:rsidR="006D1607" w:rsidRPr="006D1607">
              <w:rPr>
                <w:rStyle w:val="Hyperlink"/>
                <w:sz w:val="22"/>
                <w:szCs w:val="22"/>
              </w:rPr>
              <w:t>adā</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_Toc6841524 \h </w:instrText>
            </w:r>
            <w:r w:rsidRPr="006D1607">
              <w:rPr>
                <w:webHidden/>
                <w:sz w:val="22"/>
                <w:szCs w:val="22"/>
              </w:rPr>
            </w:r>
            <w:r w:rsidRPr="006D1607">
              <w:rPr>
                <w:webHidden/>
                <w:sz w:val="22"/>
                <w:szCs w:val="22"/>
              </w:rPr>
              <w:fldChar w:fldCharType="separate"/>
            </w:r>
            <w:r w:rsidR="00224B50">
              <w:rPr>
                <w:webHidden/>
                <w:sz w:val="22"/>
                <w:szCs w:val="22"/>
              </w:rPr>
              <w:t>42</w:t>
            </w:r>
            <w:r w:rsidRPr="006D1607">
              <w:rPr>
                <w:webHidden/>
                <w:sz w:val="22"/>
                <w:szCs w:val="22"/>
              </w:rPr>
              <w:fldChar w:fldCharType="end"/>
            </w:r>
          </w:hyperlink>
        </w:p>
        <w:p w:rsidR="006D1607" w:rsidRPr="006D1607" w:rsidRDefault="00AD3EDD">
          <w:pPr>
            <w:pStyle w:val="TOC2"/>
            <w:rPr>
              <w:rFonts w:asciiTheme="minorHAnsi" w:eastAsiaTheme="minorEastAsia" w:hAnsiTheme="minorHAnsi" w:cstheme="minorBidi"/>
              <w:b w:val="0"/>
              <w:sz w:val="22"/>
              <w:szCs w:val="22"/>
            </w:rPr>
          </w:pPr>
          <w:hyperlink w:anchor="_Toc6841528" w:history="1">
            <w:r w:rsidR="006D1607" w:rsidRPr="006D1607">
              <w:rPr>
                <w:rStyle w:val="Hyperlink"/>
                <w:sz w:val="22"/>
                <w:szCs w:val="22"/>
              </w:rPr>
              <w:t>1.2.</w:t>
            </w:r>
            <w:r w:rsidR="006D1607" w:rsidRPr="006D1607">
              <w:rPr>
                <w:rFonts w:asciiTheme="minorHAnsi" w:eastAsiaTheme="minorEastAsia" w:hAnsiTheme="minorHAnsi" w:cstheme="minorBidi"/>
                <w:b w:val="0"/>
                <w:sz w:val="22"/>
                <w:szCs w:val="22"/>
              </w:rPr>
              <w:tab/>
            </w:r>
            <w:r w:rsidR="006D1607" w:rsidRPr="006D1607">
              <w:rPr>
                <w:rStyle w:val="Hyperlink"/>
                <w:sz w:val="22"/>
                <w:szCs w:val="22"/>
              </w:rPr>
              <w:t>Statistikas datu analīze ienākumu palielināšanas, nabadzības, sociālās atstumtības un ienākumu nevienlīdzības jomā</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_Toc6841528 \h </w:instrText>
            </w:r>
            <w:r w:rsidRPr="006D1607">
              <w:rPr>
                <w:webHidden/>
                <w:sz w:val="22"/>
                <w:szCs w:val="22"/>
              </w:rPr>
            </w:r>
            <w:r w:rsidRPr="006D1607">
              <w:rPr>
                <w:webHidden/>
                <w:sz w:val="22"/>
                <w:szCs w:val="22"/>
              </w:rPr>
              <w:fldChar w:fldCharType="separate"/>
            </w:r>
            <w:r w:rsidR="00224B50">
              <w:rPr>
                <w:webHidden/>
                <w:sz w:val="22"/>
                <w:szCs w:val="22"/>
              </w:rPr>
              <w:t>52</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529" w:history="1">
            <w:r w:rsidR="006D1607" w:rsidRPr="006D1607">
              <w:rPr>
                <w:rStyle w:val="Hyperlink"/>
                <w:sz w:val="22"/>
                <w:szCs w:val="22"/>
              </w:rPr>
              <w:t>1.2.1.</w:t>
            </w:r>
            <w:r w:rsidR="006D1607" w:rsidRPr="006D1607">
              <w:rPr>
                <w:rFonts w:asciiTheme="minorHAnsi" w:eastAsiaTheme="minorEastAsia" w:hAnsiTheme="minorHAnsi" w:cstheme="minorBidi"/>
                <w:sz w:val="22"/>
                <w:szCs w:val="22"/>
              </w:rPr>
              <w:tab/>
            </w:r>
            <w:r w:rsidR="006D1607" w:rsidRPr="006D1607">
              <w:rPr>
                <w:rStyle w:val="Hyperlink"/>
                <w:sz w:val="22"/>
                <w:szCs w:val="22"/>
              </w:rPr>
              <w:t>Ienākumu nevienlīdzību raksturojošie rādītāji dinamikā</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_Toc6841529 \h </w:instrText>
            </w:r>
            <w:r w:rsidRPr="006D1607">
              <w:rPr>
                <w:webHidden/>
                <w:sz w:val="22"/>
                <w:szCs w:val="22"/>
              </w:rPr>
            </w:r>
            <w:r w:rsidRPr="006D1607">
              <w:rPr>
                <w:webHidden/>
                <w:sz w:val="22"/>
                <w:szCs w:val="22"/>
              </w:rPr>
              <w:fldChar w:fldCharType="separate"/>
            </w:r>
            <w:r w:rsidR="00224B50">
              <w:rPr>
                <w:webHidden/>
                <w:sz w:val="22"/>
                <w:szCs w:val="22"/>
              </w:rPr>
              <w:t>52</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532" w:history="1">
            <w:r w:rsidR="006D1607" w:rsidRPr="006D1607">
              <w:rPr>
                <w:rStyle w:val="Hyperlink"/>
                <w:sz w:val="22"/>
                <w:szCs w:val="22"/>
              </w:rPr>
              <w:t>1.2.2.</w:t>
            </w:r>
            <w:r w:rsidR="006D1607" w:rsidRPr="006D1607">
              <w:rPr>
                <w:rFonts w:asciiTheme="minorHAnsi" w:eastAsiaTheme="minorEastAsia" w:hAnsiTheme="minorHAnsi" w:cstheme="minorBidi"/>
                <w:sz w:val="22"/>
                <w:szCs w:val="22"/>
              </w:rPr>
              <w:tab/>
            </w:r>
            <w:r w:rsidR="006D1607" w:rsidRPr="006D1607">
              <w:rPr>
                <w:rStyle w:val="Hyperlink"/>
                <w:sz w:val="22"/>
                <w:szCs w:val="22"/>
              </w:rPr>
              <w:t>Iedzīvotāju (mājsaimniecību) ienākumi</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_Toc6841532 \h </w:instrText>
            </w:r>
            <w:r w:rsidRPr="006D1607">
              <w:rPr>
                <w:webHidden/>
                <w:sz w:val="22"/>
                <w:szCs w:val="22"/>
              </w:rPr>
            </w:r>
            <w:r w:rsidRPr="006D1607">
              <w:rPr>
                <w:webHidden/>
                <w:sz w:val="22"/>
                <w:szCs w:val="22"/>
              </w:rPr>
              <w:fldChar w:fldCharType="separate"/>
            </w:r>
            <w:r w:rsidR="00224B50">
              <w:rPr>
                <w:webHidden/>
                <w:sz w:val="22"/>
                <w:szCs w:val="22"/>
              </w:rPr>
              <w:t>56</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541" w:history="1">
            <w:r w:rsidR="006D1607" w:rsidRPr="006D1607">
              <w:rPr>
                <w:rStyle w:val="Hyperlink"/>
                <w:sz w:val="22"/>
                <w:szCs w:val="22"/>
              </w:rPr>
              <w:t>1.2.3.</w:t>
            </w:r>
            <w:r w:rsidR="006D1607" w:rsidRPr="006D1607">
              <w:rPr>
                <w:rFonts w:asciiTheme="minorHAnsi" w:eastAsiaTheme="minorEastAsia" w:hAnsiTheme="minorHAnsi" w:cstheme="minorBidi"/>
                <w:sz w:val="22"/>
                <w:szCs w:val="22"/>
              </w:rPr>
              <w:tab/>
            </w:r>
            <w:r w:rsidR="006D1607" w:rsidRPr="006D1607">
              <w:rPr>
                <w:rStyle w:val="Hyperlink"/>
                <w:sz w:val="22"/>
                <w:szCs w:val="22"/>
              </w:rPr>
              <w:t>Nabadzības riska tendences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_Toc6841541 \h </w:instrText>
            </w:r>
            <w:r w:rsidRPr="006D1607">
              <w:rPr>
                <w:webHidden/>
                <w:sz w:val="22"/>
                <w:szCs w:val="22"/>
              </w:rPr>
            </w:r>
            <w:r w:rsidRPr="006D1607">
              <w:rPr>
                <w:webHidden/>
                <w:sz w:val="22"/>
                <w:szCs w:val="22"/>
              </w:rPr>
              <w:fldChar w:fldCharType="separate"/>
            </w:r>
            <w:r w:rsidR="00224B50">
              <w:rPr>
                <w:webHidden/>
                <w:sz w:val="22"/>
                <w:szCs w:val="22"/>
              </w:rPr>
              <w:t>75</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544" w:history="1">
            <w:r w:rsidR="006D1607" w:rsidRPr="006D1607">
              <w:rPr>
                <w:rStyle w:val="Hyperlink"/>
                <w:sz w:val="22"/>
                <w:szCs w:val="22"/>
              </w:rPr>
              <w:t>1.2.4.</w:t>
            </w:r>
            <w:r w:rsidR="006D1607" w:rsidRPr="006D1607">
              <w:rPr>
                <w:rFonts w:asciiTheme="minorHAnsi" w:eastAsiaTheme="minorEastAsia" w:hAnsiTheme="minorHAnsi" w:cstheme="minorBidi"/>
                <w:sz w:val="22"/>
                <w:szCs w:val="22"/>
              </w:rPr>
              <w:tab/>
            </w:r>
            <w:r w:rsidR="006D1607" w:rsidRPr="006D1607">
              <w:rPr>
                <w:rStyle w:val="Hyperlink"/>
                <w:sz w:val="22"/>
                <w:szCs w:val="22"/>
              </w:rPr>
              <w:t>Pašvaldību administratīvo datu analīze</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_Toc6841544 \h </w:instrText>
            </w:r>
            <w:r w:rsidRPr="006D1607">
              <w:rPr>
                <w:webHidden/>
                <w:sz w:val="22"/>
                <w:szCs w:val="22"/>
              </w:rPr>
            </w:r>
            <w:r w:rsidRPr="006D1607">
              <w:rPr>
                <w:webHidden/>
                <w:sz w:val="22"/>
                <w:szCs w:val="22"/>
              </w:rPr>
              <w:fldChar w:fldCharType="separate"/>
            </w:r>
            <w:r w:rsidR="00224B50">
              <w:rPr>
                <w:webHidden/>
                <w:sz w:val="22"/>
                <w:szCs w:val="22"/>
              </w:rPr>
              <w:t>85</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551" w:history="1">
            <w:r w:rsidR="006D1607" w:rsidRPr="006D1607">
              <w:rPr>
                <w:rStyle w:val="Hyperlink"/>
                <w:sz w:val="22"/>
                <w:szCs w:val="22"/>
              </w:rPr>
              <w:t>1.2.5.</w:t>
            </w:r>
            <w:r w:rsidR="006D1607" w:rsidRPr="006D1607">
              <w:rPr>
                <w:rFonts w:asciiTheme="minorHAnsi" w:eastAsiaTheme="minorEastAsia" w:hAnsiTheme="minorHAnsi" w:cstheme="minorBidi"/>
                <w:sz w:val="22"/>
                <w:szCs w:val="22"/>
              </w:rPr>
              <w:tab/>
            </w:r>
            <w:r w:rsidR="006D1607" w:rsidRPr="006D1607">
              <w:rPr>
                <w:rStyle w:val="Hyperlink"/>
                <w:sz w:val="22"/>
                <w:szCs w:val="22"/>
              </w:rPr>
              <w:t>Sociālo atstumtību raksturojošie rādītāji</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_Toc6841551 \h </w:instrText>
            </w:r>
            <w:r w:rsidRPr="006D1607">
              <w:rPr>
                <w:webHidden/>
                <w:sz w:val="22"/>
                <w:szCs w:val="22"/>
              </w:rPr>
            </w:r>
            <w:r w:rsidRPr="006D1607">
              <w:rPr>
                <w:webHidden/>
                <w:sz w:val="22"/>
                <w:szCs w:val="22"/>
              </w:rPr>
              <w:fldChar w:fldCharType="separate"/>
            </w:r>
            <w:r w:rsidR="00224B50">
              <w:rPr>
                <w:webHidden/>
                <w:sz w:val="22"/>
                <w:szCs w:val="22"/>
              </w:rPr>
              <w:t>104</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562" w:history="1">
            <w:r w:rsidR="006D1607" w:rsidRPr="006D1607">
              <w:rPr>
                <w:rStyle w:val="Hyperlink"/>
                <w:sz w:val="22"/>
                <w:szCs w:val="22"/>
              </w:rPr>
              <w:t>1.2.6.</w:t>
            </w:r>
            <w:r w:rsidR="006D1607" w:rsidRPr="006D1607">
              <w:rPr>
                <w:rFonts w:asciiTheme="minorHAnsi" w:eastAsiaTheme="minorEastAsia" w:hAnsiTheme="minorHAnsi" w:cstheme="minorBidi"/>
                <w:sz w:val="22"/>
                <w:szCs w:val="22"/>
              </w:rPr>
              <w:tab/>
            </w:r>
            <w:r w:rsidR="006D1607" w:rsidRPr="006D1607">
              <w:rPr>
                <w:rStyle w:val="Hyperlink"/>
                <w:sz w:val="22"/>
                <w:szCs w:val="22"/>
              </w:rPr>
              <w:t>Personu ar invaliditāti ienākumu raksturojums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_Toc6841562 \h </w:instrText>
            </w:r>
            <w:r w:rsidRPr="006D1607">
              <w:rPr>
                <w:webHidden/>
                <w:sz w:val="22"/>
                <w:szCs w:val="22"/>
              </w:rPr>
            </w:r>
            <w:r w:rsidRPr="006D1607">
              <w:rPr>
                <w:webHidden/>
                <w:sz w:val="22"/>
                <w:szCs w:val="22"/>
              </w:rPr>
              <w:fldChar w:fldCharType="separate"/>
            </w:r>
            <w:r w:rsidR="00224B50">
              <w:rPr>
                <w:webHidden/>
                <w:sz w:val="22"/>
                <w:szCs w:val="22"/>
              </w:rPr>
              <w:t>118</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563" w:history="1">
            <w:r w:rsidR="006D1607" w:rsidRPr="006D1607">
              <w:rPr>
                <w:rStyle w:val="Hyperlink"/>
                <w:sz w:val="22"/>
                <w:szCs w:val="22"/>
              </w:rPr>
              <w:t>1.2.7.</w:t>
            </w:r>
            <w:r w:rsidR="006D1607" w:rsidRPr="006D1607">
              <w:rPr>
                <w:rFonts w:asciiTheme="minorHAnsi" w:eastAsiaTheme="minorEastAsia" w:hAnsiTheme="minorHAnsi" w:cstheme="minorBidi"/>
                <w:sz w:val="22"/>
                <w:szCs w:val="22"/>
              </w:rPr>
              <w:tab/>
            </w:r>
            <w:r w:rsidR="006D1607" w:rsidRPr="006D1607">
              <w:rPr>
                <w:rStyle w:val="Hyperlink"/>
                <w:sz w:val="22"/>
                <w:szCs w:val="22"/>
              </w:rPr>
              <w:t>Datu kvalitātes novērtējums nabadzības un sociālās atstumtības jomā</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_Toc6841563 \h </w:instrText>
            </w:r>
            <w:r w:rsidRPr="006D1607">
              <w:rPr>
                <w:webHidden/>
                <w:sz w:val="22"/>
                <w:szCs w:val="22"/>
              </w:rPr>
            </w:r>
            <w:r w:rsidRPr="006D1607">
              <w:rPr>
                <w:webHidden/>
                <w:sz w:val="22"/>
                <w:szCs w:val="22"/>
              </w:rPr>
              <w:fldChar w:fldCharType="separate"/>
            </w:r>
            <w:r w:rsidR="00224B50">
              <w:rPr>
                <w:webHidden/>
                <w:sz w:val="22"/>
                <w:szCs w:val="22"/>
              </w:rPr>
              <w:t>130</w:t>
            </w:r>
            <w:r w:rsidRPr="006D1607">
              <w:rPr>
                <w:webHidden/>
                <w:sz w:val="22"/>
                <w:szCs w:val="22"/>
              </w:rPr>
              <w:fldChar w:fldCharType="end"/>
            </w:r>
          </w:hyperlink>
        </w:p>
        <w:p w:rsidR="006D1607" w:rsidRPr="006D1607" w:rsidRDefault="00AD3EDD">
          <w:pPr>
            <w:pStyle w:val="TOC2"/>
            <w:rPr>
              <w:rFonts w:asciiTheme="minorHAnsi" w:eastAsiaTheme="minorEastAsia" w:hAnsiTheme="minorHAnsi" w:cstheme="minorBidi"/>
              <w:b w:val="0"/>
              <w:sz w:val="22"/>
              <w:szCs w:val="22"/>
            </w:rPr>
          </w:pPr>
          <w:hyperlink w:anchor="_Toc6841564" w:history="1">
            <w:r w:rsidR="006D1607" w:rsidRPr="006D1607">
              <w:rPr>
                <w:rStyle w:val="Hyperlink"/>
                <w:sz w:val="22"/>
                <w:szCs w:val="22"/>
              </w:rPr>
              <w:t>1.3.</w:t>
            </w:r>
            <w:r w:rsidR="006D1607" w:rsidRPr="006D1607">
              <w:rPr>
                <w:rFonts w:asciiTheme="minorHAnsi" w:eastAsiaTheme="minorEastAsia" w:hAnsiTheme="minorHAnsi" w:cstheme="minorBidi"/>
                <w:b w:val="0"/>
                <w:sz w:val="22"/>
                <w:szCs w:val="22"/>
              </w:rPr>
              <w:tab/>
            </w:r>
            <w:r w:rsidR="006D1607" w:rsidRPr="006D1607">
              <w:rPr>
                <w:rStyle w:val="Hyperlink"/>
                <w:sz w:val="22"/>
                <w:szCs w:val="22"/>
              </w:rPr>
              <w:t>Secinājumi par galvenajām tendencēm nabadzības un sociālās atstumtības jomā 2015.-2016. gadā</w:t>
            </w:r>
            <w:r w:rsidR="006D1607" w:rsidRPr="006D1607">
              <w:rPr>
                <w:webHidden/>
                <w:sz w:val="22"/>
                <w:szCs w:val="22"/>
              </w:rPr>
              <w:tab/>
            </w:r>
            <w:r w:rsidR="00D001D0">
              <w:rPr>
                <w:webHidden/>
                <w:sz w:val="22"/>
                <w:szCs w:val="22"/>
              </w:rPr>
              <w:t>..........................................................................................................................................................</w:t>
            </w:r>
            <w:r w:rsidRPr="006D1607">
              <w:rPr>
                <w:webHidden/>
                <w:sz w:val="22"/>
                <w:szCs w:val="22"/>
              </w:rPr>
              <w:fldChar w:fldCharType="begin"/>
            </w:r>
            <w:r w:rsidR="006D1607" w:rsidRPr="006D1607">
              <w:rPr>
                <w:webHidden/>
                <w:sz w:val="22"/>
                <w:szCs w:val="22"/>
              </w:rPr>
              <w:instrText xml:space="preserve"> PAGEREF _Toc6841564 \h </w:instrText>
            </w:r>
            <w:r w:rsidRPr="006D1607">
              <w:rPr>
                <w:webHidden/>
                <w:sz w:val="22"/>
                <w:szCs w:val="22"/>
              </w:rPr>
            </w:r>
            <w:r w:rsidRPr="006D1607">
              <w:rPr>
                <w:webHidden/>
                <w:sz w:val="22"/>
                <w:szCs w:val="22"/>
              </w:rPr>
              <w:fldChar w:fldCharType="separate"/>
            </w:r>
            <w:r w:rsidR="00224B50">
              <w:rPr>
                <w:webHidden/>
                <w:sz w:val="22"/>
                <w:szCs w:val="22"/>
              </w:rPr>
              <w:t>134</w:t>
            </w:r>
            <w:r w:rsidRPr="006D1607">
              <w:rPr>
                <w:webHidden/>
                <w:sz w:val="22"/>
                <w:szCs w:val="22"/>
              </w:rPr>
              <w:fldChar w:fldCharType="end"/>
            </w:r>
          </w:hyperlink>
        </w:p>
        <w:p w:rsidR="006D1607" w:rsidRPr="006D1607" w:rsidRDefault="00AD3EDD">
          <w:pPr>
            <w:pStyle w:val="TOC2"/>
            <w:rPr>
              <w:rFonts w:asciiTheme="minorHAnsi" w:eastAsiaTheme="minorEastAsia" w:hAnsiTheme="minorHAnsi" w:cstheme="minorBidi"/>
              <w:b w:val="0"/>
              <w:sz w:val="22"/>
              <w:szCs w:val="22"/>
            </w:rPr>
          </w:pPr>
          <w:hyperlink w:anchor="_Toc6841565" w:history="1">
            <w:r w:rsidR="006D1607" w:rsidRPr="006D1607">
              <w:rPr>
                <w:rStyle w:val="Hyperlink"/>
                <w:sz w:val="22"/>
                <w:szCs w:val="22"/>
              </w:rPr>
              <w:t>1.4.</w:t>
            </w:r>
            <w:r w:rsidR="006D1607" w:rsidRPr="006D1607">
              <w:rPr>
                <w:rFonts w:asciiTheme="minorHAnsi" w:eastAsiaTheme="minorEastAsia" w:hAnsiTheme="minorHAnsi" w:cstheme="minorBidi"/>
                <w:b w:val="0"/>
                <w:sz w:val="22"/>
                <w:szCs w:val="22"/>
              </w:rPr>
              <w:tab/>
            </w:r>
            <w:r w:rsidR="006D1607" w:rsidRPr="006D1607">
              <w:rPr>
                <w:rStyle w:val="Hyperlink"/>
                <w:sz w:val="22"/>
                <w:szCs w:val="22"/>
              </w:rPr>
              <w:t>Galvenās problēmas un ieteikumi to risinājumiem nabadzības un sociālās atstumtības jomā</w:t>
            </w:r>
            <w:r w:rsidR="006D1607" w:rsidRPr="006D1607">
              <w:rPr>
                <w:webHidden/>
                <w:sz w:val="22"/>
                <w:szCs w:val="22"/>
              </w:rPr>
              <w:tab/>
            </w:r>
            <w:r w:rsidR="00D001D0">
              <w:rPr>
                <w:webHidden/>
                <w:sz w:val="22"/>
                <w:szCs w:val="22"/>
              </w:rPr>
              <w:t>..........................................................................................................................................................</w:t>
            </w:r>
            <w:r w:rsidRPr="006D1607">
              <w:rPr>
                <w:webHidden/>
                <w:sz w:val="22"/>
                <w:szCs w:val="22"/>
              </w:rPr>
              <w:fldChar w:fldCharType="begin"/>
            </w:r>
            <w:r w:rsidR="006D1607" w:rsidRPr="006D1607">
              <w:rPr>
                <w:webHidden/>
                <w:sz w:val="22"/>
                <w:szCs w:val="22"/>
              </w:rPr>
              <w:instrText xml:space="preserve"> PAGEREF _Toc6841565 \h </w:instrText>
            </w:r>
            <w:r w:rsidRPr="006D1607">
              <w:rPr>
                <w:webHidden/>
                <w:sz w:val="22"/>
                <w:szCs w:val="22"/>
              </w:rPr>
            </w:r>
            <w:r w:rsidRPr="006D1607">
              <w:rPr>
                <w:webHidden/>
                <w:sz w:val="22"/>
                <w:szCs w:val="22"/>
              </w:rPr>
              <w:fldChar w:fldCharType="separate"/>
            </w:r>
            <w:r w:rsidR="00224B50">
              <w:rPr>
                <w:webHidden/>
                <w:sz w:val="22"/>
                <w:szCs w:val="22"/>
              </w:rPr>
              <w:t>140</w:t>
            </w:r>
            <w:r w:rsidRPr="006D1607">
              <w:rPr>
                <w:webHidden/>
                <w:sz w:val="22"/>
                <w:szCs w:val="22"/>
              </w:rPr>
              <w:fldChar w:fldCharType="end"/>
            </w:r>
          </w:hyperlink>
        </w:p>
        <w:p w:rsidR="006D1607" w:rsidRPr="006D1607" w:rsidRDefault="00AD3EDD">
          <w:pPr>
            <w:pStyle w:val="TOC1"/>
            <w:rPr>
              <w:rFonts w:asciiTheme="minorHAnsi" w:eastAsiaTheme="minorEastAsia" w:hAnsiTheme="minorHAnsi" w:cstheme="minorBidi"/>
              <w:b w:val="0"/>
              <w:sz w:val="22"/>
              <w:szCs w:val="22"/>
            </w:rPr>
          </w:pPr>
          <w:hyperlink w:anchor="_Toc6841566" w:history="1">
            <w:r w:rsidR="006D1607" w:rsidRPr="006D1607">
              <w:rPr>
                <w:rStyle w:val="Hyperlink"/>
                <w:sz w:val="22"/>
                <w:szCs w:val="22"/>
              </w:rPr>
              <w:t>2.</w:t>
            </w:r>
            <w:r w:rsidR="006D1607" w:rsidRPr="006D1607">
              <w:rPr>
                <w:rFonts w:asciiTheme="minorHAnsi" w:eastAsiaTheme="minorEastAsia" w:hAnsiTheme="minorHAnsi" w:cstheme="minorBidi"/>
                <w:b w:val="0"/>
                <w:sz w:val="22"/>
                <w:szCs w:val="22"/>
              </w:rPr>
              <w:tab/>
            </w:r>
            <w:r w:rsidR="006D1607" w:rsidRPr="006D1607">
              <w:rPr>
                <w:rStyle w:val="Hyperlink"/>
                <w:sz w:val="22"/>
                <w:szCs w:val="22"/>
              </w:rPr>
              <w:t>Nevienlīdzības veselības aprūpes jomā izvērtējums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_Toc6841566 \h </w:instrText>
            </w:r>
            <w:r w:rsidRPr="006D1607">
              <w:rPr>
                <w:webHidden/>
                <w:sz w:val="22"/>
                <w:szCs w:val="22"/>
              </w:rPr>
            </w:r>
            <w:r w:rsidRPr="006D1607">
              <w:rPr>
                <w:webHidden/>
                <w:sz w:val="22"/>
                <w:szCs w:val="22"/>
              </w:rPr>
              <w:fldChar w:fldCharType="separate"/>
            </w:r>
            <w:r w:rsidR="00224B50">
              <w:rPr>
                <w:webHidden/>
                <w:sz w:val="22"/>
                <w:szCs w:val="22"/>
              </w:rPr>
              <w:t>144</w:t>
            </w:r>
            <w:r w:rsidRPr="006D1607">
              <w:rPr>
                <w:webHidden/>
                <w:sz w:val="22"/>
                <w:szCs w:val="22"/>
              </w:rPr>
              <w:fldChar w:fldCharType="end"/>
            </w:r>
          </w:hyperlink>
        </w:p>
        <w:p w:rsidR="006D1607" w:rsidRPr="006D1607" w:rsidRDefault="00AD3EDD">
          <w:pPr>
            <w:pStyle w:val="TOC2"/>
            <w:rPr>
              <w:rFonts w:asciiTheme="minorHAnsi" w:eastAsiaTheme="minorEastAsia" w:hAnsiTheme="minorHAnsi" w:cstheme="minorBidi"/>
              <w:b w:val="0"/>
              <w:sz w:val="22"/>
              <w:szCs w:val="22"/>
            </w:rPr>
          </w:pPr>
          <w:hyperlink w:anchor="_Toc6841567" w:history="1">
            <w:r w:rsidR="006D1607" w:rsidRPr="006D1607">
              <w:rPr>
                <w:rStyle w:val="Hyperlink"/>
                <w:sz w:val="22"/>
                <w:szCs w:val="22"/>
              </w:rPr>
              <w:t>2.1.</w:t>
            </w:r>
            <w:r w:rsidR="006D1607" w:rsidRPr="006D1607">
              <w:rPr>
                <w:rFonts w:asciiTheme="minorHAnsi" w:eastAsiaTheme="minorEastAsia" w:hAnsiTheme="minorHAnsi" w:cstheme="minorBidi"/>
                <w:b w:val="0"/>
                <w:sz w:val="22"/>
                <w:szCs w:val="22"/>
              </w:rPr>
              <w:tab/>
            </w:r>
            <w:r w:rsidR="006D1607" w:rsidRPr="006D1607">
              <w:rPr>
                <w:rStyle w:val="Hyperlink"/>
                <w:sz w:val="22"/>
                <w:szCs w:val="22"/>
              </w:rPr>
              <w:t>Vispārējs sabiedrības veselības un veselības aprūpes sistēmas raksturojums saistībā ar nevienlīdzību veselības jomā</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_Toc6841567 \h </w:instrText>
            </w:r>
            <w:r w:rsidRPr="006D1607">
              <w:rPr>
                <w:webHidden/>
                <w:sz w:val="22"/>
                <w:szCs w:val="22"/>
              </w:rPr>
            </w:r>
            <w:r w:rsidRPr="006D1607">
              <w:rPr>
                <w:webHidden/>
                <w:sz w:val="22"/>
                <w:szCs w:val="22"/>
              </w:rPr>
              <w:fldChar w:fldCharType="separate"/>
            </w:r>
            <w:r w:rsidR="00224B50">
              <w:rPr>
                <w:webHidden/>
                <w:sz w:val="22"/>
                <w:szCs w:val="22"/>
              </w:rPr>
              <w:t>144</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568" w:history="1">
            <w:r w:rsidR="006D1607" w:rsidRPr="006D1607">
              <w:rPr>
                <w:rStyle w:val="Hyperlink"/>
                <w:sz w:val="22"/>
                <w:szCs w:val="22"/>
              </w:rPr>
              <w:t>2.1.1.</w:t>
            </w:r>
            <w:r w:rsidR="006D1607" w:rsidRPr="006D1607">
              <w:rPr>
                <w:rFonts w:asciiTheme="minorHAnsi" w:eastAsiaTheme="minorEastAsia" w:hAnsiTheme="minorHAnsi" w:cstheme="minorBidi"/>
                <w:sz w:val="22"/>
                <w:szCs w:val="22"/>
              </w:rPr>
              <w:tab/>
            </w:r>
            <w:r w:rsidR="006D1607" w:rsidRPr="006D1607">
              <w:rPr>
                <w:rStyle w:val="Hyperlink"/>
                <w:sz w:val="22"/>
                <w:szCs w:val="22"/>
              </w:rPr>
              <w:t>Nevienlīdzības veselības jomā analīzes ietvars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_Toc6841568 \h </w:instrText>
            </w:r>
            <w:r w:rsidRPr="006D1607">
              <w:rPr>
                <w:webHidden/>
                <w:sz w:val="22"/>
                <w:szCs w:val="22"/>
              </w:rPr>
            </w:r>
            <w:r w:rsidRPr="006D1607">
              <w:rPr>
                <w:webHidden/>
                <w:sz w:val="22"/>
                <w:szCs w:val="22"/>
              </w:rPr>
              <w:fldChar w:fldCharType="separate"/>
            </w:r>
            <w:r w:rsidR="00224B50">
              <w:rPr>
                <w:webHidden/>
                <w:sz w:val="22"/>
                <w:szCs w:val="22"/>
              </w:rPr>
              <w:t>144</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569" w:history="1">
            <w:r w:rsidR="006D1607" w:rsidRPr="006D1607">
              <w:rPr>
                <w:rStyle w:val="Hyperlink"/>
                <w:sz w:val="22"/>
                <w:szCs w:val="22"/>
              </w:rPr>
              <w:t>2.1.2.</w:t>
            </w:r>
            <w:r w:rsidR="006D1607" w:rsidRPr="006D1607">
              <w:rPr>
                <w:rFonts w:asciiTheme="minorHAnsi" w:eastAsiaTheme="minorEastAsia" w:hAnsiTheme="minorHAnsi" w:cstheme="minorBidi"/>
                <w:sz w:val="22"/>
                <w:szCs w:val="22"/>
              </w:rPr>
              <w:tab/>
            </w:r>
            <w:r w:rsidR="006D1607" w:rsidRPr="006D1607">
              <w:rPr>
                <w:rStyle w:val="Hyperlink"/>
                <w:sz w:val="22"/>
                <w:szCs w:val="22"/>
              </w:rPr>
              <w:t>Latvijas iedzīvotāju vispārējs veselības stāvokļa pašnovērtējums un veselības aprūpes pieejamības raksturojums no iedzīvotāju perspektīvas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_Toc6841569 \h </w:instrText>
            </w:r>
            <w:r w:rsidRPr="006D1607">
              <w:rPr>
                <w:webHidden/>
                <w:sz w:val="22"/>
                <w:szCs w:val="22"/>
              </w:rPr>
            </w:r>
            <w:r w:rsidRPr="006D1607">
              <w:rPr>
                <w:webHidden/>
                <w:sz w:val="22"/>
                <w:szCs w:val="22"/>
              </w:rPr>
              <w:fldChar w:fldCharType="separate"/>
            </w:r>
            <w:r w:rsidR="00224B50">
              <w:rPr>
                <w:webHidden/>
                <w:sz w:val="22"/>
                <w:szCs w:val="22"/>
              </w:rPr>
              <w:t>147</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582" w:history="1">
            <w:r w:rsidR="006D1607" w:rsidRPr="006D1607">
              <w:rPr>
                <w:rStyle w:val="Hyperlink"/>
                <w:sz w:val="22"/>
                <w:szCs w:val="22"/>
              </w:rPr>
              <w:t>2.1.3.</w:t>
            </w:r>
            <w:r w:rsidR="006D1607" w:rsidRPr="006D1607">
              <w:rPr>
                <w:rFonts w:asciiTheme="minorHAnsi" w:eastAsiaTheme="minorEastAsia" w:hAnsiTheme="minorHAnsi" w:cstheme="minorBidi"/>
                <w:sz w:val="22"/>
                <w:szCs w:val="22"/>
              </w:rPr>
              <w:tab/>
            </w:r>
            <w:r w:rsidR="006D1607" w:rsidRPr="006D1607">
              <w:rPr>
                <w:rStyle w:val="Hyperlink"/>
                <w:sz w:val="22"/>
                <w:szCs w:val="22"/>
              </w:rPr>
              <w:t>Latvijas veselības aprūpes sistēmas galvenās problēmas saistībā ar veselības aprūpes pakalpojumu pieejamību, efektivitāti un lietderību</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_Toc6841582 \h </w:instrText>
            </w:r>
            <w:r w:rsidRPr="006D1607">
              <w:rPr>
                <w:webHidden/>
                <w:sz w:val="22"/>
                <w:szCs w:val="22"/>
              </w:rPr>
            </w:r>
            <w:r w:rsidRPr="006D1607">
              <w:rPr>
                <w:webHidden/>
                <w:sz w:val="22"/>
                <w:szCs w:val="22"/>
              </w:rPr>
              <w:fldChar w:fldCharType="separate"/>
            </w:r>
            <w:r w:rsidR="00224B50">
              <w:rPr>
                <w:webHidden/>
                <w:sz w:val="22"/>
                <w:szCs w:val="22"/>
              </w:rPr>
              <w:t>182</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583" w:history="1">
            <w:r w:rsidR="006D1607" w:rsidRPr="006D1607">
              <w:rPr>
                <w:rStyle w:val="Hyperlink"/>
                <w:sz w:val="22"/>
                <w:szCs w:val="22"/>
              </w:rPr>
              <w:t>2.1.4.</w:t>
            </w:r>
            <w:r w:rsidR="006D1607" w:rsidRPr="006D1607">
              <w:rPr>
                <w:rFonts w:asciiTheme="minorHAnsi" w:eastAsiaTheme="minorEastAsia" w:hAnsiTheme="minorHAnsi" w:cstheme="minorBidi"/>
                <w:sz w:val="22"/>
                <w:szCs w:val="22"/>
              </w:rPr>
              <w:tab/>
            </w:r>
            <w:r w:rsidR="006D1607" w:rsidRPr="006D1607">
              <w:rPr>
                <w:rStyle w:val="Hyperlink"/>
                <w:sz w:val="22"/>
                <w:szCs w:val="22"/>
              </w:rPr>
              <w:t>Datu kvalitātes novērtējums nevienlīdzības veselības aprūpes jomā raksturošanai</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_Toc6841583 \h </w:instrText>
            </w:r>
            <w:r w:rsidRPr="006D1607">
              <w:rPr>
                <w:webHidden/>
                <w:sz w:val="22"/>
                <w:szCs w:val="22"/>
              </w:rPr>
            </w:r>
            <w:r w:rsidRPr="006D1607">
              <w:rPr>
                <w:webHidden/>
                <w:sz w:val="22"/>
                <w:szCs w:val="22"/>
              </w:rPr>
              <w:fldChar w:fldCharType="separate"/>
            </w:r>
            <w:r w:rsidR="00224B50">
              <w:rPr>
                <w:webHidden/>
                <w:sz w:val="22"/>
                <w:szCs w:val="22"/>
              </w:rPr>
              <w:t>186</w:t>
            </w:r>
            <w:r w:rsidRPr="006D1607">
              <w:rPr>
                <w:webHidden/>
                <w:sz w:val="22"/>
                <w:szCs w:val="22"/>
              </w:rPr>
              <w:fldChar w:fldCharType="end"/>
            </w:r>
          </w:hyperlink>
        </w:p>
        <w:p w:rsidR="006D1607" w:rsidRPr="006D1607" w:rsidRDefault="00AD3EDD">
          <w:pPr>
            <w:pStyle w:val="TOC2"/>
            <w:rPr>
              <w:rFonts w:asciiTheme="minorHAnsi" w:eastAsiaTheme="minorEastAsia" w:hAnsiTheme="minorHAnsi" w:cstheme="minorBidi"/>
              <w:b w:val="0"/>
              <w:sz w:val="22"/>
              <w:szCs w:val="22"/>
            </w:rPr>
          </w:pPr>
          <w:hyperlink w:anchor="_Toc6841584" w:history="1">
            <w:r w:rsidR="006D1607" w:rsidRPr="006D1607">
              <w:rPr>
                <w:rStyle w:val="Hyperlink"/>
                <w:sz w:val="22"/>
                <w:szCs w:val="22"/>
              </w:rPr>
              <w:t>2.2.</w:t>
            </w:r>
            <w:r w:rsidR="006D1607" w:rsidRPr="006D1607">
              <w:rPr>
                <w:rFonts w:asciiTheme="minorHAnsi" w:eastAsiaTheme="minorEastAsia" w:hAnsiTheme="minorHAnsi" w:cstheme="minorBidi"/>
                <w:b w:val="0"/>
                <w:sz w:val="22"/>
                <w:szCs w:val="22"/>
              </w:rPr>
              <w:tab/>
            </w:r>
            <w:r w:rsidR="006D1607" w:rsidRPr="006D1607">
              <w:rPr>
                <w:rStyle w:val="Hyperlink"/>
                <w:sz w:val="22"/>
                <w:szCs w:val="22"/>
              </w:rPr>
              <w:t>Politikas plānošanas dokumentu un tiesību aktu analīze saistībā ar nevienlīdzības mazināšanu veselības aprūpes jomā</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_Toc6841584 \h </w:instrText>
            </w:r>
            <w:r w:rsidRPr="006D1607">
              <w:rPr>
                <w:webHidden/>
                <w:sz w:val="22"/>
                <w:szCs w:val="22"/>
              </w:rPr>
            </w:r>
            <w:r w:rsidRPr="006D1607">
              <w:rPr>
                <w:webHidden/>
                <w:sz w:val="22"/>
                <w:szCs w:val="22"/>
              </w:rPr>
              <w:fldChar w:fldCharType="separate"/>
            </w:r>
            <w:r w:rsidR="00224B50">
              <w:rPr>
                <w:webHidden/>
                <w:sz w:val="22"/>
                <w:szCs w:val="22"/>
              </w:rPr>
              <w:t>191</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585" w:history="1">
            <w:r w:rsidR="006D1607" w:rsidRPr="006D1607">
              <w:rPr>
                <w:rStyle w:val="Hyperlink"/>
                <w:sz w:val="22"/>
                <w:szCs w:val="22"/>
              </w:rPr>
              <w:t>2.2.1.</w:t>
            </w:r>
            <w:r w:rsidR="006D1607" w:rsidRPr="006D1607">
              <w:rPr>
                <w:rFonts w:asciiTheme="minorHAnsi" w:eastAsiaTheme="minorEastAsia" w:hAnsiTheme="minorHAnsi" w:cstheme="minorBidi"/>
                <w:sz w:val="22"/>
                <w:szCs w:val="22"/>
              </w:rPr>
              <w:tab/>
            </w:r>
            <w:r w:rsidR="006D1607" w:rsidRPr="006D1607">
              <w:rPr>
                <w:rStyle w:val="Hyperlink"/>
                <w:sz w:val="22"/>
                <w:szCs w:val="22"/>
              </w:rPr>
              <w:t>Tiesību aktu un politikas plānošanas dokumentu analīzes ietvars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_Toc6841585 \h </w:instrText>
            </w:r>
            <w:r w:rsidRPr="006D1607">
              <w:rPr>
                <w:webHidden/>
                <w:sz w:val="22"/>
                <w:szCs w:val="22"/>
              </w:rPr>
            </w:r>
            <w:r w:rsidRPr="006D1607">
              <w:rPr>
                <w:webHidden/>
                <w:sz w:val="22"/>
                <w:szCs w:val="22"/>
              </w:rPr>
              <w:fldChar w:fldCharType="separate"/>
            </w:r>
            <w:r w:rsidR="00224B50">
              <w:rPr>
                <w:webHidden/>
                <w:sz w:val="22"/>
                <w:szCs w:val="22"/>
              </w:rPr>
              <w:t>191</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586" w:history="1">
            <w:r w:rsidR="006D1607" w:rsidRPr="006D1607">
              <w:rPr>
                <w:rStyle w:val="Hyperlink"/>
                <w:sz w:val="22"/>
                <w:szCs w:val="22"/>
              </w:rPr>
              <w:t>2.2.2.</w:t>
            </w:r>
            <w:r w:rsidR="006D1607" w:rsidRPr="006D1607">
              <w:rPr>
                <w:rFonts w:asciiTheme="minorHAnsi" w:eastAsiaTheme="minorEastAsia" w:hAnsiTheme="minorHAnsi" w:cstheme="minorBidi"/>
                <w:sz w:val="22"/>
                <w:szCs w:val="22"/>
              </w:rPr>
              <w:tab/>
            </w:r>
            <w:r w:rsidR="006D1607" w:rsidRPr="006D1607">
              <w:rPr>
                <w:rStyle w:val="Hyperlink"/>
                <w:sz w:val="22"/>
                <w:szCs w:val="22"/>
              </w:rPr>
              <w:t>Politikas plānošanas dokumentu un tiesību aktu analīzes rezultāti veselības aprūpes un sabiedrības veselības jomā</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_Toc6841586 \h </w:instrText>
            </w:r>
            <w:r w:rsidRPr="006D1607">
              <w:rPr>
                <w:webHidden/>
                <w:sz w:val="22"/>
                <w:szCs w:val="22"/>
              </w:rPr>
            </w:r>
            <w:r w:rsidRPr="006D1607">
              <w:rPr>
                <w:webHidden/>
                <w:sz w:val="22"/>
                <w:szCs w:val="22"/>
              </w:rPr>
              <w:fldChar w:fldCharType="separate"/>
            </w:r>
            <w:r w:rsidR="00224B50">
              <w:rPr>
                <w:webHidden/>
                <w:sz w:val="22"/>
                <w:szCs w:val="22"/>
              </w:rPr>
              <w:t>195</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590" w:history="1">
            <w:r w:rsidR="006D1607" w:rsidRPr="006D1607">
              <w:rPr>
                <w:rStyle w:val="Hyperlink"/>
                <w:sz w:val="22"/>
                <w:szCs w:val="22"/>
              </w:rPr>
              <w:t>2.2.3.</w:t>
            </w:r>
            <w:r w:rsidR="006D1607" w:rsidRPr="006D1607">
              <w:rPr>
                <w:rFonts w:asciiTheme="minorHAnsi" w:eastAsiaTheme="minorEastAsia" w:hAnsiTheme="minorHAnsi" w:cstheme="minorBidi"/>
                <w:sz w:val="22"/>
                <w:szCs w:val="22"/>
              </w:rPr>
              <w:tab/>
            </w:r>
            <w:r w:rsidR="006D1607" w:rsidRPr="006D1607">
              <w:rPr>
                <w:rStyle w:val="Hyperlink"/>
                <w:sz w:val="22"/>
                <w:szCs w:val="22"/>
              </w:rPr>
              <w:t>Valsts noteiktie atvieglojumi trūcīgām un nabadzības riskam pakļautajām iedzīvotāju grupām veselības aprūpes pakalpojumu saņemšanai</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_Toc6841590 \h </w:instrText>
            </w:r>
            <w:r w:rsidRPr="006D1607">
              <w:rPr>
                <w:webHidden/>
                <w:sz w:val="22"/>
                <w:szCs w:val="22"/>
              </w:rPr>
            </w:r>
            <w:r w:rsidRPr="006D1607">
              <w:rPr>
                <w:webHidden/>
                <w:sz w:val="22"/>
                <w:szCs w:val="22"/>
              </w:rPr>
              <w:fldChar w:fldCharType="separate"/>
            </w:r>
            <w:r w:rsidR="00224B50">
              <w:rPr>
                <w:webHidden/>
                <w:sz w:val="22"/>
                <w:szCs w:val="22"/>
              </w:rPr>
              <w:t>211</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591" w:history="1">
            <w:r w:rsidR="006D1607" w:rsidRPr="006D1607">
              <w:rPr>
                <w:rStyle w:val="Hyperlink"/>
                <w:sz w:val="22"/>
                <w:szCs w:val="22"/>
              </w:rPr>
              <w:t>2.2.4.</w:t>
            </w:r>
            <w:r w:rsidR="006D1607" w:rsidRPr="006D1607">
              <w:rPr>
                <w:rFonts w:asciiTheme="minorHAnsi" w:eastAsiaTheme="minorEastAsia" w:hAnsiTheme="minorHAnsi" w:cstheme="minorBidi"/>
                <w:sz w:val="22"/>
                <w:szCs w:val="22"/>
              </w:rPr>
              <w:tab/>
            </w:r>
            <w:r w:rsidR="006D1607" w:rsidRPr="006D1607">
              <w:rPr>
                <w:rStyle w:val="Hyperlink"/>
                <w:sz w:val="22"/>
                <w:szCs w:val="22"/>
              </w:rPr>
              <w:t>Pašvaldību noteiktie atvieglojumi trūcīgām un maznodrošinātām personām, kā arī nabadzības riskam pakļautajām iedzīvotāju grupām veselības aprūpes pakalpojumu saņemšanai</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_Toc6841591 \h </w:instrText>
            </w:r>
            <w:r w:rsidRPr="006D1607">
              <w:rPr>
                <w:webHidden/>
                <w:sz w:val="22"/>
                <w:szCs w:val="22"/>
              </w:rPr>
            </w:r>
            <w:r w:rsidRPr="006D1607">
              <w:rPr>
                <w:webHidden/>
                <w:sz w:val="22"/>
                <w:szCs w:val="22"/>
              </w:rPr>
              <w:fldChar w:fldCharType="separate"/>
            </w:r>
            <w:r w:rsidR="00224B50">
              <w:rPr>
                <w:webHidden/>
                <w:sz w:val="22"/>
                <w:szCs w:val="22"/>
              </w:rPr>
              <w:t>213</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593" w:history="1">
            <w:r w:rsidR="006D1607" w:rsidRPr="006D1607">
              <w:rPr>
                <w:rStyle w:val="Hyperlink"/>
                <w:sz w:val="22"/>
                <w:szCs w:val="22"/>
              </w:rPr>
              <w:t>2.2.5.</w:t>
            </w:r>
            <w:r w:rsidR="006D1607" w:rsidRPr="006D1607">
              <w:rPr>
                <w:rFonts w:asciiTheme="minorHAnsi" w:eastAsiaTheme="minorEastAsia" w:hAnsiTheme="minorHAnsi" w:cstheme="minorBidi"/>
                <w:sz w:val="22"/>
                <w:szCs w:val="22"/>
              </w:rPr>
              <w:tab/>
            </w:r>
            <w:r w:rsidR="006D1607" w:rsidRPr="006D1607">
              <w:rPr>
                <w:rStyle w:val="Hyperlink"/>
                <w:sz w:val="22"/>
                <w:szCs w:val="22"/>
              </w:rPr>
              <w:t>Jaunās politikas iniciatīvas un budžeta pieteikumi veselības jomā</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_Toc6841593 \h </w:instrText>
            </w:r>
            <w:r w:rsidRPr="006D1607">
              <w:rPr>
                <w:webHidden/>
                <w:sz w:val="22"/>
                <w:szCs w:val="22"/>
              </w:rPr>
            </w:r>
            <w:r w:rsidRPr="006D1607">
              <w:rPr>
                <w:webHidden/>
                <w:sz w:val="22"/>
                <w:szCs w:val="22"/>
              </w:rPr>
              <w:fldChar w:fldCharType="separate"/>
            </w:r>
            <w:r w:rsidR="00224B50">
              <w:rPr>
                <w:webHidden/>
                <w:sz w:val="22"/>
                <w:szCs w:val="22"/>
              </w:rPr>
              <w:t>215</w:t>
            </w:r>
            <w:r w:rsidRPr="006D1607">
              <w:rPr>
                <w:webHidden/>
                <w:sz w:val="22"/>
                <w:szCs w:val="22"/>
              </w:rPr>
              <w:fldChar w:fldCharType="end"/>
            </w:r>
          </w:hyperlink>
        </w:p>
        <w:p w:rsidR="006D1607" w:rsidRPr="006D1607" w:rsidRDefault="00AD3EDD">
          <w:pPr>
            <w:pStyle w:val="TOC2"/>
            <w:rPr>
              <w:rFonts w:asciiTheme="minorHAnsi" w:eastAsiaTheme="minorEastAsia" w:hAnsiTheme="minorHAnsi" w:cstheme="minorBidi"/>
              <w:b w:val="0"/>
              <w:sz w:val="22"/>
              <w:szCs w:val="22"/>
            </w:rPr>
          </w:pPr>
          <w:hyperlink w:anchor="_Toc6841594" w:history="1">
            <w:r w:rsidR="006D1607" w:rsidRPr="006D1607">
              <w:rPr>
                <w:rStyle w:val="Hyperlink"/>
                <w:sz w:val="22"/>
                <w:szCs w:val="22"/>
              </w:rPr>
              <w:t>2.3.</w:t>
            </w:r>
            <w:r w:rsidR="006D1607" w:rsidRPr="006D1607">
              <w:rPr>
                <w:rFonts w:asciiTheme="minorHAnsi" w:eastAsiaTheme="minorEastAsia" w:hAnsiTheme="minorHAnsi" w:cstheme="minorBidi"/>
                <w:b w:val="0"/>
                <w:sz w:val="22"/>
                <w:szCs w:val="22"/>
              </w:rPr>
              <w:tab/>
            </w:r>
            <w:r w:rsidR="006D1607" w:rsidRPr="006D1607">
              <w:rPr>
                <w:rStyle w:val="Hyperlink"/>
                <w:sz w:val="22"/>
                <w:szCs w:val="22"/>
              </w:rPr>
              <w:t>Nevienlīdzība veselības jomā specifiskās mērķa grupās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_Toc6841594 \h </w:instrText>
            </w:r>
            <w:r w:rsidRPr="006D1607">
              <w:rPr>
                <w:webHidden/>
                <w:sz w:val="22"/>
                <w:szCs w:val="22"/>
              </w:rPr>
            </w:r>
            <w:r w:rsidRPr="006D1607">
              <w:rPr>
                <w:webHidden/>
                <w:sz w:val="22"/>
                <w:szCs w:val="22"/>
              </w:rPr>
              <w:fldChar w:fldCharType="separate"/>
            </w:r>
            <w:r w:rsidR="00224B50">
              <w:rPr>
                <w:webHidden/>
                <w:sz w:val="22"/>
                <w:szCs w:val="22"/>
              </w:rPr>
              <w:t>217</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595" w:history="1">
            <w:r w:rsidR="006D1607" w:rsidRPr="006D1607">
              <w:rPr>
                <w:rStyle w:val="Hyperlink"/>
                <w:sz w:val="22"/>
                <w:szCs w:val="22"/>
              </w:rPr>
              <w:t>2.3.1.</w:t>
            </w:r>
            <w:r w:rsidR="006D1607" w:rsidRPr="006D1607">
              <w:rPr>
                <w:rFonts w:asciiTheme="minorHAnsi" w:eastAsiaTheme="minorEastAsia" w:hAnsiTheme="minorHAnsi" w:cstheme="minorBidi"/>
                <w:sz w:val="22"/>
                <w:szCs w:val="22"/>
              </w:rPr>
              <w:tab/>
            </w:r>
            <w:r w:rsidR="006D1607" w:rsidRPr="006D1607">
              <w:rPr>
                <w:rStyle w:val="Hyperlink"/>
                <w:sz w:val="22"/>
                <w:szCs w:val="22"/>
              </w:rPr>
              <w:t>Pirmspensijas un pensijas vecuma cilvēki</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_Toc6841595 \h </w:instrText>
            </w:r>
            <w:r w:rsidRPr="006D1607">
              <w:rPr>
                <w:webHidden/>
                <w:sz w:val="22"/>
                <w:szCs w:val="22"/>
              </w:rPr>
            </w:r>
            <w:r w:rsidRPr="006D1607">
              <w:rPr>
                <w:webHidden/>
                <w:sz w:val="22"/>
                <w:szCs w:val="22"/>
              </w:rPr>
              <w:fldChar w:fldCharType="separate"/>
            </w:r>
            <w:r w:rsidR="00224B50">
              <w:rPr>
                <w:webHidden/>
                <w:sz w:val="22"/>
                <w:szCs w:val="22"/>
              </w:rPr>
              <w:t>218</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596" w:history="1">
            <w:r w:rsidR="006D1607" w:rsidRPr="006D1607">
              <w:rPr>
                <w:rStyle w:val="Hyperlink"/>
                <w:sz w:val="22"/>
                <w:szCs w:val="22"/>
              </w:rPr>
              <w:t>2.3.2.</w:t>
            </w:r>
            <w:r w:rsidR="006D1607" w:rsidRPr="006D1607">
              <w:rPr>
                <w:rFonts w:asciiTheme="minorHAnsi" w:eastAsiaTheme="minorEastAsia" w:hAnsiTheme="minorHAnsi" w:cstheme="minorBidi"/>
                <w:sz w:val="22"/>
                <w:szCs w:val="22"/>
              </w:rPr>
              <w:tab/>
            </w:r>
            <w:r w:rsidR="006D1607" w:rsidRPr="006D1607">
              <w:rPr>
                <w:rStyle w:val="Hyperlink"/>
                <w:sz w:val="22"/>
                <w:szCs w:val="22"/>
              </w:rPr>
              <w:t>Ģimenes ar bērniem</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_Toc6841596 \h </w:instrText>
            </w:r>
            <w:r w:rsidRPr="006D1607">
              <w:rPr>
                <w:webHidden/>
                <w:sz w:val="22"/>
                <w:szCs w:val="22"/>
              </w:rPr>
            </w:r>
            <w:r w:rsidRPr="006D1607">
              <w:rPr>
                <w:webHidden/>
                <w:sz w:val="22"/>
                <w:szCs w:val="22"/>
              </w:rPr>
              <w:fldChar w:fldCharType="separate"/>
            </w:r>
            <w:r w:rsidR="00224B50">
              <w:rPr>
                <w:webHidden/>
                <w:sz w:val="22"/>
                <w:szCs w:val="22"/>
              </w:rPr>
              <w:t>219</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597" w:history="1">
            <w:r w:rsidR="006D1607" w:rsidRPr="006D1607">
              <w:rPr>
                <w:rStyle w:val="Hyperlink"/>
                <w:sz w:val="22"/>
                <w:szCs w:val="22"/>
              </w:rPr>
              <w:t>2.3.3.</w:t>
            </w:r>
            <w:r w:rsidR="006D1607" w:rsidRPr="006D1607">
              <w:rPr>
                <w:rFonts w:asciiTheme="minorHAnsi" w:eastAsiaTheme="minorEastAsia" w:hAnsiTheme="minorHAnsi" w:cstheme="minorBidi"/>
                <w:sz w:val="22"/>
                <w:szCs w:val="22"/>
              </w:rPr>
              <w:tab/>
            </w:r>
            <w:r w:rsidR="006D1607" w:rsidRPr="006D1607">
              <w:rPr>
                <w:rStyle w:val="Hyperlink"/>
                <w:sz w:val="22"/>
                <w:szCs w:val="22"/>
              </w:rPr>
              <w:t>Trūcīgās un maznodrošinātās personas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_Toc6841597 \h </w:instrText>
            </w:r>
            <w:r w:rsidRPr="006D1607">
              <w:rPr>
                <w:webHidden/>
                <w:sz w:val="22"/>
                <w:szCs w:val="22"/>
              </w:rPr>
            </w:r>
            <w:r w:rsidRPr="006D1607">
              <w:rPr>
                <w:webHidden/>
                <w:sz w:val="22"/>
                <w:szCs w:val="22"/>
              </w:rPr>
              <w:fldChar w:fldCharType="separate"/>
            </w:r>
            <w:r w:rsidR="00224B50">
              <w:rPr>
                <w:webHidden/>
                <w:sz w:val="22"/>
                <w:szCs w:val="22"/>
              </w:rPr>
              <w:t>221</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598" w:history="1">
            <w:r w:rsidR="006D1607" w:rsidRPr="006D1607">
              <w:rPr>
                <w:rStyle w:val="Hyperlink"/>
                <w:sz w:val="22"/>
                <w:szCs w:val="22"/>
              </w:rPr>
              <w:t>2.3.4.</w:t>
            </w:r>
            <w:r w:rsidR="006D1607" w:rsidRPr="006D1607">
              <w:rPr>
                <w:rFonts w:asciiTheme="minorHAnsi" w:eastAsiaTheme="minorEastAsia" w:hAnsiTheme="minorHAnsi" w:cstheme="minorBidi"/>
                <w:sz w:val="22"/>
                <w:szCs w:val="22"/>
              </w:rPr>
              <w:tab/>
            </w:r>
            <w:r w:rsidR="006D1607" w:rsidRPr="006D1607">
              <w:rPr>
                <w:rStyle w:val="Hyperlink"/>
                <w:sz w:val="22"/>
                <w:szCs w:val="22"/>
              </w:rPr>
              <w:t>Personas ar invaliditāti</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_Toc6841598 \h </w:instrText>
            </w:r>
            <w:r w:rsidRPr="006D1607">
              <w:rPr>
                <w:webHidden/>
                <w:sz w:val="22"/>
                <w:szCs w:val="22"/>
              </w:rPr>
            </w:r>
            <w:r w:rsidRPr="006D1607">
              <w:rPr>
                <w:webHidden/>
                <w:sz w:val="22"/>
                <w:szCs w:val="22"/>
              </w:rPr>
              <w:fldChar w:fldCharType="separate"/>
            </w:r>
            <w:r w:rsidR="00224B50">
              <w:rPr>
                <w:webHidden/>
                <w:sz w:val="22"/>
                <w:szCs w:val="22"/>
              </w:rPr>
              <w:t>221</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599" w:history="1">
            <w:r w:rsidR="006D1607" w:rsidRPr="006D1607">
              <w:rPr>
                <w:rStyle w:val="Hyperlink"/>
                <w:sz w:val="22"/>
                <w:szCs w:val="22"/>
              </w:rPr>
              <w:t>2.3.5.</w:t>
            </w:r>
            <w:r w:rsidR="006D1607" w:rsidRPr="006D1607">
              <w:rPr>
                <w:rFonts w:asciiTheme="minorHAnsi" w:eastAsiaTheme="minorEastAsia" w:hAnsiTheme="minorHAnsi" w:cstheme="minorBidi"/>
                <w:sz w:val="22"/>
                <w:szCs w:val="22"/>
              </w:rPr>
              <w:tab/>
            </w:r>
            <w:r w:rsidR="006D1607" w:rsidRPr="006D1607">
              <w:rPr>
                <w:rStyle w:val="Hyperlink"/>
                <w:sz w:val="22"/>
                <w:szCs w:val="22"/>
              </w:rPr>
              <w:t>Vardarbībā cietušās personas, t.sk., cilvēktirdzniecības upuri</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_Toc6841599 \h </w:instrText>
            </w:r>
            <w:r w:rsidRPr="006D1607">
              <w:rPr>
                <w:webHidden/>
                <w:sz w:val="22"/>
                <w:szCs w:val="22"/>
              </w:rPr>
            </w:r>
            <w:r w:rsidRPr="006D1607">
              <w:rPr>
                <w:webHidden/>
                <w:sz w:val="22"/>
                <w:szCs w:val="22"/>
              </w:rPr>
              <w:fldChar w:fldCharType="separate"/>
            </w:r>
            <w:r w:rsidR="00224B50">
              <w:rPr>
                <w:webHidden/>
                <w:sz w:val="22"/>
                <w:szCs w:val="22"/>
              </w:rPr>
              <w:t>222</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600" w:history="1">
            <w:r w:rsidR="006D1607" w:rsidRPr="006D1607">
              <w:rPr>
                <w:rStyle w:val="Hyperlink"/>
                <w:sz w:val="22"/>
                <w:szCs w:val="22"/>
              </w:rPr>
              <w:t>2.3.6.</w:t>
            </w:r>
            <w:r w:rsidR="006D1607" w:rsidRPr="006D1607">
              <w:rPr>
                <w:rFonts w:asciiTheme="minorHAnsi" w:eastAsiaTheme="minorEastAsia" w:hAnsiTheme="minorHAnsi" w:cstheme="minorBidi"/>
                <w:sz w:val="22"/>
                <w:szCs w:val="22"/>
              </w:rPr>
              <w:tab/>
            </w:r>
            <w:r w:rsidR="006D1607" w:rsidRPr="006D1607">
              <w:rPr>
                <w:rStyle w:val="Hyperlink"/>
                <w:sz w:val="22"/>
                <w:szCs w:val="22"/>
              </w:rPr>
              <w:t>Bezpajumtnieki</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_Toc6841600 \h </w:instrText>
            </w:r>
            <w:r w:rsidRPr="006D1607">
              <w:rPr>
                <w:webHidden/>
                <w:sz w:val="22"/>
                <w:szCs w:val="22"/>
              </w:rPr>
            </w:r>
            <w:r w:rsidRPr="006D1607">
              <w:rPr>
                <w:webHidden/>
                <w:sz w:val="22"/>
                <w:szCs w:val="22"/>
              </w:rPr>
              <w:fldChar w:fldCharType="separate"/>
            </w:r>
            <w:r w:rsidR="00224B50">
              <w:rPr>
                <w:webHidden/>
                <w:sz w:val="22"/>
                <w:szCs w:val="22"/>
              </w:rPr>
              <w:t>224</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601" w:history="1">
            <w:r w:rsidR="006D1607" w:rsidRPr="006D1607">
              <w:rPr>
                <w:rStyle w:val="Hyperlink"/>
                <w:sz w:val="22"/>
                <w:szCs w:val="22"/>
              </w:rPr>
              <w:t>2.3.7.</w:t>
            </w:r>
            <w:r w:rsidR="006D1607" w:rsidRPr="006D1607">
              <w:rPr>
                <w:rFonts w:asciiTheme="minorHAnsi" w:eastAsiaTheme="minorEastAsia" w:hAnsiTheme="minorHAnsi" w:cstheme="minorBidi"/>
                <w:sz w:val="22"/>
                <w:szCs w:val="22"/>
              </w:rPr>
              <w:tab/>
            </w:r>
            <w:r w:rsidR="006D1607" w:rsidRPr="006D1607">
              <w:rPr>
                <w:rStyle w:val="Hyperlink"/>
                <w:sz w:val="22"/>
                <w:szCs w:val="22"/>
              </w:rPr>
              <w:t>Ieslodzījuma vietās esošas un no ieslodzījuma atbrīvotās personas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_Toc6841601 \h </w:instrText>
            </w:r>
            <w:r w:rsidRPr="006D1607">
              <w:rPr>
                <w:webHidden/>
                <w:sz w:val="22"/>
                <w:szCs w:val="22"/>
              </w:rPr>
            </w:r>
            <w:r w:rsidRPr="006D1607">
              <w:rPr>
                <w:webHidden/>
                <w:sz w:val="22"/>
                <w:szCs w:val="22"/>
              </w:rPr>
              <w:fldChar w:fldCharType="separate"/>
            </w:r>
            <w:r w:rsidR="00224B50">
              <w:rPr>
                <w:webHidden/>
                <w:sz w:val="22"/>
                <w:szCs w:val="22"/>
              </w:rPr>
              <w:t>226</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602" w:history="1">
            <w:r w:rsidR="006D1607" w:rsidRPr="006D1607">
              <w:rPr>
                <w:rStyle w:val="Hyperlink"/>
                <w:sz w:val="22"/>
                <w:szCs w:val="22"/>
              </w:rPr>
              <w:t>2.3.8.</w:t>
            </w:r>
            <w:r w:rsidR="006D1607" w:rsidRPr="006D1607">
              <w:rPr>
                <w:rFonts w:asciiTheme="minorHAnsi" w:eastAsiaTheme="minorEastAsia" w:hAnsiTheme="minorHAnsi" w:cstheme="minorBidi"/>
                <w:sz w:val="22"/>
                <w:szCs w:val="22"/>
              </w:rPr>
              <w:tab/>
            </w:r>
            <w:r w:rsidR="006D1607" w:rsidRPr="006D1607">
              <w:rPr>
                <w:rStyle w:val="Hyperlink"/>
                <w:sz w:val="22"/>
                <w:szCs w:val="22"/>
              </w:rPr>
              <w:t>Romi</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_Toc6841602 \h </w:instrText>
            </w:r>
            <w:r w:rsidRPr="006D1607">
              <w:rPr>
                <w:webHidden/>
                <w:sz w:val="22"/>
                <w:szCs w:val="22"/>
              </w:rPr>
            </w:r>
            <w:r w:rsidRPr="006D1607">
              <w:rPr>
                <w:webHidden/>
                <w:sz w:val="22"/>
                <w:szCs w:val="22"/>
              </w:rPr>
              <w:fldChar w:fldCharType="separate"/>
            </w:r>
            <w:r w:rsidR="00224B50">
              <w:rPr>
                <w:webHidden/>
                <w:sz w:val="22"/>
                <w:szCs w:val="22"/>
              </w:rPr>
              <w:t>228</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603" w:history="1">
            <w:r w:rsidR="006D1607" w:rsidRPr="006D1607">
              <w:rPr>
                <w:rStyle w:val="Hyperlink"/>
                <w:sz w:val="22"/>
                <w:szCs w:val="22"/>
              </w:rPr>
              <w:t>2.3.9.</w:t>
            </w:r>
            <w:r w:rsidR="006D1607" w:rsidRPr="006D1607">
              <w:rPr>
                <w:rFonts w:asciiTheme="minorHAnsi" w:eastAsiaTheme="minorEastAsia" w:hAnsiTheme="minorHAnsi" w:cstheme="minorBidi"/>
                <w:sz w:val="22"/>
                <w:szCs w:val="22"/>
              </w:rPr>
              <w:tab/>
            </w:r>
            <w:r w:rsidR="006D1607" w:rsidRPr="006D1607">
              <w:rPr>
                <w:rStyle w:val="Hyperlink"/>
                <w:sz w:val="22"/>
                <w:szCs w:val="22"/>
              </w:rPr>
              <w:t>Patvēruma meklētāji, bēgļi un personas ar alternatīvo statusu</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_Toc6841603 \h </w:instrText>
            </w:r>
            <w:r w:rsidRPr="006D1607">
              <w:rPr>
                <w:webHidden/>
                <w:sz w:val="22"/>
                <w:szCs w:val="22"/>
              </w:rPr>
            </w:r>
            <w:r w:rsidRPr="006D1607">
              <w:rPr>
                <w:webHidden/>
                <w:sz w:val="22"/>
                <w:szCs w:val="22"/>
              </w:rPr>
              <w:fldChar w:fldCharType="separate"/>
            </w:r>
            <w:r w:rsidR="00224B50">
              <w:rPr>
                <w:webHidden/>
                <w:sz w:val="22"/>
                <w:szCs w:val="22"/>
              </w:rPr>
              <w:t>229</w:t>
            </w:r>
            <w:r w:rsidRPr="006D1607">
              <w:rPr>
                <w:webHidden/>
                <w:sz w:val="22"/>
                <w:szCs w:val="22"/>
              </w:rPr>
              <w:fldChar w:fldCharType="end"/>
            </w:r>
          </w:hyperlink>
        </w:p>
        <w:p w:rsidR="006D1607" w:rsidRPr="006D1607" w:rsidRDefault="00AD3EDD">
          <w:pPr>
            <w:pStyle w:val="TOC2"/>
            <w:rPr>
              <w:rFonts w:asciiTheme="minorHAnsi" w:eastAsiaTheme="minorEastAsia" w:hAnsiTheme="minorHAnsi" w:cstheme="minorBidi"/>
              <w:b w:val="0"/>
              <w:sz w:val="22"/>
              <w:szCs w:val="22"/>
            </w:rPr>
          </w:pPr>
          <w:hyperlink w:anchor="_Toc6841604" w:history="1">
            <w:r w:rsidR="006D1607" w:rsidRPr="006D1607">
              <w:rPr>
                <w:rStyle w:val="Hyperlink"/>
                <w:sz w:val="22"/>
                <w:szCs w:val="22"/>
              </w:rPr>
              <w:t>2.4.</w:t>
            </w:r>
            <w:r w:rsidR="006D1607" w:rsidRPr="006D1607">
              <w:rPr>
                <w:rFonts w:asciiTheme="minorHAnsi" w:eastAsiaTheme="minorEastAsia" w:hAnsiTheme="minorHAnsi" w:cstheme="minorBidi"/>
                <w:b w:val="0"/>
                <w:sz w:val="22"/>
                <w:szCs w:val="22"/>
              </w:rPr>
              <w:tab/>
            </w:r>
            <w:r w:rsidR="006D1607" w:rsidRPr="006D1607">
              <w:rPr>
                <w:rStyle w:val="Hyperlink"/>
                <w:sz w:val="22"/>
                <w:szCs w:val="22"/>
              </w:rPr>
              <w:t>Secinājumi par nevienlīdzību veselības jomā</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_Toc6841604 \h </w:instrText>
            </w:r>
            <w:r w:rsidRPr="006D1607">
              <w:rPr>
                <w:webHidden/>
                <w:sz w:val="22"/>
                <w:szCs w:val="22"/>
              </w:rPr>
            </w:r>
            <w:r w:rsidRPr="006D1607">
              <w:rPr>
                <w:webHidden/>
                <w:sz w:val="22"/>
                <w:szCs w:val="22"/>
              </w:rPr>
              <w:fldChar w:fldCharType="separate"/>
            </w:r>
            <w:r w:rsidR="00224B50">
              <w:rPr>
                <w:webHidden/>
                <w:sz w:val="22"/>
                <w:szCs w:val="22"/>
              </w:rPr>
              <w:t>232</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605" w:history="1">
            <w:r w:rsidR="006D1607" w:rsidRPr="006D1607">
              <w:rPr>
                <w:rStyle w:val="Hyperlink"/>
                <w:sz w:val="22"/>
                <w:szCs w:val="22"/>
              </w:rPr>
              <w:t>2.4.1.</w:t>
            </w:r>
            <w:r w:rsidR="006D1607" w:rsidRPr="006D1607">
              <w:rPr>
                <w:rFonts w:asciiTheme="minorHAnsi" w:eastAsiaTheme="minorEastAsia" w:hAnsiTheme="minorHAnsi" w:cstheme="minorBidi"/>
                <w:sz w:val="22"/>
                <w:szCs w:val="22"/>
              </w:rPr>
              <w:tab/>
            </w:r>
            <w:r w:rsidR="006D1607" w:rsidRPr="006D1607">
              <w:rPr>
                <w:rStyle w:val="Hyperlink"/>
                <w:sz w:val="22"/>
                <w:szCs w:val="22"/>
              </w:rPr>
              <w:t>Nevienlīdzība veselības jomā mērķa grupu griezumā</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_Toc6841605 \h </w:instrText>
            </w:r>
            <w:r w:rsidRPr="006D1607">
              <w:rPr>
                <w:webHidden/>
                <w:sz w:val="22"/>
                <w:szCs w:val="22"/>
              </w:rPr>
            </w:r>
            <w:r w:rsidRPr="006D1607">
              <w:rPr>
                <w:webHidden/>
                <w:sz w:val="22"/>
                <w:szCs w:val="22"/>
              </w:rPr>
              <w:fldChar w:fldCharType="separate"/>
            </w:r>
            <w:r w:rsidR="00224B50">
              <w:rPr>
                <w:webHidden/>
                <w:sz w:val="22"/>
                <w:szCs w:val="22"/>
              </w:rPr>
              <w:t>232</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606" w:history="1">
            <w:r w:rsidR="006D1607" w:rsidRPr="006D1607">
              <w:rPr>
                <w:rStyle w:val="Hyperlink"/>
                <w:sz w:val="22"/>
                <w:szCs w:val="22"/>
              </w:rPr>
              <w:t>2.4.2.</w:t>
            </w:r>
            <w:r w:rsidR="006D1607" w:rsidRPr="006D1607">
              <w:rPr>
                <w:rFonts w:asciiTheme="minorHAnsi" w:eastAsiaTheme="minorEastAsia" w:hAnsiTheme="minorHAnsi" w:cstheme="minorBidi"/>
                <w:sz w:val="22"/>
                <w:szCs w:val="22"/>
              </w:rPr>
              <w:tab/>
            </w:r>
            <w:r w:rsidR="006D1607" w:rsidRPr="006D1607">
              <w:rPr>
                <w:rStyle w:val="Hyperlink"/>
                <w:sz w:val="22"/>
                <w:szCs w:val="22"/>
              </w:rPr>
              <w:t>Galvenās problēmas, nepieciešamie risinājumi un ieteikumi</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_Toc6841606 \h </w:instrText>
            </w:r>
            <w:r w:rsidRPr="006D1607">
              <w:rPr>
                <w:webHidden/>
                <w:sz w:val="22"/>
                <w:szCs w:val="22"/>
              </w:rPr>
            </w:r>
            <w:r w:rsidRPr="006D1607">
              <w:rPr>
                <w:webHidden/>
                <w:sz w:val="22"/>
                <w:szCs w:val="22"/>
              </w:rPr>
              <w:fldChar w:fldCharType="separate"/>
            </w:r>
            <w:r w:rsidR="00224B50">
              <w:rPr>
                <w:webHidden/>
                <w:sz w:val="22"/>
                <w:szCs w:val="22"/>
              </w:rPr>
              <w:t>234</w:t>
            </w:r>
            <w:r w:rsidRPr="006D1607">
              <w:rPr>
                <w:webHidden/>
                <w:sz w:val="22"/>
                <w:szCs w:val="22"/>
              </w:rPr>
              <w:fldChar w:fldCharType="end"/>
            </w:r>
          </w:hyperlink>
        </w:p>
        <w:p w:rsidR="006D1607" w:rsidRPr="006D1607" w:rsidRDefault="00AD3EDD">
          <w:pPr>
            <w:pStyle w:val="TOC1"/>
            <w:rPr>
              <w:rFonts w:asciiTheme="minorHAnsi" w:eastAsiaTheme="minorEastAsia" w:hAnsiTheme="minorHAnsi" w:cstheme="minorBidi"/>
              <w:b w:val="0"/>
              <w:sz w:val="22"/>
              <w:szCs w:val="22"/>
            </w:rPr>
          </w:pPr>
          <w:hyperlink w:anchor="_Toc6841607" w:history="1">
            <w:r w:rsidR="006D1607" w:rsidRPr="006D1607">
              <w:rPr>
                <w:rStyle w:val="Hyperlink"/>
                <w:sz w:val="22"/>
                <w:szCs w:val="22"/>
              </w:rPr>
              <w:t>3.</w:t>
            </w:r>
            <w:r w:rsidR="006D1607" w:rsidRPr="006D1607">
              <w:rPr>
                <w:rFonts w:asciiTheme="minorHAnsi" w:eastAsiaTheme="minorEastAsia" w:hAnsiTheme="minorHAnsi" w:cstheme="minorBidi"/>
                <w:b w:val="0"/>
                <w:sz w:val="22"/>
                <w:szCs w:val="22"/>
              </w:rPr>
              <w:tab/>
            </w:r>
            <w:r w:rsidR="006D1607" w:rsidRPr="006D1607">
              <w:rPr>
                <w:rStyle w:val="Hyperlink"/>
                <w:sz w:val="22"/>
                <w:szCs w:val="22"/>
              </w:rPr>
              <w:t>Nevienlīdzības mājokļa pieejamības jomā izvērtējums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_Toc6841607 \h </w:instrText>
            </w:r>
            <w:r w:rsidRPr="006D1607">
              <w:rPr>
                <w:webHidden/>
                <w:sz w:val="22"/>
                <w:szCs w:val="22"/>
              </w:rPr>
            </w:r>
            <w:r w:rsidRPr="006D1607">
              <w:rPr>
                <w:webHidden/>
                <w:sz w:val="22"/>
                <w:szCs w:val="22"/>
              </w:rPr>
              <w:fldChar w:fldCharType="separate"/>
            </w:r>
            <w:r w:rsidR="00224B50">
              <w:rPr>
                <w:webHidden/>
                <w:sz w:val="22"/>
                <w:szCs w:val="22"/>
              </w:rPr>
              <w:t>238</w:t>
            </w:r>
            <w:r w:rsidRPr="006D1607">
              <w:rPr>
                <w:webHidden/>
                <w:sz w:val="22"/>
                <w:szCs w:val="22"/>
              </w:rPr>
              <w:fldChar w:fldCharType="end"/>
            </w:r>
          </w:hyperlink>
        </w:p>
        <w:p w:rsidR="006D1607" w:rsidRPr="006D1607" w:rsidRDefault="00AD3EDD">
          <w:pPr>
            <w:pStyle w:val="TOC2"/>
            <w:rPr>
              <w:rFonts w:asciiTheme="minorHAnsi" w:eastAsiaTheme="minorEastAsia" w:hAnsiTheme="minorHAnsi" w:cstheme="minorBidi"/>
              <w:b w:val="0"/>
              <w:sz w:val="22"/>
              <w:szCs w:val="22"/>
            </w:rPr>
          </w:pPr>
          <w:hyperlink w:anchor="_Toc6841608" w:history="1">
            <w:r w:rsidR="006D1607" w:rsidRPr="006D1607">
              <w:rPr>
                <w:rStyle w:val="Hyperlink"/>
                <w:sz w:val="22"/>
                <w:szCs w:val="22"/>
              </w:rPr>
              <w:t>3.1.</w:t>
            </w:r>
            <w:r w:rsidR="006D1607" w:rsidRPr="006D1607">
              <w:rPr>
                <w:rFonts w:asciiTheme="minorHAnsi" w:eastAsiaTheme="minorEastAsia" w:hAnsiTheme="minorHAnsi" w:cstheme="minorBidi"/>
                <w:b w:val="0"/>
                <w:sz w:val="22"/>
                <w:szCs w:val="22"/>
              </w:rPr>
              <w:tab/>
            </w:r>
            <w:r w:rsidR="006D1607" w:rsidRPr="006D1607">
              <w:rPr>
                <w:rStyle w:val="Hyperlink"/>
                <w:sz w:val="22"/>
                <w:szCs w:val="22"/>
              </w:rPr>
              <w:t>Nevienlīdzības mājokļa pieejamības jomā definēšana</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_Toc6841608 \h </w:instrText>
            </w:r>
            <w:r w:rsidRPr="006D1607">
              <w:rPr>
                <w:webHidden/>
                <w:sz w:val="22"/>
                <w:szCs w:val="22"/>
              </w:rPr>
            </w:r>
            <w:r w:rsidRPr="006D1607">
              <w:rPr>
                <w:webHidden/>
                <w:sz w:val="22"/>
                <w:szCs w:val="22"/>
              </w:rPr>
              <w:fldChar w:fldCharType="separate"/>
            </w:r>
            <w:r w:rsidR="00224B50">
              <w:rPr>
                <w:webHidden/>
                <w:sz w:val="22"/>
                <w:szCs w:val="22"/>
              </w:rPr>
              <w:t>238</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609" w:history="1">
            <w:r w:rsidR="006D1607" w:rsidRPr="006D1607">
              <w:rPr>
                <w:rStyle w:val="Hyperlink"/>
                <w:sz w:val="22"/>
                <w:szCs w:val="22"/>
              </w:rPr>
              <w:t>3.1.1.</w:t>
            </w:r>
            <w:r w:rsidR="006D1607" w:rsidRPr="006D1607">
              <w:rPr>
                <w:rFonts w:asciiTheme="minorHAnsi" w:eastAsiaTheme="minorEastAsia" w:hAnsiTheme="minorHAnsi" w:cstheme="minorBidi"/>
                <w:sz w:val="22"/>
                <w:szCs w:val="22"/>
              </w:rPr>
              <w:tab/>
            </w:r>
            <w:r w:rsidR="006D1607" w:rsidRPr="006D1607">
              <w:rPr>
                <w:rStyle w:val="Hyperlink"/>
                <w:sz w:val="22"/>
                <w:szCs w:val="22"/>
              </w:rPr>
              <w:t>Mājokļa definējums nacionālajos un starptautiskajos dokumentos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_Toc6841609 \h </w:instrText>
            </w:r>
            <w:r w:rsidRPr="006D1607">
              <w:rPr>
                <w:webHidden/>
                <w:sz w:val="22"/>
                <w:szCs w:val="22"/>
              </w:rPr>
            </w:r>
            <w:r w:rsidRPr="006D1607">
              <w:rPr>
                <w:webHidden/>
                <w:sz w:val="22"/>
                <w:szCs w:val="22"/>
              </w:rPr>
              <w:fldChar w:fldCharType="separate"/>
            </w:r>
            <w:r w:rsidR="00224B50">
              <w:rPr>
                <w:webHidden/>
                <w:sz w:val="22"/>
                <w:szCs w:val="22"/>
              </w:rPr>
              <w:t>238</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610" w:history="1">
            <w:r w:rsidR="006D1607" w:rsidRPr="006D1607">
              <w:rPr>
                <w:rStyle w:val="Hyperlink"/>
                <w:sz w:val="22"/>
                <w:szCs w:val="22"/>
              </w:rPr>
              <w:t>3.1.2.</w:t>
            </w:r>
            <w:r w:rsidR="006D1607" w:rsidRPr="006D1607">
              <w:rPr>
                <w:rFonts w:asciiTheme="minorHAnsi" w:eastAsiaTheme="minorEastAsia" w:hAnsiTheme="minorHAnsi" w:cstheme="minorBidi"/>
                <w:sz w:val="22"/>
                <w:szCs w:val="22"/>
              </w:rPr>
              <w:tab/>
            </w:r>
            <w:r w:rsidR="006D1607" w:rsidRPr="006D1607">
              <w:rPr>
                <w:rStyle w:val="Hyperlink"/>
                <w:sz w:val="22"/>
                <w:szCs w:val="22"/>
              </w:rPr>
              <w:t>Tiesību uz mājokli analīze</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_Toc6841610 \h </w:instrText>
            </w:r>
            <w:r w:rsidRPr="006D1607">
              <w:rPr>
                <w:webHidden/>
                <w:sz w:val="22"/>
                <w:szCs w:val="22"/>
              </w:rPr>
            </w:r>
            <w:r w:rsidRPr="006D1607">
              <w:rPr>
                <w:webHidden/>
                <w:sz w:val="22"/>
                <w:szCs w:val="22"/>
              </w:rPr>
              <w:fldChar w:fldCharType="separate"/>
            </w:r>
            <w:r w:rsidR="00224B50">
              <w:rPr>
                <w:webHidden/>
                <w:sz w:val="22"/>
                <w:szCs w:val="22"/>
              </w:rPr>
              <w:t>239</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611" w:history="1">
            <w:r w:rsidR="006D1607" w:rsidRPr="006D1607">
              <w:rPr>
                <w:rStyle w:val="Hyperlink"/>
                <w:sz w:val="22"/>
                <w:szCs w:val="22"/>
              </w:rPr>
              <w:t>3.1.3.</w:t>
            </w:r>
            <w:r w:rsidR="006D1607" w:rsidRPr="006D1607">
              <w:rPr>
                <w:rFonts w:asciiTheme="minorHAnsi" w:eastAsiaTheme="minorEastAsia" w:hAnsiTheme="minorHAnsi" w:cstheme="minorBidi"/>
                <w:sz w:val="22"/>
                <w:szCs w:val="22"/>
              </w:rPr>
              <w:tab/>
            </w:r>
            <w:r w:rsidR="006D1607" w:rsidRPr="006D1607">
              <w:rPr>
                <w:rStyle w:val="Hyperlink"/>
                <w:sz w:val="22"/>
                <w:szCs w:val="22"/>
              </w:rPr>
              <w:t>Nevienlīdzības mājokļa pieejamības jomā definīcija</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_Toc6841611 \h </w:instrText>
            </w:r>
            <w:r w:rsidRPr="006D1607">
              <w:rPr>
                <w:webHidden/>
                <w:sz w:val="22"/>
                <w:szCs w:val="22"/>
              </w:rPr>
            </w:r>
            <w:r w:rsidRPr="006D1607">
              <w:rPr>
                <w:webHidden/>
                <w:sz w:val="22"/>
                <w:szCs w:val="22"/>
              </w:rPr>
              <w:fldChar w:fldCharType="separate"/>
            </w:r>
            <w:r w:rsidR="00224B50">
              <w:rPr>
                <w:webHidden/>
                <w:sz w:val="22"/>
                <w:szCs w:val="22"/>
              </w:rPr>
              <w:t>245</w:t>
            </w:r>
            <w:r w:rsidRPr="006D1607">
              <w:rPr>
                <w:webHidden/>
                <w:sz w:val="22"/>
                <w:szCs w:val="22"/>
              </w:rPr>
              <w:fldChar w:fldCharType="end"/>
            </w:r>
          </w:hyperlink>
        </w:p>
        <w:p w:rsidR="006D1607" w:rsidRPr="006D1607" w:rsidRDefault="00AD3EDD">
          <w:pPr>
            <w:pStyle w:val="TOC2"/>
            <w:rPr>
              <w:rFonts w:asciiTheme="minorHAnsi" w:eastAsiaTheme="minorEastAsia" w:hAnsiTheme="minorHAnsi" w:cstheme="minorBidi"/>
              <w:b w:val="0"/>
              <w:sz w:val="22"/>
              <w:szCs w:val="22"/>
            </w:rPr>
          </w:pPr>
          <w:hyperlink w:anchor="_Toc6841612" w:history="1">
            <w:r w:rsidR="006D1607" w:rsidRPr="006D1607">
              <w:rPr>
                <w:rStyle w:val="Hyperlink"/>
                <w:sz w:val="22"/>
                <w:szCs w:val="22"/>
              </w:rPr>
              <w:t>3.2.</w:t>
            </w:r>
            <w:r w:rsidR="006D1607" w:rsidRPr="006D1607">
              <w:rPr>
                <w:rFonts w:asciiTheme="minorHAnsi" w:eastAsiaTheme="minorEastAsia" w:hAnsiTheme="minorHAnsi" w:cstheme="minorBidi"/>
                <w:b w:val="0"/>
                <w:sz w:val="22"/>
                <w:szCs w:val="22"/>
              </w:rPr>
              <w:tab/>
            </w:r>
            <w:r w:rsidR="006D1607" w:rsidRPr="006D1607">
              <w:rPr>
                <w:rStyle w:val="Hyperlink"/>
                <w:sz w:val="22"/>
                <w:szCs w:val="22"/>
              </w:rPr>
              <w:t>Politikas plānošanas dokumentu un tiesību aktu analīze mājokļu jomā</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_Toc6841612 \h </w:instrText>
            </w:r>
            <w:r w:rsidRPr="006D1607">
              <w:rPr>
                <w:webHidden/>
                <w:sz w:val="22"/>
                <w:szCs w:val="22"/>
              </w:rPr>
            </w:r>
            <w:r w:rsidRPr="006D1607">
              <w:rPr>
                <w:webHidden/>
                <w:sz w:val="22"/>
                <w:szCs w:val="22"/>
              </w:rPr>
              <w:fldChar w:fldCharType="separate"/>
            </w:r>
            <w:r w:rsidR="00224B50">
              <w:rPr>
                <w:webHidden/>
                <w:sz w:val="22"/>
                <w:szCs w:val="22"/>
              </w:rPr>
              <w:t>247</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613" w:history="1">
            <w:r w:rsidR="006D1607" w:rsidRPr="006D1607">
              <w:rPr>
                <w:rStyle w:val="Hyperlink"/>
                <w:sz w:val="22"/>
                <w:szCs w:val="22"/>
              </w:rPr>
              <w:t>3.2.1.</w:t>
            </w:r>
            <w:r w:rsidR="006D1607" w:rsidRPr="006D1607">
              <w:rPr>
                <w:rFonts w:asciiTheme="minorHAnsi" w:eastAsiaTheme="minorEastAsia" w:hAnsiTheme="minorHAnsi" w:cstheme="minorBidi"/>
                <w:sz w:val="22"/>
                <w:szCs w:val="22"/>
              </w:rPr>
              <w:tab/>
            </w:r>
            <w:r w:rsidR="006D1607" w:rsidRPr="006D1607">
              <w:rPr>
                <w:rStyle w:val="Hyperlink"/>
                <w:sz w:val="22"/>
                <w:szCs w:val="22"/>
              </w:rPr>
              <w:t>Politikas plānošanas dokumentu saistībā ar atbalstu mājokļa jomā analīzes starprezultāti</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_Toc6841613 \h </w:instrText>
            </w:r>
            <w:r w:rsidRPr="006D1607">
              <w:rPr>
                <w:webHidden/>
                <w:sz w:val="22"/>
                <w:szCs w:val="22"/>
              </w:rPr>
            </w:r>
            <w:r w:rsidRPr="006D1607">
              <w:rPr>
                <w:webHidden/>
                <w:sz w:val="22"/>
                <w:szCs w:val="22"/>
              </w:rPr>
              <w:fldChar w:fldCharType="separate"/>
            </w:r>
            <w:r w:rsidR="00224B50">
              <w:rPr>
                <w:webHidden/>
                <w:sz w:val="22"/>
                <w:szCs w:val="22"/>
              </w:rPr>
              <w:t>247</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621" w:history="1">
            <w:r w:rsidR="006D1607" w:rsidRPr="006D1607">
              <w:rPr>
                <w:rStyle w:val="Hyperlink"/>
                <w:sz w:val="22"/>
                <w:szCs w:val="22"/>
              </w:rPr>
              <w:t>3.2.2.</w:t>
            </w:r>
            <w:r w:rsidR="006D1607" w:rsidRPr="006D1607">
              <w:rPr>
                <w:rFonts w:asciiTheme="minorHAnsi" w:eastAsiaTheme="minorEastAsia" w:hAnsiTheme="minorHAnsi" w:cstheme="minorBidi"/>
                <w:sz w:val="22"/>
                <w:szCs w:val="22"/>
              </w:rPr>
              <w:tab/>
            </w:r>
            <w:r w:rsidR="006D1607" w:rsidRPr="006D1607">
              <w:rPr>
                <w:rStyle w:val="Hyperlink"/>
                <w:sz w:val="22"/>
                <w:szCs w:val="22"/>
              </w:rPr>
              <w:t>Tiesiskā regulējuma raksturojums par valsts atbalstu mājokļa jautājumos un atbalsta saņēmēju grupām</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_Toc6841621 \h </w:instrText>
            </w:r>
            <w:r w:rsidRPr="006D1607">
              <w:rPr>
                <w:webHidden/>
                <w:sz w:val="22"/>
                <w:szCs w:val="22"/>
              </w:rPr>
            </w:r>
            <w:r w:rsidRPr="006D1607">
              <w:rPr>
                <w:webHidden/>
                <w:sz w:val="22"/>
                <w:szCs w:val="22"/>
              </w:rPr>
              <w:fldChar w:fldCharType="separate"/>
            </w:r>
            <w:r w:rsidR="00224B50">
              <w:rPr>
                <w:webHidden/>
                <w:sz w:val="22"/>
                <w:szCs w:val="22"/>
              </w:rPr>
              <w:t>268</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622" w:history="1">
            <w:r w:rsidR="006D1607" w:rsidRPr="006D1607">
              <w:rPr>
                <w:rStyle w:val="Hyperlink"/>
                <w:sz w:val="22"/>
                <w:szCs w:val="22"/>
              </w:rPr>
              <w:t>3.2.3.</w:t>
            </w:r>
            <w:r w:rsidR="006D1607" w:rsidRPr="006D1607">
              <w:rPr>
                <w:rFonts w:asciiTheme="minorHAnsi" w:eastAsiaTheme="minorEastAsia" w:hAnsiTheme="minorHAnsi" w:cstheme="minorBidi"/>
                <w:sz w:val="22"/>
                <w:szCs w:val="22"/>
              </w:rPr>
              <w:tab/>
            </w:r>
            <w:r w:rsidR="006D1607" w:rsidRPr="006D1607">
              <w:rPr>
                <w:rStyle w:val="Hyperlink"/>
                <w:sz w:val="22"/>
                <w:szCs w:val="22"/>
              </w:rPr>
              <w:t>Pašvaldību noteiktie atvieglojumi trūcīgām un maznodrošinātām personām, kā arī nabadzības riskam pakļautajām iedzīvotāju grupām mājokļa pieejamības jomā</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_Toc6841622 \h </w:instrText>
            </w:r>
            <w:r w:rsidRPr="006D1607">
              <w:rPr>
                <w:webHidden/>
                <w:sz w:val="22"/>
                <w:szCs w:val="22"/>
              </w:rPr>
            </w:r>
            <w:r w:rsidRPr="006D1607">
              <w:rPr>
                <w:webHidden/>
                <w:sz w:val="22"/>
                <w:szCs w:val="22"/>
              </w:rPr>
              <w:fldChar w:fldCharType="separate"/>
            </w:r>
            <w:r w:rsidR="00224B50">
              <w:rPr>
                <w:webHidden/>
                <w:sz w:val="22"/>
                <w:szCs w:val="22"/>
              </w:rPr>
              <w:t>277</w:t>
            </w:r>
            <w:r w:rsidRPr="006D1607">
              <w:rPr>
                <w:webHidden/>
                <w:sz w:val="22"/>
                <w:szCs w:val="22"/>
              </w:rPr>
              <w:fldChar w:fldCharType="end"/>
            </w:r>
          </w:hyperlink>
        </w:p>
        <w:p w:rsidR="006D1607" w:rsidRPr="006D1607" w:rsidRDefault="00AD3EDD">
          <w:pPr>
            <w:pStyle w:val="TOC2"/>
            <w:rPr>
              <w:rFonts w:asciiTheme="minorHAnsi" w:eastAsiaTheme="minorEastAsia" w:hAnsiTheme="minorHAnsi" w:cstheme="minorBidi"/>
              <w:b w:val="0"/>
              <w:sz w:val="22"/>
              <w:szCs w:val="22"/>
            </w:rPr>
          </w:pPr>
          <w:hyperlink w:anchor="_Toc6841626" w:history="1">
            <w:r w:rsidR="006D1607" w:rsidRPr="006D1607">
              <w:rPr>
                <w:rStyle w:val="Hyperlink"/>
                <w:sz w:val="22"/>
                <w:szCs w:val="22"/>
              </w:rPr>
              <w:t>3.3.</w:t>
            </w:r>
            <w:r w:rsidR="006D1607" w:rsidRPr="006D1607">
              <w:rPr>
                <w:rFonts w:asciiTheme="minorHAnsi" w:eastAsiaTheme="minorEastAsia" w:hAnsiTheme="minorHAnsi" w:cstheme="minorBidi"/>
                <w:b w:val="0"/>
                <w:sz w:val="22"/>
                <w:szCs w:val="22"/>
              </w:rPr>
              <w:tab/>
            </w:r>
            <w:r w:rsidR="006D1607" w:rsidRPr="006D1607">
              <w:rPr>
                <w:rStyle w:val="Hyperlink"/>
                <w:sz w:val="22"/>
                <w:szCs w:val="22"/>
              </w:rPr>
              <w:t>Vispārējās situācijas mājokļa jomā raksturojums saistībā ar mājokļa un ar to saistīto pakalpojumu pieejamību</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_Toc6841626 \h </w:instrText>
            </w:r>
            <w:r w:rsidRPr="006D1607">
              <w:rPr>
                <w:webHidden/>
                <w:sz w:val="22"/>
                <w:szCs w:val="22"/>
              </w:rPr>
            </w:r>
            <w:r w:rsidRPr="006D1607">
              <w:rPr>
                <w:webHidden/>
                <w:sz w:val="22"/>
                <w:szCs w:val="22"/>
              </w:rPr>
              <w:fldChar w:fldCharType="separate"/>
            </w:r>
            <w:r w:rsidR="00224B50">
              <w:rPr>
                <w:webHidden/>
                <w:sz w:val="22"/>
                <w:szCs w:val="22"/>
              </w:rPr>
              <w:t>284</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627" w:history="1">
            <w:r w:rsidR="006D1607" w:rsidRPr="006D1607">
              <w:rPr>
                <w:rStyle w:val="Hyperlink"/>
                <w:sz w:val="22"/>
                <w:szCs w:val="22"/>
              </w:rPr>
              <w:t>3.3.1.</w:t>
            </w:r>
            <w:r w:rsidR="006D1607" w:rsidRPr="006D1607">
              <w:rPr>
                <w:rFonts w:asciiTheme="minorHAnsi" w:eastAsiaTheme="minorEastAsia" w:hAnsiTheme="minorHAnsi" w:cstheme="minorBidi"/>
                <w:sz w:val="22"/>
                <w:szCs w:val="22"/>
              </w:rPr>
              <w:tab/>
            </w:r>
            <w:r w:rsidR="006D1607" w:rsidRPr="006D1607">
              <w:rPr>
                <w:rStyle w:val="Hyperlink"/>
                <w:sz w:val="22"/>
                <w:szCs w:val="22"/>
              </w:rPr>
              <w:t>Galvenie izaicinājumi un problēmas mājokļa jomā: ekspertu interviju un sekundāro datu analīzes starprezultāti</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_Toc6841627 \h </w:instrText>
            </w:r>
            <w:r w:rsidRPr="006D1607">
              <w:rPr>
                <w:webHidden/>
                <w:sz w:val="22"/>
                <w:szCs w:val="22"/>
              </w:rPr>
            </w:r>
            <w:r w:rsidRPr="006D1607">
              <w:rPr>
                <w:webHidden/>
                <w:sz w:val="22"/>
                <w:szCs w:val="22"/>
              </w:rPr>
              <w:fldChar w:fldCharType="separate"/>
            </w:r>
            <w:r w:rsidR="00224B50">
              <w:rPr>
                <w:webHidden/>
                <w:sz w:val="22"/>
                <w:szCs w:val="22"/>
              </w:rPr>
              <w:t>284</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628" w:history="1">
            <w:r w:rsidR="006D1607" w:rsidRPr="006D1607">
              <w:rPr>
                <w:rStyle w:val="Hyperlink"/>
                <w:sz w:val="22"/>
                <w:szCs w:val="22"/>
              </w:rPr>
              <w:t>3.3.2.</w:t>
            </w:r>
            <w:r w:rsidR="006D1607" w:rsidRPr="006D1607">
              <w:rPr>
                <w:rFonts w:asciiTheme="minorHAnsi" w:eastAsiaTheme="minorEastAsia" w:hAnsiTheme="minorHAnsi" w:cstheme="minorBidi"/>
                <w:sz w:val="22"/>
                <w:szCs w:val="22"/>
              </w:rPr>
              <w:tab/>
            </w:r>
            <w:r w:rsidR="006D1607" w:rsidRPr="006D1607">
              <w:rPr>
                <w:rStyle w:val="Hyperlink"/>
                <w:sz w:val="22"/>
                <w:szCs w:val="22"/>
              </w:rPr>
              <w:t>Dzīvojamais fonds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_Toc6841628 \h </w:instrText>
            </w:r>
            <w:r w:rsidRPr="006D1607">
              <w:rPr>
                <w:webHidden/>
                <w:sz w:val="22"/>
                <w:szCs w:val="22"/>
              </w:rPr>
            </w:r>
            <w:r w:rsidRPr="006D1607">
              <w:rPr>
                <w:webHidden/>
                <w:sz w:val="22"/>
                <w:szCs w:val="22"/>
              </w:rPr>
              <w:fldChar w:fldCharType="separate"/>
            </w:r>
            <w:r w:rsidR="00224B50">
              <w:rPr>
                <w:webHidden/>
                <w:sz w:val="22"/>
                <w:szCs w:val="22"/>
              </w:rPr>
              <w:t>289</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630" w:history="1">
            <w:r w:rsidR="006D1607" w:rsidRPr="006D1607">
              <w:rPr>
                <w:rStyle w:val="Hyperlink"/>
                <w:sz w:val="22"/>
                <w:szCs w:val="22"/>
              </w:rPr>
              <w:t>3.3.3.</w:t>
            </w:r>
            <w:r w:rsidR="006D1607" w:rsidRPr="006D1607">
              <w:rPr>
                <w:rFonts w:asciiTheme="minorHAnsi" w:eastAsiaTheme="minorEastAsia" w:hAnsiTheme="minorHAnsi" w:cstheme="minorBidi"/>
                <w:sz w:val="22"/>
                <w:szCs w:val="22"/>
              </w:rPr>
              <w:tab/>
            </w:r>
            <w:r w:rsidR="006D1607" w:rsidRPr="006D1607">
              <w:rPr>
                <w:rStyle w:val="Hyperlink"/>
                <w:sz w:val="22"/>
                <w:szCs w:val="22"/>
              </w:rPr>
              <w:t>Mājokļa apstākļu raksturojumā izmantotie termini</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_Toc6841630 \h </w:instrText>
            </w:r>
            <w:r w:rsidRPr="006D1607">
              <w:rPr>
                <w:webHidden/>
                <w:sz w:val="22"/>
                <w:szCs w:val="22"/>
              </w:rPr>
            </w:r>
            <w:r w:rsidRPr="006D1607">
              <w:rPr>
                <w:webHidden/>
                <w:sz w:val="22"/>
                <w:szCs w:val="22"/>
              </w:rPr>
              <w:fldChar w:fldCharType="separate"/>
            </w:r>
            <w:r w:rsidR="00224B50">
              <w:rPr>
                <w:webHidden/>
                <w:sz w:val="22"/>
                <w:szCs w:val="22"/>
              </w:rPr>
              <w:t>293</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631" w:history="1">
            <w:r w:rsidR="006D1607" w:rsidRPr="006D1607">
              <w:rPr>
                <w:rStyle w:val="Hyperlink"/>
                <w:sz w:val="22"/>
                <w:szCs w:val="22"/>
              </w:rPr>
              <w:t>3.3.4.</w:t>
            </w:r>
            <w:r w:rsidR="006D1607" w:rsidRPr="006D1607">
              <w:rPr>
                <w:rFonts w:asciiTheme="minorHAnsi" w:eastAsiaTheme="minorEastAsia" w:hAnsiTheme="minorHAnsi" w:cstheme="minorBidi"/>
                <w:sz w:val="22"/>
                <w:szCs w:val="22"/>
              </w:rPr>
              <w:tab/>
            </w:r>
            <w:r w:rsidR="006D1607" w:rsidRPr="006D1607">
              <w:rPr>
                <w:rStyle w:val="Hyperlink"/>
                <w:sz w:val="22"/>
                <w:szCs w:val="22"/>
              </w:rPr>
              <w:t>Mājokļa vides raksturojums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_Toc6841631 \h </w:instrText>
            </w:r>
            <w:r w:rsidRPr="006D1607">
              <w:rPr>
                <w:webHidden/>
                <w:sz w:val="22"/>
                <w:szCs w:val="22"/>
              </w:rPr>
            </w:r>
            <w:r w:rsidRPr="006D1607">
              <w:rPr>
                <w:webHidden/>
                <w:sz w:val="22"/>
                <w:szCs w:val="22"/>
              </w:rPr>
              <w:fldChar w:fldCharType="separate"/>
            </w:r>
            <w:r w:rsidR="00224B50">
              <w:rPr>
                <w:webHidden/>
                <w:sz w:val="22"/>
                <w:szCs w:val="22"/>
              </w:rPr>
              <w:t>294</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632" w:history="1">
            <w:r w:rsidR="006D1607" w:rsidRPr="006D1607">
              <w:rPr>
                <w:rStyle w:val="Hyperlink"/>
                <w:sz w:val="22"/>
                <w:szCs w:val="22"/>
              </w:rPr>
              <w:t>3.3.5.</w:t>
            </w:r>
            <w:r w:rsidR="006D1607" w:rsidRPr="006D1607">
              <w:rPr>
                <w:rFonts w:asciiTheme="minorHAnsi" w:eastAsiaTheme="minorEastAsia" w:hAnsiTheme="minorHAnsi" w:cstheme="minorBidi"/>
                <w:sz w:val="22"/>
                <w:szCs w:val="22"/>
              </w:rPr>
              <w:tab/>
            </w:r>
            <w:r w:rsidR="006D1607" w:rsidRPr="006D1607">
              <w:rPr>
                <w:rStyle w:val="Hyperlink"/>
                <w:sz w:val="22"/>
                <w:szCs w:val="22"/>
              </w:rPr>
              <w:t>Mājokļa lieluma raksturojums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_Toc6841632 \h </w:instrText>
            </w:r>
            <w:r w:rsidRPr="006D1607">
              <w:rPr>
                <w:webHidden/>
                <w:sz w:val="22"/>
                <w:szCs w:val="22"/>
              </w:rPr>
            </w:r>
            <w:r w:rsidRPr="006D1607">
              <w:rPr>
                <w:webHidden/>
                <w:sz w:val="22"/>
                <w:szCs w:val="22"/>
              </w:rPr>
              <w:fldChar w:fldCharType="separate"/>
            </w:r>
            <w:r w:rsidR="00224B50">
              <w:rPr>
                <w:webHidden/>
                <w:sz w:val="22"/>
                <w:szCs w:val="22"/>
              </w:rPr>
              <w:t>298</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636" w:history="1">
            <w:r w:rsidR="006D1607" w:rsidRPr="006D1607">
              <w:rPr>
                <w:rStyle w:val="Hyperlink"/>
                <w:sz w:val="22"/>
                <w:szCs w:val="22"/>
              </w:rPr>
              <w:t>3.3.6.</w:t>
            </w:r>
            <w:r w:rsidR="006D1607" w:rsidRPr="006D1607">
              <w:rPr>
                <w:rFonts w:asciiTheme="minorHAnsi" w:eastAsiaTheme="minorEastAsia" w:hAnsiTheme="minorHAnsi" w:cstheme="minorBidi"/>
                <w:sz w:val="22"/>
                <w:szCs w:val="22"/>
              </w:rPr>
              <w:tab/>
            </w:r>
            <w:r w:rsidR="006D1607" w:rsidRPr="006D1607">
              <w:rPr>
                <w:rStyle w:val="Hyperlink"/>
                <w:sz w:val="22"/>
                <w:szCs w:val="22"/>
              </w:rPr>
              <w:t>Mājokļa tips un īpašuma tiesību statusa raksturojums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_Toc6841636 \h </w:instrText>
            </w:r>
            <w:r w:rsidRPr="006D1607">
              <w:rPr>
                <w:webHidden/>
                <w:sz w:val="22"/>
                <w:szCs w:val="22"/>
              </w:rPr>
            </w:r>
            <w:r w:rsidRPr="006D1607">
              <w:rPr>
                <w:webHidden/>
                <w:sz w:val="22"/>
                <w:szCs w:val="22"/>
              </w:rPr>
              <w:fldChar w:fldCharType="separate"/>
            </w:r>
            <w:r w:rsidR="00224B50">
              <w:rPr>
                <w:webHidden/>
                <w:sz w:val="22"/>
                <w:szCs w:val="22"/>
              </w:rPr>
              <w:t>301</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641" w:history="1">
            <w:r w:rsidR="006D1607" w:rsidRPr="006D1607">
              <w:rPr>
                <w:rStyle w:val="Hyperlink"/>
                <w:sz w:val="22"/>
                <w:szCs w:val="22"/>
              </w:rPr>
              <w:t>3.3.7.</w:t>
            </w:r>
            <w:r w:rsidR="006D1607" w:rsidRPr="006D1607">
              <w:rPr>
                <w:rFonts w:asciiTheme="minorHAnsi" w:eastAsiaTheme="minorEastAsia" w:hAnsiTheme="minorHAnsi" w:cstheme="minorBidi"/>
                <w:sz w:val="22"/>
                <w:szCs w:val="22"/>
              </w:rPr>
              <w:tab/>
            </w:r>
            <w:r w:rsidR="006D1607" w:rsidRPr="006D1607">
              <w:rPr>
                <w:rStyle w:val="Hyperlink"/>
                <w:sz w:val="22"/>
                <w:szCs w:val="22"/>
              </w:rPr>
              <w:t>Mājokļa stāvoklis un kvalitāte</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_Toc6841641 \h </w:instrText>
            </w:r>
            <w:r w:rsidRPr="006D1607">
              <w:rPr>
                <w:webHidden/>
                <w:sz w:val="22"/>
                <w:szCs w:val="22"/>
              </w:rPr>
            </w:r>
            <w:r w:rsidRPr="006D1607">
              <w:rPr>
                <w:webHidden/>
                <w:sz w:val="22"/>
                <w:szCs w:val="22"/>
              </w:rPr>
              <w:fldChar w:fldCharType="separate"/>
            </w:r>
            <w:r w:rsidR="00224B50">
              <w:rPr>
                <w:webHidden/>
                <w:sz w:val="22"/>
                <w:szCs w:val="22"/>
              </w:rPr>
              <w:t>308</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653" w:history="1">
            <w:r w:rsidR="006D1607" w:rsidRPr="006D1607">
              <w:rPr>
                <w:rStyle w:val="Hyperlink"/>
                <w:sz w:val="22"/>
                <w:szCs w:val="22"/>
              </w:rPr>
              <w:t>3.3.8.</w:t>
            </w:r>
            <w:r w:rsidR="006D1607" w:rsidRPr="006D1607">
              <w:rPr>
                <w:rFonts w:asciiTheme="minorHAnsi" w:eastAsiaTheme="minorEastAsia" w:hAnsiTheme="minorHAnsi" w:cstheme="minorBidi"/>
                <w:sz w:val="22"/>
                <w:szCs w:val="22"/>
              </w:rPr>
              <w:tab/>
            </w:r>
            <w:r w:rsidR="006D1607" w:rsidRPr="006D1607">
              <w:rPr>
                <w:rStyle w:val="Hyperlink"/>
                <w:sz w:val="22"/>
                <w:szCs w:val="22"/>
              </w:rPr>
              <w:t>Mājsaimniecību izdevumi par mājokli</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_Toc6841653 \h </w:instrText>
            </w:r>
            <w:r w:rsidRPr="006D1607">
              <w:rPr>
                <w:webHidden/>
                <w:sz w:val="22"/>
                <w:szCs w:val="22"/>
              </w:rPr>
            </w:r>
            <w:r w:rsidRPr="006D1607">
              <w:rPr>
                <w:webHidden/>
                <w:sz w:val="22"/>
                <w:szCs w:val="22"/>
              </w:rPr>
              <w:fldChar w:fldCharType="separate"/>
            </w:r>
            <w:r w:rsidR="00224B50">
              <w:rPr>
                <w:webHidden/>
                <w:sz w:val="22"/>
                <w:szCs w:val="22"/>
              </w:rPr>
              <w:t>325</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660" w:history="1">
            <w:r w:rsidR="006D1607" w:rsidRPr="006D1607">
              <w:rPr>
                <w:rStyle w:val="Hyperlink"/>
                <w:sz w:val="22"/>
                <w:szCs w:val="22"/>
              </w:rPr>
              <w:t>3.3.9.</w:t>
            </w:r>
            <w:r w:rsidR="006D1607" w:rsidRPr="006D1607">
              <w:rPr>
                <w:rFonts w:asciiTheme="minorHAnsi" w:eastAsiaTheme="minorEastAsia" w:hAnsiTheme="minorHAnsi" w:cstheme="minorBidi"/>
                <w:sz w:val="22"/>
                <w:szCs w:val="22"/>
              </w:rPr>
              <w:tab/>
            </w:r>
            <w:r w:rsidR="006D1607" w:rsidRPr="006D1607">
              <w:rPr>
                <w:rStyle w:val="Hyperlink"/>
                <w:sz w:val="22"/>
                <w:szCs w:val="22"/>
              </w:rPr>
              <w:t>Datu kvalitātes novērtējums mājokļa jomā</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_Toc6841660 \h </w:instrText>
            </w:r>
            <w:r w:rsidRPr="006D1607">
              <w:rPr>
                <w:webHidden/>
                <w:sz w:val="22"/>
                <w:szCs w:val="22"/>
              </w:rPr>
            </w:r>
            <w:r w:rsidRPr="006D1607">
              <w:rPr>
                <w:webHidden/>
                <w:sz w:val="22"/>
                <w:szCs w:val="22"/>
              </w:rPr>
              <w:fldChar w:fldCharType="separate"/>
            </w:r>
            <w:r w:rsidR="00224B50">
              <w:rPr>
                <w:webHidden/>
                <w:sz w:val="22"/>
                <w:szCs w:val="22"/>
              </w:rPr>
              <w:t>334</w:t>
            </w:r>
            <w:r w:rsidRPr="006D1607">
              <w:rPr>
                <w:webHidden/>
                <w:sz w:val="22"/>
                <w:szCs w:val="22"/>
              </w:rPr>
              <w:fldChar w:fldCharType="end"/>
            </w:r>
          </w:hyperlink>
        </w:p>
        <w:p w:rsidR="006D1607" w:rsidRPr="006D1607" w:rsidRDefault="00AD3EDD">
          <w:pPr>
            <w:pStyle w:val="TOC2"/>
            <w:rPr>
              <w:rFonts w:asciiTheme="minorHAnsi" w:eastAsiaTheme="minorEastAsia" w:hAnsiTheme="minorHAnsi" w:cstheme="minorBidi"/>
              <w:b w:val="0"/>
              <w:sz w:val="22"/>
              <w:szCs w:val="22"/>
            </w:rPr>
          </w:pPr>
          <w:hyperlink w:anchor="_Toc6841661" w:history="1">
            <w:r w:rsidR="006D1607" w:rsidRPr="006D1607">
              <w:rPr>
                <w:rStyle w:val="Hyperlink"/>
                <w:sz w:val="22"/>
                <w:szCs w:val="22"/>
              </w:rPr>
              <w:t>3.4.</w:t>
            </w:r>
            <w:r w:rsidR="006D1607" w:rsidRPr="006D1607">
              <w:rPr>
                <w:rFonts w:asciiTheme="minorHAnsi" w:eastAsiaTheme="minorEastAsia" w:hAnsiTheme="minorHAnsi" w:cstheme="minorBidi"/>
                <w:b w:val="0"/>
                <w:sz w:val="22"/>
                <w:szCs w:val="22"/>
              </w:rPr>
              <w:tab/>
            </w:r>
            <w:r w:rsidR="006D1607" w:rsidRPr="006D1607">
              <w:rPr>
                <w:rStyle w:val="Hyperlink"/>
                <w:sz w:val="22"/>
                <w:szCs w:val="22"/>
              </w:rPr>
              <w:t>Nevienlīdzības mājokļa jomā situācija specifiskās mērķa grupās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_Toc6841661 \h </w:instrText>
            </w:r>
            <w:r w:rsidRPr="006D1607">
              <w:rPr>
                <w:webHidden/>
                <w:sz w:val="22"/>
                <w:szCs w:val="22"/>
              </w:rPr>
            </w:r>
            <w:r w:rsidRPr="006D1607">
              <w:rPr>
                <w:webHidden/>
                <w:sz w:val="22"/>
                <w:szCs w:val="22"/>
              </w:rPr>
              <w:fldChar w:fldCharType="separate"/>
            </w:r>
            <w:r w:rsidR="00224B50">
              <w:rPr>
                <w:webHidden/>
                <w:sz w:val="22"/>
                <w:szCs w:val="22"/>
              </w:rPr>
              <w:t>335</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662" w:history="1">
            <w:r w:rsidR="006D1607" w:rsidRPr="006D1607">
              <w:rPr>
                <w:rStyle w:val="Hyperlink"/>
                <w:sz w:val="22"/>
                <w:szCs w:val="22"/>
              </w:rPr>
              <w:t>3.4.1.</w:t>
            </w:r>
            <w:r w:rsidR="006D1607" w:rsidRPr="006D1607">
              <w:rPr>
                <w:rFonts w:asciiTheme="minorHAnsi" w:eastAsiaTheme="minorEastAsia" w:hAnsiTheme="minorHAnsi" w:cstheme="minorBidi"/>
                <w:sz w:val="22"/>
                <w:szCs w:val="22"/>
              </w:rPr>
              <w:tab/>
            </w:r>
            <w:r w:rsidR="006D1607" w:rsidRPr="006D1607">
              <w:rPr>
                <w:rStyle w:val="Hyperlink"/>
                <w:sz w:val="22"/>
                <w:szCs w:val="22"/>
              </w:rPr>
              <w:t>Personas ar invaliditāti</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_Toc6841662 \h </w:instrText>
            </w:r>
            <w:r w:rsidRPr="006D1607">
              <w:rPr>
                <w:webHidden/>
                <w:sz w:val="22"/>
                <w:szCs w:val="22"/>
              </w:rPr>
            </w:r>
            <w:r w:rsidRPr="006D1607">
              <w:rPr>
                <w:webHidden/>
                <w:sz w:val="22"/>
                <w:szCs w:val="22"/>
              </w:rPr>
              <w:fldChar w:fldCharType="separate"/>
            </w:r>
            <w:r w:rsidR="00224B50">
              <w:rPr>
                <w:webHidden/>
                <w:sz w:val="22"/>
                <w:szCs w:val="22"/>
              </w:rPr>
              <w:t>335</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663" w:history="1">
            <w:r w:rsidR="006D1607" w:rsidRPr="006D1607">
              <w:rPr>
                <w:rStyle w:val="Hyperlink"/>
                <w:sz w:val="22"/>
                <w:szCs w:val="22"/>
              </w:rPr>
              <w:t>3.4.2.</w:t>
            </w:r>
            <w:r w:rsidR="006D1607" w:rsidRPr="006D1607">
              <w:rPr>
                <w:rFonts w:asciiTheme="minorHAnsi" w:eastAsiaTheme="minorEastAsia" w:hAnsiTheme="minorHAnsi" w:cstheme="minorBidi"/>
                <w:sz w:val="22"/>
                <w:szCs w:val="22"/>
              </w:rPr>
              <w:tab/>
            </w:r>
            <w:r w:rsidR="006D1607" w:rsidRPr="006D1607">
              <w:rPr>
                <w:rStyle w:val="Hyperlink"/>
                <w:sz w:val="22"/>
                <w:szCs w:val="22"/>
              </w:rPr>
              <w:t>Internātskolu absolventi</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_Toc6841663 \h </w:instrText>
            </w:r>
            <w:r w:rsidRPr="006D1607">
              <w:rPr>
                <w:webHidden/>
                <w:sz w:val="22"/>
                <w:szCs w:val="22"/>
              </w:rPr>
            </w:r>
            <w:r w:rsidRPr="006D1607">
              <w:rPr>
                <w:webHidden/>
                <w:sz w:val="22"/>
                <w:szCs w:val="22"/>
              </w:rPr>
              <w:fldChar w:fldCharType="separate"/>
            </w:r>
            <w:r w:rsidR="00224B50">
              <w:rPr>
                <w:webHidden/>
                <w:sz w:val="22"/>
                <w:szCs w:val="22"/>
              </w:rPr>
              <w:t>337</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664" w:history="1">
            <w:r w:rsidR="006D1607" w:rsidRPr="006D1607">
              <w:rPr>
                <w:rStyle w:val="Hyperlink"/>
                <w:sz w:val="22"/>
                <w:szCs w:val="22"/>
              </w:rPr>
              <w:t>3.4.3.</w:t>
            </w:r>
            <w:r w:rsidR="006D1607" w:rsidRPr="006D1607">
              <w:rPr>
                <w:rFonts w:asciiTheme="minorHAnsi" w:eastAsiaTheme="minorEastAsia" w:hAnsiTheme="minorHAnsi" w:cstheme="minorBidi"/>
                <w:sz w:val="22"/>
                <w:szCs w:val="22"/>
              </w:rPr>
              <w:tab/>
            </w:r>
            <w:r w:rsidR="006D1607" w:rsidRPr="006D1607">
              <w:rPr>
                <w:rStyle w:val="Hyperlink"/>
                <w:sz w:val="22"/>
                <w:szCs w:val="22"/>
              </w:rPr>
              <w:t>Vardarbībā cietušas personas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_Toc6841664 \h </w:instrText>
            </w:r>
            <w:r w:rsidRPr="006D1607">
              <w:rPr>
                <w:webHidden/>
                <w:sz w:val="22"/>
                <w:szCs w:val="22"/>
              </w:rPr>
            </w:r>
            <w:r w:rsidRPr="006D1607">
              <w:rPr>
                <w:webHidden/>
                <w:sz w:val="22"/>
                <w:szCs w:val="22"/>
              </w:rPr>
              <w:fldChar w:fldCharType="separate"/>
            </w:r>
            <w:r w:rsidR="00224B50">
              <w:rPr>
                <w:webHidden/>
                <w:sz w:val="22"/>
                <w:szCs w:val="22"/>
              </w:rPr>
              <w:t>338</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665" w:history="1">
            <w:r w:rsidR="006D1607" w:rsidRPr="006D1607">
              <w:rPr>
                <w:rStyle w:val="Hyperlink"/>
                <w:sz w:val="22"/>
                <w:szCs w:val="22"/>
              </w:rPr>
              <w:t>3.4.4.</w:t>
            </w:r>
            <w:r w:rsidR="006D1607" w:rsidRPr="006D1607">
              <w:rPr>
                <w:rFonts w:asciiTheme="minorHAnsi" w:eastAsiaTheme="minorEastAsia" w:hAnsiTheme="minorHAnsi" w:cstheme="minorBidi"/>
                <w:sz w:val="22"/>
                <w:szCs w:val="22"/>
              </w:rPr>
              <w:tab/>
            </w:r>
            <w:r w:rsidR="006D1607" w:rsidRPr="006D1607">
              <w:rPr>
                <w:rStyle w:val="Hyperlink"/>
                <w:sz w:val="22"/>
                <w:szCs w:val="22"/>
              </w:rPr>
              <w:t>No ieslodzījuma vietām atbrīvotās personas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_Toc6841665 \h </w:instrText>
            </w:r>
            <w:r w:rsidRPr="006D1607">
              <w:rPr>
                <w:webHidden/>
                <w:sz w:val="22"/>
                <w:szCs w:val="22"/>
              </w:rPr>
            </w:r>
            <w:r w:rsidRPr="006D1607">
              <w:rPr>
                <w:webHidden/>
                <w:sz w:val="22"/>
                <w:szCs w:val="22"/>
              </w:rPr>
              <w:fldChar w:fldCharType="separate"/>
            </w:r>
            <w:r w:rsidR="00224B50">
              <w:rPr>
                <w:webHidden/>
                <w:sz w:val="22"/>
                <w:szCs w:val="22"/>
              </w:rPr>
              <w:t>341</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666" w:history="1">
            <w:r w:rsidR="006D1607" w:rsidRPr="006D1607">
              <w:rPr>
                <w:rStyle w:val="Hyperlink"/>
                <w:sz w:val="22"/>
                <w:szCs w:val="22"/>
              </w:rPr>
              <w:t>3.4.5.</w:t>
            </w:r>
            <w:r w:rsidR="006D1607" w:rsidRPr="006D1607">
              <w:rPr>
                <w:rFonts w:asciiTheme="minorHAnsi" w:eastAsiaTheme="minorEastAsia" w:hAnsiTheme="minorHAnsi" w:cstheme="minorBidi"/>
                <w:sz w:val="22"/>
                <w:szCs w:val="22"/>
              </w:rPr>
              <w:tab/>
            </w:r>
            <w:r w:rsidR="006D1607" w:rsidRPr="006D1607">
              <w:rPr>
                <w:rStyle w:val="Hyperlink"/>
                <w:sz w:val="22"/>
                <w:szCs w:val="22"/>
              </w:rPr>
              <w:t>Romi</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_Toc6841666 \h </w:instrText>
            </w:r>
            <w:r w:rsidRPr="006D1607">
              <w:rPr>
                <w:webHidden/>
                <w:sz w:val="22"/>
                <w:szCs w:val="22"/>
              </w:rPr>
            </w:r>
            <w:r w:rsidRPr="006D1607">
              <w:rPr>
                <w:webHidden/>
                <w:sz w:val="22"/>
                <w:szCs w:val="22"/>
              </w:rPr>
              <w:fldChar w:fldCharType="separate"/>
            </w:r>
            <w:r w:rsidR="00224B50">
              <w:rPr>
                <w:webHidden/>
                <w:sz w:val="22"/>
                <w:szCs w:val="22"/>
              </w:rPr>
              <w:t>345</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667" w:history="1">
            <w:r w:rsidR="006D1607" w:rsidRPr="006D1607">
              <w:rPr>
                <w:rStyle w:val="Hyperlink"/>
                <w:sz w:val="22"/>
                <w:szCs w:val="22"/>
              </w:rPr>
              <w:t>3.4.6.</w:t>
            </w:r>
            <w:r w:rsidR="006D1607" w:rsidRPr="006D1607">
              <w:rPr>
                <w:rFonts w:asciiTheme="minorHAnsi" w:eastAsiaTheme="minorEastAsia" w:hAnsiTheme="minorHAnsi" w:cstheme="minorBidi"/>
                <w:sz w:val="22"/>
                <w:szCs w:val="22"/>
              </w:rPr>
              <w:tab/>
            </w:r>
            <w:r w:rsidR="006D1607" w:rsidRPr="006D1607">
              <w:rPr>
                <w:rStyle w:val="Hyperlink"/>
                <w:sz w:val="22"/>
                <w:szCs w:val="22"/>
              </w:rPr>
              <w:t>Bēgļi, patvēruma meklētāji un personas ar alternatīvo statusu</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_Toc6841667 \h </w:instrText>
            </w:r>
            <w:r w:rsidRPr="006D1607">
              <w:rPr>
                <w:webHidden/>
                <w:sz w:val="22"/>
                <w:szCs w:val="22"/>
              </w:rPr>
            </w:r>
            <w:r w:rsidRPr="006D1607">
              <w:rPr>
                <w:webHidden/>
                <w:sz w:val="22"/>
                <w:szCs w:val="22"/>
              </w:rPr>
              <w:fldChar w:fldCharType="separate"/>
            </w:r>
            <w:r w:rsidR="00224B50">
              <w:rPr>
                <w:webHidden/>
                <w:sz w:val="22"/>
                <w:szCs w:val="22"/>
              </w:rPr>
              <w:t>347</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668" w:history="1">
            <w:r w:rsidR="006D1607" w:rsidRPr="006D1607">
              <w:rPr>
                <w:rStyle w:val="Hyperlink"/>
                <w:sz w:val="22"/>
                <w:szCs w:val="22"/>
              </w:rPr>
              <w:t>3.4.7.</w:t>
            </w:r>
            <w:r w:rsidR="006D1607" w:rsidRPr="006D1607">
              <w:rPr>
                <w:rFonts w:asciiTheme="minorHAnsi" w:eastAsiaTheme="minorEastAsia" w:hAnsiTheme="minorHAnsi" w:cstheme="minorBidi"/>
                <w:sz w:val="22"/>
                <w:szCs w:val="22"/>
              </w:rPr>
              <w:tab/>
            </w:r>
            <w:r w:rsidR="006D1607" w:rsidRPr="006D1607">
              <w:rPr>
                <w:rStyle w:val="Hyperlink"/>
                <w:sz w:val="22"/>
                <w:szCs w:val="22"/>
              </w:rPr>
              <w:t>Bezdarbnieki un bezpajumtnieki (personas bez dzīves vietas)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_Toc6841668 \h </w:instrText>
            </w:r>
            <w:r w:rsidRPr="006D1607">
              <w:rPr>
                <w:webHidden/>
                <w:sz w:val="22"/>
                <w:szCs w:val="22"/>
              </w:rPr>
            </w:r>
            <w:r w:rsidRPr="006D1607">
              <w:rPr>
                <w:webHidden/>
                <w:sz w:val="22"/>
                <w:szCs w:val="22"/>
              </w:rPr>
              <w:fldChar w:fldCharType="separate"/>
            </w:r>
            <w:r w:rsidR="00224B50">
              <w:rPr>
                <w:webHidden/>
                <w:sz w:val="22"/>
                <w:szCs w:val="22"/>
              </w:rPr>
              <w:t>350</w:t>
            </w:r>
            <w:r w:rsidRPr="006D1607">
              <w:rPr>
                <w:webHidden/>
                <w:sz w:val="22"/>
                <w:szCs w:val="22"/>
              </w:rPr>
              <w:fldChar w:fldCharType="end"/>
            </w:r>
          </w:hyperlink>
        </w:p>
        <w:p w:rsidR="006D1607" w:rsidRPr="006D1607" w:rsidRDefault="00AD3EDD">
          <w:pPr>
            <w:pStyle w:val="TOC2"/>
            <w:rPr>
              <w:rFonts w:asciiTheme="minorHAnsi" w:eastAsiaTheme="minorEastAsia" w:hAnsiTheme="minorHAnsi" w:cstheme="minorBidi"/>
              <w:b w:val="0"/>
              <w:sz w:val="22"/>
              <w:szCs w:val="22"/>
            </w:rPr>
          </w:pPr>
          <w:hyperlink w:anchor="_Toc6841669" w:history="1">
            <w:r w:rsidR="006D1607" w:rsidRPr="006D1607">
              <w:rPr>
                <w:rStyle w:val="Hyperlink"/>
                <w:sz w:val="22"/>
                <w:szCs w:val="22"/>
              </w:rPr>
              <w:t>3.5.</w:t>
            </w:r>
            <w:r w:rsidR="006D1607" w:rsidRPr="006D1607">
              <w:rPr>
                <w:rFonts w:asciiTheme="minorHAnsi" w:eastAsiaTheme="minorEastAsia" w:hAnsiTheme="minorHAnsi" w:cstheme="minorBidi"/>
                <w:b w:val="0"/>
                <w:sz w:val="22"/>
                <w:szCs w:val="22"/>
              </w:rPr>
              <w:tab/>
            </w:r>
            <w:r w:rsidR="006D1607" w:rsidRPr="006D1607">
              <w:rPr>
                <w:rStyle w:val="Hyperlink"/>
                <w:sz w:val="22"/>
                <w:szCs w:val="22"/>
              </w:rPr>
              <w:t>Secinājumi  par nevienlīdzību mājokļa jomā</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_Toc6841669 \h </w:instrText>
            </w:r>
            <w:r w:rsidRPr="006D1607">
              <w:rPr>
                <w:webHidden/>
                <w:sz w:val="22"/>
                <w:szCs w:val="22"/>
              </w:rPr>
            </w:r>
            <w:r w:rsidRPr="006D1607">
              <w:rPr>
                <w:webHidden/>
                <w:sz w:val="22"/>
                <w:szCs w:val="22"/>
              </w:rPr>
              <w:fldChar w:fldCharType="separate"/>
            </w:r>
            <w:r w:rsidR="00224B50">
              <w:rPr>
                <w:webHidden/>
                <w:sz w:val="22"/>
                <w:szCs w:val="22"/>
              </w:rPr>
              <w:t>354</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670" w:history="1">
            <w:r w:rsidR="006D1607" w:rsidRPr="006D1607">
              <w:rPr>
                <w:rStyle w:val="Hyperlink"/>
                <w:sz w:val="22"/>
                <w:szCs w:val="22"/>
              </w:rPr>
              <w:t>3.5.1.</w:t>
            </w:r>
            <w:r w:rsidR="006D1607" w:rsidRPr="006D1607">
              <w:rPr>
                <w:rFonts w:asciiTheme="minorHAnsi" w:eastAsiaTheme="minorEastAsia" w:hAnsiTheme="minorHAnsi" w:cstheme="minorBidi"/>
                <w:sz w:val="22"/>
                <w:szCs w:val="22"/>
              </w:rPr>
              <w:tab/>
            </w:r>
            <w:r w:rsidR="006D1607" w:rsidRPr="006D1607">
              <w:rPr>
                <w:rStyle w:val="Hyperlink"/>
                <w:sz w:val="22"/>
                <w:szCs w:val="22"/>
              </w:rPr>
              <w:t>Nevienlīdzība mājokļa jomā mērķa grupu griezumā</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_Toc6841670 \h </w:instrText>
            </w:r>
            <w:r w:rsidRPr="006D1607">
              <w:rPr>
                <w:webHidden/>
                <w:sz w:val="22"/>
                <w:szCs w:val="22"/>
              </w:rPr>
            </w:r>
            <w:r w:rsidRPr="006D1607">
              <w:rPr>
                <w:webHidden/>
                <w:sz w:val="22"/>
                <w:szCs w:val="22"/>
              </w:rPr>
              <w:fldChar w:fldCharType="separate"/>
            </w:r>
            <w:r w:rsidR="00224B50">
              <w:rPr>
                <w:webHidden/>
                <w:sz w:val="22"/>
                <w:szCs w:val="22"/>
              </w:rPr>
              <w:t>354</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681" w:history="1">
            <w:r w:rsidR="006D1607" w:rsidRPr="006D1607">
              <w:rPr>
                <w:rStyle w:val="Hyperlink"/>
                <w:sz w:val="22"/>
                <w:szCs w:val="22"/>
              </w:rPr>
              <w:t>3.5.2.</w:t>
            </w:r>
            <w:r w:rsidR="006D1607" w:rsidRPr="006D1607">
              <w:rPr>
                <w:rFonts w:asciiTheme="minorHAnsi" w:eastAsiaTheme="minorEastAsia" w:hAnsiTheme="minorHAnsi" w:cstheme="minorBidi"/>
                <w:sz w:val="22"/>
                <w:szCs w:val="22"/>
              </w:rPr>
              <w:tab/>
            </w:r>
            <w:r w:rsidR="006D1607" w:rsidRPr="006D1607">
              <w:rPr>
                <w:rStyle w:val="Hyperlink"/>
                <w:sz w:val="22"/>
                <w:szCs w:val="22"/>
              </w:rPr>
              <w:t>Galvenās problēmas, nepieciešamie risinājumi un ieteikumi</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_Toc6841681 \h </w:instrText>
            </w:r>
            <w:r w:rsidRPr="006D1607">
              <w:rPr>
                <w:webHidden/>
                <w:sz w:val="22"/>
                <w:szCs w:val="22"/>
              </w:rPr>
            </w:r>
            <w:r w:rsidRPr="006D1607">
              <w:rPr>
                <w:webHidden/>
                <w:sz w:val="22"/>
                <w:szCs w:val="22"/>
              </w:rPr>
              <w:fldChar w:fldCharType="separate"/>
            </w:r>
            <w:r w:rsidR="00224B50">
              <w:rPr>
                <w:webHidden/>
                <w:sz w:val="22"/>
                <w:szCs w:val="22"/>
              </w:rPr>
              <w:t>358</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682" w:history="1">
            <w:r w:rsidR="006D1607" w:rsidRPr="006D1607">
              <w:rPr>
                <w:rStyle w:val="Hyperlink"/>
                <w:sz w:val="22"/>
                <w:szCs w:val="22"/>
              </w:rPr>
              <w:t>3.5.3.</w:t>
            </w:r>
            <w:r w:rsidR="006D1607" w:rsidRPr="006D1607">
              <w:rPr>
                <w:rFonts w:asciiTheme="minorHAnsi" w:eastAsiaTheme="minorEastAsia" w:hAnsiTheme="minorHAnsi" w:cstheme="minorBidi"/>
                <w:sz w:val="22"/>
                <w:szCs w:val="22"/>
              </w:rPr>
              <w:tab/>
            </w:r>
            <w:r w:rsidR="006D1607" w:rsidRPr="006D1607">
              <w:rPr>
                <w:rStyle w:val="Hyperlink"/>
                <w:sz w:val="22"/>
                <w:szCs w:val="22"/>
              </w:rPr>
              <w:t>Atbalsta mehānisma, lai noteiktu laiku pasargātu īrnieku no izlikšanas no dzīvokļa, izstrādes priekšlikums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_Toc6841682 \h </w:instrText>
            </w:r>
            <w:r w:rsidRPr="006D1607">
              <w:rPr>
                <w:webHidden/>
                <w:sz w:val="22"/>
                <w:szCs w:val="22"/>
              </w:rPr>
            </w:r>
            <w:r w:rsidRPr="006D1607">
              <w:rPr>
                <w:webHidden/>
                <w:sz w:val="22"/>
                <w:szCs w:val="22"/>
              </w:rPr>
              <w:fldChar w:fldCharType="separate"/>
            </w:r>
            <w:r w:rsidR="00224B50">
              <w:rPr>
                <w:webHidden/>
                <w:sz w:val="22"/>
                <w:szCs w:val="22"/>
              </w:rPr>
              <w:t>363</w:t>
            </w:r>
            <w:r w:rsidRPr="006D1607">
              <w:rPr>
                <w:webHidden/>
                <w:sz w:val="22"/>
                <w:szCs w:val="22"/>
              </w:rPr>
              <w:fldChar w:fldCharType="end"/>
            </w:r>
          </w:hyperlink>
        </w:p>
        <w:p w:rsidR="006D1607" w:rsidRPr="006D1607" w:rsidRDefault="00AD3EDD">
          <w:pPr>
            <w:pStyle w:val="TOC1"/>
            <w:rPr>
              <w:rFonts w:asciiTheme="minorHAnsi" w:eastAsiaTheme="minorEastAsia" w:hAnsiTheme="minorHAnsi" w:cstheme="minorBidi"/>
              <w:b w:val="0"/>
              <w:sz w:val="22"/>
              <w:szCs w:val="22"/>
            </w:rPr>
          </w:pPr>
          <w:hyperlink w:anchor="_Toc6841683" w:history="1">
            <w:r w:rsidR="006D1607" w:rsidRPr="006D1607">
              <w:rPr>
                <w:rStyle w:val="Hyperlink"/>
                <w:sz w:val="22"/>
                <w:szCs w:val="22"/>
              </w:rPr>
              <w:t>Izmantotās literatūras un informācijas avoti</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_Toc6841683 \h </w:instrText>
            </w:r>
            <w:r w:rsidRPr="006D1607">
              <w:rPr>
                <w:webHidden/>
                <w:sz w:val="22"/>
                <w:szCs w:val="22"/>
              </w:rPr>
            </w:r>
            <w:r w:rsidRPr="006D1607">
              <w:rPr>
                <w:webHidden/>
                <w:sz w:val="22"/>
                <w:szCs w:val="22"/>
              </w:rPr>
              <w:fldChar w:fldCharType="separate"/>
            </w:r>
            <w:r w:rsidR="00224B50">
              <w:rPr>
                <w:webHidden/>
                <w:sz w:val="22"/>
                <w:szCs w:val="22"/>
              </w:rPr>
              <w:t>367</w:t>
            </w:r>
            <w:r w:rsidRPr="006D1607">
              <w:rPr>
                <w:webHidden/>
                <w:sz w:val="22"/>
                <w:szCs w:val="22"/>
              </w:rPr>
              <w:fldChar w:fldCharType="end"/>
            </w:r>
          </w:hyperlink>
        </w:p>
        <w:p w:rsidR="006D1607" w:rsidRPr="006D1607" w:rsidRDefault="00AD3EDD">
          <w:pPr>
            <w:pStyle w:val="TOC1"/>
            <w:rPr>
              <w:rFonts w:asciiTheme="minorHAnsi" w:eastAsiaTheme="minorEastAsia" w:hAnsiTheme="minorHAnsi" w:cstheme="minorBidi"/>
              <w:b w:val="0"/>
              <w:sz w:val="22"/>
              <w:szCs w:val="22"/>
            </w:rPr>
          </w:pPr>
          <w:hyperlink w:anchor="_Toc6841684" w:history="1">
            <w:r w:rsidR="006D1607" w:rsidRPr="006D1607">
              <w:rPr>
                <w:rStyle w:val="Hyperlink"/>
                <w:sz w:val="22"/>
                <w:szCs w:val="22"/>
              </w:rPr>
              <w:t>Kopsavilkums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_Toc6841684 \h </w:instrText>
            </w:r>
            <w:r w:rsidRPr="006D1607">
              <w:rPr>
                <w:webHidden/>
                <w:sz w:val="22"/>
                <w:szCs w:val="22"/>
              </w:rPr>
            </w:r>
            <w:r w:rsidRPr="006D1607">
              <w:rPr>
                <w:webHidden/>
                <w:sz w:val="22"/>
                <w:szCs w:val="22"/>
              </w:rPr>
              <w:fldChar w:fldCharType="separate"/>
            </w:r>
            <w:r w:rsidR="00224B50">
              <w:rPr>
                <w:webHidden/>
                <w:sz w:val="22"/>
                <w:szCs w:val="22"/>
              </w:rPr>
              <w:t>380</w:t>
            </w:r>
            <w:r w:rsidRPr="006D1607">
              <w:rPr>
                <w:webHidden/>
                <w:sz w:val="22"/>
                <w:szCs w:val="22"/>
              </w:rPr>
              <w:fldChar w:fldCharType="end"/>
            </w:r>
          </w:hyperlink>
        </w:p>
        <w:p w:rsidR="006D1607" w:rsidRPr="006D1607" w:rsidRDefault="00AD3EDD">
          <w:pPr>
            <w:pStyle w:val="TOC1"/>
            <w:rPr>
              <w:rFonts w:asciiTheme="minorHAnsi" w:eastAsiaTheme="minorEastAsia" w:hAnsiTheme="minorHAnsi" w:cstheme="minorBidi"/>
              <w:b w:val="0"/>
              <w:sz w:val="22"/>
              <w:szCs w:val="22"/>
            </w:rPr>
          </w:pPr>
          <w:hyperlink w:anchor="_Toc6841685" w:history="1">
            <w:r w:rsidR="006D1607" w:rsidRPr="006D1607">
              <w:rPr>
                <w:rStyle w:val="Hyperlink"/>
                <w:sz w:val="22"/>
                <w:szCs w:val="22"/>
              </w:rPr>
              <w:t>Anotācija</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_Toc6841685 \h </w:instrText>
            </w:r>
            <w:r w:rsidRPr="006D1607">
              <w:rPr>
                <w:webHidden/>
                <w:sz w:val="22"/>
                <w:szCs w:val="22"/>
              </w:rPr>
            </w:r>
            <w:r w:rsidRPr="006D1607">
              <w:rPr>
                <w:webHidden/>
                <w:sz w:val="22"/>
                <w:szCs w:val="22"/>
              </w:rPr>
              <w:fldChar w:fldCharType="separate"/>
            </w:r>
            <w:r w:rsidR="00224B50">
              <w:rPr>
                <w:webHidden/>
                <w:sz w:val="22"/>
                <w:szCs w:val="22"/>
              </w:rPr>
              <w:t>391</w:t>
            </w:r>
            <w:r w:rsidRPr="006D1607">
              <w:rPr>
                <w:webHidden/>
                <w:sz w:val="22"/>
                <w:szCs w:val="22"/>
              </w:rPr>
              <w:fldChar w:fldCharType="end"/>
            </w:r>
          </w:hyperlink>
        </w:p>
        <w:p w:rsidR="006D1607" w:rsidRPr="006D1607" w:rsidRDefault="00AD3EDD">
          <w:pPr>
            <w:pStyle w:val="TOC1"/>
            <w:rPr>
              <w:rFonts w:asciiTheme="minorHAnsi" w:eastAsiaTheme="minorEastAsia" w:hAnsiTheme="minorHAnsi" w:cstheme="minorBidi"/>
              <w:b w:val="0"/>
              <w:sz w:val="22"/>
              <w:szCs w:val="22"/>
            </w:rPr>
          </w:pPr>
          <w:hyperlink w:anchor="_Toc6841686" w:history="1">
            <w:r w:rsidR="006D1607" w:rsidRPr="006D1607">
              <w:rPr>
                <w:rStyle w:val="Hyperlink"/>
                <w:sz w:val="22"/>
                <w:szCs w:val="22"/>
              </w:rPr>
              <w:t>Pielikumi</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_Toc6841686 \h </w:instrText>
            </w:r>
            <w:r w:rsidRPr="006D1607">
              <w:rPr>
                <w:webHidden/>
                <w:sz w:val="22"/>
                <w:szCs w:val="22"/>
              </w:rPr>
            </w:r>
            <w:r w:rsidRPr="006D1607">
              <w:rPr>
                <w:webHidden/>
                <w:sz w:val="22"/>
                <w:szCs w:val="22"/>
              </w:rPr>
              <w:fldChar w:fldCharType="separate"/>
            </w:r>
            <w:r w:rsidR="00224B50">
              <w:rPr>
                <w:webHidden/>
                <w:sz w:val="22"/>
                <w:szCs w:val="22"/>
              </w:rPr>
              <w:t>395</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687" w:history="1">
            <w:r w:rsidR="006D1607" w:rsidRPr="006D1607">
              <w:rPr>
                <w:rStyle w:val="Hyperlink"/>
                <w:sz w:val="22"/>
                <w:szCs w:val="22"/>
              </w:rPr>
              <w:t>1.</w:t>
            </w:r>
            <w:r w:rsidR="006D1607" w:rsidRPr="006D1607">
              <w:rPr>
                <w:rFonts w:asciiTheme="minorHAnsi" w:eastAsiaTheme="minorEastAsia" w:hAnsiTheme="minorHAnsi" w:cstheme="minorBidi"/>
                <w:sz w:val="22"/>
                <w:szCs w:val="22"/>
              </w:rPr>
              <w:tab/>
            </w:r>
            <w:r w:rsidR="006D1607" w:rsidRPr="006D1607">
              <w:rPr>
                <w:rStyle w:val="Hyperlink"/>
                <w:sz w:val="22"/>
                <w:szCs w:val="22"/>
              </w:rPr>
              <w:t>pielikums. Izvērtējuma metodoloģija</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_Toc6841687 \h </w:instrText>
            </w:r>
            <w:r w:rsidRPr="006D1607">
              <w:rPr>
                <w:webHidden/>
                <w:sz w:val="22"/>
                <w:szCs w:val="22"/>
              </w:rPr>
            </w:r>
            <w:r w:rsidRPr="006D1607">
              <w:rPr>
                <w:webHidden/>
                <w:sz w:val="22"/>
                <w:szCs w:val="22"/>
              </w:rPr>
              <w:fldChar w:fldCharType="separate"/>
            </w:r>
            <w:r w:rsidR="00224B50">
              <w:rPr>
                <w:webHidden/>
                <w:sz w:val="22"/>
                <w:szCs w:val="22"/>
              </w:rPr>
              <w:t>395</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718" w:history="1">
            <w:r w:rsidR="006D1607" w:rsidRPr="006D1607">
              <w:rPr>
                <w:rStyle w:val="Hyperlink"/>
                <w:sz w:val="22"/>
                <w:szCs w:val="22"/>
              </w:rPr>
              <w:t>2.</w:t>
            </w:r>
            <w:r w:rsidR="006D1607" w:rsidRPr="006D1607">
              <w:rPr>
                <w:rFonts w:asciiTheme="minorHAnsi" w:eastAsiaTheme="minorEastAsia" w:hAnsiTheme="minorHAnsi" w:cstheme="minorBidi"/>
                <w:sz w:val="22"/>
                <w:szCs w:val="22"/>
              </w:rPr>
              <w:tab/>
            </w:r>
            <w:r w:rsidR="006D1607" w:rsidRPr="006D1607">
              <w:rPr>
                <w:rStyle w:val="Hyperlink"/>
                <w:sz w:val="22"/>
                <w:szCs w:val="22"/>
              </w:rPr>
              <w:t>pielikums. Ekspertu un fokusa grupu dalībnieku saraksts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_Toc6841718 \h </w:instrText>
            </w:r>
            <w:r w:rsidRPr="006D1607">
              <w:rPr>
                <w:webHidden/>
                <w:sz w:val="22"/>
                <w:szCs w:val="22"/>
              </w:rPr>
            </w:r>
            <w:r w:rsidRPr="006D1607">
              <w:rPr>
                <w:webHidden/>
                <w:sz w:val="22"/>
                <w:szCs w:val="22"/>
              </w:rPr>
              <w:fldChar w:fldCharType="separate"/>
            </w:r>
            <w:r w:rsidR="00224B50">
              <w:rPr>
                <w:webHidden/>
                <w:sz w:val="22"/>
                <w:szCs w:val="22"/>
              </w:rPr>
              <w:t>424</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719" w:history="1">
            <w:r w:rsidR="006D1607" w:rsidRPr="006D1607">
              <w:rPr>
                <w:rStyle w:val="Hyperlink"/>
                <w:sz w:val="22"/>
                <w:szCs w:val="22"/>
              </w:rPr>
              <w:t>3.</w:t>
            </w:r>
            <w:r w:rsidR="006D1607" w:rsidRPr="006D1607">
              <w:rPr>
                <w:rFonts w:asciiTheme="minorHAnsi" w:eastAsiaTheme="minorEastAsia" w:hAnsiTheme="minorHAnsi" w:cstheme="minorBidi"/>
                <w:sz w:val="22"/>
                <w:szCs w:val="22"/>
              </w:rPr>
              <w:tab/>
            </w:r>
            <w:r w:rsidR="006D1607" w:rsidRPr="006D1607">
              <w:rPr>
                <w:rStyle w:val="Hyperlink"/>
                <w:sz w:val="22"/>
                <w:szCs w:val="22"/>
              </w:rPr>
              <w:t>pielikums. Ekspertu interviju vadlīnijas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_Toc6841719 \h </w:instrText>
            </w:r>
            <w:r w:rsidRPr="006D1607">
              <w:rPr>
                <w:webHidden/>
                <w:sz w:val="22"/>
                <w:szCs w:val="22"/>
              </w:rPr>
            </w:r>
            <w:r w:rsidRPr="006D1607">
              <w:rPr>
                <w:webHidden/>
                <w:sz w:val="22"/>
                <w:szCs w:val="22"/>
              </w:rPr>
              <w:fldChar w:fldCharType="separate"/>
            </w:r>
            <w:r w:rsidR="00224B50">
              <w:rPr>
                <w:webHidden/>
                <w:sz w:val="22"/>
                <w:szCs w:val="22"/>
              </w:rPr>
              <w:t>426</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727" w:history="1">
            <w:r w:rsidR="006D1607" w:rsidRPr="006D1607">
              <w:rPr>
                <w:rStyle w:val="Hyperlink"/>
                <w:sz w:val="22"/>
                <w:szCs w:val="22"/>
              </w:rPr>
              <w:t>4.</w:t>
            </w:r>
            <w:r w:rsidR="006D1607" w:rsidRPr="006D1607">
              <w:rPr>
                <w:rFonts w:asciiTheme="minorHAnsi" w:eastAsiaTheme="minorEastAsia" w:hAnsiTheme="minorHAnsi" w:cstheme="minorBidi"/>
                <w:sz w:val="22"/>
                <w:szCs w:val="22"/>
              </w:rPr>
              <w:tab/>
            </w:r>
            <w:r w:rsidR="006D1607" w:rsidRPr="006D1607">
              <w:rPr>
                <w:rStyle w:val="Hyperlink"/>
                <w:sz w:val="22"/>
                <w:szCs w:val="22"/>
              </w:rPr>
              <w:t>pielikums. Fokusa grupu diskusiju vadlīnijas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_Toc6841727 \h </w:instrText>
            </w:r>
            <w:r w:rsidRPr="006D1607">
              <w:rPr>
                <w:webHidden/>
                <w:sz w:val="22"/>
                <w:szCs w:val="22"/>
              </w:rPr>
            </w:r>
            <w:r w:rsidRPr="006D1607">
              <w:rPr>
                <w:webHidden/>
                <w:sz w:val="22"/>
                <w:szCs w:val="22"/>
              </w:rPr>
              <w:fldChar w:fldCharType="separate"/>
            </w:r>
            <w:r w:rsidR="00224B50">
              <w:rPr>
                <w:webHidden/>
                <w:sz w:val="22"/>
                <w:szCs w:val="22"/>
              </w:rPr>
              <w:t>432</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732" w:history="1">
            <w:r w:rsidR="006D1607" w:rsidRPr="006D1607">
              <w:rPr>
                <w:rStyle w:val="Hyperlink"/>
                <w:sz w:val="22"/>
                <w:szCs w:val="22"/>
              </w:rPr>
              <w:t>5.</w:t>
            </w:r>
            <w:r w:rsidR="006D1607" w:rsidRPr="006D1607">
              <w:rPr>
                <w:rFonts w:asciiTheme="minorHAnsi" w:eastAsiaTheme="minorEastAsia" w:hAnsiTheme="minorHAnsi" w:cstheme="minorBidi"/>
                <w:sz w:val="22"/>
                <w:szCs w:val="22"/>
              </w:rPr>
              <w:tab/>
            </w:r>
            <w:r w:rsidR="006D1607" w:rsidRPr="006D1607">
              <w:rPr>
                <w:rStyle w:val="Hyperlink"/>
                <w:sz w:val="22"/>
                <w:szCs w:val="22"/>
              </w:rPr>
              <w:t>pielikums. Ekspertu interviju rezultātu nevienlīdzības veselības aprūpes jomā apkopojums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_Toc6841732 \h </w:instrText>
            </w:r>
            <w:r w:rsidRPr="006D1607">
              <w:rPr>
                <w:webHidden/>
                <w:sz w:val="22"/>
                <w:szCs w:val="22"/>
              </w:rPr>
            </w:r>
            <w:r w:rsidRPr="006D1607">
              <w:rPr>
                <w:webHidden/>
                <w:sz w:val="22"/>
                <w:szCs w:val="22"/>
              </w:rPr>
              <w:fldChar w:fldCharType="separate"/>
            </w:r>
            <w:r w:rsidR="00224B50">
              <w:rPr>
                <w:webHidden/>
                <w:sz w:val="22"/>
                <w:szCs w:val="22"/>
              </w:rPr>
              <w:t>434</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737" w:history="1">
            <w:r w:rsidR="006D1607" w:rsidRPr="006D1607">
              <w:rPr>
                <w:rStyle w:val="Hyperlink"/>
                <w:sz w:val="22"/>
                <w:szCs w:val="22"/>
              </w:rPr>
              <w:t>6.</w:t>
            </w:r>
            <w:r w:rsidR="006D1607" w:rsidRPr="006D1607">
              <w:rPr>
                <w:rFonts w:asciiTheme="minorHAnsi" w:eastAsiaTheme="minorEastAsia" w:hAnsiTheme="minorHAnsi" w:cstheme="minorBidi"/>
                <w:sz w:val="22"/>
                <w:szCs w:val="22"/>
              </w:rPr>
              <w:tab/>
            </w:r>
            <w:r w:rsidR="006D1607" w:rsidRPr="006D1607">
              <w:rPr>
                <w:rStyle w:val="Hyperlink"/>
                <w:sz w:val="22"/>
                <w:szCs w:val="22"/>
              </w:rPr>
              <w:t>pielikums. Ekspertu interviju rezultātu mājokļa pieejamības jomā apkopojums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_Toc6841737 \h </w:instrText>
            </w:r>
            <w:r w:rsidRPr="006D1607">
              <w:rPr>
                <w:webHidden/>
                <w:sz w:val="22"/>
                <w:szCs w:val="22"/>
              </w:rPr>
            </w:r>
            <w:r w:rsidRPr="006D1607">
              <w:rPr>
                <w:webHidden/>
                <w:sz w:val="22"/>
                <w:szCs w:val="22"/>
              </w:rPr>
              <w:fldChar w:fldCharType="separate"/>
            </w:r>
            <w:r w:rsidR="00224B50">
              <w:rPr>
                <w:webHidden/>
                <w:sz w:val="22"/>
                <w:szCs w:val="22"/>
              </w:rPr>
              <w:t>444</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744" w:history="1">
            <w:r w:rsidR="006D1607" w:rsidRPr="006D1607">
              <w:rPr>
                <w:rStyle w:val="Hyperlink"/>
                <w:sz w:val="22"/>
                <w:szCs w:val="22"/>
              </w:rPr>
              <w:t>7.</w:t>
            </w:r>
            <w:r w:rsidR="006D1607" w:rsidRPr="006D1607">
              <w:rPr>
                <w:rFonts w:asciiTheme="minorHAnsi" w:eastAsiaTheme="minorEastAsia" w:hAnsiTheme="minorHAnsi" w:cstheme="minorBidi"/>
                <w:sz w:val="22"/>
                <w:szCs w:val="22"/>
              </w:rPr>
              <w:tab/>
            </w:r>
            <w:r w:rsidR="006D1607" w:rsidRPr="006D1607">
              <w:rPr>
                <w:rStyle w:val="Hyperlink"/>
                <w:sz w:val="22"/>
                <w:szCs w:val="22"/>
              </w:rPr>
              <w:t>pielikums. Fokusa grupas diskusijas nevienlīdzības veselības aprūpes jomā apkopojums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_Toc6841744 \h </w:instrText>
            </w:r>
            <w:r w:rsidRPr="006D1607">
              <w:rPr>
                <w:webHidden/>
                <w:sz w:val="22"/>
                <w:szCs w:val="22"/>
              </w:rPr>
            </w:r>
            <w:r w:rsidRPr="006D1607">
              <w:rPr>
                <w:webHidden/>
                <w:sz w:val="22"/>
                <w:szCs w:val="22"/>
              </w:rPr>
              <w:fldChar w:fldCharType="separate"/>
            </w:r>
            <w:r w:rsidR="00224B50">
              <w:rPr>
                <w:webHidden/>
                <w:sz w:val="22"/>
                <w:szCs w:val="22"/>
              </w:rPr>
              <w:t>455</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745" w:history="1">
            <w:r w:rsidR="006D1607" w:rsidRPr="006D1607">
              <w:rPr>
                <w:rStyle w:val="Hyperlink"/>
                <w:sz w:val="22"/>
                <w:szCs w:val="22"/>
              </w:rPr>
              <w:t>8.</w:t>
            </w:r>
            <w:r w:rsidR="006D1607" w:rsidRPr="006D1607">
              <w:rPr>
                <w:rFonts w:asciiTheme="minorHAnsi" w:eastAsiaTheme="minorEastAsia" w:hAnsiTheme="minorHAnsi" w:cstheme="minorBidi"/>
                <w:sz w:val="22"/>
                <w:szCs w:val="22"/>
              </w:rPr>
              <w:tab/>
            </w:r>
            <w:r w:rsidR="006D1607" w:rsidRPr="006D1607">
              <w:rPr>
                <w:rStyle w:val="Hyperlink"/>
                <w:sz w:val="22"/>
                <w:szCs w:val="22"/>
              </w:rPr>
              <w:t>pielikums. Fokusa grupas diskusijas mājokļa pieejamības jomā apkopojums</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_Toc6841745 \h </w:instrText>
            </w:r>
            <w:r w:rsidRPr="006D1607">
              <w:rPr>
                <w:webHidden/>
                <w:sz w:val="22"/>
                <w:szCs w:val="22"/>
              </w:rPr>
            </w:r>
            <w:r w:rsidRPr="006D1607">
              <w:rPr>
                <w:webHidden/>
                <w:sz w:val="22"/>
                <w:szCs w:val="22"/>
              </w:rPr>
              <w:fldChar w:fldCharType="separate"/>
            </w:r>
            <w:r w:rsidR="00224B50">
              <w:rPr>
                <w:webHidden/>
                <w:sz w:val="22"/>
                <w:szCs w:val="22"/>
              </w:rPr>
              <w:t>458</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746" w:history="1">
            <w:r w:rsidR="006D1607" w:rsidRPr="006D1607">
              <w:rPr>
                <w:rStyle w:val="Hyperlink"/>
                <w:sz w:val="22"/>
                <w:szCs w:val="22"/>
              </w:rPr>
              <w:t>9.</w:t>
            </w:r>
            <w:r w:rsidR="006D1607" w:rsidRPr="006D1607">
              <w:rPr>
                <w:rFonts w:asciiTheme="minorHAnsi" w:eastAsiaTheme="minorEastAsia" w:hAnsiTheme="minorHAnsi" w:cstheme="minorBidi"/>
                <w:sz w:val="22"/>
                <w:szCs w:val="22"/>
              </w:rPr>
              <w:tab/>
            </w:r>
            <w:r w:rsidR="006D1607" w:rsidRPr="006D1607">
              <w:rPr>
                <w:rStyle w:val="Hyperlink"/>
                <w:sz w:val="22"/>
                <w:szCs w:val="22"/>
              </w:rPr>
              <w:t>pielikums. Tiesību aktu izmaiņas 2015., 2016. gadā, kuras vērstas uz nabadzības, sociālās atstumtības un ienākumu nevienlīdzības samazināšanu</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_Toc6841746 \h </w:instrText>
            </w:r>
            <w:r w:rsidRPr="006D1607">
              <w:rPr>
                <w:webHidden/>
                <w:sz w:val="22"/>
                <w:szCs w:val="22"/>
              </w:rPr>
            </w:r>
            <w:r w:rsidRPr="006D1607">
              <w:rPr>
                <w:webHidden/>
                <w:sz w:val="22"/>
                <w:szCs w:val="22"/>
              </w:rPr>
              <w:fldChar w:fldCharType="separate"/>
            </w:r>
            <w:r w:rsidR="00224B50">
              <w:rPr>
                <w:webHidden/>
                <w:sz w:val="22"/>
                <w:szCs w:val="22"/>
              </w:rPr>
              <w:t>461</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747" w:history="1">
            <w:r w:rsidR="006D1607" w:rsidRPr="006D1607">
              <w:rPr>
                <w:rStyle w:val="Hyperlink"/>
                <w:sz w:val="22"/>
                <w:szCs w:val="22"/>
              </w:rPr>
              <w:t>10.</w:t>
            </w:r>
            <w:r w:rsidR="006D1607" w:rsidRPr="006D1607">
              <w:rPr>
                <w:rFonts w:asciiTheme="minorHAnsi" w:eastAsiaTheme="minorEastAsia" w:hAnsiTheme="minorHAnsi" w:cstheme="minorBidi"/>
                <w:sz w:val="22"/>
                <w:szCs w:val="22"/>
              </w:rPr>
              <w:tab/>
            </w:r>
            <w:r w:rsidR="006D1607" w:rsidRPr="006D1607">
              <w:rPr>
                <w:rStyle w:val="Hyperlink"/>
                <w:sz w:val="22"/>
                <w:szCs w:val="22"/>
              </w:rPr>
              <w:t>pielikums. Valsts noteiktie atvieglojumi veselības aprūpes pakalpojumu saņemšanai</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_Toc6841747 \h </w:instrText>
            </w:r>
            <w:r w:rsidRPr="006D1607">
              <w:rPr>
                <w:webHidden/>
                <w:sz w:val="22"/>
                <w:szCs w:val="22"/>
              </w:rPr>
            </w:r>
            <w:r w:rsidRPr="006D1607">
              <w:rPr>
                <w:webHidden/>
                <w:sz w:val="22"/>
                <w:szCs w:val="22"/>
              </w:rPr>
              <w:fldChar w:fldCharType="separate"/>
            </w:r>
            <w:r w:rsidR="00224B50">
              <w:rPr>
                <w:webHidden/>
                <w:sz w:val="22"/>
                <w:szCs w:val="22"/>
              </w:rPr>
              <w:t>461</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748" w:history="1">
            <w:r w:rsidR="006D1607" w:rsidRPr="006D1607">
              <w:rPr>
                <w:rStyle w:val="Hyperlink"/>
                <w:sz w:val="22"/>
                <w:szCs w:val="22"/>
              </w:rPr>
              <w:t>11.</w:t>
            </w:r>
            <w:r w:rsidR="006D1607" w:rsidRPr="006D1607">
              <w:rPr>
                <w:rFonts w:asciiTheme="minorHAnsi" w:eastAsiaTheme="minorEastAsia" w:hAnsiTheme="minorHAnsi" w:cstheme="minorBidi"/>
                <w:sz w:val="22"/>
                <w:szCs w:val="22"/>
              </w:rPr>
              <w:tab/>
            </w:r>
            <w:r w:rsidR="006D1607" w:rsidRPr="006D1607">
              <w:rPr>
                <w:rStyle w:val="Hyperlink"/>
                <w:sz w:val="22"/>
                <w:szCs w:val="22"/>
              </w:rPr>
              <w:t>pielikums. Pašvaldību noteiktie atvieglojumi veselības aprūpes pakalpojumu saņemšanai</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_Toc6841748 \h </w:instrText>
            </w:r>
            <w:r w:rsidRPr="006D1607">
              <w:rPr>
                <w:webHidden/>
                <w:sz w:val="22"/>
                <w:szCs w:val="22"/>
              </w:rPr>
            </w:r>
            <w:r w:rsidRPr="006D1607">
              <w:rPr>
                <w:webHidden/>
                <w:sz w:val="22"/>
                <w:szCs w:val="22"/>
              </w:rPr>
              <w:fldChar w:fldCharType="separate"/>
            </w:r>
            <w:r w:rsidR="00224B50">
              <w:rPr>
                <w:webHidden/>
                <w:sz w:val="22"/>
                <w:szCs w:val="22"/>
              </w:rPr>
              <w:t>461</w:t>
            </w:r>
            <w:r w:rsidRPr="006D1607">
              <w:rPr>
                <w:webHidden/>
                <w:sz w:val="22"/>
                <w:szCs w:val="22"/>
              </w:rPr>
              <w:fldChar w:fldCharType="end"/>
            </w:r>
          </w:hyperlink>
        </w:p>
        <w:p w:rsidR="006D1607" w:rsidRPr="006D1607" w:rsidRDefault="00AD3EDD">
          <w:pPr>
            <w:pStyle w:val="TOC3"/>
            <w:rPr>
              <w:rFonts w:asciiTheme="minorHAnsi" w:eastAsiaTheme="minorEastAsia" w:hAnsiTheme="minorHAnsi" w:cstheme="minorBidi"/>
              <w:sz w:val="22"/>
              <w:szCs w:val="22"/>
            </w:rPr>
          </w:pPr>
          <w:hyperlink w:anchor="_Toc6841749" w:history="1">
            <w:r w:rsidR="006D1607" w:rsidRPr="006D1607">
              <w:rPr>
                <w:rStyle w:val="Hyperlink"/>
                <w:sz w:val="22"/>
                <w:szCs w:val="22"/>
              </w:rPr>
              <w:t>12.</w:t>
            </w:r>
            <w:r w:rsidR="006D1607" w:rsidRPr="006D1607">
              <w:rPr>
                <w:rFonts w:asciiTheme="minorHAnsi" w:eastAsiaTheme="minorEastAsia" w:hAnsiTheme="minorHAnsi" w:cstheme="minorBidi"/>
                <w:sz w:val="22"/>
                <w:szCs w:val="22"/>
              </w:rPr>
              <w:tab/>
            </w:r>
            <w:r w:rsidR="006D1607" w:rsidRPr="006D1607">
              <w:rPr>
                <w:rStyle w:val="Hyperlink"/>
                <w:sz w:val="22"/>
                <w:szCs w:val="22"/>
              </w:rPr>
              <w:t>pielikums. Pašvaldību noteiktie atvieglojumi mājokļa pieejamības jomā</w:t>
            </w:r>
            <w:r w:rsidR="006D1607" w:rsidRPr="006D1607">
              <w:rPr>
                <w:webHidden/>
                <w:sz w:val="22"/>
                <w:szCs w:val="22"/>
              </w:rPr>
              <w:tab/>
            </w:r>
            <w:r w:rsidRPr="006D1607">
              <w:rPr>
                <w:webHidden/>
                <w:sz w:val="22"/>
                <w:szCs w:val="22"/>
              </w:rPr>
              <w:fldChar w:fldCharType="begin"/>
            </w:r>
            <w:r w:rsidR="006D1607" w:rsidRPr="006D1607">
              <w:rPr>
                <w:webHidden/>
                <w:sz w:val="22"/>
                <w:szCs w:val="22"/>
              </w:rPr>
              <w:instrText xml:space="preserve"> PAGEREF _Toc6841749 \h </w:instrText>
            </w:r>
            <w:r w:rsidRPr="006D1607">
              <w:rPr>
                <w:webHidden/>
                <w:sz w:val="22"/>
                <w:szCs w:val="22"/>
              </w:rPr>
            </w:r>
            <w:r w:rsidRPr="006D1607">
              <w:rPr>
                <w:webHidden/>
                <w:sz w:val="22"/>
                <w:szCs w:val="22"/>
              </w:rPr>
              <w:fldChar w:fldCharType="separate"/>
            </w:r>
            <w:r w:rsidR="00224B50">
              <w:rPr>
                <w:webHidden/>
                <w:sz w:val="22"/>
                <w:szCs w:val="22"/>
              </w:rPr>
              <w:t>461</w:t>
            </w:r>
            <w:r w:rsidRPr="006D1607">
              <w:rPr>
                <w:webHidden/>
                <w:sz w:val="22"/>
                <w:szCs w:val="22"/>
              </w:rPr>
              <w:fldChar w:fldCharType="end"/>
            </w:r>
          </w:hyperlink>
        </w:p>
        <w:p w:rsidR="00453215" w:rsidRDefault="00AD3EDD" w:rsidP="00F4216A">
          <w:pPr>
            <w:pStyle w:val="TOC3"/>
            <w:ind w:left="0"/>
          </w:pPr>
          <w:r w:rsidRPr="006D1607">
            <w:rPr>
              <w:sz w:val="22"/>
              <w:szCs w:val="22"/>
            </w:rPr>
            <w:fldChar w:fldCharType="end"/>
          </w:r>
        </w:p>
      </w:sdtContent>
    </w:sdt>
    <w:p w:rsidR="005B06A0" w:rsidRDefault="005B06A0">
      <w:pPr>
        <w:spacing w:line="240" w:lineRule="auto"/>
        <w:jc w:val="left"/>
        <w:rPr>
          <w:rFonts w:asciiTheme="majorHAnsi" w:eastAsiaTheme="majorEastAsia" w:hAnsiTheme="majorHAnsi" w:cstheme="majorBidi"/>
          <w:b/>
          <w:i/>
          <w:color w:val="002060"/>
          <w:sz w:val="28"/>
        </w:rPr>
      </w:pPr>
      <w:bookmarkStart w:id="22" w:name="_Toc6841503"/>
      <w:r>
        <w:br w:type="page"/>
      </w:r>
    </w:p>
    <w:p w:rsidR="00C83653" w:rsidRPr="00A661B6" w:rsidRDefault="00C83653" w:rsidP="003945E0">
      <w:pPr>
        <w:pStyle w:val="navnumirsaturlevel3"/>
        <w:outlineLvl w:val="0"/>
      </w:pPr>
      <w:r w:rsidRPr="00A661B6">
        <w:lastRenderedPageBreak/>
        <w:t>Jēdzienu</w:t>
      </w:r>
      <w:r w:rsidR="00FD7C72" w:rsidRPr="00A661B6">
        <w:t xml:space="preserve"> un terminu</w:t>
      </w:r>
      <w:r w:rsidRPr="00A661B6">
        <w:t xml:space="preserve"> </w:t>
      </w:r>
      <w:r w:rsidRPr="00DA49DB">
        <w:t>skaidrojums</w:t>
      </w:r>
      <w:bookmarkEnd w:id="22"/>
    </w:p>
    <w:p w:rsidR="00064C1E" w:rsidRPr="00064C1E" w:rsidRDefault="00064C1E" w:rsidP="00064C1E">
      <w:r>
        <w:rPr>
          <w:b/>
        </w:rPr>
        <w:t xml:space="preserve">Džini indekss jeb koeficients </w:t>
      </w:r>
      <w:r w:rsidR="0032268B">
        <w:t>–</w:t>
      </w:r>
      <w:r>
        <w:t xml:space="preserve"> </w:t>
      </w:r>
      <w:r w:rsidR="0032268B">
        <w:t>rādītājs, kas raksturo ienākumu nevienlīdzību. Tas variē no 0 līdz 100. Džini koeficients ir 0, ja pastāv absolūta ienākumu vienlīdzība (t.i., visiem iedzīvotājiem ir vienādi ienākumi), bet, jo vairāk tas tuvojas 100, jo lielāka ir ienākumu nevienlīdzība.</w:t>
      </w:r>
      <w:r w:rsidR="0032268B">
        <w:rPr>
          <w:rStyle w:val="FootnoteReference"/>
        </w:rPr>
        <w:footnoteReference w:id="2"/>
      </w:r>
    </w:p>
    <w:p w:rsidR="00064C1E" w:rsidRDefault="00064C1E" w:rsidP="00064C1E">
      <w:pPr>
        <w:rPr>
          <w:b/>
        </w:rPr>
      </w:pPr>
    </w:p>
    <w:p w:rsidR="00C83653" w:rsidRDefault="00C83653" w:rsidP="00064C1E">
      <w:r w:rsidRPr="00E16DCF">
        <w:rPr>
          <w:b/>
        </w:rPr>
        <w:t>Nabadzība</w:t>
      </w:r>
      <w:r w:rsidRPr="00427491">
        <w:t xml:space="preserve"> galvenokārt ietver materiālo resursu trūkumu, kā rezultātā cilvēks nevar nodrošināt dzīvei nepieciešamās pamatvajadzības (pārtika, mājoklis, veselība, izglītība, kultūra u.c.).</w:t>
      </w:r>
      <w:r w:rsidRPr="00227DE1">
        <w:t xml:space="preserve"> </w:t>
      </w:r>
      <w:r w:rsidRPr="00427491">
        <w:t>Par </w:t>
      </w:r>
      <w:r w:rsidRPr="00427491">
        <w:rPr>
          <w:rStyle w:val="Strong"/>
        </w:rPr>
        <w:t>nabadzīgām</w:t>
      </w:r>
      <w:r w:rsidRPr="00427491">
        <w:t> tiek uzskatītas personas, ja to ienākumi un resursi (ekonomiskie, sociālie un kultūras) ir tik ierobežoti, ka viņu dzīves līmenis ir zemāks par sabiedrībā pieņemto un tiem tiek liegtas vai ir ierobežotas pamattiesības.</w:t>
      </w:r>
      <w:r w:rsidR="00731F9C">
        <w:rPr>
          <w:rStyle w:val="FootnoteReference"/>
        </w:rPr>
        <w:footnoteReference w:id="3"/>
      </w:r>
    </w:p>
    <w:p w:rsidR="0032268B" w:rsidRDefault="0032268B" w:rsidP="00064C1E"/>
    <w:p w:rsidR="0032268B" w:rsidRDefault="0032268B" w:rsidP="00064C1E">
      <w:r>
        <w:rPr>
          <w:b/>
        </w:rPr>
        <w:t>Nabadzības riska slieksnis</w:t>
      </w:r>
      <w:r>
        <w:t xml:space="preserve"> – 60% no rīcībā esošo ienākumu mediānas pārrēķinātas uz ekvivalento patērētāju skaitu mājsaimniecībā.</w:t>
      </w:r>
      <w:r>
        <w:rPr>
          <w:rStyle w:val="FootnoteReference"/>
        </w:rPr>
        <w:footnoteReference w:id="4"/>
      </w:r>
    </w:p>
    <w:p w:rsidR="00A933DA" w:rsidRDefault="00A933DA" w:rsidP="00064C1E"/>
    <w:p w:rsidR="00A933DA" w:rsidRDefault="00A933DA" w:rsidP="00064C1E">
      <w:r w:rsidRPr="0063727B">
        <w:rPr>
          <w:rStyle w:val="field-content"/>
          <w:b/>
          <w:bCs/>
        </w:rPr>
        <w:t xml:space="preserve">Nabadzības riska indekss - </w:t>
      </w:r>
      <w:r w:rsidRPr="0063727B">
        <w:t>iedzīvotāju īpatsvars (procentos) zem izraudzītā nabadzības riska sliekšņa.</w:t>
      </w:r>
    </w:p>
    <w:p w:rsidR="0032268B" w:rsidRDefault="0032268B" w:rsidP="00064C1E"/>
    <w:p w:rsidR="00C83653" w:rsidRDefault="00C83653" w:rsidP="00064C1E">
      <w:r w:rsidRPr="00427491">
        <w:rPr>
          <w:rStyle w:val="Strong"/>
        </w:rPr>
        <w:t>Sociālā atstumtība</w:t>
      </w:r>
      <w:r w:rsidRPr="00427491">
        <w:t> ir</w:t>
      </w:r>
      <w:r>
        <w:t xml:space="preserve"> </w:t>
      </w:r>
      <w:r w:rsidRPr="00427491">
        <w:t>indivīdu vai cilvēku grupu nespēja iekļauties sabiedrībā nabadzības, nepietiekamas izglītības, bezdarba, diskriminācijas vai citu apstākļu dēļ. Sociāli atstumts cilvēks nespēj piekļūt pakalpojumiem un precēm, nespēj īstenot savas tiesības un izmantot iespējas, jo pastāv šķēršļi, kas to liedz, piemēram, vides nepieejamība, sabiedrības aizspriedumi, emoci</w:t>
      </w:r>
      <w:r w:rsidR="00731F9C">
        <w:t>onālā un fiziskā vardarbība u.c</w:t>
      </w:r>
      <w:r w:rsidRPr="003F3B10">
        <w:t>.</w:t>
      </w:r>
      <w:r w:rsidR="00731F9C">
        <w:rPr>
          <w:rStyle w:val="FootnoteReference"/>
        </w:rPr>
        <w:footnoteReference w:id="5"/>
      </w:r>
    </w:p>
    <w:p w:rsidR="00FA3F81" w:rsidRDefault="00FA3F81" w:rsidP="00064C1E"/>
    <w:p w:rsidR="00FA3F81" w:rsidRDefault="00FA3F81" w:rsidP="00064C1E">
      <w:r w:rsidRPr="00FA3F81">
        <w:rPr>
          <w:b/>
        </w:rPr>
        <w:t>Sociālie transferti</w:t>
      </w:r>
      <w:r w:rsidRPr="00EA0927">
        <w:t xml:space="preserve"> ir valsts, pašvaldības piešķirtās pensijas un pabalsti, izmaksātie uzturlīdzekļi bērniem, stipendijas, sociālās apdrošināšanas pabalsti un kompensācijas, tai skaitā arī citu valstu.</w:t>
      </w:r>
      <w:r w:rsidRPr="00EA0927">
        <w:rPr>
          <w:rStyle w:val="FootnoteReference"/>
        </w:rPr>
        <w:footnoteReference w:id="6"/>
      </w:r>
    </w:p>
    <w:p w:rsidR="00C83653" w:rsidRPr="003F3B10" w:rsidRDefault="00C83653" w:rsidP="00064C1E">
      <w:pPr>
        <w:rPr>
          <w:i/>
        </w:rPr>
      </w:pPr>
    </w:p>
    <w:p w:rsidR="00C83653" w:rsidRDefault="00C83653" w:rsidP="00064C1E">
      <w:r w:rsidRPr="00E16DCF">
        <w:rPr>
          <w:b/>
        </w:rPr>
        <w:t>Ienākumu nevienlīdzība</w:t>
      </w:r>
      <w:r w:rsidRPr="003F3B10">
        <w:t xml:space="preserve"> nozīmē ienākumu nevienlīdzīgu pārdali starp iedzīvotājiem</w:t>
      </w:r>
      <w:r>
        <w:rPr>
          <w:rStyle w:val="FootnoteReference"/>
        </w:rPr>
        <w:footnoteReference w:id="7"/>
      </w:r>
      <w:r w:rsidRPr="003F3B10">
        <w:t xml:space="preserve">. </w:t>
      </w:r>
      <w:r w:rsidRPr="00E16DCF">
        <w:rPr>
          <w:b/>
        </w:rPr>
        <w:t>Tieši</w:t>
      </w:r>
      <w:r w:rsidR="00220F17">
        <w:rPr>
          <w:b/>
        </w:rPr>
        <w:t>e</w:t>
      </w:r>
      <w:r w:rsidRPr="00E16DCF">
        <w:rPr>
          <w:b/>
        </w:rPr>
        <w:t xml:space="preserve"> ienākumi</w:t>
      </w:r>
      <w:r w:rsidRPr="003F3B10">
        <w:t xml:space="preserve"> ietver monetāru atbalstu personai vai mājsaimniecībai (piemēram, atalgojums, pabalsti, pensijas u.c.). </w:t>
      </w:r>
      <w:r w:rsidRPr="00E16DCF">
        <w:rPr>
          <w:b/>
        </w:rPr>
        <w:t>Netiešie ienākumi</w:t>
      </w:r>
      <w:r w:rsidRPr="003F3B10">
        <w:t xml:space="preserve"> ietver atbalstu nemonetārā veidā (piemēram, pakalpojumu veidā – auklīšu pakalpojums, brīvpusdienas, asistenta pakalpojums u.tml.)</w:t>
      </w:r>
      <w:r w:rsidR="008D54E1">
        <w:t>.</w:t>
      </w:r>
    </w:p>
    <w:p w:rsidR="008D3C7E" w:rsidRDefault="008D3C7E" w:rsidP="00E426D6">
      <w:pPr>
        <w:pStyle w:val="NormalWeb"/>
        <w:shd w:val="clear" w:color="auto" w:fill="FFFFFF"/>
        <w:spacing w:line="295" w:lineRule="atLeast"/>
        <w:rPr>
          <w:b/>
          <w:shd w:val="clear" w:color="auto" w:fill="FFFFFF"/>
        </w:rPr>
      </w:pPr>
    </w:p>
    <w:p w:rsidR="00E426D6" w:rsidRPr="00107915" w:rsidRDefault="00E426D6" w:rsidP="00E426D6">
      <w:pPr>
        <w:pStyle w:val="NormalWeb"/>
        <w:shd w:val="clear" w:color="auto" w:fill="FFFFFF"/>
        <w:spacing w:line="295" w:lineRule="atLeast"/>
        <w:rPr>
          <w:rFonts w:eastAsia="Calibri"/>
          <w:bCs/>
          <w:kern w:val="0"/>
          <w:shd w:val="clear" w:color="auto" w:fill="FFFFFF"/>
          <w:lang w:eastAsia="lv-LV" w:bidi="ar-SA"/>
        </w:rPr>
      </w:pPr>
      <w:r w:rsidRPr="00064C1E">
        <w:rPr>
          <w:b/>
          <w:shd w:val="clear" w:color="auto" w:fill="FFFFFF"/>
        </w:rPr>
        <w:t>Ienākumu kvintiļu grupa</w:t>
      </w:r>
      <w:r>
        <w:rPr>
          <w:b/>
          <w:shd w:val="clear" w:color="auto" w:fill="FFFFFF"/>
        </w:rPr>
        <w:t xml:space="preserve"> </w:t>
      </w:r>
      <w:r w:rsidR="00C4292F">
        <w:rPr>
          <w:rFonts w:eastAsia="Calibri"/>
          <w:bCs/>
          <w:kern w:val="0"/>
          <w:shd w:val="clear" w:color="auto" w:fill="FFFFFF"/>
          <w:lang w:eastAsia="lv-LV" w:bidi="ar-SA"/>
        </w:rPr>
        <w:t>–</w:t>
      </w:r>
      <w:r w:rsidRPr="00107915">
        <w:rPr>
          <w:rFonts w:eastAsia="Calibri"/>
          <w:bCs/>
          <w:kern w:val="0"/>
          <w:shd w:val="clear" w:color="auto" w:fill="FFFFFF"/>
          <w:lang w:eastAsia="lv-LV" w:bidi="ar-SA"/>
        </w:rPr>
        <w:t xml:space="preserve"> </w:t>
      </w:r>
      <w:r>
        <w:rPr>
          <w:rFonts w:eastAsia="Calibri"/>
          <w:bCs/>
          <w:kern w:val="0"/>
          <w:shd w:val="clear" w:color="auto" w:fill="FFFFFF"/>
          <w:lang w:eastAsia="lv-LV" w:bidi="ar-SA"/>
        </w:rPr>
        <w:t>v</w:t>
      </w:r>
      <w:r w:rsidRPr="00107915">
        <w:rPr>
          <w:rFonts w:eastAsia="Calibri"/>
          <w:bCs/>
          <w:kern w:val="0"/>
          <w:shd w:val="clear" w:color="auto" w:fill="FFFFFF"/>
          <w:lang w:eastAsia="lv-LV" w:bidi="ar-SA"/>
        </w:rPr>
        <w:t xml:space="preserve">iena piektā daļa (20%) no apsekoto mājsaimniecību skaita, kuras </w:t>
      </w:r>
      <w:r w:rsidRPr="00107915">
        <w:rPr>
          <w:rFonts w:eastAsia="Calibri"/>
          <w:bCs/>
          <w:kern w:val="0"/>
          <w:shd w:val="clear" w:color="auto" w:fill="FFFFFF"/>
          <w:lang w:eastAsia="lv-LV" w:bidi="ar-SA"/>
        </w:rPr>
        <w:lastRenderedPageBreak/>
        <w:t>sagrupētas pieaugošā secībā pēc to rīcībā esošajiem ienākumiem uz vienu mājsaimniecības locekli. Pirmā kvintiļu grupa ietver mājsaimniecības ar zemākajiem ienākumiem, bet piektā kvintiļu grupa ietver mājsaimniecības ar augstākajiem ienākumiem.</w:t>
      </w:r>
      <w:r>
        <w:rPr>
          <w:rStyle w:val="FootnoteReference"/>
          <w:rFonts w:eastAsia="Calibri"/>
          <w:bCs/>
          <w:kern w:val="0"/>
          <w:shd w:val="clear" w:color="auto" w:fill="FFFFFF"/>
          <w:lang w:eastAsia="lv-LV" w:bidi="ar-SA"/>
        </w:rPr>
        <w:footnoteReference w:id="8"/>
      </w:r>
    </w:p>
    <w:p w:rsidR="00E426D6" w:rsidRDefault="00E426D6" w:rsidP="00064C1E"/>
    <w:p w:rsidR="00032697" w:rsidRPr="006F6D42" w:rsidRDefault="00032697" w:rsidP="00032697">
      <w:r w:rsidRPr="006F6D42">
        <w:rPr>
          <w:b/>
        </w:rPr>
        <w:t>Mājsaimniecība</w:t>
      </w:r>
      <w:r w:rsidRPr="006F6D42">
        <w:t xml:space="preserve"> </w:t>
      </w:r>
      <w:r>
        <w:t>–</w:t>
      </w:r>
      <w:r w:rsidRPr="006F6D42">
        <w:t xml:space="preserve"> </w:t>
      </w:r>
      <w:r w:rsidRPr="006F6D42">
        <w:rPr>
          <w:shd w:val="clear" w:color="auto" w:fill="FFFFFF"/>
        </w:rPr>
        <w:t>privātā mājsaimniecība (mājsaimniecība) ir vairākas personas, kuras dzīvo vienā mājoklī un kopīgi sedz izdevumus, vai viena persona, kura saimnieko atsevišķi</w:t>
      </w:r>
      <w:r w:rsidRPr="006F6D42">
        <w:rPr>
          <w:rFonts w:ascii="Open Sans" w:hAnsi="Open Sans"/>
          <w:shd w:val="clear" w:color="auto" w:fill="FFFFFF"/>
        </w:rPr>
        <w:t>.</w:t>
      </w:r>
      <w:r w:rsidRPr="006F6D42">
        <w:rPr>
          <w:rStyle w:val="FootnoteReference"/>
          <w:rFonts w:ascii="Open Sans" w:hAnsi="Open Sans"/>
          <w:shd w:val="clear" w:color="auto" w:fill="FFFFFF"/>
        </w:rPr>
        <w:footnoteReference w:id="9"/>
      </w:r>
    </w:p>
    <w:p w:rsidR="00032697" w:rsidRDefault="00032697" w:rsidP="00064C1E"/>
    <w:p w:rsidR="00A933DA" w:rsidRDefault="00A933DA" w:rsidP="00A933DA">
      <w:pPr>
        <w:tabs>
          <w:tab w:val="left" w:pos="540"/>
        </w:tabs>
      </w:pPr>
      <w:r w:rsidRPr="0063727B">
        <w:rPr>
          <w:b/>
          <w:bCs/>
        </w:rPr>
        <w:t>Materiālā nenodrošinātība</w:t>
      </w:r>
      <w:r w:rsidRPr="0063727B">
        <w:t xml:space="preserve"> – EU-SILC</w:t>
      </w:r>
      <w:r w:rsidRPr="0063727B">
        <w:rPr>
          <w:rStyle w:val="FootnoteReference"/>
        </w:rPr>
        <w:footnoteReference w:id="10"/>
      </w:r>
      <w:r w:rsidRPr="0063727B">
        <w:t xml:space="preserve"> apsekojumā tiek definēta kā iemeslu kopums, kas mājsaimniecībai liedz pieeju noteiktiem materiāliem labumiem. Materiālās nenodrošinātības rādītājus var aplūkot kā mājsaimniecību, tā arī tajās dzīvojošo personu līmenī. Dati tiek vākti, lai papildus monetārajiem un ienākumu nevienlīdzības indikatoriem, varētu vispusīgāk un plašāk novērtēt nabadzību un sociālo atstumtību</w:t>
      </w:r>
      <w:r w:rsidRPr="0063727B">
        <w:rPr>
          <w:rStyle w:val="FootnoteReference"/>
        </w:rPr>
        <w:footnoteReference w:id="11"/>
      </w:r>
      <w:r w:rsidRPr="0063727B">
        <w:t>.</w:t>
      </w:r>
    </w:p>
    <w:p w:rsidR="00032697" w:rsidRDefault="00032697" w:rsidP="00A933DA">
      <w:pPr>
        <w:tabs>
          <w:tab w:val="left" w:pos="540"/>
        </w:tabs>
      </w:pPr>
    </w:p>
    <w:p w:rsidR="00032697" w:rsidRPr="0009761F" w:rsidRDefault="00032697" w:rsidP="00032697">
      <w:r w:rsidRPr="002E3EEC">
        <w:rPr>
          <w:b/>
        </w:rPr>
        <w:t>Maznodrošinātas personas</w:t>
      </w:r>
      <w:r>
        <w:t xml:space="preserve"> statusu piešķir pašvaldība atbilstoši tās saistošajos noteikumos noteiktajai kārtībai. Lai personu atzītu par maznodrošinātu, tiek noteikts tās ik mēneša ienākumu līmenis, kas savukārt nedrīkst būs zemāks par trūcīgas personas ienākumu un materiālā stāvokļa </w:t>
      </w:r>
      <w:r w:rsidRPr="0009761F">
        <w:t>līmeni, kādu, pamatojoties uz Sociālo pakalpojumu un sociālās palīdzības likumu, noteicis Ministru kabinets. Pašvaldības noteiktais maznodrošinātas personas ienākumu līmenis var atšķirties dažādām personu grupām.</w:t>
      </w:r>
    </w:p>
    <w:p w:rsidR="00032697" w:rsidRDefault="00032697" w:rsidP="00A933DA">
      <w:pPr>
        <w:tabs>
          <w:tab w:val="left" w:pos="540"/>
        </w:tabs>
      </w:pPr>
    </w:p>
    <w:p w:rsidR="00032697" w:rsidRPr="006747DD" w:rsidRDefault="00032697" w:rsidP="00032697">
      <w:r w:rsidRPr="00FC7D35">
        <w:rPr>
          <w:b/>
        </w:rPr>
        <w:t>Trūcīga persona</w:t>
      </w:r>
      <w:r w:rsidRPr="00FC7D35">
        <w:t xml:space="preserve"> – </w:t>
      </w:r>
      <w:r>
        <w:t>trūcīgas personas statusu piešķir personai, ja tās ienākumu un materiālais stāvoklis nepārsniedz noteiktu līmeni. P</w:t>
      </w:r>
      <w:r w:rsidRPr="00FC7D35">
        <w:t xml:space="preserve">ersona atzīstama par trūcīgu, ja tās vidējie ienākumi mēnesī pēdējo trīs mēnešu laikā </w:t>
      </w:r>
      <w:r w:rsidRPr="006747DD">
        <w:t>nepārsniedz 128,06 EUR, tai nepieder naudas līdzekļu uzkrājumi vai īpašums, nav noslēgts uztura līgums, nesaņem ilgstošas sociālās aprūpes un sociālās rehabilitācijas institūcijas sniegtos pakalpojumus vai tā neatrodas ieslodzījumā, ir reģistrējusies NVA kā bezdarbnieks</w:t>
      </w:r>
      <w:r w:rsidRPr="006747DD">
        <w:rPr>
          <w:rStyle w:val="FootnoteReference"/>
        </w:rPr>
        <w:footnoteReference w:id="12"/>
      </w:r>
      <w:r w:rsidRPr="006747DD">
        <w:t>. MK noteikumu Nr. 299 19. un 19.</w:t>
      </w:r>
      <w:r w:rsidRPr="006747DD">
        <w:rPr>
          <w:vertAlign w:val="superscript"/>
        </w:rPr>
        <w:t>1</w:t>
      </w:r>
      <w:r w:rsidRPr="006747DD">
        <w:t xml:space="preserve"> punktā minēti izņēmumi attiecībā uz pieļaujamo naudas līdzekļu uzkrājuma apmēru un pieļaujamo kustamo un nekustamo īpašumu, lai personu varētu atzīt par trūcīgu.</w:t>
      </w:r>
    </w:p>
    <w:p w:rsidR="00A933DA" w:rsidRPr="006747DD" w:rsidRDefault="00A933DA" w:rsidP="00A933DA">
      <w:pPr>
        <w:tabs>
          <w:tab w:val="left" w:pos="540"/>
        </w:tabs>
        <w:rPr>
          <w:b/>
        </w:rPr>
      </w:pPr>
    </w:p>
    <w:p w:rsidR="00CF0137" w:rsidRPr="006747DD" w:rsidRDefault="00CF0137" w:rsidP="00A933DA">
      <w:pPr>
        <w:tabs>
          <w:tab w:val="left" w:pos="540"/>
        </w:tabs>
      </w:pPr>
      <w:r w:rsidRPr="006747DD">
        <w:rPr>
          <w:b/>
        </w:rPr>
        <w:t>Veselība</w:t>
      </w:r>
      <w:r w:rsidRPr="006747DD">
        <w:t xml:space="preserve"> – fiziska, garīga (psihiska) un sociāla labklājība, valsts un tautas pastāvēšanas un izdzīvošanas dabiskais pamats.</w:t>
      </w:r>
      <w:r w:rsidR="00731F9C" w:rsidRPr="006747DD">
        <w:rPr>
          <w:rStyle w:val="FootnoteReference"/>
        </w:rPr>
        <w:footnoteReference w:id="13"/>
      </w:r>
    </w:p>
    <w:p w:rsidR="00CF0137" w:rsidRPr="006747DD" w:rsidRDefault="00CF0137" w:rsidP="00A933DA">
      <w:pPr>
        <w:rPr>
          <w:b/>
        </w:rPr>
      </w:pPr>
    </w:p>
    <w:p w:rsidR="00CF0137" w:rsidRDefault="00CF0137" w:rsidP="00A933DA">
      <w:pPr>
        <w:rPr>
          <w:rFonts w:eastAsia="Cambria"/>
        </w:rPr>
      </w:pPr>
      <w:r w:rsidRPr="001F1193">
        <w:rPr>
          <w:rFonts w:eastAsia="Cambria"/>
          <w:b/>
          <w:bCs/>
        </w:rPr>
        <w:t xml:space="preserve">Primārā veselības aprūpe </w:t>
      </w:r>
      <w:r w:rsidRPr="001F1193">
        <w:rPr>
          <w:rFonts w:eastAsia="Cambria"/>
        </w:rPr>
        <w:t xml:space="preserve">– </w:t>
      </w:r>
      <w:r w:rsidR="00A00279" w:rsidRPr="00A00279">
        <w:rPr>
          <w:rFonts w:eastAsia="Cambria"/>
        </w:rPr>
        <w:t xml:space="preserve">veselības aprūpes pakalpojumu kopums, ko personai ambulatorajā ārstniecības iestādē vai personas dzīvesvietā sniedz primārās veselības aprūpes pakalpojumu </w:t>
      </w:r>
      <w:r w:rsidR="00A00279" w:rsidRPr="00A00279">
        <w:rPr>
          <w:rFonts w:eastAsia="Cambria"/>
        </w:rPr>
        <w:lastRenderedPageBreak/>
        <w:t>sniedzēji</w:t>
      </w:r>
      <w:r w:rsidR="00A00279">
        <w:rPr>
          <w:rStyle w:val="FootnoteReference"/>
          <w:rFonts w:eastAsia="Cambria"/>
        </w:rPr>
        <w:footnoteReference w:id="14"/>
      </w:r>
      <w:r w:rsidR="00A00279">
        <w:rPr>
          <w:rFonts w:eastAsia="Cambria"/>
        </w:rPr>
        <w:t xml:space="preserve">. Tas ir </w:t>
      </w:r>
      <w:r w:rsidRPr="001F1193">
        <w:rPr>
          <w:rFonts w:eastAsia="Cambria"/>
        </w:rPr>
        <w:t>pirmais un galvenais veselības aprūpes sistēmas līmenis, pirmais saskarsmes posms starp pacientu un veselības aprūpes pakalpojumu sniedzēju, kurā risina galvenās iedzīvotāju veselības problēmas, lietojot vienkāršas un izmaksu ziņā efektīvas medicīnas tehnoloģijas. Primāro veselības aprūpi savā pacientu sarakstā reģistrētajiem pacientiem nodrošina ģimenes ārsti kopā ar savu komandu (ārsta palīgu vai māsu un vecmāti), kā arī zobārstu, zobārsta asistentu, zob</w:t>
      </w:r>
      <w:r>
        <w:rPr>
          <w:rFonts w:eastAsia="Cambria"/>
        </w:rPr>
        <w:t>ārsta māsu un higiēnistu ambula</w:t>
      </w:r>
      <w:r w:rsidRPr="001F1193">
        <w:rPr>
          <w:rFonts w:eastAsia="Cambria"/>
        </w:rPr>
        <w:t>torajās ārstniecības iestādēs un stacionāro ārstniecības iestāžu ambulatorajā nodaļā.</w:t>
      </w:r>
      <w:r w:rsidR="00731F9C">
        <w:rPr>
          <w:rStyle w:val="FootnoteReference"/>
          <w:rFonts w:eastAsia="Cambria"/>
        </w:rPr>
        <w:footnoteReference w:id="15"/>
      </w:r>
    </w:p>
    <w:p w:rsidR="00CF0137" w:rsidRDefault="00CF0137" w:rsidP="00064C1E">
      <w:pPr>
        <w:rPr>
          <w:rFonts w:eastAsia="Cambria"/>
        </w:rPr>
      </w:pPr>
    </w:p>
    <w:p w:rsidR="00CF0137" w:rsidRDefault="00CF0137" w:rsidP="00064C1E">
      <w:r w:rsidRPr="001F1193">
        <w:rPr>
          <w:b/>
        </w:rPr>
        <w:t>Sekundārā veselības aprūpe</w:t>
      </w:r>
      <w:r w:rsidRPr="001F1193">
        <w:t xml:space="preserve"> – </w:t>
      </w:r>
      <w:r w:rsidR="00A00279" w:rsidRPr="00A00279">
        <w:t>veselības aprūpes pakalpojumu kopums, ko personai ārstniecības iestādē sniedz kādā slimību profilā specializējusies ārstniecības persona un kas orientēts uz neatliekamu, akūtu vai plānveida veselības aprūpi</w:t>
      </w:r>
      <w:r w:rsidRPr="001F1193">
        <w:t>.</w:t>
      </w:r>
      <w:r w:rsidR="00731F9C">
        <w:rPr>
          <w:rStyle w:val="FootnoteReference"/>
        </w:rPr>
        <w:footnoteReference w:id="16"/>
      </w:r>
    </w:p>
    <w:p w:rsidR="00CF0137" w:rsidRDefault="00CF0137" w:rsidP="00064C1E">
      <w:pPr>
        <w:tabs>
          <w:tab w:val="left" w:pos="540"/>
        </w:tabs>
        <w:spacing w:before="240"/>
      </w:pPr>
      <w:r w:rsidRPr="00F900B1">
        <w:rPr>
          <w:b/>
          <w:bCs/>
        </w:rPr>
        <w:t>Terciārā veselības aprūpe</w:t>
      </w:r>
      <w:r w:rsidRPr="00F900B1">
        <w:t xml:space="preserve"> </w:t>
      </w:r>
      <w:r w:rsidR="00C4292F">
        <w:t xml:space="preserve">– </w:t>
      </w:r>
      <w:r w:rsidR="00A00279" w:rsidRPr="00A00279">
        <w:t>augsti specializētu veselības aprūpes pakalpojumu kopums, ko personai ārstniecības iestādē sniedz viena vai vairākas kādā slimību profilā specializējušās ārstniecības personas ar papildu kvalifikāciju</w:t>
      </w:r>
      <w:r w:rsidR="00A00279">
        <w:t>.</w:t>
      </w:r>
      <w:r w:rsidR="00731F9C">
        <w:rPr>
          <w:rStyle w:val="FootnoteReference"/>
        </w:rPr>
        <w:footnoteReference w:id="17"/>
      </w:r>
    </w:p>
    <w:p w:rsidR="007D58AF" w:rsidRPr="007D58AF" w:rsidRDefault="007D58AF" w:rsidP="00064C1E">
      <w:pPr>
        <w:rPr>
          <w:color w:val="FF0000"/>
        </w:rPr>
      </w:pPr>
    </w:p>
    <w:p w:rsidR="007D58AF" w:rsidRPr="007D58AF" w:rsidRDefault="007D58AF" w:rsidP="00064C1E">
      <w:pPr>
        <w:rPr>
          <w:b/>
          <w:color w:val="FF0000"/>
        </w:rPr>
      </w:pPr>
      <w:r w:rsidRPr="00CF0137">
        <w:rPr>
          <w:b/>
        </w:rPr>
        <w:t xml:space="preserve">Sabiedrības veselība </w:t>
      </w:r>
      <w:r w:rsidR="00C4292F">
        <w:rPr>
          <w:b/>
        </w:rPr>
        <w:t>–</w:t>
      </w:r>
      <w:r w:rsidRPr="007D58AF">
        <w:rPr>
          <w:b/>
          <w:color w:val="FF0000"/>
        </w:rPr>
        <w:t xml:space="preserve"> </w:t>
      </w:r>
      <w:r w:rsidR="00CF0137" w:rsidRPr="001F1193">
        <w:t>zinātne un mērķtiecīga darbība, kas vērsta uz slimību profilaksi, dzīves ilguma pagarināšanu, garīgās (psihiskās) un fiziskās veselības veicināšanu, org</w:t>
      </w:r>
      <w:r w:rsidR="00CF0137">
        <w:t>anizējot plaša mēroga pasākumus.</w:t>
      </w:r>
      <w:r w:rsidR="00CF0137" w:rsidRPr="00CF0137">
        <w:t xml:space="preserve"> </w:t>
      </w:r>
      <w:r w:rsidR="00CF0137">
        <w:t>N</w:t>
      </w:r>
      <w:r w:rsidR="00CF0137" w:rsidRPr="009A39A2">
        <w:t>ozīmīga sabiedrības ilgtspējīgas attīstības pamatnozare un viens no sabiedrības organizētas darbības veidiem, lai aizsargātu, veicinātu un atjaunotu cilvēku veselību</w:t>
      </w:r>
      <w:r w:rsidR="00CF0137">
        <w:t>.</w:t>
      </w:r>
      <w:r w:rsidR="00CF0137">
        <w:rPr>
          <w:rStyle w:val="FootnoteReference"/>
        </w:rPr>
        <w:footnoteReference w:id="18"/>
      </w:r>
    </w:p>
    <w:p w:rsidR="00F55C07" w:rsidRDefault="00F55C07" w:rsidP="00064C1E">
      <w:pPr>
        <w:rPr>
          <w:b/>
        </w:rPr>
      </w:pPr>
    </w:p>
    <w:p w:rsidR="00C4292F" w:rsidRDefault="00C4292F" w:rsidP="00064C1E">
      <w:r w:rsidRPr="00C4292F">
        <w:rPr>
          <w:b/>
        </w:rPr>
        <w:t>Pacienta līdzmaksājums</w:t>
      </w:r>
      <w:r>
        <w:t xml:space="preserve"> – maksājums, ko persona veic </w:t>
      </w:r>
      <w:r w:rsidRPr="00C4292F">
        <w:t>veselības aprūpes pakalpojumu sniedzējam</w:t>
      </w:r>
      <w:r>
        <w:t>,</w:t>
      </w:r>
      <w:r w:rsidRPr="00C4292F">
        <w:t xml:space="preserve"> </w:t>
      </w:r>
      <w:r>
        <w:t>s</w:t>
      </w:r>
      <w:r w:rsidRPr="00C4292F">
        <w:t>aņemot valsts apmaksātus veselības aprūpes pakalpojumus.</w:t>
      </w:r>
    </w:p>
    <w:p w:rsidR="00C4292F" w:rsidRDefault="00C4292F" w:rsidP="00064C1E"/>
    <w:p w:rsidR="00C4292F" w:rsidRPr="00C4292F" w:rsidRDefault="00C4292F" w:rsidP="00064C1E">
      <w:r w:rsidRPr="00C4292F">
        <w:rPr>
          <w:b/>
        </w:rPr>
        <w:t>Tiešmaksājums</w:t>
      </w:r>
      <w:r>
        <w:t xml:space="preserve"> veselības aprūpē (</w:t>
      </w:r>
      <w:r w:rsidRPr="00C4292F">
        <w:rPr>
          <w:i/>
        </w:rPr>
        <w:t>out of pocket payment</w:t>
      </w:r>
      <w:r>
        <w:rPr>
          <w:i/>
        </w:rPr>
        <w:t>/ expenditure</w:t>
      </w:r>
      <w:r>
        <w:t>) –</w:t>
      </w:r>
      <w:r w:rsidRPr="00C4292F">
        <w:t xml:space="preserve"> </w:t>
      </w:r>
      <w:r>
        <w:t>tieši maksājumi, kuru veic indivīdi veselības ap</w:t>
      </w:r>
      <w:r w:rsidR="008E6527">
        <w:t>r</w:t>
      </w:r>
      <w:r>
        <w:t xml:space="preserve">ūpes pakalpojumu sniedzējam par saņemto aprūpi, t.i., ietverot </w:t>
      </w:r>
      <w:r w:rsidRPr="00C4292F">
        <w:t>pacientu līdzmaksājumu, maksājumus par pakalpojumiem, kurus neapmaksā no veselības aprūpes valsts budžeta līdzekļiem, un izdevumus zāļu iegādei.</w:t>
      </w:r>
    </w:p>
    <w:p w:rsidR="00C4292F" w:rsidRPr="007D58AF" w:rsidRDefault="00C4292F" w:rsidP="00064C1E">
      <w:pPr>
        <w:rPr>
          <w:b/>
          <w:color w:val="FF0000"/>
        </w:rPr>
      </w:pPr>
    </w:p>
    <w:p w:rsidR="00E51A18" w:rsidRPr="00E51A18" w:rsidRDefault="00E51A18" w:rsidP="00E51A18">
      <w:r w:rsidRPr="00E51A18">
        <w:rPr>
          <w:b/>
        </w:rPr>
        <w:t>Slimību profilakse</w:t>
      </w:r>
      <w:r w:rsidRPr="00E51A18">
        <w:t xml:space="preserve"> ietver dažādus pasākumus un darbības, lai slimības novērstu, apturētu to attīstību un mazinātu to radītās sekas. Īstenojamie pasākumi lielā mērā saistāmi tieši ar riska faktoru un dažādu apstākļu ietekmes mazināšanu uz organismu vai izvairīšanos no tiem. </w:t>
      </w:r>
      <w:r w:rsidR="002D0971">
        <w:t>S</w:t>
      </w:r>
      <w:r w:rsidRPr="00E51A18">
        <w:t>limību profilakses pasākum</w:t>
      </w:r>
      <w:r w:rsidR="002D0971">
        <w:t>os ietilpst</w:t>
      </w:r>
      <w:r w:rsidRPr="00E51A18">
        <w:t xml:space="preserve"> veselīga dzīvesveida praktizēšan</w:t>
      </w:r>
      <w:r w:rsidR="002D0971">
        <w:t>a</w:t>
      </w:r>
      <w:r w:rsidRPr="00E51A18">
        <w:t xml:space="preserve"> ikdienā, vakcinācij</w:t>
      </w:r>
      <w:r w:rsidR="002D0971">
        <w:t>a</w:t>
      </w:r>
      <w:r w:rsidRPr="00E51A18">
        <w:t xml:space="preserve"> pret infekcijas slimībām, kā arī savlaicīga un agrīna slimību diagnostika, tādējādi samazinot hronisku slimību attīstības, invaliditātes un priekšlaicīgas nāves risku</w:t>
      </w:r>
      <w:r>
        <w:rPr>
          <w:rStyle w:val="FootnoteReference"/>
        </w:rPr>
        <w:footnoteReference w:id="19"/>
      </w:r>
      <w:r w:rsidRPr="00E51A18">
        <w:t>.</w:t>
      </w:r>
    </w:p>
    <w:p w:rsidR="00E51A18" w:rsidRPr="00E51A18" w:rsidRDefault="00E51A18" w:rsidP="00E51A18"/>
    <w:p w:rsidR="00E51A18" w:rsidRPr="00E51A18" w:rsidRDefault="00E51A18" w:rsidP="00E51A18">
      <w:r w:rsidRPr="00E51A18">
        <w:rPr>
          <w:b/>
        </w:rPr>
        <w:t>Veselības veicināšana</w:t>
      </w:r>
      <w:r w:rsidRPr="00E51A18">
        <w:t xml:space="preserve"> ir process, kas rada iespēju katram cilvēkam pastiprināt kontroli pār savu veselību un uzlabot to. Šis process ietver darbību kopumu, kurš vērsts uz slimību cēloņu novēršanu, </w:t>
      </w:r>
      <w:r w:rsidRPr="00E51A18">
        <w:lastRenderedPageBreak/>
        <w:t>samazinot vides un sociālekonomisko faktoru ietekmi uz to, tādējādi veicinot veselīgu dzīvesveida paradumu veidošanos un to uzturēšanu ilgtermiņā</w:t>
      </w:r>
      <w:r>
        <w:rPr>
          <w:rStyle w:val="FootnoteReference"/>
        </w:rPr>
        <w:footnoteReference w:id="20"/>
      </w:r>
      <w:r w:rsidRPr="00E51A18">
        <w:t>.</w:t>
      </w:r>
    </w:p>
    <w:p w:rsidR="00E51A18" w:rsidRDefault="00E51A18" w:rsidP="00064C1E">
      <w:pPr>
        <w:rPr>
          <w:b/>
        </w:rPr>
      </w:pPr>
    </w:p>
    <w:p w:rsidR="00FD7C72" w:rsidRPr="004E4C8B" w:rsidRDefault="00FD7C72" w:rsidP="00064C1E">
      <w:r w:rsidRPr="004E4C8B">
        <w:rPr>
          <w:b/>
        </w:rPr>
        <w:t xml:space="preserve">Mājokļa joma </w:t>
      </w:r>
      <w:r w:rsidR="00D01C27" w:rsidRPr="004E4C8B">
        <w:t xml:space="preserve">aptver tiesību uz mājokli kopumu, kuru veido septiņi elementi </w:t>
      </w:r>
      <w:r w:rsidR="00731F9C" w:rsidRPr="004E4C8B">
        <w:t>–</w:t>
      </w:r>
      <w:r w:rsidR="00D01C27" w:rsidRPr="004E4C8B">
        <w:t xml:space="preserve"> </w:t>
      </w:r>
      <w:r w:rsidR="00731F9C" w:rsidRPr="004E4C8B">
        <w:t xml:space="preserve"> 1) </w:t>
      </w:r>
      <w:r w:rsidR="00D01C27" w:rsidRPr="004E4C8B">
        <w:t xml:space="preserve">valdījuma tiesiskā nodrošināšana, </w:t>
      </w:r>
      <w:r w:rsidR="00731F9C" w:rsidRPr="004E4C8B">
        <w:t xml:space="preserve">2) </w:t>
      </w:r>
      <w:r w:rsidR="00D01C27" w:rsidRPr="004E4C8B">
        <w:t xml:space="preserve">pakalpojumu, materiālu un infrastruktūras pieejamība, </w:t>
      </w:r>
      <w:r w:rsidR="00731F9C" w:rsidRPr="004E4C8B">
        <w:t xml:space="preserve">3) </w:t>
      </w:r>
      <w:r w:rsidR="00D01C27" w:rsidRPr="004E4C8B">
        <w:t xml:space="preserve">mājokļa pieejamība no izdevumu viedokļa, </w:t>
      </w:r>
      <w:r w:rsidR="00731F9C" w:rsidRPr="004E4C8B">
        <w:t xml:space="preserve">4) </w:t>
      </w:r>
      <w:r w:rsidR="00D01C27" w:rsidRPr="004E4C8B">
        <w:t xml:space="preserve">mājokļa derīgums dzīvošanai, </w:t>
      </w:r>
      <w:r w:rsidR="00731F9C" w:rsidRPr="004E4C8B">
        <w:t xml:space="preserve">5) </w:t>
      </w:r>
      <w:r w:rsidR="00D01C27" w:rsidRPr="004E4C8B">
        <w:t xml:space="preserve">mājokļa pieejamība, </w:t>
      </w:r>
      <w:r w:rsidR="00731F9C" w:rsidRPr="004E4C8B">
        <w:t xml:space="preserve">6) </w:t>
      </w:r>
      <w:r w:rsidR="00D01C27" w:rsidRPr="004E4C8B">
        <w:t xml:space="preserve">mājokļa novietojums, </w:t>
      </w:r>
      <w:r w:rsidR="00731F9C" w:rsidRPr="004E4C8B">
        <w:t xml:space="preserve">7) </w:t>
      </w:r>
      <w:r w:rsidR="00D01C27" w:rsidRPr="004E4C8B">
        <w:t>mājokļa atbilstība kultūra</w:t>
      </w:r>
      <w:r w:rsidR="004E4C8B" w:rsidRPr="004E4C8B">
        <w:t>i</w:t>
      </w:r>
      <w:r w:rsidR="00D01C27" w:rsidRPr="004E4C8B">
        <w:t>.</w:t>
      </w:r>
      <w:r w:rsidR="00731F9C" w:rsidRPr="004E4C8B">
        <w:rPr>
          <w:rStyle w:val="FootnoteReference"/>
        </w:rPr>
        <w:footnoteReference w:id="21"/>
      </w:r>
      <w:r w:rsidR="00D01C27" w:rsidRPr="004E4C8B">
        <w:t xml:space="preserve"> </w:t>
      </w:r>
      <w:r w:rsidR="000003F9" w:rsidRPr="004E4C8B">
        <w:t xml:space="preserve">Izvērtējumā mājokļa jomas ietvaros analizēti </w:t>
      </w:r>
      <w:r w:rsidR="000003F9" w:rsidRPr="009E650F">
        <w:t xml:space="preserve">2), 3), </w:t>
      </w:r>
      <w:r w:rsidR="004E4C8B" w:rsidRPr="009E650F">
        <w:t xml:space="preserve">4), </w:t>
      </w:r>
      <w:r w:rsidR="000003F9" w:rsidRPr="009E650F">
        <w:t>5)</w:t>
      </w:r>
      <w:r w:rsidR="004E4C8B" w:rsidRPr="009E650F">
        <w:t>, 6)</w:t>
      </w:r>
      <w:r w:rsidR="000003F9" w:rsidRPr="009E650F">
        <w:t xml:space="preserve"> elementi. </w:t>
      </w:r>
      <w:r w:rsidR="00AF6681" w:rsidRPr="009E650F">
        <w:t xml:space="preserve">Izvērstu visu elementu skaidrojumu sk. </w:t>
      </w:r>
      <w:r w:rsidR="009E650F" w:rsidRPr="009E650F">
        <w:t>3.1.3. sa</w:t>
      </w:r>
      <w:r w:rsidR="00AF6681" w:rsidRPr="009E650F">
        <w:t>daļā „Nevienlīdzības</w:t>
      </w:r>
      <w:r w:rsidR="00AF6681">
        <w:t xml:space="preserve"> mājokļa jomā definēšana”. </w:t>
      </w:r>
    </w:p>
    <w:p w:rsidR="00731F9C" w:rsidRPr="005B74DD" w:rsidRDefault="00731F9C" w:rsidP="00064C1E">
      <w:pPr>
        <w:rPr>
          <w:highlight w:val="yellow"/>
        </w:rPr>
      </w:pPr>
    </w:p>
    <w:p w:rsidR="00C83653" w:rsidRDefault="00C83653" w:rsidP="00064C1E">
      <w:r>
        <w:rPr>
          <w:b/>
        </w:rPr>
        <w:t xml:space="preserve">Tiesību akti </w:t>
      </w:r>
      <w:r w:rsidR="007D58AF">
        <w:t>– I</w:t>
      </w:r>
      <w:r>
        <w:t xml:space="preserve">zvērtējumā tiks pamatā analizēti šādi tiesību aktu veidi: likumi, ministru kabineta noteikumi, pašvaldību saistošie noteikumi. Visi minētie veidi ir normatīvie akti. Atbilstoši tiesību aktu veidiem tiesību akti ir arī </w:t>
      </w:r>
      <w:r w:rsidR="000248EA">
        <w:t>S</w:t>
      </w:r>
      <w:r>
        <w:t>atversmes tiesas spriedumi, lēmumi, regl</w:t>
      </w:r>
      <w:r w:rsidR="000248EA">
        <w:t>amenti, starptautiskie līgumi, M</w:t>
      </w:r>
      <w:r>
        <w:t>inistru kabineta rīkojumi, instrukcijas, protokoli, Valsts prezidenta rīkojumi un paziņojumi, valsts institūciju rīkojumi, lēmumi, noteikumi.</w:t>
      </w:r>
    </w:p>
    <w:p w:rsidR="00C83653" w:rsidRDefault="00C83653" w:rsidP="00064C1E">
      <w:pPr>
        <w:rPr>
          <w:b/>
        </w:rPr>
      </w:pPr>
    </w:p>
    <w:p w:rsidR="00C83653" w:rsidRDefault="00C83653" w:rsidP="00064C1E">
      <w:r w:rsidRPr="000C736F">
        <w:rPr>
          <w:b/>
        </w:rPr>
        <w:t>Normatīvie akti</w:t>
      </w:r>
      <w:r>
        <w:t xml:space="preserve"> ir rakstveida juridiskie akti, ko izdod kompetentas valsts iestādes un kas satur tiesību normas (vispārobligātus uzvedības noteikumus). Normatīvie akti ir konstitūcijas, kodeksi, likumi, noteikumi u.c., kas satur tiesību normas. Normatīvo aktu mērķis ir noregulēt sabiedriskās attiecības. Pie normatīvajiem aktiem pieder arī tādi akti, kas ne tikai nosaka tiesību normas, bet arī groza tās vai atceļ.</w:t>
      </w:r>
      <w:r>
        <w:rPr>
          <w:rStyle w:val="FootnoteReference"/>
        </w:rPr>
        <w:footnoteReference w:id="22"/>
      </w:r>
    </w:p>
    <w:p w:rsidR="00EE3A02" w:rsidRDefault="00EE3A02" w:rsidP="00064C1E"/>
    <w:p w:rsidR="00C83653" w:rsidRDefault="00C83653" w:rsidP="00064C1E">
      <w:pPr>
        <w:rPr>
          <w:shd w:val="clear" w:color="auto" w:fill="FFFFFF"/>
        </w:rPr>
      </w:pPr>
      <w:r w:rsidRPr="00076D8B">
        <w:rPr>
          <w:b/>
          <w:shd w:val="clear" w:color="auto" w:fill="FFFFFF"/>
        </w:rPr>
        <w:t>Politikas plānošanas dokumenti</w:t>
      </w:r>
      <w:r w:rsidRPr="00076D8B">
        <w:rPr>
          <w:shd w:val="clear" w:color="auto" w:fill="FFFFFF"/>
        </w:rPr>
        <w:t xml:space="preserve"> ir pamatnostādnes, plāns un konceptuāls ziņojums (atbilstoši </w:t>
      </w:r>
      <w:r w:rsidRPr="00076D8B">
        <w:rPr>
          <w:bCs/>
          <w:shd w:val="clear" w:color="auto" w:fill="FFFFFF"/>
        </w:rPr>
        <w:t>Ministru kabineta 2014</w:t>
      </w:r>
      <w:r w:rsidRPr="00076D8B">
        <w:rPr>
          <w:shd w:val="clear" w:color="auto" w:fill="FFFFFF"/>
        </w:rPr>
        <w:t>. </w:t>
      </w:r>
      <w:r w:rsidRPr="00076D8B">
        <w:rPr>
          <w:bCs/>
          <w:shd w:val="clear" w:color="auto" w:fill="FFFFFF"/>
        </w:rPr>
        <w:t>gada 2</w:t>
      </w:r>
      <w:r w:rsidRPr="00076D8B">
        <w:rPr>
          <w:shd w:val="clear" w:color="auto" w:fill="FFFFFF"/>
        </w:rPr>
        <w:t>. </w:t>
      </w:r>
      <w:r w:rsidRPr="00076D8B">
        <w:rPr>
          <w:bCs/>
          <w:shd w:val="clear" w:color="auto" w:fill="FFFFFF"/>
        </w:rPr>
        <w:t>decembra noteikumu Nr</w:t>
      </w:r>
      <w:r w:rsidRPr="00076D8B">
        <w:rPr>
          <w:shd w:val="clear" w:color="auto" w:fill="FFFFFF"/>
        </w:rPr>
        <w:t>.</w:t>
      </w:r>
      <w:r w:rsidRPr="00076D8B">
        <w:rPr>
          <w:bCs/>
          <w:shd w:val="clear" w:color="auto" w:fill="FFFFFF"/>
        </w:rPr>
        <w:t>737</w:t>
      </w:r>
      <w:r w:rsidRPr="00076D8B">
        <w:rPr>
          <w:shd w:val="clear" w:color="auto" w:fill="FFFFFF"/>
        </w:rPr>
        <w:t> „</w:t>
      </w:r>
      <w:r w:rsidRPr="00076D8B">
        <w:rPr>
          <w:bCs/>
          <w:shd w:val="clear" w:color="auto" w:fill="FFFFFF"/>
        </w:rPr>
        <w:t>Attīstības plānošanas dokumentu izstrādes</w:t>
      </w:r>
      <w:r w:rsidRPr="00076D8B">
        <w:rPr>
          <w:shd w:val="clear" w:color="auto" w:fill="FFFFFF"/>
        </w:rPr>
        <w:t> un </w:t>
      </w:r>
      <w:r w:rsidRPr="00076D8B">
        <w:rPr>
          <w:bCs/>
          <w:shd w:val="clear" w:color="auto" w:fill="FFFFFF"/>
        </w:rPr>
        <w:t>ietekmes izvērtēšanas noteikumi</w:t>
      </w:r>
      <w:r w:rsidR="005B3A97">
        <w:rPr>
          <w:shd w:val="clear" w:color="auto" w:fill="FFFFFF"/>
        </w:rPr>
        <w:t xml:space="preserve">” II. daļai.). Šajā izvērtējumā analizēti arī informatīvie ziņojumi, </w:t>
      </w:r>
      <w:r w:rsidR="005B3A97">
        <w:rPr>
          <w:color w:val="000000"/>
          <w:shd w:val="clear" w:color="auto" w:fill="FFFFFF"/>
        </w:rPr>
        <w:t>informatīvi ziņojumi, kas, kaut arī netiek klasificēti kā politikas plānošanas dokumenti, tomēr sniedz būtisku informāciju par rīcībpolitikas plānošanas procesu</w:t>
      </w:r>
      <w:r w:rsidRPr="00076D8B">
        <w:rPr>
          <w:shd w:val="clear" w:color="auto" w:fill="FFFFFF"/>
        </w:rPr>
        <w:t>.</w:t>
      </w:r>
    </w:p>
    <w:p w:rsidR="00064C1E" w:rsidRDefault="00064C1E" w:rsidP="00064C1E">
      <w:pPr>
        <w:rPr>
          <w:shd w:val="clear" w:color="auto" w:fill="FFFFFF"/>
        </w:rPr>
      </w:pPr>
    </w:p>
    <w:p w:rsidR="00064C1E" w:rsidRPr="00107915" w:rsidRDefault="00064C1E" w:rsidP="00064C1E"/>
    <w:p w:rsidR="00C83653" w:rsidRPr="00E16DCF" w:rsidRDefault="00C83653" w:rsidP="00064C1E">
      <w:r>
        <w:t xml:space="preserve">   </w:t>
      </w:r>
    </w:p>
    <w:p w:rsidR="005B06A0" w:rsidRDefault="005B06A0">
      <w:pPr>
        <w:spacing w:line="240" w:lineRule="auto"/>
        <w:jc w:val="left"/>
        <w:rPr>
          <w:rFonts w:asciiTheme="majorHAnsi" w:eastAsiaTheme="majorEastAsia" w:hAnsiTheme="majorHAnsi" w:cstheme="majorBidi"/>
          <w:b/>
          <w:i/>
          <w:color w:val="002060"/>
          <w:sz w:val="28"/>
        </w:rPr>
      </w:pPr>
      <w:bookmarkStart w:id="23" w:name="_Toc6841504"/>
      <w:r>
        <w:br w:type="page"/>
      </w:r>
    </w:p>
    <w:p w:rsidR="002075BB" w:rsidRPr="00A661B6" w:rsidRDefault="002075BB" w:rsidP="003945E0">
      <w:pPr>
        <w:pStyle w:val="navnumirsaturlevel3"/>
        <w:outlineLvl w:val="0"/>
      </w:pPr>
      <w:r w:rsidRPr="00A661B6">
        <w:lastRenderedPageBreak/>
        <w:t>Saīsinājumi</w:t>
      </w:r>
      <w:bookmarkEnd w:id="23"/>
    </w:p>
    <w:p w:rsidR="009318AF" w:rsidRDefault="009318AF" w:rsidP="00DE4D97">
      <w:bookmarkStart w:id="24" w:name="_Toc2761022"/>
      <w:bookmarkStart w:id="25" w:name="_Toc2848125"/>
      <w:bookmarkStart w:id="26" w:name="_Toc6219169"/>
      <w:bookmarkStart w:id="27" w:name="_Toc6220050"/>
      <w:bookmarkStart w:id="28" w:name="_Toc6841505"/>
      <w:r w:rsidRPr="00315872">
        <w:t>ADTP</w:t>
      </w:r>
      <w:r>
        <w:t xml:space="preserve"> – aktīvā darba tirgus politika</w:t>
      </w:r>
      <w:bookmarkEnd w:id="24"/>
      <w:bookmarkEnd w:id="25"/>
      <w:bookmarkEnd w:id="26"/>
      <w:bookmarkEnd w:id="27"/>
      <w:bookmarkEnd w:id="28"/>
    </w:p>
    <w:p w:rsidR="00E1709F" w:rsidRDefault="00E1709F" w:rsidP="00064C1E">
      <w:r>
        <w:t xml:space="preserve">AER </w:t>
      </w:r>
      <w:r w:rsidR="00FB37BD">
        <w:t>–</w:t>
      </w:r>
      <w:r>
        <w:t xml:space="preserve"> </w:t>
      </w:r>
      <w:r>
        <w:rPr>
          <w:bCs/>
        </w:rPr>
        <w:t>atjaunojamie</w:t>
      </w:r>
      <w:r w:rsidRPr="002E01E3">
        <w:rPr>
          <w:bCs/>
        </w:rPr>
        <w:t xml:space="preserve"> </w:t>
      </w:r>
      <w:r>
        <w:rPr>
          <w:bCs/>
        </w:rPr>
        <w:t>energo</w:t>
      </w:r>
      <w:r w:rsidRPr="002E01E3">
        <w:rPr>
          <w:bCs/>
        </w:rPr>
        <w:t>resursi</w:t>
      </w:r>
    </w:p>
    <w:p w:rsidR="000E0000" w:rsidRDefault="000E0000" w:rsidP="00064C1E">
      <w:r>
        <w:t>AIDS – iegūtais imūndeficīta sindroms, HIV infekcijas beigu stadija</w:t>
      </w:r>
    </w:p>
    <w:p w:rsidR="00FF176F" w:rsidRDefault="00FF176F" w:rsidP="00064C1E">
      <w:r>
        <w:t>BKA – bērna kopšanas atvaļinājums</w:t>
      </w:r>
    </w:p>
    <w:p w:rsidR="00C83653" w:rsidRPr="008308C8" w:rsidRDefault="00C83653" w:rsidP="00064C1E">
      <w:r w:rsidRPr="008308C8">
        <w:t>CSP</w:t>
      </w:r>
      <w:r w:rsidR="00C8593C" w:rsidRPr="008308C8">
        <w:t xml:space="preserve"> - Centrālā statistikas pārvalde</w:t>
      </w:r>
    </w:p>
    <w:p w:rsidR="00D55B47" w:rsidRDefault="00D55B47" w:rsidP="00064C1E">
      <w:r>
        <w:t xml:space="preserve">ČAES – Černobiļas atomelektrostacija </w:t>
      </w:r>
    </w:p>
    <w:p w:rsidR="00FD6ADA" w:rsidRDefault="00FD6ADA" w:rsidP="00064C1E">
      <w:r w:rsidRPr="002221EA">
        <w:rPr>
          <w:spacing w:val="6"/>
        </w:rPr>
        <w:t xml:space="preserve">EAFVP </w:t>
      </w:r>
      <w:r w:rsidR="00FB37BD">
        <w:rPr>
          <w:spacing w:val="6"/>
        </w:rPr>
        <w:t>–</w:t>
      </w:r>
      <w:r>
        <w:rPr>
          <w:spacing w:val="6"/>
        </w:rPr>
        <w:t xml:space="preserve"> </w:t>
      </w:r>
      <w:r w:rsidRPr="002221EA">
        <w:rPr>
          <w:spacing w:val="6"/>
        </w:rPr>
        <w:t>Eiropas Atbalsta fond</w:t>
      </w:r>
      <w:r w:rsidR="00DB09DB">
        <w:rPr>
          <w:spacing w:val="6"/>
        </w:rPr>
        <w:t>s</w:t>
      </w:r>
      <w:r w:rsidRPr="002221EA">
        <w:rPr>
          <w:spacing w:val="6"/>
        </w:rPr>
        <w:t xml:space="preserve"> vistrūcīgākajām personām</w:t>
      </w:r>
    </w:p>
    <w:p w:rsidR="00B82DCF" w:rsidRDefault="00B82DCF" w:rsidP="00064C1E">
      <w:r>
        <w:t>EM – Ekonomikas ministrija</w:t>
      </w:r>
    </w:p>
    <w:p w:rsidR="00C83653" w:rsidRPr="008308C8" w:rsidRDefault="00D54545" w:rsidP="00064C1E">
      <w:r>
        <w:t>EU-</w:t>
      </w:r>
      <w:r w:rsidR="00C83653" w:rsidRPr="008308C8">
        <w:t>SILC</w:t>
      </w:r>
      <w:r w:rsidR="00CD7633" w:rsidRPr="008308C8">
        <w:t xml:space="preserve"> </w:t>
      </w:r>
      <w:r w:rsidR="002C6CF9">
        <w:t>–</w:t>
      </w:r>
      <w:r w:rsidR="00CD7633" w:rsidRPr="008308C8">
        <w:t xml:space="preserve"> </w:t>
      </w:r>
      <w:r w:rsidR="007230A3">
        <w:rPr>
          <w:i/>
          <w:shd w:val="clear" w:color="auto" w:fill="FFFFFF"/>
        </w:rPr>
        <w:t>E</w:t>
      </w:r>
      <w:r w:rsidR="00C15312">
        <w:rPr>
          <w:i/>
          <w:shd w:val="clear" w:color="auto" w:fill="FFFFFF"/>
        </w:rPr>
        <w:t>u</w:t>
      </w:r>
      <w:r w:rsidR="007230A3">
        <w:rPr>
          <w:i/>
          <w:shd w:val="clear" w:color="auto" w:fill="FFFFFF"/>
        </w:rPr>
        <w:t>ro</w:t>
      </w:r>
      <w:r w:rsidR="008308C8" w:rsidRPr="008308C8">
        <w:rPr>
          <w:i/>
          <w:shd w:val="clear" w:color="auto" w:fill="FFFFFF"/>
        </w:rPr>
        <w:t xml:space="preserve">pean Union Statistics on Income and Living Conditions </w:t>
      </w:r>
      <w:r w:rsidR="008308C8" w:rsidRPr="008308C8">
        <w:rPr>
          <w:shd w:val="clear" w:color="auto" w:fill="FFFFFF"/>
        </w:rPr>
        <w:t xml:space="preserve">(Eiropas Savienības </w:t>
      </w:r>
      <w:r w:rsidR="008308C8" w:rsidRPr="008308C8">
        <w:rPr>
          <w:color w:val="000000"/>
        </w:rPr>
        <w:t>statistika par ienākumiem un dzīves apstākļiem)</w:t>
      </w:r>
    </w:p>
    <w:p w:rsidR="00A742EB" w:rsidRDefault="00A742EB" w:rsidP="00064C1E">
      <w:r>
        <w:t xml:space="preserve">ES – Eiropas Savienība </w:t>
      </w:r>
    </w:p>
    <w:p w:rsidR="007D58AF" w:rsidRPr="008308C8" w:rsidRDefault="007D58AF" w:rsidP="00064C1E">
      <w:r w:rsidRPr="008308C8">
        <w:t>FGD – fokusa grup</w:t>
      </w:r>
      <w:r w:rsidR="00B22D4A">
        <w:t>as</w:t>
      </w:r>
      <w:r w:rsidRPr="008308C8">
        <w:t xml:space="preserve"> diskusija </w:t>
      </w:r>
    </w:p>
    <w:p w:rsidR="00C37908" w:rsidRDefault="00C37908" w:rsidP="00064C1E">
      <w:r>
        <w:t>FM</w:t>
      </w:r>
      <w:r w:rsidR="002C6CF9">
        <w:t xml:space="preserve"> –</w:t>
      </w:r>
      <w:r>
        <w:t xml:space="preserve"> Finanšu ministrija </w:t>
      </w:r>
    </w:p>
    <w:p w:rsidR="00D55B47" w:rsidRDefault="00D55B47" w:rsidP="00064C1E">
      <w:r>
        <w:t xml:space="preserve">g.  </w:t>
      </w:r>
      <w:r w:rsidR="0019398A">
        <w:t>–</w:t>
      </w:r>
      <w:r>
        <w:t xml:space="preserve"> gads</w:t>
      </w:r>
    </w:p>
    <w:p w:rsidR="0019398A" w:rsidRPr="007F6E57" w:rsidRDefault="0019398A" w:rsidP="0019398A">
      <w:r w:rsidRPr="007F6E57">
        <w:t>HIV – cilvēka imūndeficīta vīruss</w:t>
      </w:r>
    </w:p>
    <w:p w:rsidR="009318AF" w:rsidRDefault="009318AF" w:rsidP="00064C1E">
      <w:r>
        <w:t>IIN – iedzīvotāju ienākuma nodoklis</w:t>
      </w:r>
    </w:p>
    <w:p w:rsidR="00E1709F" w:rsidRDefault="00E1709F" w:rsidP="00064C1E">
      <w:r>
        <w:t>LM – Labklājības ministrija</w:t>
      </w:r>
    </w:p>
    <w:p w:rsidR="005C0F9E" w:rsidRDefault="005C0F9E" w:rsidP="00064C1E">
      <w:r>
        <w:t>LR – Latvijas Republika</w:t>
      </w:r>
    </w:p>
    <w:p w:rsidR="00064C1E" w:rsidRDefault="00064C1E" w:rsidP="00064C1E">
      <w:r>
        <w:t>NRP – Latvijas Nacionālā reformu programma</w:t>
      </w:r>
    </w:p>
    <w:p w:rsidR="00C8593C" w:rsidRPr="008308C8" w:rsidRDefault="00C8593C" w:rsidP="00064C1E">
      <w:r w:rsidRPr="008308C8">
        <w:t>MK – Ministru kabinets</w:t>
      </w:r>
    </w:p>
    <w:p w:rsidR="009318AF" w:rsidRDefault="009318AF" w:rsidP="00064C1E">
      <w:r>
        <w:t>NRP – Nacionālā reformu programma</w:t>
      </w:r>
    </w:p>
    <w:p w:rsidR="00C8593C" w:rsidRPr="008308C8" w:rsidRDefault="00C8593C" w:rsidP="00064C1E">
      <w:r w:rsidRPr="008308C8">
        <w:t>NVD – Nacionālais veselības dienests</w:t>
      </w:r>
    </w:p>
    <w:p w:rsidR="007A2EDA" w:rsidRDefault="007A2EDA" w:rsidP="00064C1E">
      <w:r>
        <w:t>NVO – nevalstiskās organizācijas</w:t>
      </w:r>
    </w:p>
    <w:p w:rsidR="000003F9" w:rsidRPr="000003F9" w:rsidRDefault="000003F9" w:rsidP="00064C1E">
      <w:r w:rsidRPr="000003F9">
        <w:t xml:space="preserve">OECD </w:t>
      </w:r>
      <w:r w:rsidR="002C6CF9">
        <w:t>–</w:t>
      </w:r>
      <w:r w:rsidRPr="000003F9">
        <w:t xml:space="preserve"> </w:t>
      </w:r>
      <w:r w:rsidRPr="000003F9">
        <w:rPr>
          <w:i/>
          <w:iCs/>
          <w:color w:val="000000"/>
          <w:shd w:val="clear" w:color="auto" w:fill="FFFFFF"/>
        </w:rPr>
        <w:t xml:space="preserve">Organisation for Economic Co-operation and Development </w:t>
      </w:r>
      <w:r w:rsidRPr="000003F9">
        <w:rPr>
          <w:iCs/>
          <w:color w:val="000000"/>
          <w:shd w:val="clear" w:color="auto" w:fill="FFFFFF"/>
        </w:rPr>
        <w:t>(</w:t>
      </w:r>
      <w:r w:rsidRPr="000003F9">
        <w:rPr>
          <w:bCs/>
          <w:color w:val="000000"/>
          <w:shd w:val="clear" w:color="auto" w:fill="FFFFFF"/>
        </w:rPr>
        <w:t>Ekonomiskās sadarbības un attīstības organizācija</w:t>
      </w:r>
      <w:r w:rsidRPr="000003F9">
        <w:rPr>
          <w:iCs/>
          <w:color w:val="000000"/>
          <w:shd w:val="clear" w:color="auto" w:fill="FFFFFF"/>
        </w:rPr>
        <w:t>)</w:t>
      </w:r>
    </w:p>
    <w:p w:rsidR="00C8593C" w:rsidRPr="008308C8" w:rsidRDefault="00C8593C" w:rsidP="00064C1E">
      <w:r w:rsidRPr="008308C8">
        <w:t>PB – Pasaules Banka</w:t>
      </w:r>
    </w:p>
    <w:p w:rsidR="00E1709F" w:rsidRDefault="00E1709F" w:rsidP="00064C1E">
      <w:r>
        <w:t>PMLP – Pilsonības un migrācijas lietu pārvalde</w:t>
      </w:r>
    </w:p>
    <w:p w:rsidR="00C8593C" w:rsidRPr="008308C8" w:rsidRDefault="00C8593C" w:rsidP="00064C1E">
      <w:r w:rsidRPr="008308C8">
        <w:t>POLSIS – Politikas plānošanas dokumentu datu bāze</w:t>
      </w:r>
    </w:p>
    <w:p w:rsidR="00E1709F" w:rsidRDefault="00E1709F" w:rsidP="00064C1E">
      <w:r>
        <w:t>PUA – pastāvīgās uzturēšanās atļauja</w:t>
      </w:r>
    </w:p>
    <w:p w:rsidR="00C37908" w:rsidRPr="008308C8" w:rsidRDefault="00C37908" w:rsidP="00064C1E">
      <w:r w:rsidRPr="008308C8">
        <w:t>PVO – Pasaules Veselības organizācija</w:t>
      </w:r>
    </w:p>
    <w:p w:rsidR="00E66A9F" w:rsidRDefault="00E66A9F" w:rsidP="00064C1E">
      <w:r>
        <w:t>RD – Rīgas dome</w:t>
      </w:r>
    </w:p>
    <w:p w:rsidR="00C8593C" w:rsidRPr="008308C8" w:rsidRDefault="00C8593C" w:rsidP="00064C1E">
      <w:r w:rsidRPr="008308C8">
        <w:t xml:space="preserve">RSU – Rīgas Stradiņa Universitāte </w:t>
      </w:r>
    </w:p>
    <w:p w:rsidR="00153ADA" w:rsidRDefault="00153ADA" w:rsidP="00064C1E">
      <w:r>
        <w:t>SIF - Sabiedrības integrācijas fonds</w:t>
      </w:r>
    </w:p>
    <w:p w:rsidR="00C8593C" w:rsidRDefault="00C8593C" w:rsidP="00064C1E">
      <w:r w:rsidRPr="008308C8">
        <w:t>SPKC – Slimību profilakses un kontroles centrs</w:t>
      </w:r>
    </w:p>
    <w:p w:rsidR="00496284" w:rsidRPr="008308C8" w:rsidRDefault="00496284" w:rsidP="00064C1E">
      <w:r>
        <w:t xml:space="preserve">sk. </w:t>
      </w:r>
      <w:r w:rsidR="002C6CF9">
        <w:t>–</w:t>
      </w:r>
      <w:r>
        <w:t xml:space="preserve"> skatīt</w:t>
      </w:r>
    </w:p>
    <w:p w:rsidR="00AE56D4" w:rsidRPr="008308C8" w:rsidRDefault="00AE56D4" w:rsidP="00064C1E">
      <w:r w:rsidRPr="008308C8">
        <w:t>TS – tehniskā specifikācija</w:t>
      </w:r>
    </w:p>
    <w:p w:rsidR="00496284" w:rsidRDefault="00496284" w:rsidP="00064C1E">
      <w:r>
        <w:t>t.sk. – tai skaitā, to skaitā</w:t>
      </w:r>
    </w:p>
    <w:p w:rsidR="00E1709F" w:rsidRDefault="00E1709F" w:rsidP="00064C1E">
      <w:r>
        <w:t>TUA – termiņuzturēšanās atļauja</w:t>
      </w:r>
    </w:p>
    <w:p w:rsidR="00871B7C" w:rsidRDefault="00871B7C" w:rsidP="00064C1E">
      <w:r>
        <w:t xml:space="preserve">tūkst. – tūkstoši </w:t>
      </w:r>
    </w:p>
    <w:p w:rsidR="00496284" w:rsidRDefault="00496284" w:rsidP="00064C1E">
      <w:r>
        <w:t>u.c. – un citi</w:t>
      </w:r>
    </w:p>
    <w:p w:rsidR="00496284" w:rsidRDefault="00496284" w:rsidP="00064C1E">
      <w:r>
        <w:t>u.</w:t>
      </w:r>
      <w:r w:rsidR="008D54E1">
        <w:t>tml. – un ta</w:t>
      </w:r>
      <w:r>
        <w:t>m līdzīgi</w:t>
      </w:r>
    </w:p>
    <w:p w:rsidR="0029067C" w:rsidRDefault="0029067C" w:rsidP="00064C1E">
      <w:r w:rsidRPr="008308C8">
        <w:t>VARAM – Vides aizsardzības un reģionālās attīstības ministrija</w:t>
      </w:r>
    </w:p>
    <w:p w:rsidR="00297B78" w:rsidRPr="008308C8" w:rsidRDefault="00297B78" w:rsidP="00064C1E">
      <w:r>
        <w:lastRenderedPageBreak/>
        <w:t>VDEĀVK – Veselības un darbspēju ekspertīzes ārstu valsts komisija</w:t>
      </w:r>
    </w:p>
    <w:p w:rsidR="0019398A" w:rsidRDefault="0019398A" w:rsidP="0019398A">
      <w:r w:rsidRPr="007F6E57">
        <w:t>VHB – vīrushepatīts B</w:t>
      </w:r>
    </w:p>
    <w:p w:rsidR="0019398A" w:rsidRPr="007F6E57" w:rsidRDefault="0019398A" w:rsidP="0019398A">
      <w:r w:rsidRPr="007F6E57">
        <w:t>VHC – vīrushepatīts C</w:t>
      </w:r>
    </w:p>
    <w:p w:rsidR="0029067C" w:rsidRDefault="0029067C" w:rsidP="00064C1E">
      <w:r>
        <w:t>VID – Valsts ieņēmumu dienests</w:t>
      </w:r>
    </w:p>
    <w:p w:rsidR="0029067C" w:rsidRDefault="0029067C" w:rsidP="00064C1E">
      <w:r>
        <w:t>VM – Veselības ministrija</w:t>
      </w:r>
    </w:p>
    <w:p w:rsidR="00E1709F" w:rsidRDefault="00E1709F" w:rsidP="00064C1E">
      <w:r>
        <w:t>VPD – Valsts probācijas dienests</w:t>
      </w:r>
    </w:p>
    <w:p w:rsidR="0029067C" w:rsidRDefault="0029067C" w:rsidP="00064C1E">
      <w:r>
        <w:t>VSAA – Valsts sociālās apdrošināšanas aģentūra</w:t>
      </w:r>
    </w:p>
    <w:p w:rsidR="009318AF" w:rsidRDefault="008D54E1" w:rsidP="00064C1E">
      <w:r>
        <w:t>VSAOI – v</w:t>
      </w:r>
      <w:r w:rsidR="009318AF">
        <w:t>alsts sociālās apdrošināšanas obligātās iemaksas</w:t>
      </w:r>
    </w:p>
    <w:p w:rsidR="00CB3FE1" w:rsidRDefault="00CB3FE1" w:rsidP="00064C1E"/>
    <w:p w:rsidR="009B24CF" w:rsidRDefault="009B24CF">
      <w:pPr>
        <w:spacing w:line="240" w:lineRule="auto"/>
        <w:jc w:val="left"/>
        <w:rPr>
          <w:rFonts w:asciiTheme="majorHAnsi" w:eastAsiaTheme="majorEastAsia" w:hAnsiTheme="majorHAnsi" w:cstheme="majorBidi"/>
          <w:b/>
          <w:i/>
          <w:color w:val="002060"/>
          <w:sz w:val="28"/>
        </w:rPr>
      </w:pPr>
      <w:bookmarkStart w:id="29" w:name="_Toc6841506"/>
      <w:r>
        <w:br w:type="page"/>
      </w:r>
    </w:p>
    <w:p w:rsidR="00FC345D" w:rsidRPr="00315872" w:rsidRDefault="002075BB" w:rsidP="003945E0">
      <w:pPr>
        <w:pStyle w:val="navnumirsaturlevel3"/>
        <w:outlineLvl w:val="0"/>
      </w:pPr>
      <w:r w:rsidRPr="00A661B6">
        <w:lastRenderedPageBreak/>
        <w:t>Tabulu</w:t>
      </w:r>
      <w:r w:rsidRPr="00315872">
        <w:t xml:space="preserve"> </w:t>
      </w:r>
      <w:r w:rsidRPr="00AB7A9E">
        <w:t>rādītājs</w:t>
      </w:r>
      <w:bookmarkEnd w:id="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22"/>
        <w:gridCol w:w="640"/>
      </w:tblGrid>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E438A9">
              <w:rPr>
                <w:rFonts w:eastAsiaTheme="majorEastAsia"/>
                <w:bCs/>
                <w:sz w:val="22"/>
                <w:szCs w:val="22"/>
              </w:rPr>
              <w:t>i. tabula. Izvērtējuma posmi, uzdevumi un jomas</w:t>
            </w:r>
            <w:r>
              <w:rPr>
                <w:rFonts w:eastAsiaTheme="majorEastAsia"/>
                <w:bCs/>
                <w:sz w:val="22"/>
                <w:szCs w:val="22"/>
              </w:rPr>
              <w:t xml:space="preserve"> ......................................................................................</w:t>
            </w:r>
          </w:p>
        </w:tc>
        <w:tc>
          <w:tcPr>
            <w:tcW w:w="640" w:type="dxa"/>
          </w:tcPr>
          <w:p w:rsidR="00510393" w:rsidRPr="00FA1DBD" w:rsidRDefault="00510393" w:rsidP="00510393">
            <w:pPr>
              <w:pStyle w:val="TableofFigures"/>
              <w:tabs>
                <w:tab w:val="right" w:leader="dot" w:pos="9682"/>
              </w:tabs>
              <w:jc w:val="right"/>
              <w:rPr>
                <w:rFonts w:eastAsiaTheme="majorEastAsia"/>
                <w:bCs/>
                <w:sz w:val="22"/>
                <w:szCs w:val="22"/>
              </w:rPr>
            </w:pPr>
            <w:r w:rsidRPr="00FA1DBD">
              <w:rPr>
                <w:rFonts w:eastAsiaTheme="majorEastAsia"/>
                <w:bCs/>
                <w:sz w:val="22"/>
                <w:szCs w:val="22"/>
              </w:rPr>
              <w:t>22</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E438A9">
              <w:rPr>
                <w:sz w:val="22"/>
                <w:szCs w:val="22"/>
              </w:rPr>
              <w:t>1.1. tabula. Sociālās apdrošināšanas speciālā budžeta izdevumi pensijām un pabalstiem 2014-2016 (milj. EUR)</w:t>
            </w:r>
            <w:r>
              <w:rPr>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sidRPr="00FA1DBD">
              <w:rPr>
                <w:rFonts w:eastAsiaTheme="majorEastAsia"/>
                <w:bCs/>
                <w:sz w:val="22"/>
                <w:szCs w:val="22"/>
              </w:rPr>
              <w:t>36</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Pr>
                <w:bCs/>
                <w:sz w:val="22"/>
                <w:szCs w:val="22"/>
              </w:rPr>
              <w:t>1</w:t>
            </w:r>
            <w:r w:rsidRPr="00E438A9">
              <w:rPr>
                <w:bCs/>
                <w:sz w:val="22"/>
                <w:szCs w:val="22"/>
              </w:rPr>
              <w:t>.2. tabula. Ģimenes valsts pabalsta saņēmēju skaits un pabalsta apmērs mēnesī</w:t>
            </w:r>
            <w:r>
              <w:rPr>
                <w:bCs/>
                <w:sz w:val="22"/>
                <w:szCs w:val="22"/>
              </w:rPr>
              <w:t xml:space="preserve"> .....................................</w:t>
            </w:r>
          </w:p>
        </w:tc>
        <w:tc>
          <w:tcPr>
            <w:tcW w:w="640" w:type="dxa"/>
          </w:tcPr>
          <w:p w:rsidR="00510393" w:rsidRPr="00FA1DBD" w:rsidRDefault="00510393" w:rsidP="00510393">
            <w:pPr>
              <w:pStyle w:val="TableofFigures"/>
              <w:tabs>
                <w:tab w:val="right" w:leader="dot" w:pos="9682"/>
              </w:tabs>
              <w:jc w:val="right"/>
              <w:rPr>
                <w:rFonts w:eastAsiaTheme="majorEastAsia"/>
                <w:bCs/>
                <w:sz w:val="22"/>
                <w:szCs w:val="22"/>
              </w:rPr>
            </w:pPr>
            <w:r w:rsidRPr="00FA1DBD">
              <w:rPr>
                <w:rFonts w:eastAsiaTheme="majorEastAsia"/>
                <w:bCs/>
                <w:sz w:val="22"/>
                <w:szCs w:val="22"/>
              </w:rPr>
              <w:t>47</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E438A9">
              <w:rPr>
                <w:sz w:val="22"/>
                <w:szCs w:val="22"/>
              </w:rPr>
              <w:t xml:space="preserve">1.3. tabula. Vecuma pensiju sadalījums pēc piešķirtā apmēra (ar piemaksu) periodā no 2014.gada līdz 2016.gadam </w:t>
            </w:r>
            <w:r>
              <w:rPr>
                <w:sz w:val="22"/>
                <w:szCs w:val="22"/>
              </w:rPr>
              <w:t>................................................................................................................................................</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sidRPr="00FA1DBD">
              <w:rPr>
                <w:rFonts w:eastAsiaTheme="majorEastAsia"/>
                <w:bCs/>
                <w:sz w:val="22"/>
                <w:szCs w:val="22"/>
              </w:rPr>
              <w:t>47</w:t>
            </w:r>
          </w:p>
        </w:tc>
      </w:tr>
      <w:tr w:rsidR="00510393" w:rsidTr="004F389A">
        <w:tc>
          <w:tcPr>
            <w:tcW w:w="9322" w:type="dxa"/>
          </w:tcPr>
          <w:p w:rsidR="00510393" w:rsidRDefault="00AD3EDD" w:rsidP="00510393">
            <w:pPr>
              <w:pStyle w:val="TableofFigures"/>
              <w:tabs>
                <w:tab w:val="right" w:leader="dot" w:pos="9682"/>
              </w:tabs>
              <w:rPr>
                <w:rFonts w:eastAsiaTheme="majorEastAsia"/>
                <w:bCs/>
                <w:sz w:val="22"/>
                <w:szCs w:val="22"/>
              </w:rPr>
            </w:pPr>
            <w:r w:rsidRPr="00E438A9">
              <w:rPr>
                <w:sz w:val="22"/>
                <w:szCs w:val="22"/>
              </w:rPr>
              <w:fldChar w:fldCharType="begin"/>
            </w:r>
            <w:r w:rsidR="00510393" w:rsidRPr="00E438A9">
              <w:rPr>
                <w:sz w:val="22"/>
                <w:szCs w:val="22"/>
              </w:rPr>
              <w:instrText xml:space="preserve"> STYLEREF 1 \s </w:instrText>
            </w:r>
            <w:r w:rsidRPr="00E438A9">
              <w:rPr>
                <w:sz w:val="22"/>
                <w:szCs w:val="22"/>
              </w:rPr>
              <w:fldChar w:fldCharType="separate"/>
            </w:r>
            <w:r w:rsidR="00224B50">
              <w:rPr>
                <w:noProof/>
                <w:sz w:val="22"/>
                <w:szCs w:val="22"/>
              </w:rPr>
              <w:t>1</w:t>
            </w:r>
            <w:r w:rsidRPr="00E438A9">
              <w:rPr>
                <w:sz w:val="22"/>
                <w:szCs w:val="22"/>
              </w:rPr>
              <w:fldChar w:fldCharType="end"/>
            </w:r>
            <w:r w:rsidR="00510393" w:rsidRPr="00E438A9">
              <w:rPr>
                <w:sz w:val="22"/>
                <w:szCs w:val="22"/>
              </w:rPr>
              <w:t>.4. tabula. S80/S20 ienākumu kvintiļu attiecības indekss pēc vecuma (2014-2017)</w:t>
            </w:r>
            <w:r w:rsidR="00510393">
              <w:rPr>
                <w:sz w:val="22"/>
                <w:szCs w:val="22"/>
              </w:rPr>
              <w:t xml:space="preserve"> ...............................</w:t>
            </w:r>
          </w:p>
        </w:tc>
        <w:tc>
          <w:tcPr>
            <w:tcW w:w="640" w:type="dxa"/>
          </w:tcPr>
          <w:p w:rsidR="00510393" w:rsidRPr="00FA1DBD" w:rsidRDefault="00510393" w:rsidP="00510393">
            <w:pPr>
              <w:pStyle w:val="TableofFigures"/>
              <w:tabs>
                <w:tab w:val="right" w:leader="dot" w:pos="9682"/>
              </w:tabs>
              <w:jc w:val="right"/>
              <w:rPr>
                <w:rFonts w:eastAsiaTheme="majorEastAsia"/>
                <w:bCs/>
                <w:sz w:val="22"/>
                <w:szCs w:val="22"/>
              </w:rPr>
            </w:pPr>
            <w:r w:rsidRPr="00FA1DBD">
              <w:rPr>
                <w:rFonts w:eastAsiaTheme="majorEastAsia"/>
                <w:bCs/>
                <w:sz w:val="22"/>
                <w:szCs w:val="22"/>
              </w:rPr>
              <w:t>53</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Pr>
                <w:sz w:val="22"/>
                <w:szCs w:val="22"/>
              </w:rPr>
              <w:t>1</w:t>
            </w:r>
            <w:r w:rsidRPr="00E438A9">
              <w:rPr>
                <w:sz w:val="22"/>
                <w:szCs w:val="22"/>
              </w:rPr>
              <w:t>.5. tabula. S80/S20 ienākumu kvintiļu attiecības indekss sociāli demogrāfiskajās grupās</w:t>
            </w:r>
            <w:r>
              <w:rPr>
                <w:sz w:val="22"/>
                <w:szCs w:val="22"/>
              </w:rPr>
              <w:t xml:space="preserve"> ......................</w:t>
            </w:r>
          </w:p>
        </w:tc>
        <w:tc>
          <w:tcPr>
            <w:tcW w:w="640" w:type="dxa"/>
          </w:tcPr>
          <w:p w:rsidR="00510393" w:rsidRPr="00FA1DBD" w:rsidRDefault="00510393" w:rsidP="00510393">
            <w:pPr>
              <w:pStyle w:val="TableofFigures"/>
              <w:tabs>
                <w:tab w:val="right" w:leader="dot" w:pos="9682"/>
              </w:tabs>
              <w:jc w:val="right"/>
              <w:rPr>
                <w:rFonts w:eastAsiaTheme="majorEastAsia"/>
                <w:bCs/>
                <w:sz w:val="22"/>
                <w:szCs w:val="22"/>
              </w:rPr>
            </w:pPr>
            <w:r w:rsidRPr="00FA1DBD">
              <w:rPr>
                <w:rFonts w:eastAsiaTheme="majorEastAsia"/>
                <w:bCs/>
                <w:sz w:val="22"/>
                <w:szCs w:val="22"/>
              </w:rPr>
              <w:t>54</w:t>
            </w:r>
          </w:p>
        </w:tc>
      </w:tr>
      <w:tr w:rsidR="00510393" w:rsidTr="004F389A">
        <w:tc>
          <w:tcPr>
            <w:tcW w:w="9322" w:type="dxa"/>
          </w:tcPr>
          <w:p w:rsidR="00510393" w:rsidRDefault="00AD3EDD" w:rsidP="00510393">
            <w:pPr>
              <w:pStyle w:val="TableofFigures"/>
              <w:tabs>
                <w:tab w:val="right" w:leader="dot" w:pos="9682"/>
              </w:tabs>
              <w:rPr>
                <w:rFonts w:eastAsiaTheme="majorEastAsia"/>
                <w:bCs/>
                <w:sz w:val="22"/>
                <w:szCs w:val="22"/>
              </w:rPr>
            </w:pPr>
            <w:r w:rsidRPr="00E438A9">
              <w:rPr>
                <w:sz w:val="22"/>
                <w:szCs w:val="22"/>
              </w:rPr>
              <w:fldChar w:fldCharType="begin"/>
            </w:r>
            <w:r w:rsidR="00510393" w:rsidRPr="00E438A9">
              <w:rPr>
                <w:sz w:val="22"/>
                <w:szCs w:val="22"/>
              </w:rPr>
              <w:instrText xml:space="preserve"> STYLEREF 1 \s </w:instrText>
            </w:r>
            <w:r w:rsidRPr="00E438A9">
              <w:rPr>
                <w:sz w:val="22"/>
                <w:szCs w:val="22"/>
              </w:rPr>
              <w:fldChar w:fldCharType="separate"/>
            </w:r>
            <w:r w:rsidR="00224B50">
              <w:rPr>
                <w:noProof/>
                <w:sz w:val="22"/>
                <w:szCs w:val="22"/>
              </w:rPr>
              <w:t>1</w:t>
            </w:r>
            <w:r w:rsidRPr="00E438A9">
              <w:rPr>
                <w:sz w:val="22"/>
                <w:szCs w:val="22"/>
              </w:rPr>
              <w:fldChar w:fldCharType="end"/>
            </w:r>
            <w:r w:rsidR="00510393" w:rsidRPr="00E438A9">
              <w:rPr>
                <w:sz w:val="22"/>
                <w:szCs w:val="22"/>
              </w:rPr>
              <w:t>.6. tabula. S80/S20 ienākumu kvintiļu attiecības indekss Latvijas reģionos (2014-2016)</w:t>
            </w:r>
            <w:r w:rsidR="00510393">
              <w:rPr>
                <w:sz w:val="22"/>
                <w:szCs w:val="22"/>
              </w:rPr>
              <w:t xml:space="preserve"> .......................</w:t>
            </w:r>
          </w:p>
        </w:tc>
        <w:tc>
          <w:tcPr>
            <w:tcW w:w="640" w:type="dxa"/>
          </w:tcPr>
          <w:p w:rsidR="00510393" w:rsidRPr="00FA1DBD" w:rsidRDefault="00510393" w:rsidP="00510393">
            <w:pPr>
              <w:pStyle w:val="TableofFigures"/>
              <w:tabs>
                <w:tab w:val="right" w:leader="dot" w:pos="9682"/>
              </w:tabs>
              <w:jc w:val="right"/>
              <w:rPr>
                <w:rFonts w:eastAsiaTheme="majorEastAsia"/>
                <w:bCs/>
                <w:sz w:val="22"/>
                <w:szCs w:val="22"/>
              </w:rPr>
            </w:pPr>
            <w:r w:rsidRPr="00FA1DBD">
              <w:rPr>
                <w:rFonts w:eastAsiaTheme="majorEastAsia"/>
                <w:bCs/>
                <w:sz w:val="22"/>
                <w:szCs w:val="22"/>
              </w:rPr>
              <w:t>55</w:t>
            </w:r>
          </w:p>
        </w:tc>
      </w:tr>
      <w:tr w:rsidR="00510393" w:rsidTr="004F389A">
        <w:tc>
          <w:tcPr>
            <w:tcW w:w="9322" w:type="dxa"/>
          </w:tcPr>
          <w:p w:rsidR="00510393" w:rsidRDefault="00AD3EDD" w:rsidP="00510393">
            <w:pPr>
              <w:pStyle w:val="TableofFigures"/>
              <w:tabs>
                <w:tab w:val="right" w:leader="dot" w:pos="9682"/>
              </w:tabs>
              <w:rPr>
                <w:rFonts w:eastAsiaTheme="majorEastAsia"/>
                <w:bCs/>
                <w:sz w:val="22"/>
                <w:szCs w:val="22"/>
              </w:rPr>
            </w:pPr>
            <w:r w:rsidRPr="00E438A9">
              <w:rPr>
                <w:sz w:val="22"/>
                <w:szCs w:val="22"/>
              </w:rPr>
              <w:fldChar w:fldCharType="begin"/>
            </w:r>
            <w:r w:rsidR="00510393" w:rsidRPr="00E438A9">
              <w:rPr>
                <w:sz w:val="22"/>
                <w:szCs w:val="22"/>
              </w:rPr>
              <w:instrText xml:space="preserve"> STYLEREF 1 \s </w:instrText>
            </w:r>
            <w:r w:rsidRPr="00E438A9">
              <w:rPr>
                <w:sz w:val="22"/>
                <w:szCs w:val="22"/>
              </w:rPr>
              <w:fldChar w:fldCharType="separate"/>
            </w:r>
            <w:r w:rsidR="00224B50">
              <w:rPr>
                <w:noProof/>
                <w:sz w:val="22"/>
                <w:szCs w:val="22"/>
              </w:rPr>
              <w:t>1</w:t>
            </w:r>
            <w:r w:rsidRPr="00E438A9">
              <w:rPr>
                <w:sz w:val="22"/>
                <w:szCs w:val="22"/>
              </w:rPr>
              <w:fldChar w:fldCharType="end"/>
            </w:r>
            <w:r w:rsidR="00510393" w:rsidRPr="00E438A9">
              <w:rPr>
                <w:sz w:val="22"/>
                <w:szCs w:val="22"/>
              </w:rPr>
              <w:t>.7. tabula. Džini koeficients Latvijas reģionos (2014-2017, %)</w:t>
            </w:r>
            <w:r w:rsidR="00510393">
              <w:rPr>
                <w:sz w:val="22"/>
                <w:szCs w:val="22"/>
              </w:rPr>
              <w:t xml:space="preserve"> ..............................................................</w:t>
            </w:r>
          </w:p>
        </w:tc>
        <w:tc>
          <w:tcPr>
            <w:tcW w:w="640" w:type="dxa"/>
          </w:tcPr>
          <w:p w:rsidR="00510393" w:rsidRPr="00FA1DBD" w:rsidRDefault="00510393" w:rsidP="00510393">
            <w:pPr>
              <w:pStyle w:val="TableofFigures"/>
              <w:tabs>
                <w:tab w:val="right" w:leader="dot" w:pos="9682"/>
              </w:tabs>
              <w:jc w:val="right"/>
              <w:rPr>
                <w:rFonts w:eastAsiaTheme="majorEastAsia"/>
                <w:bCs/>
                <w:sz w:val="22"/>
                <w:szCs w:val="22"/>
              </w:rPr>
            </w:pPr>
            <w:r w:rsidRPr="00FA1DBD">
              <w:rPr>
                <w:rFonts w:eastAsiaTheme="majorEastAsia"/>
                <w:bCs/>
                <w:sz w:val="22"/>
                <w:szCs w:val="22"/>
              </w:rPr>
              <w:t>56</w:t>
            </w:r>
          </w:p>
        </w:tc>
      </w:tr>
      <w:tr w:rsidR="00510393" w:rsidTr="004F389A">
        <w:tc>
          <w:tcPr>
            <w:tcW w:w="9322" w:type="dxa"/>
          </w:tcPr>
          <w:p w:rsidR="00510393" w:rsidRDefault="00AD3EDD" w:rsidP="00510393">
            <w:pPr>
              <w:pStyle w:val="TableofFigures"/>
              <w:tabs>
                <w:tab w:val="right" w:leader="dot" w:pos="9682"/>
              </w:tabs>
              <w:rPr>
                <w:rFonts w:eastAsiaTheme="majorEastAsia"/>
                <w:bCs/>
                <w:sz w:val="22"/>
                <w:szCs w:val="22"/>
              </w:rPr>
            </w:pPr>
            <w:r w:rsidRPr="00E438A9">
              <w:rPr>
                <w:noProof/>
                <w:sz w:val="22"/>
                <w:szCs w:val="22"/>
              </w:rPr>
              <w:fldChar w:fldCharType="begin"/>
            </w:r>
            <w:r w:rsidR="00510393" w:rsidRPr="00E438A9">
              <w:rPr>
                <w:noProof/>
                <w:sz w:val="22"/>
                <w:szCs w:val="22"/>
              </w:rPr>
              <w:instrText xml:space="preserve"> STYLEREF 1 \s </w:instrText>
            </w:r>
            <w:r w:rsidRPr="00E438A9">
              <w:rPr>
                <w:noProof/>
                <w:sz w:val="22"/>
                <w:szCs w:val="22"/>
              </w:rPr>
              <w:fldChar w:fldCharType="separate"/>
            </w:r>
            <w:r w:rsidR="00224B50">
              <w:rPr>
                <w:noProof/>
                <w:sz w:val="22"/>
                <w:szCs w:val="22"/>
              </w:rPr>
              <w:t>1</w:t>
            </w:r>
            <w:r w:rsidRPr="00E438A9">
              <w:rPr>
                <w:noProof/>
                <w:sz w:val="22"/>
                <w:szCs w:val="22"/>
              </w:rPr>
              <w:fldChar w:fldCharType="end"/>
            </w:r>
            <w:r w:rsidR="00510393" w:rsidRPr="00E438A9">
              <w:rPr>
                <w:noProof/>
                <w:sz w:val="22"/>
                <w:szCs w:val="22"/>
              </w:rPr>
              <w:t>.8. tabula. Ekvivalentais mājsaimniecības lielums atkarībā no piemērotās ekvivalences skalas</w:t>
            </w:r>
            <w:r w:rsidR="00510393">
              <w:rPr>
                <w:noProof/>
                <w:sz w:val="22"/>
                <w:szCs w:val="22"/>
              </w:rPr>
              <w:t xml:space="preserve"> .............</w:t>
            </w:r>
          </w:p>
        </w:tc>
        <w:tc>
          <w:tcPr>
            <w:tcW w:w="640" w:type="dxa"/>
          </w:tcPr>
          <w:p w:rsidR="00510393" w:rsidRPr="00FA1DBD" w:rsidRDefault="00510393" w:rsidP="00510393">
            <w:pPr>
              <w:pStyle w:val="TableofFigures"/>
              <w:tabs>
                <w:tab w:val="right" w:leader="dot" w:pos="9682"/>
              </w:tabs>
              <w:jc w:val="right"/>
              <w:rPr>
                <w:rFonts w:eastAsiaTheme="majorEastAsia"/>
                <w:bCs/>
                <w:sz w:val="22"/>
                <w:szCs w:val="22"/>
              </w:rPr>
            </w:pPr>
            <w:r w:rsidRPr="00FA1DBD">
              <w:rPr>
                <w:rFonts w:eastAsiaTheme="majorEastAsia"/>
                <w:bCs/>
                <w:sz w:val="22"/>
                <w:szCs w:val="22"/>
              </w:rPr>
              <w:t>57</w:t>
            </w:r>
          </w:p>
        </w:tc>
      </w:tr>
      <w:tr w:rsidR="00510393" w:rsidTr="004F389A">
        <w:tc>
          <w:tcPr>
            <w:tcW w:w="9322" w:type="dxa"/>
          </w:tcPr>
          <w:p w:rsidR="00510393" w:rsidRDefault="00AD3EDD" w:rsidP="00510393">
            <w:pPr>
              <w:pStyle w:val="TableofFigures"/>
              <w:tabs>
                <w:tab w:val="right" w:leader="dot" w:pos="9682"/>
              </w:tabs>
              <w:rPr>
                <w:rFonts w:eastAsiaTheme="majorEastAsia"/>
                <w:bCs/>
                <w:sz w:val="22"/>
                <w:szCs w:val="22"/>
              </w:rPr>
            </w:pPr>
            <w:r w:rsidRPr="00E438A9">
              <w:rPr>
                <w:sz w:val="22"/>
                <w:szCs w:val="22"/>
              </w:rPr>
              <w:fldChar w:fldCharType="begin"/>
            </w:r>
            <w:r w:rsidR="00510393" w:rsidRPr="00E438A9">
              <w:rPr>
                <w:sz w:val="22"/>
                <w:szCs w:val="22"/>
              </w:rPr>
              <w:instrText xml:space="preserve"> STYLEREF 1 \s </w:instrText>
            </w:r>
            <w:r w:rsidRPr="00E438A9">
              <w:rPr>
                <w:sz w:val="22"/>
                <w:szCs w:val="22"/>
              </w:rPr>
              <w:fldChar w:fldCharType="separate"/>
            </w:r>
            <w:r w:rsidR="00224B50">
              <w:rPr>
                <w:noProof/>
                <w:sz w:val="22"/>
                <w:szCs w:val="22"/>
              </w:rPr>
              <w:t>1</w:t>
            </w:r>
            <w:r w:rsidRPr="00E438A9">
              <w:rPr>
                <w:sz w:val="22"/>
                <w:szCs w:val="22"/>
              </w:rPr>
              <w:fldChar w:fldCharType="end"/>
            </w:r>
            <w:r w:rsidR="00510393" w:rsidRPr="00E438A9">
              <w:rPr>
                <w:sz w:val="22"/>
                <w:szCs w:val="22"/>
              </w:rPr>
              <w:t>.9. tabula. Minimālā ienākuma līmeņa rādītājs (ilustratīvās vērtības), EUR mēnesī (2014-2016)</w:t>
            </w:r>
            <w:r w:rsidR="00510393">
              <w:rPr>
                <w:sz w:val="22"/>
                <w:szCs w:val="22"/>
              </w:rPr>
              <w:t xml:space="preserve"> ..........</w:t>
            </w:r>
          </w:p>
        </w:tc>
        <w:tc>
          <w:tcPr>
            <w:tcW w:w="640" w:type="dxa"/>
          </w:tcPr>
          <w:p w:rsidR="00510393" w:rsidRPr="00FA1DBD" w:rsidRDefault="00510393" w:rsidP="00510393">
            <w:pPr>
              <w:pStyle w:val="TableofFigures"/>
              <w:tabs>
                <w:tab w:val="right" w:leader="dot" w:pos="9682"/>
              </w:tabs>
              <w:jc w:val="right"/>
              <w:rPr>
                <w:rFonts w:eastAsiaTheme="majorEastAsia"/>
                <w:bCs/>
                <w:sz w:val="22"/>
                <w:szCs w:val="22"/>
              </w:rPr>
            </w:pPr>
            <w:r w:rsidRPr="00FA1DBD">
              <w:rPr>
                <w:rFonts w:eastAsiaTheme="majorEastAsia"/>
                <w:bCs/>
                <w:sz w:val="22"/>
                <w:szCs w:val="22"/>
              </w:rPr>
              <w:t>58</w:t>
            </w:r>
          </w:p>
        </w:tc>
      </w:tr>
      <w:tr w:rsidR="00510393" w:rsidTr="004F389A">
        <w:tc>
          <w:tcPr>
            <w:tcW w:w="9322" w:type="dxa"/>
          </w:tcPr>
          <w:p w:rsidR="00510393" w:rsidRDefault="00AD3EDD" w:rsidP="00510393">
            <w:pPr>
              <w:pStyle w:val="TableofFigures"/>
              <w:tabs>
                <w:tab w:val="right" w:leader="dot" w:pos="9682"/>
              </w:tabs>
              <w:rPr>
                <w:rFonts w:eastAsiaTheme="majorEastAsia"/>
                <w:bCs/>
                <w:sz w:val="22"/>
                <w:szCs w:val="22"/>
              </w:rPr>
            </w:pPr>
            <w:r w:rsidRPr="00E438A9">
              <w:rPr>
                <w:sz w:val="22"/>
                <w:szCs w:val="22"/>
              </w:rPr>
              <w:fldChar w:fldCharType="begin"/>
            </w:r>
            <w:r w:rsidR="00510393" w:rsidRPr="00E438A9">
              <w:rPr>
                <w:sz w:val="22"/>
                <w:szCs w:val="22"/>
              </w:rPr>
              <w:instrText xml:space="preserve"> STYLEREF 1 \s </w:instrText>
            </w:r>
            <w:r w:rsidRPr="00E438A9">
              <w:rPr>
                <w:sz w:val="22"/>
                <w:szCs w:val="22"/>
              </w:rPr>
              <w:fldChar w:fldCharType="separate"/>
            </w:r>
            <w:r w:rsidR="00224B50">
              <w:rPr>
                <w:noProof/>
                <w:sz w:val="22"/>
                <w:szCs w:val="22"/>
              </w:rPr>
              <w:t>1</w:t>
            </w:r>
            <w:r w:rsidRPr="00E438A9">
              <w:rPr>
                <w:noProof/>
                <w:sz w:val="22"/>
                <w:szCs w:val="22"/>
              </w:rPr>
              <w:fldChar w:fldCharType="end"/>
            </w:r>
            <w:r w:rsidR="00510393" w:rsidRPr="00E438A9">
              <w:rPr>
                <w:sz w:val="22"/>
                <w:szCs w:val="22"/>
              </w:rPr>
              <w:t>.10. tabula. Mājsaimniecību ekvivalentie rīcībā esošie ienākumi vidēji uz vienu ekvivalento patērētāju sadalījumā pēc mājsaimniecības tipa, dzimuma un vecuma pazīmēm (EUR mēnesī)</w:t>
            </w:r>
            <w:r w:rsidR="00510393">
              <w:rPr>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sidRPr="00FA1DBD">
              <w:rPr>
                <w:rFonts w:eastAsiaTheme="majorEastAsia"/>
                <w:bCs/>
                <w:sz w:val="22"/>
                <w:szCs w:val="22"/>
              </w:rPr>
              <w:t>63</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E438A9">
              <w:rPr>
                <w:sz w:val="22"/>
                <w:szCs w:val="22"/>
              </w:rPr>
              <w:t>1.11. tabula. Mājsaimniecību ienākumi vidēji uz vienu mājsaimniecības locekli sadalījumā pēc mājsaimniecības tipa, dzimuma un vecuma pazīmēm (EUR mēnesī)</w:t>
            </w:r>
            <w:r>
              <w:rPr>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64</w:t>
            </w:r>
          </w:p>
        </w:tc>
      </w:tr>
      <w:tr w:rsidR="00510393" w:rsidTr="004F389A">
        <w:tc>
          <w:tcPr>
            <w:tcW w:w="9322" w:type="dxa"/>
          </w:tcPr>
          <w:p w:rsidR="00510393" w:rsidRDefault="00AD3EDD" w:rsidP="00510393">
            <w:pPr>
              <w:pStyle w:val="TableofFigures"/>
              <w:tabs>
                <w:tab w:val="right" w:leader="dot" w:pos="9682"/>
              </w:tabs>
              <w:rPr>
                <w:rFonts w:eastAsiaTheme="majorEastAsia"/>
                <w:bCs/>
                <w:sz w:val="22"/>
                <w:szCs w:val="22"/>
              </w:rPr>
            </w:pPr>
            <w:r w:rsidRPr="00E438A9">
              <w:rPr>
                <w:sz w:val="22"/>
                <w:szCs w:val="22"/>
              </w:rPr>
              <w:fldChar w:fldCharType="begin"/>
            </w:r>
            <w:r w:rsidR="00510393" w:rsidRPr="00E438A9">
              <w:rPr>
                <w:sz w:val="22"/>
                <w:szCs w:val="22"/>
              </w:rPr>
              <w:instrText xml:space="preserve"> STYLEREF 1 \s </w:instrText>
            </w:r>
            <w:r w:rsidRPr="00E438A9">
              <w:rPr>
                <w:sz w:val="22"/>
                <w:szCs w:val="22"/>
              </w:rPr>
              <w:fldChar w:fldCharType="separate"/>
            </w:r>
            <w:r w:rsidR="00224B50">
              <w:rPr>
                <w:noProof/>
                <w:sz w:val="22"/>
                <w:szCs w:val="22"/>
              </w:rPr>
              <w:t>1</w:t>
            </w:r>
            <w:r w:rsidRPr="00E438A9">
              <w:rPr>
                <w:noProof/>
                <w:sz w:val="22"/>
                <w:szCs w:val="22"/>
              </w:rPr>
              <w:fldChar w:fldCharType="end"/>
            </w:r>
            <w:r w:rsidR="00510393" w:rsidRPr="00E438A9">
              <w:rPr>
                <w:sz w:val="22"/>
                <w:szCs w:val="22"/>
              </w:rPr>
              <w:t>.12. tabula. Strādājošo vidējā darba samaksa mēnesī (EUR) 2014-2016</w:t>
            </w:r>
            <w:r w:rsidR="00510393">
              <w:rPr>
                <w:sz w:val="22"/>
                <w:szCs w:val="22"/>
              </w:rPr>
              <w:t xml:space="preserve"> ................................................</w:t>
            </w:r>
          </w:p>
        </w:tc>
        <w:tc>
          <w:tcPr>
            <w:tcW w:w="640" w:type="dxa"/>
          </w:tcPr>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66</w:t>
            </w:r>
          </w:p>
        </w:tc>
      </w:tr>
      <w:tr w:rsidR="00510393" w:rsidTr="004F389A">
        <w:tc>
          <w:tcPr>
            <w:tcW w:w="9322" w:type="dxa"/>
          </w:tcPr>
          <w:p w:rsidR="00510393" w:rsidRDefault="00AD3EDD" w:rsidP="00510393">
            <w:pPr>
              <w:pStyle w:val="TableofFigures"/>
              <w:tabs>
                <w:tab w:val="right" w:leader="dot" w:pos="9682"/>
              </w:tabs>
              <w:rPr>
                <w:rFonts w:eastAsiaTheme="majorEastAsia"/>
                <w:bCs/>
                <w:sz w:val="22"/>
                <w:szCs w:val="22"/>
              </w:rPr>
            </w:pPr>
            <w:r w:rsidRPr="00E438A9">
              <w:rPr>
                <w:sz w:val="22"/>
                <w:szCs w:val="22"/>
              </w:rPr>
              <w:fldChar w:fldCharType="begin"/>
            </w:r>
            <w:r w:rsidR="00510393" w:rsidRPr="00E438A9">
              <w:rPr>
                <w:sz w:val="22"/>
                <w:szCs w:val="22"/>
              </w:rPr>
              <w:instrText xml:space="preserve"> STYLEREF 1 \s </w:instrText>
            </w:r>
            <w:r w:rsidRPr="00E438A9">
              <w:rPr>
                <w:sz w:val="22"/>
                <w:szCs w:val="22"/>
              </w:rPr>
              <w:fldChar w:fldCharType="separate"/>
            </w:r>
            <w:r w:rsidR="00224B50">
              <w:rPr>
                <w:noProof/>
                <w:sz w:val="22"/>
                <w:szCs w:val="22"/>
              </w:rPr>
              <w:t>1</w:t>
            </w:r>
            <w:r w:rsidRPr="00E438A9">
              <w:rPr>
                <w:sz w:val="22"/>
                <w:szCs w:val="22"/>
              </w:rPr>
              <w:fldChar w:fldCharType="end"/>
            </w:r>
            <w:r w:rsidR="00510393" w:rsidRPr="00E438A9">
              <w:rPr>
                <w:sz w:val="22"/>
                <w:szCs w:val="22"/>
              </w:rPr>
              <w:t>.13. tabula. Mājsaimniecību rīcībā esošie ienākumi kvintiļu grupās (EUR mēnesī) 2015., 2016.gads</w:t>
            </w:r>
            <w:r w:rsidR="00510393">
              <w:rPr>
                <w:sz w:val="22"/>
                <w:szCs w:val="22"/>
              </w:rPr>
              <w:t xml:space="preserve"> ...</w:t>
            </w:r>
          </w:p>
        </w:tc>
        <w:tc>
          <w:tcPr>
            <w:tcW w:w="640" w:type="dxa"/>
          </w:tcPr>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67</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0772D9">
              <w:rPr>
                <w:rFonts w:eastAsiaTheme="majorEastAsia"/>
                <w:bCs/>
                <w:sz w:val="22"/>
                <w:szCs w:val="22"/>
              </w:rPr>
              <w:t>1.14. tabula. Mājsaimniecību rīcībā esošie ienākumi (EUR mēnesī) kvintiļu grupās 2014. – 2017. gadā uz vienu mājsaimniecības locekli</w:t>
            </w:r>
            <w:r>
              <w:rPr>
                <w:rFonts w:eastAsiaTheme="majorEastAsia"/>
                <w:bCs/>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68</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0772D9">
              <w:rPr>
                <w:rFonts w:eastAsiaTheme="majorEastAsia"/>
                <w:bCs/>
                <w:sz w:val="22"/>
                <w:szCs w:val="22"/>
              </w:rPr>
              <w:t>1.15. tabula. Mājsaimniecību rīcībā esošie ienākumi (EUR mēnesī) kvintiļu grupās 2014. – 2017. gadā uz vienu ekvivalento patērētāju</w:t>
            </w:r>
            <w:r>
              <w:rPr>
                <w:rFonts w:eastAsiaTheme="majorEastAsia"/>
                <w:bCs/>
                <w:sz w:val="22"/>
                <w:szCs w:val="22"/>
              </w:rPr>
              <w:t xml:space="preserve"> ..................................................................................................................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69</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0772D9">
              <w:rPr>
                <w:rFonts w:eastAsiaTheme="majorEastAsia"/>
                <w:bCs/>
                <w:sz w:val="22"/>
                <w:szCs w:val="22"/>
              </w:rPr>
              <w:t>1.16. tabula. Mājsaimniecību sadalījums pēc kvintiļu grupām 2016. gadā reģionos (%)</w:t>
            </w:r>
            <w:r>
              <w:rPr>
                <w:rFonts w:eastAsiaTheme="majorEastAsia"/>
                <w:bCs/>
                <w:sz w:val="22"/>
                <w:szCs w:val="22"/>
              </w:rPr>
              <w:t xml:space="preserve"> ..........................</w:t>
            </w:r>
          </w:p>
        </w:tc>
        <w:tc>
          <w:tcPr>
            <w:tcW w:w="640" w:type="dxa"/>
          </w:tcPr>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72</w:t>
            </w:r>
          </w:p>
        </w:tc>
      </w:tr>
      <w:tr w:rsidR="00510393" w:rsidTr="004F389A">
        <w:tc>
          <w:tcPr>
            <w:tcW w:w="9322" w:type="dxa"/>
          </w:tcPr>
          <w:p w:rsidR="00510393" w:rsidRPr="000772D9" w:rsidRDefault="00510393" w:rsidP="00510393">
            <w:pPr>
              <w:pStyle w:val="TableofFigures"/>
              <w:tabs>
                <w:tab w:val="right" w:leader="dot" w:pos="9736"/>
              </w:tabs>
              <w:rPr>
                <w:rFonts w:asciiTheme="minorHAnsi" w:eastAsiaTheme="minorEastAsia" w:hAnsiTheme="minorHAnsi" w:cstheme="minorBidi"/>
                <w:iCs w:val="0"/>
                <w:noProof/>
                <w:sz w:val="22"/>
                <w:szCs w:val="22"/>
              </w:rPr>
            </w:pPr>
            <w:r w:rsidRPr="00E438A9">
              <w:rPr>
                <w:noProof/>
                <w:sz w:val="22"/>
                <w:szCs w:val="22"/>
              </w:rPr>
              <w:t xml:space="preserve">1.17. </w:t>
            </w:r>
            <w:hyperlink w:anchor="_Toc6857656" w:history="1">
              <w:r w:rsidRPr="00E438A9">
                <w:rPr>
                  <w:noProof/>
                  <w:sz w:val="22"/>
                  <w:szCs w:val="22"/>
                </w:rPr>
                <w:t>tabula. Mājsaimniecību sadalījums kvintiļu grupās 2014. – 2016. gadā sadalījumā pēc mājsaimniecības locekļu skaita (%)</w:t>
              </w:r>
            </w:hyperlink>
            <w:r>
              <w:rPr>
                <w:noProof/>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73</w:t>
            </w:r>
          </w:p>
        </w:tc>
      </w:tr>
      <w:tr w:rsidR="00510393" w:rsidTr="004F389A">
        <w:tc>
          <w:tcPr>
            <w:tcW w:w="9322" w:type="dxa"/>
          </w:tcPr>
          <w:p w:rsidR="00510393" w:rsidRDefault="00AD3EDD" w:rsidP="00510393">
            <w:pPr>
              <w:pStyle w:val="TableofFigures"/>
              <w:tabs>
                <w:tab w:val="right" w:leader="dot" w:pos="9682"/>
              </w:tabs>
              <w:rPr>
                <w:rFonts w:eastAsiaTheme="majorEastAsia"/>
                <w:bCs/>
                <w:sz w:val="22"/>
                <w:szCs w:val="22"/>
              </w:rPr>
            </w:pPr>
            <w:r w:rsidRPr="00E438A9">
              <w:rPr>
                <w:noProof/>
                <w:sz w:val="22"/>
                <w:szCs w:val="22"/>
              </w:rPr>
              <w:fldChar w:fldCharType="begin"/>
            </w:r>
            <w:r w:rsidR="00510393" w:rsidRPr="00E438A9">
              <w:rPr>
                <w:noProof/>
                <w:sz w:val="22"/>
                <w:szCs w:val="22"/>
              </w:rPr>
              <w:instrText xml:space="preserve"> STYLEREF 1 \s </w:instrText>
            </w:r>
            <w:r w:rsidRPr="00E438A9">
              <w:rPr>
                <w:noProof/>
                <w:sz w:val="22"/>
                <w:szCs w:val="22"/>
              </w:rPr>
              <w:fldChar w:fldCharType="separate"/>
            </w:r>
            <w:r w:rsidR="00224B50">
              <w:rPr>
                <w:noProof/>
                <w:sz w:val="22"/>
                <w:szCs w:val="22"/>
              </w:rPr>
              <w:t>1</w:t>
            </w:r>
            <w:r w:rsidRPr="00E438A9">
              <w:rPr>
                <w:noProof/>
                <w:sz w:val="22"/>
                <w:szCs w:val="22"/>
              </w:rPr>
              <w:fldChar w:fldCharType="end"/>
            </w:r>
            <w:r w:rsidR="00510393" w:rsidRPr="00BB413E">
              <w:rPr>
                <w:noProof/>
                <w:sz w:val="22"/>
                <w:szCs w:val="22"/>
              </w:rPr>
              <w:t>.18. tabula. Mājsaimniecību sadalījums kvintiļu grupās 2014. – 2016. gadā sadalījumā pēc pieaugušo un bērnu skaita mājsaimniecībās (%)</w:t>
            </w:r>
            <w:r w:rsidR="00510393">
              <w:rPr>
                <w:noProof/>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74</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0772D9">
              <w:rPr>
                <w:rFonts w:eastAsiaTheme="majorEastAsia"/>
                <w:bCs/>
                <w:sz w:val="22"/>
                <w:szCs w:val="22"/>
              </w:rPr>
              <w:t>1.19. tabula. Nabadzības riska slieksnis (ilustratīvās vērtības), EUR gadā/ mēnesī</w:t>
            </w:r>
            <w:r>
              <w:rPr>
                <w:rFonts w:eastAsiaTheme="majorEastAsia"/>
                <w:bCs/>
                <w:sz w:val="22"/>
                <w:szCs w:val="22"/>
              </w:rPr>
              <w:t xml:space="preserve"> ..................................</w:t>
            </w:r>
          </w:p>
        </w:tc>
        <w:tc>
          <w:tcPr>
            <w:tcW w:w="640" w:type="dxa"/>
          </w:tcPr>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75</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0772D9">
              <w:rPr>
                <w:rFonts w:eastAsiaTheme="majorEastAsia"/>
                <w:bCs/>
                <w:sz w:val="22"/>
                <w:szCs w:val="22"/>
              </w:rPr>
              <w:t>1.20. tabula. Nabadzības riska indekss pēc mājsaimniecības tipa, t.sk. pēc vecuma un dzimuma pazīmēm (%)</w:t>
            </w:r>
            <w:r>
              <w:rPr>
                <w:rFonts w:eastAsiaTheme="majorEastAsia"/>
                <w:bCs/>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76</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0772D9">
              <w:rPr>
                <w:rFonts w:eastAsiaTheme="majorEastAsia"/>
                <w:bCs/>
                <w:sz w:val="22"/>
                <w:szCs w:val="22"/>
              </w:rPr>
              <w:t>1.21. tabula. Nabadzības riska indekss 18 gadus veciem un vecākiem iedzīvotājiem pēc izglītības līmeņa (%)</w:t>
            </w:r>
            <w:r>
              <w:rPr>
                <w:rFonts w:eastAsiaTheme="majorEastAsia"/>
                <w:bCs/>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81</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E438A9">
              <w:rPr>
                <w:noProof/>
                <w:sz w:val="22"/>
                <w:szCs w:val="22"/>
              </w:rPr>
              <w:t>1.22. tabula. Nabadzības riska indekss pēc pamatnodarbošanās statusa, vecuma un dzimuma (%)</w:t>
            </w:r>
            <w:r>
              <w:rPr>
                <w:noProof/>
                <w:sz w:val="22"/>
                <w:szCs w:val="22"/>
              </w:rPr>
              <w:t xml:space="preserve"> ..........</w:t>
            </w:r>
          </w:p>
        </w:tc>
        <w:tc>
          <w:tcPr>
            <w:tcW w:w="640" w:type="dxa"/>
          </w:tcPr>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81</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E438A9">
              <w:rPr>
                <w:noProof/>
                <w:sz w:val="22"/>
                <w:szCs w:val="22"/>
              </w:rPr>
              <w:t>1.23. tabula. Nabadzības riska indekss pirms un pēc sociālo transfertu saņemšanas pēc vecuma un dzimuma (%)</w:t>
            </w:r>
            <w:r>
              <w:rPr>
                <w:noProof/>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83</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E438A9">
              <w:rPr>
                <w:noProof/>
                <w:sz w:val="22"/>
                <w:szCs w:val="22"/>
              </w:rPr>
              <w:t xml:space="preserve">1.24. tabula. Nabadzības riska izmaiņu novērtējums sociāli demogrāfiskajās grupās periodā no 2014. gada līdz 2016. </w:t>
            </w:r>
            <w:r>
              <w:rPr>
                <w:noProof/>
                <w:sz w:val="22"/>
                <w:szCs w:val="22"/>
              </w:rPr>
              <w:t>g</w:t>
            </w:r>
            <w:r w:rsidRPr="00E438A9">
              <w:rPr>
                <w:noProof/>
                <w:sz w:val="22"/>
                <w:szCs w:val="22"/>
              </w:rPr>
              <w:t>adam</w:t>
            </w:r>
            <w:r>
              <w:rPr>
                <w:noProof/>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84</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0772D9">
              <w:rPr>
                <w:rFonts w:eastAsiaTheme="majorEastAsia"/>
                <w:bCs/>
                <w:sz w:val="22"/>
                <w:szCs w:val="22"/>
              </w:rPr>
              <w:t>1.25. tabula. Trūcīgu personu/ ģimeņu ienākumu līmeņa, nabadzības riska sliekšņa un minimālā ienākuma līmeņa rādītāju salīdzinājums 2014-2016 (EUR, mēnesī)</w:t>
            </w:r>
            <w:r>
              <w:rPr>
                <w:rFonts w:eastAsiaTheme="majorEastAsia"/>
                <w:bCs/>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85</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0772D9">
              <w:rPr>
                <w:rFonts w:eastAsiaTheme="majorEastAsia"/>
                <w:bCs/>
                <w:sz w:val="22"/>
                <w:szCs w:val="22"/>
              </w:rPr>
              <w:t>1.26. tabula. Trūcīgo personu profila salīdzinājums starp lielo pilsētu un novadu pašvaldībām 2016.gadā</w:t>
            </w:r>
            <w:r>
              <w:rPr>
                <w:rFonts w:eastAsiaTheme="majorEastAsia"/>
                <w:bCs/>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87</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0772D9">
              <w:rPr>
                <w:rFonts w:eastAsiaTheme="majorEastAsia"/>
                <w:bCs/>
                <w:sz w:val="22"/>
                <w:szCs w:val="22"/>
              </w:rPr>
              <w:t>1.27. tabula. Trūcīgo personu ienākumu testēto pašvaldības sociālās palīdzības (pabalstu) apmēra salīdzinājums starp lielo pilsētu un novadu pašvaldībām 2014.g.-2016.g. periodā</w:t>
            </w:r>
            <w:r>
              <w:rPr>
                <w:rFonts w:eastAsiaTheme="majorEastAsia"/>
                <w:bCs/>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88</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0772D9">
              <w:rPr>
                <w:rFonts w:eastAsiaTheme="majorEastAsia"/>
                <w:bCs/>
                <w:sz w:val="22"/>
                <w:szCs w:val="22"/>
              </w:rPr>
              <w:t>1.28. tabula. Lielo pilsētu pašvaldību noteiktais maznodrošinātas ģimenes (personas) ienākumu līmenis (2014-2016, EUR mēnesī)</w:t>
            </w:r>
            <w:r>
              <w:rPr>
                <w:rFonts w:eastAsiaTheme="majorEastAsia"/>
                <w:bCs/>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89</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0772D9">
              <w:rPr>
                <w:rFonts w:eastAsiaTheme="majorEastAsia"/>
                <w:bCs/>
                <w:sz w:val="22"/>
                <w:szCs w:val="22"/>
              </w:rPr>
              <w:t xml:space="preserve">1.29. tabula. Novadu pašvaldību noteiktais maznodrošinātas ģimenes (personas) ienākumu līmenis </w:t>
            </w:r>
            <w:r w:rsidRPr="000772D9">
              <w:rPr>
                <w:rFonts w:eastAsiaTheme="majorEastAsia"/>
                <w:bCs/>
                <w:sz w:val="22"/>
                <w:szCs w:val="22"/>
              </w:rPr>
              <w:lastRenderedPageBreak/>
              <w:t>(2014-2016, EUR mēnesī)</w:t>
            </w:r>
            <w:r>
              <w:rPr>
                <w:rFonts w:eastAsiaTheme="majorEastAsia"/>
                <w:bCs/>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lastRenderedPageBreak/>
              <w:t>90</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B26319">
              <w:rPr>
                <w:rFonts w:eastAsiaTheme="majorEastAsia"/>
                <w:bCs/>
                <w:sz w:val="22"/>
                <w:szCs w:val="22"/>
              </w:rPr>
              <w:lastRenderedPageBreak/>
              <w:t>1.30. tabula. Maznodrošināto ģimeņu un personu ģimenēs skaits, t.sk. salīdzinājums starp lielo pilsētu un novadu pašvaldībām (2014-2016)</w:t>
            </w:r>
            <w:r>
              <w:rPr>
                <w:rFonts w:eastAsiaTheme="majorEastAsia"/>
                <w:bCs/>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90</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Pr>
                <w:rFonts w:eastAsiaTheme="majorEastAsia"/>
                <w:bCs/>
                <w:sz w:val="22"/>
                <w:szCs w:val="22"/>
              </w:rPr>
              <w:t>1</w:t>
            </w:r>
            <w:r w:rsidRPr="00B26319">
              <w:rPr>
                <w:rFonts w:eastAsiaTheme="majorEastAsia"/>
                <w:bCs/>
                <w:sz w:val="22"/>
                <w:szCs w:val="22"/>
              </w:rPr>
              <w:t>.31. tabula. Ienākumu testēto pašvaldības sociālās palīdzības pabalstiem izlietoto līdzekļu maznodrošinātām personām salīdzinājums starp lielo pilsētu un novadu pašvaldībām 2014.g.-2016.g. periodā</w:t>
            </w:r>
            <w:r>
              <w:rPr>
                <w:rFonts w:eastAsiaTheme="majorEastAsia"/>
                <w:bCs/>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93</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B26319">
              <w:rPr>
                <w:rFonts w:eastAsiaTheme="majorEastAsia"/>
                <w:bCs/>
                <w:sz w:val="22"/>
                <w:szCs w:val="22"/>
              </w:rPr>
              <w:t>1.32. tabula.  Maznodrošināto personu ienākumu testēto pašvaldības sociālās palīdzības (pabalstu) apmēra salīdzinājums starp lielo pilsētu un novadu pašvaldībām 2014.g.-2016.g. periodā</w:t>
            </w:r>
            <w:r>
              <w:rPr>
                <w:rFonts w:eastAsiaTheme="majorEastAsia"/>
                <w:bCs/>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93</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B26319">
              <w:rPr>
                <w:rFonts w:eastAsiaTheme="majorEastAsia"/>
                <w:bCs/>
                <w:sz w:val="22"/>
                <w:szCs w:val="22"/>
              </w:rPr>
              <w:t>1.33. tabula.  GMI pabalstam izlietotie līdzekļi lielo pilsētu un novadu pašvaldībās 2014.g.-2016.g. periodā (EUR)</w:t>
            </w:r>
            <w:r>
              <w:rPr>
                <w:rFonts w:eastAsiaTheme="majorEastAsia"/>
                <w:bCs/>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97</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B26319">
              <w:rPr>
                <w:rFonts w:eastAsiaTheme="majorEastAsia"/>
                <w:bCs/>
                <w:sz w:val="22"/>
                <w:szCs w:val="22"/>
              </w:rPr>
              <w:t>1.34. tabula. GMI pabalsta apmēra salīdzinājums starp lielo pilsētu un novadu pašvaldībām 2014.g.-2016.g. periodā</w:t>
            </w:r>
            <w:r>
              <w:rPr>
                <w:rFonts w:eastAsiaTheme="majorEastAsia"/>
                <w:bCs/>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98</w:t>
            </w:r>
          </w:p>
        </w:tc>
      </w:tr>
      <w:tr w:rsidR="00510393" w:rsidTr="004F389A">
        <w:tc>
          <w:tcPr>
            <w:tcW w:w="9322" w:type="dxa"/>
          </w:tcPr>
          <w:p w:rsidR="00510393" w:rsidRDefault="00AD3EDD" w:rsidP="00510393">
            <w:pPr>
              <w:pStyle w:val="TableofFigures"/>
              <w:tabs>
                <w:tab w:val="right" w:leader="dot" w:pos="9682"/>
              </w:tabs>
              <w:rPr>
                <w:rFonts w:eastAsiaTheme="majorEastAsia"/>
                <w:bCs/>
                <w:sz w:val="22"/>
                <w:szCs w:val="22"/>
              </w:rPr>
            </w:pPr>
            <w:hyperlink w:anchor="_Toc6857671" w:history="1">
              <w:r w:rsidR="00510393" w:rsidRPr="00B26319">
                <w:rPr>
                  <w:rFonts w:eastAsiaTheme="majorEastAsia"/>
                  <w:bCs/>
                </w:rPr>
                <w:t>1.35.</w:t>
              </w:r>
            </w:hyperlink>
            <w:r w:rsidR="00510393" w:rsidRPr="00B26319">
              <w:rPr>
                <w:rFonts w:eastAsiaTheme="majorEastAsia"/>
                <w:bCs/>
                <w:sz w:val="22"/>
                <w:szCs w:val="22"/>
              </w:rPr>
              <w:t xml:space="preserve"> tabula. Ienākumu testēto pašvaldības sociālās palīdzības pabalstu saņēmēju raksturojums pēc ienākumu līmeņa uz vienu ģimenes locekli mēnesī (2014-2016, skaits)</w:t>
            </w:r>
            <w:r w:rsidR="00510393">
              <w:rPr>
                <w:rFonts w:eastAsiaTheme="majorEastAsia"/>
                <w:bCs/>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98</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B26319">
              <w:rPr>
                <w:rFonts w:eastAsiaTheme="majorEastAsia"/>
                <w:bCs/>
                <w:sz w:val="22"/>
                <w:szCs w:val="22"/>
              </w:rPr>
              <w:t>1.36. tabula. Ienākumu testētam dzīvokļa pabalstam izlietotie līdzekļi naudā un natūrā (2014-2016)</w:t>
            </w:r>
            <w:r>
              <w:rPr>
                <w:rFonts w:eastAsiaTheme="majorEastAsia"/>
                <w:bCs/>
                <w:sz w:val="22"/>
                <w:szCs w:val="22"/>
              </w:rPr>
              <w:t xml:space="preserve"> .....</w:t>
            </w:r>
          </w:p>
        </w:tc>
        <w:tc>
          <w:tcPr>
            <w:tcW w:w="640" w:type="dxa"/>
          </w:tcPr>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102</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B26319">
              <w:rPr>
                <w:rFonts w:eastAsiaTheme="majorEastAsia"/>
                <w:bCs/>
                <w:sz w:val="22"/>
                <w:szCs w:val="22"/>
              </w:rPr>
              <w:t>1.37. tabula. Ienākumu testētā dzīvokļa pabalsta (naudā un natūrā) salīdzinājums starp lielo pilsētu un novadu pašvaldībām 2014.g.-2016.g. periodā</w:t>
            </w:r>
            <w:r>
              <w:rPr>
                <w:rFonts w:eastAsiaTheme="majorEastAsia"/>
                <w:bCs/>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103</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E438A9">
              <w:rPr>
                <w:noProof/>
                <w:sz w:val="22"/>
                <w:szCs w:val="22"/>
              </w:rPr>
              <w:t xml:space="preserve">1.38. </w:t>
            </w:r>
            <w:r w:rsidRPr="005D21FB">
              <w:rPr>
                <w:noProof/>
                <w:sz w:val="22"/>
                <w:szCs w:val="22"/>
              </w:rPr>
              <w:t>tabula.</w:t>
            </w:r>
            <w:r>
              <w:rPr>
                <w:noProof/>
                <w:sz w:val="22"/>
                <w:szCs w:val="22"/>
              </w:rPr>
              <w:t xml:space="preserve"> </w:t>
            </w:r>
            <w:r w:rsidRPr="00E438A9">
              <w:rPr>
                <w:noProof/>
                <w:sz w:val="22"/>
                <w:szCs w:val="22"/>
              </w:rPr>
              <w:t>Ienākumu testētam dzīvokļa pabalstam atvēlēto līdzekļu sadalījums pēc izdevumu mērķa (2014-2016)</w:t>
            </w:r>
            <w:r>
              <w:rPr>
                <w:noProof/>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103</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E438A9">
              <w:rPr>
                <w:noProof/>
                <w:sz w:val="22"/>
                <w:szCs w:val="22"/>
              </w:rPr>
              <w:t xml:space="preserve">1.39. </w:t>
            </w:r>
            <w:r w:rsidRPr="005D21FB">
              <w:rPr>
                <w:noProof/>
                <w:sz w:val="22"/>
                <w:szCs w:val="22"/>
              </w:rPr>
              <w:t>tabula.</w:t>
            </w:r>
            <w:r>
              <w:rPr>
                <w:noProof/>
                <w:sz w:val="22"/>
                <w:szCs w:val="22"/>
              </w:rPr>
              <w:t xml:space="preserve"> </w:t>
            </w:r>
            <w:r w:rsidRPr="00E438A9">
              <w:rPr>
                <w:noProof/>
                <w:sz w:val="22"/>
                <w:szCs w:val="22"/>
              </w:rPr>
              <w:t>Iedzīvotāju īpatsvars zem nabadzības riska sliekšņa, kuri naudas trūkuma dēļ nevarēja atļauties segt atsevišķas izmaksas (2014-2017, %)</w:t>
            </w:r>
            <w:r>
              <w:rPr>
                <w:noProof/>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115</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E438A9">
              <w:rPr>
                <w:noProof/>
                <w:sz w:val="22"/>
                <w:szCs w:val="22"/>
              </w:rPr>
              <w:t xml:space="preserve">1.40. </w:t>
            </w:r>
            <w:r w:rsidRPr="005D21FB">
              <w:rPr>
                <w:noProof/>
                <w:sz w:val="22"/>
                <w:szCs w:val="22"/>
              </w:rPr>
              <w:t>tabula.</w:t>
            </w:r>
            <w:r>
              <w:rPr>
                <w:noProof/>
                <w:sz w:val="22"/>
                <w:szCs w:val="22"/>
              </w:rPr>
              <w:t xml:space="preserve"> </w:t>
            </w:r>
            <w:r w:rsidRPr="00E438A9">
              <w:rPr>
                <w:noProof/>
                <w:sz w:val="22"/>
                <w:szCs w:val="22"/>
              </w:rPr>
              <w:t>Iedzīvotāju īpatsvars, kuri pakļauti nabadzības riskam vai sociālai atstumtībai pēc vecuma un dzimuma (%)</w:t>
            </w:r>
            <w:r>
              <w:rPr>
                <w:noProof/>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117</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E438A9">
              <w:rPr>
                <w:noProof/>
                <w:sz w:val="22"/>
                <w:szCs w:val="22"/>
              </w:rPr>
              <w:t xml:space="preserve">1.41. </w:t>
            </w:r>
            <w:r w:rsidRPr="005D21FB">
              <w:rPr>
                <w:noProof/>
                <w:sz w:val="22"/>
                <w:szCs w:val="22"/>
              </w:rPr>
              <w:t>tabula.</w:t>
            </w:r>
            <w:r>
              <w:rPr>
                <w:noProof/>
                <w:sz w:val="22"/>
                <w:szCs w:val="22"/>
              </w:rPr>
              <w:t xml:space="preserve"> </w:t>
            </w:r>
            <w:r w:rsidRPr="00E438A9">
              <w:rPr>
                <w:noProof/>
                <w:sz w:val="22"/>
                <w:szCs w:val="22"/>
              </w:rPr>
              <w:t xml:space="preserve">VSAA uzskaitē esošās personas ar invaliditāti – sociālās apdrošināšanas un sociālo pakalpojumu saņēmējas – dalījumā pēc traucējuma veida un invaliditātes grupas (skaits) 2014. – 2017. </w:t>
            </w:r>
            <w:r>
              <w:rPr>
                <w:noProof/>
                <w:sz w:val="22"/>
                <w:szCs w:val="22"/>
              </w:rPr>
              <w:t>g</w:t>
            </w:r>
            <w:r w:rsidRPr="00E438A9">
              <w:rPr>
                <w:noProof/>
                <w:sz w:val="22"/>
                <w:szCs w:val="22"/>
              </w:rPr>
              <w:t>adā</w:t>
            </w:r>
            <w:r>
              <w:rPr>
                <w:noProof/>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120</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E438A9">
              <w:rPr>
                <w:noProof/>
                <w:sz w:val="22"/>
                <w:szCs w:val="22"/>
              </w:rPr>
              <w:t xml:space="preserve">1.42. </w:t>
            </w:r>
            <w:r w:rsidRPr="005D21FB">
              <w:rPr>
                <w:noProof/>
                <w:sz w:val="22"/>
                <w:szCs w:val="22"/>
              </w:rPr>
              <w:t>tabula.</w:t>
            </w:r>
            <w:r>
              <w:rPr>
                <w:noProof/>
                <w:sz w:val="22"/>
                <w:szCs w:val="22"/>
              </w:rPr>
              <w:t xml:space="preserve"> </w:t>
            </w:r>
            <w:r w:rsidRPr="00E438A9">
              <w:rPr>
                <w:noProof/>
                <w:sz w:val="22"/>
                <w:szCs w:val="22"/>
              </w:rPr>
              <w:t>Personu – sociālās apdrošināšanas un sociālo pakalpojumu saņēmēju – skaits 2014. – 2017. gadā dalījumā pa maksājumu un pakalpojumu veidiem</w:t>
            </w:r>
            <w:r>
              <w:rPr>
                <w:noProof/>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122</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E438A9">
              <w:rPr>
                <w:noProof/>
                <w:sz w:val="22"/>
                <w:szCs w:val="22"/>
              </w:rPr>
              <w:t xml:space="preserve">1.43. </w:t>
            </w:r>
            <w:r w:rsidRPr="005D21FB">
              <w:rPr>
                <w:noProof/>
                <w:sz w:val="22"/>
                <w:szCs w:val="22"/>
              </w:rPr>
              <w:t>tabula.</w:t>
            </w:r>
            <w:r w:rsidRPr="00E438A9">
              <w:rPr>
                <w:noProof/>
                <w:sz w:val="22"/>
                <w:szCs w:val="22"/>
              </w:rPr>
              <w:t>Personu – sociālās apdrošināšanas un sociālo pakalpojumu saņēmēju – īpatsvars (procentos) 2015. – 2016. gadā dalījumā pēc invaliditātes grupas</w:t>
            </w:r>
            <w:r>
              <w:rPr>
                <w:noProof/>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123</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E438A9">
              <w:rPr>
                <w:noProof/>
                <w:sz w:val="22"/>
                <w:szCs w:val="22"/>
              </w:rPr>
              <w:t xml:space="preserve">1.44. </w:t>
            </w:r>
            <w:r w:rsidRPr="005D21FB">
              <w:rPr>
                <w:noProof/>
                <w:sz w:val="22"/>
                <w:szCs w:val="22"/>
              </w:rPr>
              <w:t>tabula.</w:t>
            </w:r>
            <w:r>
              <w:rPr>
                <w:noProof/>
                <w:sz w:val="22"/>
                <w:szCs w:val="22"/>
              </w:rPr>
              <w:t xml:space="preserve"> </w:t>
            </w:r>
            <w:r w:rsidRPr="00E438A9">
              <w:rPr>
                <w:noProof/>
                <w:sz w:val="22"/>
                <w:szCs w:val="22"/>
              </w:rPr>
              <w:t>Personu – sociālās apdrošināšanas un sociālo pakalpojumu saņēmēju – īpatsvars (procentos) 2015. – 2016. gadā dalījumā pēc traucējuma veida</w:t>
            </w:r>
            <w:r>
              <w:rPr>
                <w:noProof/>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125</w:t>
            </w:r>
          </w:p>
        </w:tc>
      </w:tr>
      <w:tr w:rsidR="00510393" w:rsidTr="004F389A">
        <w:tc>
          <w:tcPr>
            <w:tcW w:w="9322" w:type="dxa"/>
          </w:tcPr>
          <w:p w:rsidR="00510393" w:rsidRDefault="00510393" w:rsidP="00037D97">
            <w:pPr>
              <w:pStyle w:val="TableofFigures"/>
              <w:tabs>
                <w:tab w:val="right" w:leader="dot" w:pos="9682"/>
              </w:tabs>
              <w:rPr>
                <w:rFonts w:eastAsiaTheme="majorEastAsia"/>
                <w:bCs/>
                <w:sz w:val="22"/>
                <w:szCs w:val="22"/>
              </w:rPr>
            </w:pPr>
            <w:r w:rsidRPr="00E438A9">
              <w:rPr>
                <w:noProof/>
                <w:sz w:val="22"/>
                <w:szCs w:val="22"/>
              </w:rPr>
              <w:t xml:space="preserve">1.45. </w:t>
            </w:r>
            <w:r w:rsidRPr="005D21FB">
              <w:rPr>
                <w:noProof/>
                <w:sz w:val="22"/>
                <w:szCs w:val="22"/>
              </w:rPr>
              <w:t>tabula.</w:t>
            </w:r>
            <w:r>
              <w:rPr>
                <w:noProof/>
                <w:sz w:val="22"/>
                <w:szCs w:val="22"/>
              </w:rPr>
              <w:t xml:space="preserve"> </w:t>
            </w:r>
            <w:r w:rsidRPr="00E438A9">
              <w:rPr>
                <w:noProof/>
                <w:sz w:val="22"/>
                <w:szCs w:val="22"/>
              </w:rPr>
              <w:t>Personu ar invaliditāti vidējie ienākumi (mēnesī, EUR) dalījumā pa ienākumu veidiem (sociālie transferti, nodarbinātība, kopējie ienākumi) un personas raksturojuma – invaliditātes veida un funkcionāl</w:t>
            </w:r>
            <w:r w:rsidR="00042EA1">
              <w:rPr>
                <w:noProof/>
                <w:sz w:val="22"/>
                <w:szCs w:val="22"/>
              </w:rPr>
              <w:t>o</w:t>
            </w:r>
            <w:r w:rsidRPr="00E438A9">
              <w:rPr>
                <w:noProof/>
                <w:sz w:val="22"/>
                <w:szCs w:val="22"/>
              </w:rPr>
              <w:t xml:space="preserve"> traucējumu veida 2014. – 2017. </w:t>
            </w:r>
            <w:r>
              <w:rPr>
                <w:noProof/>
                <w:sz w:val="22"/>
                <w:szCs w:val="22"/>
              </w:rPr>
              <w:t>g</w:t>
            </w:r>
            <w:r w:rsidRPr="00E438A9">
              <w:rPr>
                <w:noProof/>
                <w:sz w:val="22"/>
                <w:szCs w:val="22"/>
              </w:rPr>
              <w:t>ads</w:t>
            </w:r>
            <w:r>
              <w:rPr>
                <w:noProof/>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127</w:t>
            </w:r>
          </w:p>
        </w:tc>
      </w:tr>
      <w:tr w:rsidR="00510393" w:rsidTr="004F389A">
        <w:tc>
          <w:tcPr>
            <w:tcW w:w="9322" w:type="dxa"/>
          </w:tcPr>
          <w:p w:rsidR="00510393" w:rsidRPr="00042EA1" w:rsidRDefault="00510393" w:rsidP="00510393">
            <w:pPr>
              <w:pStyle w:val="TableofFigures"/>
              <w:tabs>
                <w:tab w:val="right" w:leader="dot" w:pos="9682"/>
              </w:tabs>
              <w:rPr>
                <w:noProof/>
                <w:sz w:val="22"/>
                <w:szCs w:val="22"/>
              </w:rPr>
            </w:pPr>
            <w:r w:rsidRPr="00725B08">
              <w:rPr>
                <w:noProof/>
                <w:sz w:val="22"/>
                <w:szCs w:val="22"/>
              </w:rPr>
              <w:t>1.46. tabula.</w:t>
            </w:r>
            <w:r>
              <w:rPr>
                <w:noProof/>
                <w:sz w:val="22"/>
                <w:szCs w:val="22"/>
              </w:rPr>
              <w:t xml:space="preserve"> </w:t>
            </w:r>
            <w:r w:rsidRPr="00725B08">
              <w:rPr>
                <w:noProof/>
                <w:sz w:val="22"/>
                <w:szCs w:val="22"/>
              </w:rPr>
              <w:t>Strādājošu un nestrādājošu personu ar invaliditāti vidējie ienākumi (mēnesī, EUR) dalījumā pēc personas raksturojuma – invaliditātes veida un funkcionāl</w:t>
            </w:r>
            <w:r w:rsidR="00042EA1">
              <w:rPr>
                <w:noProof/>
                <w:sz w:val="22"/>
                <w:szCs w:val="22"/>
              </w:rPr>
              <w:t>o</w:t>
            </w:r>
            <w:r w:rsidRPr="00725B08">
              <w:rPr>
                <w:noProof/>
                <w:sz w:val="22"/>
                <w:szCs w:val="22"/>
              </w:rPr>
              <w:t xml:space="preserve"> traucējumu veida 2015. – 2016. gads</w:t>
            </w:r>
            <w:r>
              <w:rPr>
                <w:noProof/>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129</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725B08">
              <w:rPr>
                <w:noProof/>
                <w:sz w:val="22"/>
                <w:szCs w:val="22"/>
              </w:rPr>
              <w:t>1.47. tabula. Rīcībpolitikas pasākumi nabadzības un sociālās atstumtības riskam pakļauto mērķa grupu ienākumu palielināšanai 2015.-2016. gadā</w:t>
            </w:r>
            <w:r>
              <w:rPr>
                <w:noProof/>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135</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p>
        </w:tc>
        <w:tc>
          <w:tcPr>
            <w:tcW w:w="640" w:type="dxa"/>
          </w:tcPr>
          <w:p w:rsidR="00510393" w:rsidRPr="00FA1DBD" w:rsidRDefault="00510393" w:rsidP="00510393">
            <w:pPr>
              <w:pStyle w:val="TableofFigures"/>
              <w:tabs>
                <w:tab w:val="right" w:leader="dot" w:pos="9682"/>
              </w:tabs>
              <w:jc w:val="right"/>
              <w:rPr>
                <w:rFonts w:eastAsiaTheme="majorEastAsia"/>
                <w:bCs/>
                <w:sz w:val="22"/>
                <w:szCs w:val="22"/>
              </w:rPr>
            </w:pP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B26319">
              <w:rPr>
                <w:rFonts w:eastAsiaTheme="majorEastAsia"/>
                <w:bCs/>
                <w:sz w:val="22"/>
                <w:szCs w:val="22"/>
              </w:rPr>
              <w:t>2.1. tabula. Pārbaužu veikšana vai ārstēšanās pie medicīnas speciālista (izņemot zobārstu) un apstākļi, kas traucējuši veikt pārbaudes vai ārstēšanos 16 gadus veciem un vecākiem iedzīvotājiem (%). Iemesli pārbaužu neveikšanai (% no visiem iedzīvotājiem)</w:t>
            </w:r>
            <w:r>
              <w:rPr>
                <w:rFonts w:eastAsiaTheme="majorEastAsia"/>
                <w:bCs/>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156</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B26319">
              <w:rPr>
                <w:rFonts w:eastAsiaTheme="majorEastAsia"/>
                <w:bCs/>
                <w:sz w:val="22"/>
                <w:szCs w:val="22"/>
              </w:rPr>
              <w:t>2.2. tabula. Zobārsta apmeklējumi un zobārsta neapmeklēšanas iemesls 16 gadus veciem un vecākiem iedzīvotājiem (%). Visi iedzīvotāji</w:t>
            </w:r>
            <w:r>
              <w:rPr>
                <w:rFonts w:eastAsiaTheme="majorEastAsia"/>
                <w:bCs/>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161</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B26319">
              <w:rPr>
                <w:rFonts w:eastAsiaTheme="majorEastAsia"/>
                <w:bCs/>
                <w:sz w:val="22"/>
                <w:szCs w:val="22"/>
              </w:rPr>
              <w:t xml:space="preserve">2.3. tabula. Pārbaužu veikšana vai ārstēšanās pie medicīnas speciālista un zobārsta apmeklējums visiem mājsaimniecības bērniem vecumā līdz 15 gadiem 2017. gadā (%). Medicīnas speciālista vai </w:t>
            </w:r>
            <w:r w:rsidRPr="00B26319">
              <w:rPr>
                <w:rFonts w:eastAsiaTheme="majorEastAsia"/>
                <w:bCs/>
                <w:sz w:val="22"/>
                <w:szCs w:val="22"/>
              </w:rPr>
              <w:lastRenderedPageBreak/>
              <w:t>zobārsta neapmeklēšanas iemesli</w:t>
            </w:r>
            <w:r>
              <w:rPr>
                <w:rFonts w:eastAsiaTheme="majorEastAsia"/>
                <w:bCs/>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lastRenderedPageBreak/>
              <w:t>182</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B26319">
              <w:rPr>
                <w:rFonts w:eastAsiaTheme="majorEastAsia"/>
                <w:bCs/>
                <w:sz w:val="22"/>
                <w:szCs w:val="22"/>
              </w:rPr>
              <w:lastRenderedPageBreak/>
              <w:t>2.4.tabula. Galveno datu avotu nevienlīdzības veselības aprūpes jomā salīdzinājums</w:t>
            </w:r>
            <w:r>
              <w:rPr>
                <w:rFonts w:eastAsiaTheme="majorEastAsia"/>
                <w:bCs/>
                <w:sz w:val="22"/>
                <w:szCs w:val="22"/>
              </w:rPr>
              <w:t xml:space="preserve"> ..............................</w:t>
            </w:r>
          </w:p>
        </w:tc>
        <w:tc>
          <w:tcPr>
            <w:tcW w:w="640" w:type="dxa"/>
          </w:tcPr>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189</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B26319">
              <w:rPr>
                <w:rFonts w:eastAsiaTheme="majorEastAsia"/>
                <w:bCs/>
                <w:sz w:val="22"/>
                <w:szCs w:val="22"/>
              </w:rPr>
              <w:t>2.5.tabula. Pašvaldību noteiktie atvieglojumi veselības aprūpes pakalpojumu saņemšanai</w:t>
            </w:r>
            <w:r>
              <w:rPr>
                <w:rFonts w:eastAsiaTheme="majorEastAsia"/>
                <w:bCs/>
                <w:sz w:val="22"/>
                <w:szCs w:val="22"/>
              </w:rPr>
              <w:t xml:space="preserve"> ......................</w:t>
            </w:r>
          </w:p>
        </w:tc>
        <w:tc>
          <w:tcPr>
            <w:tcW w:w="640" w:type="dxa"/>
          </w:tcPr>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213</w:t>
            </w:r>
          </w:p>
        </w:tc>
      </w:tr>
      <w:tr w:rsidR="004F389A" w:rsidTr="004F389A">
        <w:tc>
          <w:tcPr>
            <w:tcW w:w="9322" w:type="dxa"/>
          </w:tcPr>
          <w:p w:rsidR="004F389A" w:rsidRPr="00B26319" w:rsidRDefault="004F389A" w:rsidP="00510393">
            <w:pPr>
              <w:pStyle w:val="TableofFigures"/>
              <w:tabs>
                <w:tab w:val="right" w:leader="dot" w:pos="9682"/>
              </w:tabs>
              <w:rPr>
                <w:rFonts w:eastAsiaTheme="majorEastAsia"/>
                <w:bCs/>
                <w:sz w:val="22"/>
                <w:szCs w:val="22"/>
              </w:rPr>
            </w:pPr>
          </w:p>
        </w:tc>
        <w:tc>
          <w:tcPr>
            <w:tcW w:w="640" w:type="dxa"/>
          </w:tcPr>
          <w:p w:rsidR="004F389A" w:rsidRDefault="004F389A" w:rsidP="00510393">
            <w:pPr>
              <w:pStyle w:val="TableofFigures"/>
              <w:tabs>
                <w:tab w:val="right" w:leader="dot" w:pos="9682"/>
              </w:tabs>
              <w:jc w:val="right"/>
              <w:rPr>
                <w:rFonts w:eastAsiaTheme="majorEastAsia"/>
                <w:bCs/>
                <w:sz w:val="22"/>
                <w:szCs w:val="22"/>
              </w:rPr>
            </w:pP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B26319">
              <w:rPr>
                <w:rFonts w:eastAsiaTheme="majorEastAsia"/>
                <w:bCs/>
                <w:sz w:val="22"/>
                <w:szCs w:val="22"/>
              </w:rPr>
              <w:t>3.1. tabula. Pamatnostādņu dokumentos identificētās problēmas un risinājumi mājokļa jomā</w:t>
            </w:r>
            <w:r>
              <w:rPr>
                <w:rFonts w:eastAsiaTheme="majorEastAsia"/>
                <w:bCs/>
                <w:sz w:val="22"/>
                <w:szCs w:val="22"/>
              </w:rPr>
              <w:t xml:space="preserve"> .................</w:t>
            </w:r>
          </w:p>
        </w:tc>
        <w:tc>
          <w:tcPr>
            <w:tcW w:w="640" w:type="dxa"/>
          </w:tcPr>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250</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B26319">
              <w:rPr>
                <w:rFonts w:eastAsiaTheme="majorEastAsia"/>
                <w:bCs/>
                <w:sz w:val="22"/>
                <w:szCs w:val="22"/>
              </w:rPr>
              <w:t>3.2. tabula. Dzīvokļa pabalsta nosaukumi pašvaldību saistošajos noteikumos</w:t>
            </w:r>
            <w:r>
              <w:rPr>
                <w:rFonts w:eastAsiaTheme="majorEastAsia"/>
                <w:bCs/>
                <w:sz w:val="22"/>
                <w:szCs w:val="22"/>
              </w:rPr>
              <w:t xml:space="preserve"> ..........................................</w:t>
            </w:r>
          </w:p>
        </w:tc>
        <w:tc>
          <w:tcPr>
            <w:tcW w:w="640" w:type="dxa"/>
          </w:tcPr>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280</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B26319">
              <w:rPr>
                <w:rFonts w:eastAsiaTheme="majorEastAsia"/>
                <w:bCs/>
                <w:sz w:val="22"/>
                <w:szCs w:val="22"/>
              </w:rPr>
              <w:t>3.3. tabula. Dzīvojamā platība un iedzīvotāju skaits (2010-2017)</w:t>
            </w:r>
            <w:r>
              <w:rPr>
                <w:rFonts w:eastAsiaTheme="majorEastAsia"/>
                <w:bCs/>
                <w:sz w:val="22"/>
                <w:szCs w:val="22"/>
              </w:rPr>
              <w:t xml:space="preserve"> .............................................................</w:t>
            </w:r>
          </w:p>
        </w:tc>
        <w:tc>
          <w:tcPr>
            <w:tcW w:w="640" w:type="dxa"/>
          </w:tcPr>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291</w:t>
            </w:r>
          </w:p>
        </w:tc>
      </w:tr>
      <w:tr w:rsidR="004F389A" w:rsidTr="004F389A">
        <w:tc>
          <w:tcPr>
            <w:tcW w:w="9322" w:type="dxa"/>
          </w:tcPr>
          <w:p w:rsidR="004F389A" w:rsidRPr="00E438A9" w:rsidRDefault="004F389A" w:rsidP="00510393">
            <w:pPr>
              <w:pStyle w:val="TableofFigures"/>
              <w:tabs>
                <w:tab w:val="right" w:leader="dot" w:pos="9682"/>
              </w:tabs>
              <w:rPr>
                <w:noProof/>
                <w:sz w:val="22"/>
                <w:szCs w:val="22"/>
              </w:rPr>
            </w:pPr>
          </w:p>
        </w:tc>
        <w:tc>
          <w:tcPr>
            <w:tcW w:w="640" w:type="dxa"/>
          </w:tcPr>
          <w:p w:rsidR="004F389A" w:rsidRDefault="004F389A" w:rsidP="00510393">
            <w:pPr>
              <w:pStyle w:val="TableofFigures"/>
              <w:tabs>
                <w:tab w:val="right" w:leader="dot" w:pos="9682"/>
              </w:tabs>
              <w:jc w:val="right"/>
              <w:rPr>
                <w:rFonts w:eastAsiaTheme="majorEastAsia"/>
                <w:bCs/>
                <w:sz w:val="22"/>
                <w:szCs w:val="22"/>
              </w:rPr>
            </w:pP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E438A9">
              <w:rPr>
                <w:noProof/>
                <w:sz w:val="22"/>
                <w:szCs w:val="22"/>
              </w:rPr>
              <w:t>4.1. tabula. Izvērtējuma uzdevumi un to īstenošanas metodikas kopsavilkums sociālās atstumtības un nabadzības mazināšanas jomā</w:t>
            </w:r>
            <w:r>
              <w:rPr>
                <w:noProof/>
                <w:sz w:val="22"/>
                <w:szCs w:val="22"/>
              </w:rPr>
              <w:t xml:space="preserve"> ....................................................................................................................</w:t>
            </w:r>
          </w:p>
        </w:tc>
        <w:tc>
          <w:tcPr>
            <w:tcW w:w="640" w:type="dxa"/>
          </w:tcPr>
          <w:p w:rsidR="00510393" w:rsidRDefault="00510393" w:rsidP="00510393">
            <w:pPr>
              <w:pStyle w:val="TableofFigures"/>
              <w:tabs>
                <w:tab w:val="right" w:leader="dot" w:pos="9682"/>
              </w:tabs>
              <w:jc w:val="right"/>
              <w:rPr>
                <w:rFonts w:eastAsiaTheme="majorEastAsia"/>
                <w:bCs/>
                <w:sz w:val="22"/>
                <w:szCs w:val="22"/>
              </w:rPr>
            </w:pPr>
          </w:p>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395</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E438A9">
              <w:rPr>
                <w:noProof/>
                <w:sz w:val="22"/>
                <w:szCs w:val="22"/>
              </w:rPr>
              <w:t>4.2. tabula. Izvērtējuma uzdevumi un to īstenošanas metodikas kopsavilkums veselības aprūpes jomā</w:t>
            </w:r>
            <w:r>
              <w:rPr>
                <w:noProof/>
                <w:sz w:val="22"/>
                <w:szCs w:val="22"/>
              </w:rPr>
              <w:t xml:space="preserve"> ..</w:t>
            </w:r>
          </w:p>
        </w:tc>
        <w:tc>
          <w:tcPr>
            <w:tcW w:w="640" w:type="dxa"/>
          </w:tcPr>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404</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E438A9">
              <w:rPr>
                <w:noProof/>
                <w:sz w:val="22"/>
                <w:szCs w:val="22"/>
              </w:rPr>
              <w:t>4.3. tabula. Nacionālā līmeņa tiesību aktu  analīzes struktūra nevienlīdzības veselības aprūpes jomā</w:t>
            </w:r>
            <w:r>
              <w:rPr>
                <w:noProof/>
                <w:sz w:val="22"/>
                <w:szCs w:val="22"/>
              </w:rPr>
              <w:t xml:space="preserve"> .....</w:t>
            </w:r>
          </w:p>
        </w:tc>
        <w:tc>
          <w:tcPr>
            <w:tcW w:w="640" w:type="dxa"/>
          </w:tcPr>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410</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E438A9">
              <w:rPr>
                <w:noProof/>
                <w:sz w:val="22"/>
                <w:szCs w:val="22"/>
              </w:rPr>
              <w:t>4.4. tabula. Pašvaldību saistošo noteikumu analīzes struktūra nevienlīdzības veselības aprūpes jomā</w:t>
            </w:r>
            <w:r>
              <w:rPr>
                <w:noProof/>
                <w:sz w:val="22"/>
                <w:szCs w:val="22"/>
              </w:rPr>
              <w:t xml:space="preserve"> .....</w:t>
            </w:r>
          </w:p>
        </w:tc>
        <w:tc>
          <w:tcPr>
            <w:tcW w:w="640" w:type="dxa"/>
          </w:tcPr>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412</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E438A9">
              <w:rPr>
                <w:noProof/>
                <w:sz w:val="22"/>
                <w:szCs w:val="22"/>
              </w:rPr>
              <w:t>4.5. tabula. Izvērtējuma uzdevumi un to īstenošanas metodikas kopsavilkums mājokļa jomā</w:t>
            </w:r>
            <w:r>
              <w:rPr>
                <w:noProof/>
                <w:sz w:val="22"/>
                <w:szCs w:val="22"/>
              </w:rPr>
              <w:t xml:space="preserve"> ..................</w:t>
            </w:r>
          </w:p>
        </w:tc>
        <w:tc>
          <w:tcPr>
            <w:tcW w:w="640" w:type="dxa"/>
          </w:tcPr>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414</w:t>
            </w:r>
          </w:p>
        </w:tc>
      </w:tr>
      <w:tr w:rsidR="00510393" w:rsidTr="004F389A">
        <w:tc>
          <w:tcPr>
            <w:tcW w:w="9322" w:type="dxa"/>
          </w:tcPr>
          <w:p w:rsidR="00510393" w:rsidRDefault="00510393" w:rsidP="00510393">
            <w:pPr>
              <w:pStyle w:val="TableofFigures"/>
              <w:tabs>
                <w:tab w:val="right" w:leader="dot" w:pos="9682"/>
              </w:tabs>
              <w:rPr>
                <w:rFonts w:eastAsiaTheme="majorEastAsia"/>
                <w:bCs/>
                <w:sz w:val="22"/>
                <w:szCs w:val="22"/>
              </w:rPr>
            </w:pPr>
            <w:r w:rsidRPr="00E438A9">
              <w:rPr>
                <w:noProof/>
                <w:sz w:val="22"/>
                <w:szCs w:val="22"/>
              </w:rPr>
              <w:t>4.6. tabula. Pašvaldību saistošo noteikumu analīzes struktūra mājokļa pieejamības jomā</w:t>
            </w:r>
            <w:r>
              <w:rPr>
                <w:noProof/>
                <w:sz w:val="22"/>
                <w:szCs w:val="22"/>
              </w:rPr>
              <w:t xml:space="preserve"> ........................</w:t>
            </w:r>
          </w:p>
        </w:tc>
        <w:tc>
          <w:tcPr>
            <w:tcW w:w="640" w:type="dxa"/>
          </w:tcPr>
          <w:p w:rsidR="00510393" w:rsidRPr="00FA1DBD" w:rsidRDefault="00510393" w:rsidP="00510393">
            <w:pPr>
              <w:pStyle w:val="TableofFigures"/>
              <w:tabs>
                <w:tab w:val="right" w:leader="dot" w:pos="9682"/>
              </w:tabs>
              <w:jc w:val="right"/>
              <w:rPr>
                <w:rFonts w:eastAsiaTheme="majorEastAsia"/>
                <w:bCs/>
                <w:sz w:val="22"/>
                <w:szCs w:val="22"/>
              </w:rPr>
            </w:pPr>
            <w:r>
              <w:rPr>
                <w:rFonts w:eastAsiaTheme="majorEastAsia"/>
                <w:bCs/>
                <w:sz w:val="22"/>
                <w:szCs w:val="22"/>
              </w:rPr>
              <w:t>419</w:t>
            </w:r>
          </w:p>
        </w:tc>
      </w:tr>
    </w:tbl>
    <w:p w:rsidR="00485F8A" w:rsidRPr="00F14C90" w:rsidRDefault="00485F8A" w:rsidP="00F14C90">
      <w:pPr>
        <w:pStyle w:val="Caption"/>
      </w:pPr>
    </w:p>
    <w:p w:rsidR="005B06A0" w:rsidRDefault="005B06A0">
      <w:pPr>
        <w:spacing w:line="240" w:lineRule="auto"/>
        <w:jc w:val="left"/>
        <w:rPr>
          <w:rFonts w:asciiTheme="majorHAnsi" w:eastAsiaTheme="majorEastAsia" w:hAnsiTheme="majorHAnsi" w:cstheme="majorBidi"/>
          <w:b/>
          <w:i/>
          <w:color w:val="002060"/>
          <w:sz w:val="28"/>
        </w:rPr>
      </w:pPr>
      <w:bookmarkStart w:id="30" w:name="_Toc6841507"/>
      <w:r>
        <w:br w:type="page"/>
      </w:r>
    </w:p>
    <w:p w:rsidR="008D2645" w:rsidRDefault="008D2645" w:rsidP="003945E0">
      <w:pPr>
        <w:pStyle w:val="navnumirsaturlevel3"/>
        <w:outlineLvl w:val="0"/>
      </w:pPr>
      <w:r w:rsidRPr="00315872">
        <w:lastRenderedPageBreak/>
        <w:t>Attēlu rādītājs</w:t>
      </w:r>
      <w:bookmarkEnd w:id="30"/>
      <w:r w:rsidRPr="0031587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22"/>
        <w:gridCol w:w="640"/>
      </w:tblGrid>
      <w:tr w:rsidR="00744B99" w:rsidRPr="00C93BB4" w:rsidTr="00D90881">
        <w:tc>
          <w:tcPr>
            <w:tcW w:w="9322" w:type="dxa"/>
          </w:tcPr>
          <w:p w:rsidR="00744B99" w:rsidRPr="00C93BB4" w:rsidRDefault="00AD3EDD" w:rsidP="00D90881">
            <w:pPr>
              <w:pStyle w:val="Normalatteli"/>
              <w:jc w:val="left"/>
              <w:rPr>
                <w:szCs w:val="22"/>
              </w:rPr>
            </w:pPr>
            <w:r>
              <w:fldChar w:fldCharType="begin"/>
            </w:r>
            <w:r w:rsidR="00744B99">
              <w:instrText xml:space="preserve"> STYLEREF 1 \s </w:instrText>
            </w:r>
            <w:r>
              <w:fldChar w:fldCharType="separate"/>
            </w:r>
            <w:r w:rsidR="00224B50">
              <w:rPr>
                <w:noProof/>
              </w:rPr>
              <w:t>1</w:t>
            </w:r>
            <w:r>
              <w:fldChar w:fldCharType="end"/>
            </w:r>
            <w:r w:rsidR="00744B99" w:rsidRPr="00C93BB4">
              <w:t>.</w:t>
            </w:r>
            <w:r>
              <w:fldChar w:fldCharType="begin"/>
            </w:r>
            <w:r w:rsidR="00744B99">
              <w:instrText xml:space="preserve"> SEQ Ilustrācija \* ARABIC \s 1 </w:instrText>
            </w:r>
            <w:r>
              <w:fldChar w:fldCharType="separate"/>
            </w:r>
            <w:r w:rsidR="00224B50">
              <w:rPr>
                <w:noProof/>
              </w:rPr>
              <w:t>1</w:t>
            </w:r>
            <w:r>
              <w:fldChar w:fldCharType="end"/>
            </w:r>
            <w:r w:rsidR="00744B99" w:rsidRPr="00C93BB4">
              <w:t>. Mājsaimniecību īpatsvars zem minimālā ienākuma līmeņa pēc mājsaimniecības tipa (%)</w:t>
            </w:r>
            <w:r w:rsidR="00744B99">
              <w:t xml:space="preserve"> ................</w:t>
            </w:r>
          </w:p>
        </w:tc>
        <w:tc>
          <w:tcPr>
            <w:tcW w:w="640" w:type="dxa"/>
          </w:tcPr>
          <w:p w:rsidR="00744B99" w:rsidRPr="00915DDA" w:rsidRDefault="00744B99" w:rsidP="00D90881">
            <w:pPr>
              <w:pStyle w:val="Normalatteli"/>
              <w:jc w:val="right"/>
              <w:rPr>
                <w:szCs w:val="22"/>
              </w:rPr>
            </w:pPr>
            <w:r w:rsidRPr="00915DDA">
              <w:rPr>
                <w:szCs w:val="22"/>
              </w:rPr>
              <w:t>59</w:t>
            </w:r>
          </w:p>
        </w:tc>
      </w:tr>
      <w:tr w:rsidR="00744B99" w:rsidRPr="00C93BB4" w:rsidTr="00D90881">
        <w:tc>
          <w:tcPr>
            <w:tcW w:w="9322" w:type="dxa"/>
          </w:tcPr>
          <w:p w:rsidR="00744B99" w:rsidRPr="00C93BB4" w:rsidRDefault="00744B99" w:rsidP="00D90881">
            <w:pPr>
              <w:pStyle w:val="Normalatteli"/>
              <w:jc w:val="left"/>
              <w:rPr>
                <w:szCs w:val="22"/>
              </w:rPr>
            </w:pPr>
            <w:r w:rsidRPr="00C93BB4">
              <w:t>1.2. attēls. Mājsaimniecību rīcībā esošie ienākumi (vidēji uz vienu ekvivalento patērētāju, EUR mēnesī, 2014-2016)</w:t>
            </w:r>
            <w:r>
              <w:t xml:space="preserve"> ....................................................................................................................................</w:t>
            </w:r>
          </w:p>
        </w:tc>
        <w:tc>
          <w:tcPr>
            <w:tcW w:w="640" w:type="dxa"/>
          </w:tcPr>
          <w:p w:rsidR="00744B99" w:rsidRDefault="00744B99" w:rsidP="00D90881">
            <w:pPr>
              <w:pStyle w:val="Normalatteli"/>
              <w:jc w:val="right"/>
              <w:rPr>
                <w:szCs w:val="22"/>
              </w:rPr>
            </w:pPr>
          </w:p>
          <w:p w:rsidR="00744B99" w:rsidRPr="00915DDA" w:rsidRDefault="00744B99" w:rsidP="00D90881">
            <w:pPr>
              <w:pStyle w:val="Normalatteli"/>
              <w:jc w:val="right"/>
              <w:rPr>
                <w:szCs w:val="22"/>
              </w:rPr>
            </w:pPr>
            <w:r w:rsidRPr="00915DDA">
              <w:rPr>
                <w:szCs w:val="22"/>
              </w:rPr>
              <w:t>60</w:t>
            </w:r>
          </w:p>
        </w:tc>
      </w:tr>
      <w:tr w:rsidR="00744B99" w:rsidRPr="00C93BB4" w:rsidTr="00D90881">
        <w:tc>
          <w:tcPr>
            <w:tcW w:w="9322" w:type="dxa"/>
          </w:tcPr>
          <w:p w:rsidR="00744B99" w:rsidRPr="00C93BB4" w:rsidRDefault="00AD3EDD" w:rsidP="00D90881">
            <w:pPr>
              <w:pStyle w:val="Normalatteli"/>
              <w:jc w:val="left"/>
              <w:rPr>
                <w:szCs w:val="22"/>
              </w:rPr>
            </w:pPr>
            <w:r w:rsidRPr="00C93BB4">
              <w:fldChar w:fldCharType="begin"/>
            </w:r>
            <w:r w:rsidR="00744B99" w:rsidRPr="00C93BB4">
              <w:instrText xml:space="preserve"> STYLEREF 1 \s </w:instrText>
            </w:r>
            <w:r w:rsidRPr="00C93BB4">
              <w:fldChar w:fldCharType="separate"/>
            </w:r>
            <w:r w:rsidR="00224B50">
              <w:rPr>
                <w:noProof/>
              </w:rPr>
              <w:t>1</w:t>
            </w:r>
            <w:r w:rsidRPr="00C93BB4">
              <w:fldChar w:fldCharType="end"/>
            </w:r>
            <w:r w:rsidR="00744B99" w:rsidRPr="00C93BB4">
              <w:t>.</w:t>
            </w:r>
            <w:r>
              <w:fldChar w:fldCharType="begin"/>
            </w:r>
            <w:r w:rsidR="00744B99">
              <w:instrText xml:space="preserve"> SEQ Ilustrācija \* ARABIC \s 1 </w:instrText>
            </w:r>
            <w:r>
              <w:fldChar w:fldCharType="separate"/>
            </w:r>
            <w:r w:rsidR="00224B50">
              <w:rPr>
                <w:noProof/>
              </w:rPr>
              <w:t>2</w:t>
            </w:r>
            <w:r>
              <w:fldChar w:fldCharType="end"/>
            </w:r>
            <w:r w:rsidR="00744B99" w:rsidRPr="00C93BB4">
              <w:t>. attēls. Mājsaimniecību ekvivalentie rīcībā esošie ienākumi Latvijas statistiskajos reģionos (vidēji uz vienu ekvivalento patērētāju, EUR mēnesī, 2014-2016)</w:t>
            </w:r>
            <w:r w:rsidR="00744B99">
              <w:t xml:space="preserve"> .......................................................................</w:t>
            </w:r>
          </w:p>
        </w:tc>
        <w:tc>
          <w:tcPr>
            <w:tcW w:w="640" w:type="dxa"/>
          </w:tcPr>
          <w:p w:rsidR="00744B99" w:rsidRDefault="00744B99" w:rsidP="00D90881">
            <w:pPr>
              <w:pStyle w:val="Normalatteli"/>
              <w:jc w:val="right"/>
              <w:rPr>
                <w:szCs w:val="22"/>
              </w:rPr>
            </w:pPr>
          </w:p>
          <w:p w:rsidR="00744B99" w:rsidRPr="00915DDA" w:rsidRDefault="00744B99" w:rsidP="00D90881">
            <w:pPr>
              <w:pStyle w:val="Normalatteli"/>
              <w:jc w:val="right"/>
              <w:rPr>
                <w:szCs w:val="22"/>
              </w:rPr>
            </w:pPr>
            <w:r w:rsidRPr="00915DDA">
              <w:rPr>
                <w:szCs w:val="22"/>
              </w:rPr>
              <w:t>61</w:t>
            </w:r>
          </w:p>
        </w:tc>
      </w:tr>
      <w:tr w:rsidR="00744B99" w:rsidRPr="00C93BB4" w:rsidTr="00D90881">
        <w:tc>
          <w:tcPr>
            <w:tcW w:w="9322" w:type="dxa"/>
          </w:tcPr>
          <w:p w:rsidR="00744B99" w:rsidRPr="00C93BB4" w:rsidRDefault="00744B99" w:rsidP="00D90881">
            <w:pPr>
              <w:pStyle w:val="Normalatteli"/>
              <w:jc w:val="left"/>
            </w:pPr>
            <w:r w:rsidRPr="00C93BB4">
              <w:t>1.4. attēls. Mājsaimniecību rīcībā esošie ienākumi vidēji uz vienu ekvivalento patērētāju sadalījumā pēc mājsaimniecības tipa (EUR mēnesī)</w:t>
            </w:r>
            <w:r>
              <w:t xml:space="preserve"> ....................................................................................................</w:t>
            </w:r>
          </w:p>
        </w:tc>
        <w:tc>
          <w:tcPr>
            <w:tcW w:w="640" w:type="dxa"/>
          </w:tcPr>
          <w:p w:rsidR="00744B99" w:rsidRDefault="00744B99" w:rsidP="00D90881">
            <w:pPr>
              <w:pStyle w:val="Normalatteli"/>
              <w:jc w:val="right"/>
              <w:rPr>
                <w:szCs w:val="22"/>
              </w:rPr>
            </w:pPr>
          </w:p>
          <w:p w:rsidR="00744B99" w:rsidRPr="00915DDA" w:rsidRDefault="00744B99" w:rsidP="00D90881">
            <w:pPr>
              <w:pStyle w:val="Normalatteli"/>
              <w:jc w:val="right"/>
              <w:rPr>
                <w:szCs w:val="22"/>
              </w:rPr>
            </w:pPr>
            <w:r w:rsidRPr="00915DDA">
              <w:rPr>
                <w:szCs w:val="22"/>
              </w:rPr>
              <w:t>62</w:t>
            </w:r>
          </w:p>
        </w:tc>
      </w:tr>
      <w:tr w:rsidR="00744B99" w:rsidRPr="00C93BB4" w:rsidTr="00D90881">
        <w:tc>
          <w:tcPr>
            <w:tcW w:w="9322" w:type="dxa"/>
          </w:tcPr>
          <w:p w:rsidR="00744B99" w:rsidRPr="00940033" w:rsidRDefault="00744B99" w:rsidP="00D90881">
            <w:pPr>
              <w:pStyle w:val="Normalatteli"/>
              <w:jc w:val="left"/>
            </w:pPr>
            <w:r w:rsidRPr="00940033">
              <w:t>1.5. attēls. Rīcībā esošie ienākumi vidēji uz vienu ekvivalento patērētāju sadalījumā pa vecuma grupām (EUR mēnesī)</w:t>
            </w:r>
            <w: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sidRPr="00915DDA">
              <w:rPr>
                <w:szCs w:val="22"/>
              </w:rPr>
              <w:t>65</w:t>
            </w:r>
          </w:p>
        </w:tc>
      </w:tr>
      <w:tr w:rsidR="00744B99" w:rsidRPr="00C93BB4" w:rsidTr="00D90881">
        <w:tc>
          <w:tcPr>
            <w:tcW w:w="9322" w:type="dxa"/>
          </w:tcPr>
          <w:p w:rsidR="00744B99" w:rsidRPr="00940033" w:rsidRDefault="00744B99" w:rsidP="00D90881">
            <w:pPr>
              <w:pStyle w:val="Normalatteli"/>
              <w:jc w:val="left"/>
            </w:pPr>
            <w:r w:rsidRPr="00940033">
              <w:t>1.6. attēls. Mājsaimniecību rīcībā esošo ienākumu sastāvs un struktūra (%) pilsētās un laukos vidēji uz vienu mājsaimniecības locekli mēnesī</w:t>
            </w:r>
            <w: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sidRPr="00915DDA">
              <w:rPr>
                <w:szCs w:val="22"/>
              </w:rPr>
              <w:t>66</w:t>
            </w:r>
          </w:p>
        </w:tc>
      </w:tr>
      <w:tr w:rsidR="00744B99" w:rsidRPr="00C93BB4" w:rsidTr="00D90881">
        <w:tc>
          <w:tcPr>
            <w:tcW w:w="9322" w:type="dxa"/>
          </w:tcPr>
          <w:p w:rsidR="00744B99" w:rsidRPr="00940033" w:rsidRDefault="00744B99" w:rsidP="00D90881">
            <w:pPr>
              <w:pStyle w:val="Normalatteli"/>
              <w:jc w:val="left"/>
            </w:pPr>
            <w:r w:rsidRPr="00940033">
              <w:t>1.7. attēls. Mājsaimniecību rīcībā esošie ienākumi (EUR mēnesī) kvintiļu grupās 2014. – 2017. gadā uz vienu ekvivalento patērētāju</w:t>
            </w:r>
            <w: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sidRPr="00915DDA">
              <w:rPr>
                <w:szCs w:val="22"/>
              </w:rPr>
              <w:t>70</w:t>
            </w:r>
          </w:p>
        </w:tc>
      </w:tr>
      <w:tr w:rsidR="00744B99" w:rsidRPr="00C93BB4" w:rsidTr="00D90881">
        <w:tc>
          <w:tcPr>
            <w:tcW w:w="9322" w:type="dxa"/>
          </w:tcPr>
          <w:p w:rsidR="00744B99" w:rsidRPr="00940033" w:rsidRDefault="00744B99" w:rsidP="00D90881">
            <w:pPr>
              <w:pStyle w:val="Normalatteli"/>
              <w:jc w:val="left"/>
            </w:pPr>
            <w:r w:rsidRPr="00940033">
              <w:t>1.8. attēls. Mājsaimniecību sadalījums pēc kvintiļu grupām 2014. – 2016. gadā laukos un pilsētās (%)</w:t>
            </w:r>
            <w:r>
              <w:t xml:space="preserve"> ..</w:t>
            </w:r>
          </w:p>
        </w:tc>
        <w:tc>
          <w:tcPr>
            <w:tcW w:w="640" w:type="dxa"/>
          </w:tcPr>
          <w:p w:rsidR="00744B99" w:rsidRPr="00915DDA" w:rsidRDefault="00744B99" w:rsidP="00D90881">
            <w:pPr>
              <w:pStyle w:val="Normalatteli"/>
              <w:spacing w:line="240" w:lineRule="auto"/>
              <w:jc w:val="right"/>
              <w:outlineLvl w:val="0"/>
              <w:rPr>
                <w:szCs w:val="22"/>
              </w:rPr>
            </w:pPr>
            <w:r w:rsidRPr="00915DDA">
              <w:rPr>
                <w:szCs w:val="22"/>
              </w:rPr>
              <w:t>71</w:t>
            </w:r>
          </w:p>
        </w:tc>
      </w:tr>
      <w:tr w:rsidR="00744B99" w:rsidRPr="00C93BB4" w:rsidTr="00D90881">
        <w:tc>
          <w:tcPr>
            <w:tcW w:w="9322" w:type="dxa"/>
          </w:tcPr>
          <w:p w:rsidR="00744B99" w:rsidRPr="00940033" w:rsidRDefault="00744B99" w:rsidP="00D90881">
            <w:pPr>
              <w:pStyle w:val="Normalatteli"/>
              <w:jc w:val="left"/>
            </w:pPr>
            <w:r w:rsidRPr="00940033">
              <w:t>1.9. attēls. Mājsaimniecību rīcībā esošie ienākumi kvintiļu grupās 2016. gadā sadalījumā pa reģioniem (%)</w:t>
            </w:r>
            <w: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sidRPr="00915DDA">
              <w:rPr>
                <w:szCs w:val="22"/>
              </w:rPr>
              <w:t>71</w:t>
            </w:r>
          </w:p>
        </w:tc>
      </w:tr>
      <w:tr w:rsidR="00744B99" w:rsidRPr="00C93BB4" w:rsidTr="00D90881">
        <w:tc>
          <w:tcPr>
            <w:tcW w:w="9322" w:type="dxa"/>
          </w:tcPr>
          <w:p w:rsidR="00744B99" w:rsidRPr="00940033" w:rsidRDefault="00744B99" w:rsidP="00D90881">
            <w:pPr>
              <w:pStyle w:val="Normalatteli"/>
              <w:jc w:val="left"/>
            </w:pPr>
            <w:r w:rsidRPr="00940033">
              <w:t>1.10. attēls. Nabadzības riska indekss Latvijas reģionos (2014 - 2016) (%)</w:t>
            </w:r>
            <w:r>
              <w:t xml:space="preserve"> ..............................................</w:t>
            </w:r>
          </w:p>
        </w:tc>
        <w:tc>
          <w:tcPr>
            <w:tcW w:w="640" w:type="dxa"/>
          </w:tcPr>
          <w:p w:rsidR="00744B99" w:rsidRPr="00915DDA" w:rsidRDefault="00744B99" w:rsidP="00D90881">
            <w:pPr>
              <w:pStyle w:val="Normalatteli"/>
              <w:spacing w:line="240" w:lineRule="auto"/>
              <w:jc w:val="right"/>
              <w:outlineLvl w:val="0"/>
              <w:rPr>
                <w:szCs w:val="22"/>
              </w:rPr>
            </w:pPr>
            <w:r w:rsidRPr="00915DDA">
              <w:rPr>
                <w:szCs w:val="22"/>
              </w:rPr>
              <w:t>79</w:t>
            </w:r>
          </w:p>
        </w:tc>
      </w:tr>
      <w:tr w:rsidR="00744B99" w:rsidRPr="00C93BB4" w:rsidTr="00D90881">
        <w:tc>
          <w:tcPr>
            <w:tcW w:w="9322" w:type="dxa"/>
          </w:tcPr>
          <w:p w:rsidR="00744B99" w:rsidRPr="00940033" w:rsidRDefault="00744B99" w:rsidP="00D90881">
            <w:pPr>
              <w:pStyle w:val="Normalatteli"/>
              <w:jc w:val="left"/>
            </w:pPr>
            <w:r w:rsidRPr="00940033">
              <w:t>1.11. attēls. Nabadzības riska indekss pēc vecuma un dzimuma (2014 – 2016, %)</w:t>
            </w:r>
            <w:r>
              <w:t xml:space="preserve"> ..................................</w:t>
            </w:r>
          </w:p>
        </w:tc>
        <w:tc>
          <w:tcPr>
            <w:tcW w:w="640" w:type="dxa"/>
          </w:tcPr>
          <w:p w:rsidR="00744B99" w:rsidRPr="00915DDA" w:rsidRDefault="00744B99" w:rsidP="00D90881">
            <w:pPr>
              <w:pStyle w:val="Normalatteli"/>
              <w:spacing w:line="240" w:lineRule="auto"/>
              <w:jc w:val="right"/>
              <w:outlineLvl w:val="0"/>
              <w:rPr>
                <w:szCs w:val="22"/>
              </w:rPr>
            </w:pPr>
            <w:r w:rsidRPr="00915DDA">
              <w:rPr>
                <w:szCs w:val="22"/>
              </w:rPr>
              <w:t>80</w:t>
            </w:r>
          </w:p>
        </w:tc>
      </w:tr>
      <w:tr w:rsidR="00744B99" w:rsidRPr="00C93BB4" w:rsidTr="00D90881">
        <w:tc>
          <w:tcPr>
            <w:tcW w:w="9322" w:type="dxa"/>
          </w:tcPr>
          <w:p w:rsidR="00744B99" w:rsidRPr="00940033" w:rsidRDefault="00744B99" w:rsidP="00D90881">
            <w:pPr>
              <w:pStyle w:val="Normalatteli"/>
              <w:jc w:val="left"/>
            </w:pPr>
            <w:r w:rsidRPr="00940033">
              <w:t>1.12. attēls. Trūcīgo personu skaits sadalījumā pa sociāli demogrāfiskajām grupām (2014 – 2016, skaits)</w:t>
            </w:r>
            <w: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sidRPr="00915DDA">
              <w:rPr>
                <w:szCs w:val="22"/>
              </w:rPr>
              <w:t>86</w:t>
            </w:r>
          </w:p>
        </w:tc>
      </w:tr>
      <w:tr w:rsidR="00744B99" w:rsidRPr="00C93BB4" w:rsidTr="00D90881">
        <w:tc>
          <w:tcPr>
            <w:tcW w:w="9322" w:type="dxa"/>
          </w:tcPr>
          <w:p w:rsidR="00744B99" w:rsidRPr="00940033" w:rsidRDefault="00744B99" w:rsidP="00D90881">
            <w:pPr>
              <w:pStyle w:val="Normalatteli"/>
              <w:jc w:val="left"/>
            </w:pPr>
            <w:r w:rsidRPr="00940033">
              <w:t>1.13. attēls. Trūcīgo personu sadalījums pa sociāli demogrāfiskajām grupām (2014 – 2016, % no kopējā skaita)</w:t>
            </w:r>
            <w: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sidRPr="00915DDA">
              <w:rPr>
                <w:szCs w:val="22"/>
              </w:rPr>
              <w:t>87</w:t>
            </w:r>
          </w:p>
        </w:tc>
      </w:tr>
      <w:tr w:rsidR="00744B99" w:rsidRPr="00C93BB4" w:rsidTr="00D90881">
        <w:tc>
          <w:tcPr>
            <w:tcW w:w="9322" w:type="dxa"/>
          </w:tcPr>
          <w:p w:rsidR="00744B99" w:rsidRPr="00940033" w:rsidRDefault="00744B99" w:rsidP="00D90881">
            <w:pPr>
              <w:pStyle w:val="Normalatteli"/>
              <w:jc w:val="left"/>
            </w:pPr>
            <w:r w:rsidRPr="00940033">
              <w:t>1.14. attēls. Maznodrošināto personu skaits sadalījumā pa sociāli demogrāfiskajām grupām (2014 – 2016, skaits)</w:t>
            </w:r>
            <w: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sidRPr="00915DDA">
              <w:rPr>
                <w:szCs w:val="22"/>
              </w:rPr>
              <w:t>92</w:t>
            </w:r>
          </w:p>
        </w:tc>
      </w:tr>
      <w:tr w:rsidR="00744B99" w:rsidRPr="00C93BB4" w:rsidTr="00D90881">
        <w:tc>
          <w:tcPr>
            <w:tcW w:w="9322" w:type="dxa"/>
          </w:tcPr>
          <w:p w:rsidR="00744B99" w:rsidRPr="00940033" w:rsidRDefault="00744B99" w:rsidP="00D90881">
            <w:pPr>
              <w:pStyle w:val="Normalatteli"/>
              <w:jc w:val="left"/>
            </w:pPr>
            <w:r w:rsidRPr="00940033">
              <w:t>1.15. attēls. Maznodrošinātās personas sadalījumā pa sociāli demogrāfiskajām grupām (2014 – 2016, % no kopējā skaita)</w:t>
            </w:r>
            <w: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sidRPr="00915DDA">
              <w:rPr>
                <w:szCs w:val="22"/>
              </w:rPr>
              <w:t>92</w:t>
            </w:r>
          </w:p>
        </w:tc>
      </w:tr>
      <w:tr w:rsidR="00744B99" w:rsidRPr="00C93BB4" w:rsidTr="00D90881">
        <w:tc>
          <w:tcPr>
            <w:tcW w:w="9322" w:type="dxa"/>
          </w:tcPr>
          <w:p w:rsidR="00744B99" w:rsidRPr="00940033" w:rsidRDefault="00744B99" w:rsidP="00D90881">
            <w:pPr>
              <w:pStyle w:val="Normalatteli"/>
              <w:jc w:val="left"/>
            </w:pPr>
            <w:r w:rsidRPr="00940033">
              <w:t>1.16. attēls. GMI pabalsta saņēmēju (personu ģimenēs) skaits sadalījumā pa sociāli demogrāfiskajām grupām (2014 – 2016, skaits)</w:t>
            </w:r>
            <w: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sidRPr="00915DDA">
              <w:rPr>
                <w:szCs w:val="22"/>
              </w:rPr>
              <w:t>94</w:t>
            </w:r>
          </w:p>
        </w:tc>
      </w:tr>
      <w:tr w:rsidR="00744B99" w:rsidRPr="00C93BB4" w:rsidTr="00D90881">
        <w:tc>
          <w:tcPr>
            <w:tcW w:w="9322" w:type="dxa"/>
          </w:tcPr>
          <w:p w:rsidR="00744B99" w:rsidRPr="00940033" w:rsidRDefault="00744B99" w:rsidP="00D90881">
            <w:pPr>
              <w:pStyle w:val="Normalatteli"/>
              <w:jc w:val="left"/>
            </w:pPr>
            <w:r w:rsidRPr="00940033">
              <w:t>1.17. attēls. GMI pabalsta saņēmēji (personas ģimenēs) sadalījumā pa sociāli demogrāfiskajām grupām (2014 – 2016, % no kopējā skaita)</w:t>
            </w:r>
            <w: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sidRPr="00915DDA">
              <w:rPr>
                <w:szCs w:val="22"/>
              </w:rPr>
              <w:t>95</w:t>
            </w:r>
          </w:p>
        </w:tc>
      </w:tr>
      <w:tr w:rsidR="00744B99" w:rsidRPr="00C93BB4" w:rsidTr="00D90881">
        <w:tc>
          <w:tcPr>
            <w:tcW w:w="9322" w:type="dxa"/>
          </w:tcPr>
          <w:p w:rsidR="00744B99" w:rsidRPr="00940033" w:rsidRDefault="00744B99" w:rsidP="00D90881">
            <w:pPr>
              <w:pStyle w:val="Normalatteli"/>
              <w:jc w:val="left"/>
            </w:pPr>
            <w:r>
              <w:t>1</w:t>
            </w:r>
            <w:r w:rsidRPr="00082335">
              <w:t xml:space="preserve">.18. attēls. </w:t>
            </w:r>
            <w:r w:rsidRPr="00940033">
              <w:t>GMI pabalsta saņēmēji (personas ģimenēs) sadalījumā pa sociāli demogrāfiskajām grupām 2016. gadā valstī, novados, lielajās pilsētās (% no kopējā skaita)</w:t>
            </w:r>
            <w: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sidRPr="00915DDA">
              <w:rPr>
                <w:szCs w:val="22"/>
              </w:rPr>
              <w:t>96</w:t>
            </w:r>
          </w:p>
        </w:tc>
      </w:tr>
      <w:tr w:rsidR="00744B99" w:rsidRPr="00C93BB4" w:rsidTr="00D90881">
        <w:tc>
          <w:tcPr>
            <w:tcW w:w="9322" w:type="dxa"/>
          </w:tcPr>
          <w:p w:rsidR="00744B99" w:rsidRPr="00940033" w:rsidRDefault="00143ECC" w:rsidP="00D90881">
            <w:pPr>
              <w:pStyle w:val="Normalatteli"/>
              <w:jc w:val="left"/>
            </w:pPr>
            <w:r>
              <w:t xml:space="preserve">1.19. attēls. </w:t>
            </w:r>
            <w:r w:rsidR="00744B99" w:rsidRPr="00940033">
              <w:t>Ienākumu testēto pašvaldības sociālās palīdzības pabalstu saņēmēju  raksturojums pēc ienākumu līmeņa uz vienu ģimenes locekli mēnesī (2014-2016, %)</w:t>
            </w:r>
            <w:r w:rsidR="00744B99">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sidRPr="00915DDA">
              <w:rPr>
                <w:szCs w:val="22"/>
              </w:rPr>
              <w:t>99</w:t>
            </w:r>
          </w:p>
        </w:tc>
      </w:tr>
      <w:tr w:rsidR="00744B99" w:rsidRPr="00C93BB4" w:rsidTr="00D90881">
        <w:tc>
          <w:tcPr>
            <w:tcW w:w="9322" w:type="dxa"/>
          </w:tcPr>
          <w:p w:rsidR="00744B99" w:rsidRPr="00940033" w:rsidRDefault="00143ECC" w:rsidP="00D90881">
            <w:pPr>
              <w:pStyle w:val="Normalatteli"/>
              <w:jc w:val="left"/>
            </w:pPr>
            <w:r>
              <w:t xml:space="preserve">1.20. attēls. </w:t>
            </w:r>
            <w:r w:rsidR="00744B99" w:rsidRPr="00940033">
              <w:t>Ienākumu testētā dzīvokļa pabalsta saņēmēji sadalījumā pa sociāli demogrāfiskajām grupām (2014-2016, skaits)</w:t>
            </w:r>
            <w:r w:rsidR="00744B99">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sidRPr="00915DDA">
              <w:rPr>
                <w:szCs w:val="22"/>
              </w:rPr>
              <w:t>100</w:t>
            </w:r>
          </w:p>
        </w:tc>
      </w:tr>
      <w:tr w:rsidR="00744B99" w:rsidRPr="00C93BB4" w:rsidTr="00D90881">
        <w:tc>
          <w:tcPr>
            <w:tcW w:w="9322" w:type="dxa"/>
          </w:tcPr>
          <w:p w:rsidR="00744B99" w:rsidRPr="00940033" w:rsidRDefault="00143ECC" w:rsidP="00D90881">
            <w:pPr>
              <w:pStyle w:val="Normalatteli"/>
              <w:jc w:val="left"/>
            </w:pPr>
            <w:r>
              <w:t xml:space="preserve">1.21. attēls. </w:t>
            </w:r>
            <w:r w:rsidR="00744B99" w:rsidRPr="00940033">
              <w:t xml:space="preserve">Ienākumu testētā dzīvokļa pabalsta saņēmēji sadalījumā pa mērķa grupām (2014-2016, īpatsvars </w:t>
            </w:r>
            <w:r w:rsidR="000E0C1D">
              <w:t xml:space="preserve">% </w:t>
            </w:r>
            <w:r w:rsidR="00744B99" w:rsidRPr="00940033">
              <w:t>no kopējā skaita)</w:t>
            </w:r>
            <w:r w:rsidR="00744B99">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sidRPr="00915DDA">
              <w:rPr>
                <w:szCs w:val="22"/>
              </w:rPr>
              <w:t>101</w:t>
            </w:r>
          </w:p>
        </w:tc>
      </w:tr>
      <w:tr w:rsidR="00744B99" w:rsidRPr="00C93BB4" w:rsidTr="00D90881">
        <w:tc>
          <w:tcPr>
            <w:tcW w:w="9322" w:type="dxa"/>
          </w:tcPr>
          <w:p w:rsidR="00744B99" w:rsidRPr="00940033" w:rsidRDefault="00143ECC" w:rsidP="00D90881">
            <w:pPr>
              <w:pStyle w:val="Normalatteli"/>
              <w:jc w:val="left"/>
            </w:pPr>
            <w:r>
              <w:t xml:space="preserve">1.22. attēls. </w:t>
            </w:r>
            <w:r w:rsidR="00744B99" w:rsidRPr="00940033">
              <w:t>Trūcīgo un maznodrošināto personu skaits, kurām izmaksāts ienākumu testētais dzīvokļa pabalsts  (2014-2016, skaits)</w:t>
            </w:r>
            <w:r w:rsidR="00744B99">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sidRPr="00915DDA">
              <w:rPr>
                <w:szCs w:val="22"/>
              </w:rPr>
              <w:t>102</w:t>
            </w:r>
          </w:p>
        </w:tc>
      </w:tr>
      <w:tr w:rsidR="00744B99" w:rsidRPr="00C93BB4" w:rsidTr="00D90881">
        <w:tc>
          <w:tcPr>
            <w:tcW w:w="9322" w:type="dxa"/>
          </w:tcPr>
          <w:p w:rsidR="00744B99" w:rsidRPr="00940033" w:rsidRDefault="00744B99" w:rsidP="00D90881">
            <w:pPr>
              <w:pStyle w:val="Normalatteli"/>
              <w:jc w:val="left"/>
            </w:pPr>
            <w:r w:rsidRPr="00940033">
              <w:t>1.23. attēls. Iedzīvotāju materiālās nenodrošinātības indekss kvintiļu grupās (2014-2017, %)</w:t>
            </w:r>
            <w:r>
              <w:t xml:space="preserve"> .................</w:t>
            </w:r>
          </w:p>
        </w:tc>
        <w:tc>
          <w:tcPr>
            <w:tcW w:w="640" w:type="dxa"/>
          </w:tcPr>
          <w:p w:rsidR="00744B99" w:rsidRPr="00915DDA" w:rsidRDefault="00744B99" w:rsidP="00D90881">
            <w:pPr>
              <w:pStyle w:val="Normalatteli"/>
              <w:spacing w:line="240" w:lineRule="auto"/>
              <w:jc w:val="right"/>
              <w:outlineLvl w:val="0"/>
              <w:rPr>
                <w:szCs w:val="22"/>
              </w:rPr>
            </w:pPr>
            <w:r w:rsidRPr="00915DDA">
              <w:rPr>
                <w:szCs w:val="22"/>
              </w:rPr>
              <w:t>105</w:t>
            </w:r>
          </w:p>
        </w:tc>
      </w:tr>
      <w:tr w:rsidR="00744B99" w:rsidRPr="00C93BB4" w:rsidTr="00D90881">
        <w:tc>
          <w:tcPr>
            <w:tcW w:w="9322" w:type="dxa"/>
          </w:tcPr>
          <w:p w:rsidR="00744B99" w:rsidRPr="00940033" w:rsidRDefault="00744B99" w:rsidP="00D90881">
            <w:pPr>
              <w:pStyle w:val="Normalatteli"/>
              <w:jc w:val="left"/>
            </w:pPr>
            <w:r w:rsidRPr="00940033">
              <w:t>1.24. attēls. Iedzīvotāju materiālās nenodrošinātības indekss laukos un pilsētās (2014-2017, %)</w:t>
            </w:r>
            <w:r>
              <w:t xml:space="preserve"> ............</w:t>
            </w:r>
          </w:p>
        </w:tc>
        <w:tc>
          <w:tcPr>
            <w:tcW w:w="640" w:type="dxa"/>
          </w:tcPr>
          <w:p w:rsidR="00744B99" w:rsidRPr="00915DDA" w:rsidRDefault="00744B99" w:rsidP="00D90881">
            <w:pPr>
              <w:pStyle w:val="Normalatteli"/>
              <w:spacing w:line="240" w:lineRule="auto"/>
              <w:jc w:val="right"/>
              <w:outlineLvl w:val="0"/>
              <w:rPr>
                <w:szCs w:val="22"/>
              </w:rPr>
            </w:pPr>
            <w:r w:rsidRPr="00915DDA">
              <w:rPr>
                <w:szCs w:val="22"/>
              </w:rPr>
              <w:t>105</w:t>
            </w:r>
          </w:p>
        </w:tc>
      </w:tr>
      <w:tr w:rsidR="00744B99" w:rsidRPr="00C93BB4" w:rsidTr="00D90881">
        <w:tc>
          <w:tcPr>
            <w:tcW w:w="9322" w:type="dxa"/>
          </w:tcPr>
          <w:p w:rsidR="00744B99" w:rsidRPr="00940033" w:rsidRDefault="00744B99" w:rsidP="00D90881">
            <w:pPr>
              <w:pStyle w:val="Normalatteli"/>
              <w:jc w:val="left"/>
            </w:pPr>
            <w:r w:rsidRPr="00940033">
              <w:t>1.25. attēls. Iedzīvotāju materiālās nenodrošinātības indekss reģionos (2014-2017, %)</w:t>
            </w:r>
            <w:r>
              <w:t xml:space="preserve"> ...........................</w:t>
            </w:r>
          </w:p>
        </w:tc>
        <w:tc>
          <w:tcPr>
            <w:tcW w:w="640" w:type="dxa"/>
          </w:tcPr>
          <w:p w:rsidR="00744B99" w:rsidRPr="00915DDA" w:rsidRDefault="00744B99" w:rsidP="00D90881">
            <w:pPr>
              <w:pStyle w:val="Normalatteli"/>
              <w:spacing w:line="240" w:lineRule="auto"/>
              <w:jc w:val="right"/>
              <w:outlineLvl w:val="0"/>
              <w:rPr>
                <w:szCs w:val="22"/>
              </w:rPr>
            </w:pPr>
            <w:r w:rsidRPr="00915DDA">
              <w:rPr>
                <w:szCs w:val="22"/>
              </w:rPr>
              <w:t>106</w:t>
            </w:r>
          </w:p>
        </w:tc>
      </w:tr>
      <w:tr w:rsidR="00744B99" w:rsidRPr="00C93BB4" w:rsidTr="00D90881">
        <w:tc>
          <w:tcPr>
            <w:tcW w:w="9322" w:type="dxa"/>
          </w:tcPr>
          <w:p w:rsidR="00744B99" w:rsidRPr="00940033" w:rsidRDefault="00744B99" w:rsidP="00D90881">
            <w:pPr>
              <w:pStyle w:val="Normalatteli"/>
              <w:jc w:val="left"/>
            </w:pPr>
            <w:r w:rsidRPr="00940033">
              <w:t>1.26. attēls. Iedzīvotāju (mājsaimniecību) materiālās nenodrošinātības indekss mājsaimniecību tipu griezumā (%)</w:t>
            </w:r>
            <w: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sidRPr="00915DDA">
              <w:rPr>
                <w:szCs w:val="22"/>
              </w:rPr>
              <w:t>107</w:t>
            </w:r>
          </w:p>
        </w:tc>
      </w:tr>
      <w:tr w:rsidR="00744B99" w:rsidRPr="00C93BB4" w:rsidTr="00D90881">
        <w:tc>
          <w:tcPr>
            <w:tcW w:w="9322" w:type="dxa"/>
          </w:tcPr>
          <w:p w:rsidR="00744B99" w:rsidRPr="00940033" w:rsidRDefault="00744B99" w:rsidP="00D90881">
            <w:pPr>
              <w:pStyle w:val="Normalatteli"/>
              <w:jc w:val="left"/>
            </w:pPr>
            <w:r w:rsidRPr="00940033">
              <w:t>1.27. attēls. Iedzīvotāju dziļas materiālās nenodrošinātības indekss reģionu griezumā (%)</w:t>
            </w:r>
            <w:r>
              <w:t xml:space="preserve"> ......................</w:t>
            </w:r>
          </w:p>
        </w:tc>
        <w:tc>
          <w:tcPr>
            <w:tcW w:w="640" w:type="dxa"/>
          </w:tcPr>
          <w:p w:rsidR="00744B99" w:rsidRPr="00915DDA" w:rsidRDefault="00744B99" w:rsidP="00D90881">
            <w:pPr>
              <w:pStyle w:val="Normalatteli"/>
              <w:spacing w:line="240" w:lineRule="auto"/>
              <w:jc w:val="right"/>
              <w:outlineLvl w:val="0"/>
              <w:rPr>
                <w:szCs w:val="22"/>
              </w:rPr>
            </w:pPr>
            <w:r w:rsidRPr="00915DDA">
              <w:rPr>
                <w:szCs w:val="22"/>
              </w:rPr>
              <w:t>109</w:t>
            </w:r>
          </w:p>
        </w:tc>
      </w:tr>
      <w:tr w:rsidR="00744B99" w:rsidRPr="00C93BB4" w:rsidTr="00D90881">
        <w:tc>
          <w:tcPr>
            <w:tcW w:w="9322" w:type="dxa"/>
          </w:tcPr>
          <w:p w:rsidR="00744B99" w:rsidRPr="00940033" w:rsidRDefault="00744B99" w:rsidP="00D90881">
            <w:pPr>
              <w:pStyle w:val="Normalatteli"/>
              <w:jc w:val="left"/>
            </w:pPr>
            <w:r w:rsidRPr="00940033">
              <w:lastRenderedPageBreak/>
              <w:t>1.28. attēls. Iedzīvotāju dziļas materiālās nenodrošinātības indekss sadalījumā pa vecuma grupām (%)</w:t>
            </w:r>
            <w:r>
              <w:t xml:space="preserve"> .</w:t>
            </w:r>
          </w:p>
        </w:tc>
        <w:tc>
          <w:tcPr>
            <w:tcW w:w="640" w:type="dxa"/>
          </w:tcPr>
          <w:p w:rsidR="00744B99" w:rsidRPr="00915DDA" w:rsidRDefault="00744B99" w:rsidP="00D90881">
            <w:pPr>
              <w:pStyle w:val="Normalatteli"/>
              <w:spacing w:line="240" w:lineRule="auto"/>
              <w:jc w:val="right"/>
              <w:outlineLvl w:val="0"/>
              <w:rPr>
                <w:szCs w:val="22"/>
              </w:rPr>
            </w:pPr>
            <w:r w:rsidRPr="00915DDA">
              <w:rPr>
                <w:szCs w:val="22"/>
              </w:rPr>
              <w:t>110</w:t>
            </w:r>
          </w:p>
        </w:tc>
      </w:tr>
      <w:tr w:rsidR="00744B99" w:rsidRPr="00C93BB4" w:rsidTr="00D90881">
        <w:tc>
          <w:tcPr>
            <w:tcW w:w="9322" w:type="dxa"/>
          </w:tcPr>
          <w:p w:rsidR="00744B99" w:rsidRPr="00940033" w:rsidRDefault="00744B99" w:rsidP="00D90881">
            <w:pPr>
              <w:pStyle w:val="Normalatteli"/>
              <w:jc w:val="left"/>
            </w:pPr>
            <w:r w:rsidRPr="00940033">
              <w:t>1.29. attēls. Iedzīvotāju dziļas materiālās nenodrošinātības indekss sadalījumā pa mājsaimniecību tipiem (%)</w:t>
            </w:r>
            <w: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sidRPr="00915DDA">
              <w:rPr>
                <w:szCs w:val="22"/>
              </w:rPr>
              <w:t>110</w:t>
            </w:r>
          </w:p>
        </w:tc>
      </w:tr>
      <w:tr w:rsidR="00744B99" w:rsidRPr="00C93BB4" w:rsidTr="00D90881">
        <w:tc>
          <w:tcPr>
            <w:tcW w:w="9322" w:type="dxa"/>
          </w:tcPr>
          <w:p w:rsidR="00744B99" w:rsidRPr="00940033" w:rsidRDefault="00744B99" w:rsidP="00D90881">
            <w:pPr>
              <w:pStyle w:val="Normalatteli"/>
              <w:jc w:val="left"/>
            </w:pPr>
            <w:r w:rsidRPr="00940033">
              <w:t>1.30. attēls. Iedzīvotāju dziļas materiālās nenodrošinātības indekss sadalījumā pēc izglītības līmeņa un bērnu vecuma ģimenē (%)</w:t>
            </w:r>
            <w: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111</w:t>
            </w:r>
          </w:p>
        </w:tc>
      </w:tr>
      <w:tr w:rsidR="00744B99" w:rsidRPr="00C93BB4" w:rsidTr="00D90881">
        <w:tc>
          <w:tcPr>
            <w:tcW w:w="9322" w:type="dxa"/>
          </w:tcPr>
          <w:p w:rsidR="00744B99" w:rsidRPr="00940033" w:rsidRDefault="00744B99" w:rsidP="00D90881">
            <w:pPr>
              <w:pStyle w:val="Normalatteli"/>
              <w:jc w:val="left"/>
            </w:pPr>
            <w:r w:rsidRPr="00940033">
              <w:t>1.31. attēls. Ekonomiskā spriedze sadalījumā pa ienākumu kvintiļu grupām (2014-2017) (%)</w:t>
            </w:r>
            <w:r>
              <w:t xml:space="preserve"> ................</w:t>
            </w:r>
          </w:p>
        </w:tc>
        <w:tc>
          <w:tcPr>
            <w:tcW w:w="640" w:type="dxa"/>
          </w:tcPr>
          <w:p w:rsidR="00744B99" w:rsidRPr="00915DDA" w:rsidRDefault="00744B99" w:rsidP="00D90881">
            <w:pPr>
              <w:pStyle w:val="Normalatteli"/>
              <w:spacing w:line="240" w:lineRule="auto"/>
              <w:jc w:val="right"/>
              <w:outlineLvl w:val="0"/>
              <w:rPr>
                <w:szCs w:val="22"/>
              </w:rPr>
            </w:pPr>
            <w:r>
              <w:rPr>
                <w:szCs w:val="22"/>
              </w:rPr>
              <w:t>112</w:t>
            </w:r>
          </w:p>
        </w:tc>
      </w:tr>
      <w:tr w:rsidR="00744B99" w:rsidRPr="00C93BB4" w:rsidTr="00D90881">
        <w:tc>
          <w:tcPr>
            <w:tcW w:w="9322" w:type="dxa"/>
          </w:tcPr>
          <w:p w:rsidR="00744B99" w:rsidRPr="00940033" w:rsidRDefault="00744B99" w:rsidP="00D90881">
            <w:pPr>
              <w:pStyle w:val="Normalatteli"/>
              <w:jc w:val="left"/>
            </w:pPr>
            <w:r w:rsidRPr="00940033">
              <w:t>1.32. attēls. Ekonomiskā spriedze laukos un pilsētās (2014-2017, %)</w:t>
            </w:r>
            <w:r>
              <w:t xml:space="preserve"> .......................................................</w:t>
            </w:r>
          </w:p>
        </w:tc>
        <w:tc>
          <w:tcPr>
            <w:tcW w:w="640" w:type="dxa"/>
          </w:tcPr>
          <w:p w:rsidR="00744B99" w:rsidRPr="00915DDA" w:rsidRDefault="00744B99" w:rsidP="00D90881">
            <w:pPr>
              <w:pStyle w:val="Normalatteli"/>
              <w:spacing w:line="240" w:lineRule="auto"/>
              <w:jc w:val="right"/>
              <w:outlineLvl w:val="0"/>
              <w:rPr>
                <w:szCs w:val="22"/>
              </w:rPr>
            </w:pPr>
            <w:r>
              <w:rPr>
                <w:szCs w:val="22"/>
              </w:rPr>
              <w:t>113</w:t>
            </w:r>
          </w:p>
        </w:tc>
      </w:tr>
      <w:tr w:rsidR="00744B99" w:rsidRPr="00C93BB4" w:rsidTr="00D90881">
        <w:tc>
          <w:tcPr>
            <w:tcW w:w="9322" w:type="dxa"/>
          </w:tcPr>
          <w:p w:rsidR="00744B99" w:rsidRPr="00940033" w:rsidRDefault="00744B99" w:rsidP="00D90881">
            <w:pPr>
              <w:pStyle w:val="Normalatteli"/>
              <w:jc w:val="left"/>
            </w:pPr>
            <w:r w:rsidRPr="00940033">
              <w:t>1.33. attēls. Ekonomiskā spriedze statistiskajos reģionos (2014-2017, %)</w:t>
            </w:r>
            <w:r>
              <w:t xml:space="preserve"> ................................................</w:t>
            </w:r>
          </w:p>
        </w:tc>
        <w:tc>
          <w:tcPr>
            <w:tcW w:w="640" w:type="dxa"/>
          </w:tcPr>
          <w:p w:rsidR="00744B99" w:rsidRPr="00915DDA" w:rsidRDefault="00744B99" w:rsidP="00D90881">
            <w:pPr>
              <w:pStyle w:val="Normalatteli"/>
              <w:spacing w:line="240" w:lineRule="auto"/>
              <w:jc w:val="right"/>
              <w:outlineLvl w:val="0"/>
              <w:rPr>
                <w:szCs w:val="22"/>
              </w:rPr>
            </w:pPr>
            <w:r>
              <w:rPr>
                <w:szCs w:val="22"/>
              </w:rPr>
              <w:t>113</w:t>
            </w:r>
          </w:p>
        </w:tc>
      </w:tr>
      <w:tr w:rsidR="00744B99" w:rsidRPr="00C93BB4" w:rsidTr="00D90881">
        <w:tc>
          <w:tcPr>
            <w:tcW w:w="9322" w:type="dxa"/>
          </w:tcPr>
          <w:p w:rsidR="00744B99" w:rsidRPr="00940033" w:rsidRDefault="00744B99" w:rsidP="00D90881">
            <w:pPr>
              <w:pStyle w:val="Normalatteli"/>
              <w:jc w:val="left"/>
            </w:pPr>
            <w:r w:rsidRPr="00940033">
              <w:t>1.34. attēls. Mājsaimniecību ekonomiskā spriedze (2014-2017, %)</w:t>
            </w:r>
            <w:r>
              <w:t xml:space="preserve"> ..........................................................</w:t>
            </w:r>
          </w:p>
        </w:tc>
        <w:tc>
          <w:tcPr>
            <w:tcW w:w="640" w:type="dxa"/>
          </w:tcPr>
          <w:p w:rsidR="00744B99" w:rsidRPr="00915DDA" w:rsidRDefault="00744B99" w:rsidP="00D90881">
            <w:pPr>
              <w:pStyle w:val="Normalatteli"/>
              <w:spacing w:line="240" w:lineRule="auto"/>
              <w:jc w:val="right"/>
              <w:outlineLvl w:val="0"/>
              <w:rPr>
                <w:szCs w:val="22"/>
              </w:rPr>
            </w:pPr>
            <w:r>
              <w:rPr>
                <w:szCs w:val="22"/>
              </w:rPr>
              <w:t>114</w:t>
            </w:r>
          </w:p>
        </w:tc>
      </w:tr>
      <w:tr w:rsidR="00744B99" w:rsidRPr="00C93BB4" w:rsidTr="00D90881">
        <w:tc>
          <w:tcPr>
            <w:tcW w:w="9322" w:type="dxa"/>
          </w:tcPr>
          <w:p w:rsidR="00744B99" w:rsidRPr="00940033" w:rsidRDefault="00744B99" w:rsidP="00D90881">
            <w:pPr>
              <w:pStyle w:val="Normalatteli"/>
              <w:jc w:val="left"/>
            </w:pPr>
            <w:r w:rsidRPr="00940033">
              <w:t>1.35. attēls. Iedzīvotāju īpatsvars zem nabadzības riska sliekšņa, kuri naudas trūkuma dēļ nevarēja atļauties segt noteiktas izdevumu kategorijas par mājokli (2014-2017, %)</w:t>
            </w:r>
            <w: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116</w:t>
            </w:r>
          </w:p>
        </w:tc>
      </w:tr>
      <w:tr w:rsidR="00744B99" w:rsidRPr="00C93BB4" w:rsidTr="00D90881">
        <w:tc>
          <w:tcPr>
            <w:tcW w:w="9322" w:type="dxa"/>
          </w:tcPr>
          <w:p w:rsidR="00744B99" w:rsidRPr="00C93BB4" w:rsidRDefault="00744B99" w:rsidP="00D90881">
            <w:pPr>
              <w:pStyle w:val="Normalatteli"/>
              <w:spacing w:line="240" w:lineRule="auto"/>
              <w:jc w:val="left"/>
              <w:outlineLvl w:val="0"/>
              <w:rPr>
                <w:b/>
                <w:i/>
                <w:szCs w:val="22"/>
              </w:rPr>
            </w:pPr>
            <w:r w:rsidRPr="004D2B7B">
              <w:rPr>
                <w:noProof/>
                <w:szCs w:val="22"/>
              </w:rPr>
              <w:t>1.36. attēls. Personu ar invaliditāti īpatsvars (</w:t>
            </w:r>
            <w:r>
              <w:rPr>
                <w:noProof/>
                <w:szCs w:val="22"/>
              </w:rPr>
              <w:t xml:space="preserve">%) 2014. – 2017. </w:t>
            </w:r>
            <w:r w:rsidRPr="004D2B7B">
              <w:rPr>
                <w:noProof/>
                <w:szCs w:val="22"/>
              </w:rPr>
              <w:t>gadā dalījumā pēc invaliditātes grupas</w:t>
            </w:r>
            <w:r>
              <w:rPr>
                <w:noProof/>
                <w:szCs w:val="22"/>
              </w:rPr>
              <w:t xml:space="preserve"> ..</w:t>
            </w:r>
          </w:p>
        </w:tc>
        <w:tc>
          <w:tcPr>
            <w:tcW w:w="640" w:type="dxa"/>
          </w:tcPr>
          <w:p w:rsidR="00744B99" w:rsidRPr="00915DDA" w:rsidRDefault="00744B99" w:rsidP="00D90881">
            <w:pPr>
              <w:pStyle w:val="Normalatteli"/>
              <w:spacing w:line="240" w:lineRule="auto"/>
              <w:jc w:val="right"/>
              <w:outlineLvl w:val="0"/>
              <w:rPr>
                <w:szCs w:val="22"/>
              </w:rPr>
            </w:pPr>
            <w:r>
              <w:rPr>
                <w:szCs w:val="22"/>
              </w:rPr>
              <w:t>121</w:t>
            </w:r>
          </w:p>
        </w:tc>
      </w:tr>
      <w:tr w:rsidR="00744B99" w:rsidRPr="00C93BB4" w:rsidTr="00D90881">
        <w:tc>
          <w:tcPr>
            <w:tcW w:w="9322" w:type="dxa"/>
          </w:tcPr>
          <w:p w:rsidR="00744B99" w:rsidRPr="00C93BB4" w:rsidRDefault="00744B99" w:rsidP="00D90881">
            <w:pPr>
              <w:pStyle w:val="Normalatteli"/>
              <w:spacing w:line="240" w:lineRule="auto"/>
              <w:jc w:val="left"/>
              <w:outlineLvl w:val="0"/>
              <w:rPr>
                <w:b/>
                <w:i/>
                <w:szCs w:val="22"/>
              </w:rPr>
            </w:pPr>
            <w:r w:rsidRPr="004D2B7B">
              <w:rPr>
                <w:noProof/>
                <w:szCs w:val="22"/>
              </w:rPr>
              <w:t>1.37. attēls. Personu ar invaliditāti īpatsvars (</w:t>
            </w:r>
            <w:r>
              <w:rPr>
                <w:noProof/>
                <w:szCs w:val="22"/>
              </w:rPr>
              <w:t>%</w:t>
            </w:r>
            <w:r w:rsidRPr="004D2B7B">
              <w:rPr>
                <w:noProof/>
                <w:szCs w:val="22"/>
              </w:rPr>
              <w:t>) 2014. – 2017. gadā dalījumā pēc funkcionālo traucējumu veida</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121</w:t>
            </w:r>
          </w:p>
        </w:tc>
      </w:tr>
      <w:tr w:rsidR="00744B99" w:rsidRPr="00C93BB4" w:rsidTr="00D90881">
        <w:tc>
          <w:tcPr>
            <w:tcW w:w="9322" w:type="dxa"/>
          </w:tcPr>
          <w:p w:rsidR="00744B99" w:rsidRPr="00C93BB4" w:rsidRDefault="00744B99" w:rsidP="00D90881">
            <w:pPr>
              <w:pStyle w:val="Normalatteli"/>
              <w:spacing w:line="240" w:lineRule="auto"/>
              <w:jc w:val="left"/>
              <w:outlineLvl w:val="0"/>
              <w:rPr>
                <w:b/>
                <w:i/>
                <w:szCs w:val="22"/>
              </w:rPr>
            </w:pPr>
            <w:r w:rsidRPr="004D2B7B">
              <w:rPr>
                <w:noProof/>
                <w:szCs w:val="22"/>
              </w:rPr>
              <w:t>1.38. attēls. Saņemto sociālo transfertu kopējais īpatsvars (procentos) no visiem personas ienākumiem 2014. – 2017. gadā dalījumā pēc invaliditātes grupas un funkcionālo traucējumu veida</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126</w:t>
            </w:r>
          </w:p>
        </w:tc>
      </w:tr>
      <w:tr w:rsidR="00744B99" w:rsidRPr="00C93BB4" w:rsidTr="00D90881">
        <w:tc>
          <w:tcPr>
            <w:tcW w:w="9322" w:type="dxa"/>
          </w:tcPr>
          <w:p w:rsidR="00744B99" w:rsidRPr="00C93BB4" w:rsidRDefault="00744B99" w:rsidP="00D90881">
            <w:pPr>
              <w:pStyle w:val="Normalatteli"/>
              <w:spacing w:line="240" w:lineRule="auto"/>
              <w:jc w:val="left"/>
              <w:outlineLvl w:val="0"/>
              <w:rPr>
                <w:b/>
                <w:i/>
                <w:szCs w:val="22"/>
              </w:rPr>
            </w:pPr>
            <w:r w:rsidRPr="004D2B7B">
              <w:rPr>
                <w:noProof/>
                <w:szCs w:val="22"/>
              </w:rPr>
              <w:t xml:space="preserve">1.39. attēls. Personu ar invaliditāti īpatsvars (procentos), kuru ienākumi no sociālajiem transfertiem nepārsniedz nabadzības riska slieksni 2015. un 2016. </w:t>
            </w:r>
            <w:r>
              <w:rPr>
                <w:noProof/>
                <w:szCs w:val="22"/>
              </w:rPr>
              <w:t>g</w:t>
            </w:r>
            <w:r w:rsidRPr="004D2B7B">
              <w:rPr>
                <w:noProof/>
                <w:szCs w:val="22"/>
              </w:rPr>
              <w:t>adā</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130</w:t>
            </w:r>
          </w:p>
        </w:tc>
      </w:tr>
      <w:tr w:rsidR="00744B99" w:rsidRPr="00C93BB4" w:rsidTr="00D90881">
        <w:tc>
          <w:tcPr>
            <w:tcW w:w="9322" w:type="dxa"/>
          </w:tcPr>
          <w:p w:rsidR="00744B99" w:rsidRPr="00C93BB4" w:rsidRDefault="00744B99" w:rsidP="00D90881">
            <w:pPr>
              <w:pStyle w:val="Normalatteli"/>
              <w:spacing w:line="240" w:lineRule="auto"/>
              <w:jc w:val="left"/>
              <w:outlineLvl w:val="0"/>
              <w:rPr>
                <w:b/>
                <w:i/>
                <w:szCs w:val="22"/>
              </w:rPr>
            </w:pPr>
            <w:r w:rsidRPr="004D2B7B">
              <w:rPr>
                <w:noProof/>
                <w:szCs w:val="22"/>
              </w:rPr>
              <w:t>1.40. attēls. Personu ar invaliditāti īpatsvars (</w:t>
            </w:r>
            <w:r>
              <w:rPr>
                <w:noProof/>
                <w:szCs w:val="22"/>
              </w:rPr>
              <w:t>%</w:t>
            </w:r>
            <w:r w:rsidRPr="004D2B7B">
              <w:rPr>
                <w:noProof/>
                <w:szCs w:val="22"/>
              </w:rPr>
              <w:t>), kuru kopējie ienākumi nepārsniedz nabadzības riska slieksni 2015. un 2016. gadā</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130</w:t>
            </w:r>
          </w:p>
        </w:tc>
      </w:tr>
      <w:tr w:rsidR="00744B99" w:rsidRPr="00C93BB4" w:rsidTr="00D90881">
        <w:tc>
          <w:tcPr>
            <w:tcW w:w="9322" w:type="dxa"/>
          </w:tcPr>
          <w:p w:rsidR="00744B99" w:rsidRPr="00940033" w:rsidRDefault="00744B99" w:rsidP="00D90881">
            <w:pPr>
              <w:pStyle w:val="Normalatteli"/>
              <w:spacing w:line="240" w:lineRule="auto"/>
              <w:jc w:val="left"/>
              <w:outlineLvl w:val="0"/>
              <w:rPr>
                <w:noProof/>
                <w:szCs w:val="22"/>
              </w:rPr>
            </w:pPr>
          </w:p>
        </w:tc>
        <w:tc>
          <w:tcPr>
            <w:tcW w:w="640" w:type="dxa"/>
          </w:tcPr>
          <w:p w:rsidR="00744B99" w:rsidRPr="00915DDA" w:rsidRDefault="00744B99" w:rsidP="00D90881">
            <w:pPr>
              <w:pStyle w:val="Normalatteli"/>
              <w:spacing w:line="240" w:lineRule="auto"/>
              <w:jc w:val="right"/>
              <w:outlineLvl w:val="0"/>
              <w:rPr>
                <w:szCs w:val="22"/>
              </w:rPr>
            </w:pPr>
          </w:p>
        </w:tc>
      </w:tr>
      <w:tr w:rsidR="00744B99" w:rsidRPr="00C93BB4" w:rsidTr="00D90881">
        <w:tc>
          <w:tcPr>
            <w:tcW w:w="9322" w:type="dxa"/>
          </w:tcPr>
          <w:p w:rsidR="00744B99" w:rsidRPr="00940033" w:rsidRDefault="00744B99" w:rsidP="00D90881">
            <w:pPr>
              <w:pStyle w:val="Normalatteli"/>
              <w:spacing w:line="240" w:lineRule="auto"/>
              <w:jc w:val="left"/>
              <w:outlineLvl w:val="0"/>
              <w:rPr>
                <w:noProof/>
                <w:szCs w:val="22"/>
              </w:rPr>
            </w:pPr>
            <w:r w:rsidRPr="00940033">
              <w:rPr>
                <w:noProof/>
                <w:szCs w:val="22"/>
              </w:rPr>
              <w:t>2.1. attēls. Veselības stāvokļa pašnovērtējums (%), iedzīvotāji vecumā no 16 gadiem</w:t>
            </w:r>
            <w:r>
              <w:rPr>
                <w:noProof/>
                <w:szCs w:val="22"/>
              </w:rPr>
              <w:t xml:space="preserve"> .............................</w:t>
            </w:r>
          </w:p>
        </w:tc>
        <w:tc>
          <w:tcPr>
            <w:tcW w:w="640" w:type="dxa"/>
          </w:tcPr>
          <w:p w:rsidR="00744B99" w:rsidRPr="00915DDA" w:rsidRDefault="00744B99" w:rsidP="00D90881">
            <w:pPr>
              <w:pStyle w:val="Normalatteli"/>
              <w:spacing w:line="240" w:lineRule="auto"/>
              <w:jc w:val="right"/>
              <w:outlineLvl w:val="0"/>
              <w:rPr>
                <w:szCs w:val="22"/>
              </w:rPr>
            </w:pPr>
            <w:r>
              <w:rPr>
                <w:szCs w:val="22"/>
              </w:rPr>
              <w:t>148</w:t>
            </w:r>
          </w:p>
        </w:tc>
      </w:tr>
      <w:tr w:rsidR="00744B99" w:rsidRPr="00C93BB4" w:rsidTr="00D90881">
        <w:tc>
          <w:tcPr>
            <w:tcW w:w="9322" w:type="dxa"/>
          </w:tcPr>
          <w:p w:rsidR="00744B99" w:rsidRPr="00940033" w:rsidRDefault="00744B99" w:rsidP="00D90881">
            <w:pPr>
              <w:pStyle w:val="Normalatteli"/>
              <w:spacing w:line="240" w:lineRule="auto"/>
              <w:jc w:val="left"/>
              <w:outlineLvl w:val="0"/>
              <w:rPr>
                <w:noProof/>
                <w:szCs w:val="22"/>
              </w:rPr>
            </w:pPr>
            <w:r w:rsidRPr="00940033">
              <w:rPr>
                <w:noProof/>
                <w:szCs w:val="22"/>
              </w:rPr>
              <w:t>2.2. attēls. Veselības stāvokļa pašnovērtējums 2017. gadā (%), (dzimums/ apdzīvotās vietas tips)</w:t>
            </w:r>
            <w:r>
              <w:rPr>
                <w:noProof/>
                <w:szCs w:val="22"/>
              </w:rPr>
              <w:t xml:space="preserve"> .........</w:t>
            </w:r>
          </w:p>
        </w:tc>
        <w:tc>
          <w:tcPr>
            <w:tcW w:w="640" w:type="dxa"/>
          </w:tcPr>
          <w:p w:rsidR="00744B99" w:rsidRPr="00915DDA" w:rsidRDefault="00744B99" w:rsidP="00D90881">
            <w:pPr>
              <w:pStyle w:val="Normalatteli"/>
              <w:spacing w:line="240" w:lineRule="auto"/>
              <w:jc w:val="right"/>
              <w:outlineLvl w:val="0"/>
              <w:rPr>
                <w:szCs w:val="22"/>
              </w:rPr>
            </w:pPr>
            <w:r>
              <w:rPr>
                <w:szCs w:val="22"/>
              </w:rPr>
              <w:t>149</w:t>
            </w:r>
          </w:p>
        </w:tc>
      </w:tr>
      <w:tr w:rsidR="00744B99" w:rsidRPr="00C93BB4" w:rsidTr="00D90881">
        <w:tc>
          <w:tcPr>
            <w:tcW w:w="9322" w:type="dxa"/>
          </w:tcPr>
          <w:p w:rsidR="00744B99" w:rsidRPr="00940033" w:rsidRDefault="00744B99" w:rsidP="00D90881">
            <w:pPr>
              <w:pStyle w:val="Normalatteli"/>
              <w:spacing w:line="240" w:lineRule="auto"/>
              <w:jc w:val="left"/>
              <w:outlineLvl w:val="0"/>
              <w:rPr>
                <w:noProof/>
                <w:szCs w:val="22"/>
              </w:rPr>
            </w:pPr>
            <w:r w:rsidRPr="00940033">
              <w:rPr>
                <w:noProof/>
                <w:szCs w:val="22"/>
              </w:rPr>
              <w:t>2.3. attēls. Veselības stāvokļa pašnovērtējums 2017. gadā (%), (ienākumu kvintiļu grupas)</w:t>
            </w:r>
            <w:r>
              <w:rPr>
                <w:noProof/>
                <w:szCs w:val="22"/>
              </w:rPr>
              <w:t xml:space="preserve"> ....................</w:t>
            </w:r>
          </w:p>
        </w:tc>
        <w:tc>
          <w:tcPr>
            <w:tcW w:w="640" w:type="dxa"/>
          </w:tcPr>
          <w:p w:rsidR="00744B99" w:rsidRPr="00915DDA" w:rsidRDefault="00744B99" w:rsidP="00D90881">
            <w:pPr>
              <w:pStyle w:val="Normalatteli"/>
              <w:spacing w:line="240" w:lineRule="auto"/>
              <w:jc w:val="right"/>
              <w:outlineLvl w:val="0"/>
              <w:rPr>
                <w:szCs w:val="22"/>
              </w:rPr>
            </w:pPr>
            <w:r>
              <w:rPr>
                <w:szCs w:val="22"/>
              </w:rPr>
              <w:t>149</w:t>
            </w:r>
          </w:p>
        </w:tc>
      </w:tr>
      <w:tr w:rsidR="00744B99" w:rsidRPr="00C93BB4" w:rsidTr="00D90881">
        <w:tc>
          <w:tcPr>
            <w:tcW w:w="9322" w:type="dxa"/>
          </w:tcPr>
          <w:p w:rsidR="00744B99" w:rsidRPr="00940033" w:rsidRDefault="00744B99" w:rsidP="00D90881">
            <w:pPr>
              <w:pStyle w:val="Normalatteli"/>
              <w:spacing w:line="240" w:lineRule="auto"/>
              <w:jc w:val="left"/>
              <w:outlineLvl w:val="0"/>
              <w:rPr>
                <w:noProof/>
                <w:szCs w:val="22"/>
              </w:rPr>
            </w:pPr>
            <w:r w:rsidRPr="00940033">
              <w:rPr>
                <w:noProof/>
                <w:szCs w:val="22"/>
              </w:rPr>
              <w:t>2.4. attēls. Veselības stāvokļa pašnovērtējums 2017. gadā sadalījumā pa vecuma grupām (%)</w:t>
            </w:r>
            <w:r>
              <w:rPr>
                <w:noProof/>
                <w:szCs w:val="22"/>
              </w:rPr>
              <w:t xml:space="preserve"> ...............</w:t>
            </w:r>
          </w:p>
        </w:tc>
        <w:tc>
          <w:tcPr>
            <w:tcW w:w="640" w:type="dxa"/>
          </w:tcPr>
          <w:p w:rsidR="00744B99" w:rsidRPr="00915DDA" w:rsidRDefault="00744B99" w:rsidP="00D90881">
            <w:pPr>
              <w:pStyle w:val="Normalatteli"/>
              <w:spacing w:line="240" w:lineRule="auto"/>
              <w:jc w:val="right"/>
              <w:outlineLvl w:val="0"/>
              <w:rPr>
                <w:szCs w:val="22"/>
              </w:rPr>
            </w:pPr>
            <w:r>
              <w:rPr>
                <w:szCs w:val="22"/>
              </w:rPr>
              <w:t>150</w:t>
            </w:r>
          </w:p>
        </w:tc>
      </w:tr>
      <w:tr w:rsidR="00744B99" w:rsidRPr="00C93BB4" w:rsidTr="00D90881">
        <w:tc>
          <w:tcPr>
            <w:tcW w:w="9322" w:type="dxa"/>
          </w:tcPr>
          <w:p w:rsidR="00744B99" w:rsidRPr="00940033" w:rsidRDefault="00744B99" w:rsidP="00D90881">
            <w:pPr>
              <w:pStyle w:val="Normalatteli"/>
              <w:spacing w:line="240" w:lineRule="auto"/>
              <w:jc w:val="left"/>
              <w:outlineLvl w:val="0"/>
              <w:rPr>
                <w:noProof/>
                <w:szCs w:val="22"/>
              </w:rPr>
            </w:pPr>
            <w:r w:rsidRPr="00940033">
              <w:rPr>
                <w:noProof/>
                <w:szCs w:val="22"/>
              </w:rPr>
              <w:t>2.5. attēls. Hroniska slimība, ilgstošas kaites vai fiziski trūkumi 16 gadus veciem un vecākiem iedzīvotājiem (%) (dzimums)</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151</w:t>
            </w:r>
          </w:p>
        </w:tc>
      </w:tr>
      <w:tr w:rsidR="00744B99" w:rsidRPr="00C93BB4" w:rsidTr="00D90881">
        <w:tc>
          <w:tcPr>
            <w:tcW w:w="9322" w:type="dxa"/>
          </w:tcPr>
          <w:p w:rsidR="00744B99" w:rsidRPr="00940033" w:rsidRDefault="00744B99" w:rsidP="00D90881">
            <w:pPr>
              <w:pStyle w:val="Normalatteli"/>
              <w:spacing w:line="240" w:lineRule="auto"/>
              <w:jc w:val="left"/>
              <w:outlineLvl w:val="0"/>
              <w:rPr>
                <w:noProof/>
                <w:szCs w:val="22"/>
              </w:rPr>
            </w:pPr>
            <w:r w:rsidRPr="00940033">
              <w:rPr>
                <w:noProof/>
                <w:szCs w:val="22"/>
              </w:rPr>
              <w:t>2.6. attēls. Hroniska slimība, ilgstošas kaites vai fiziski trūkumi 16 gadus veciem un vecākiem iedzīvotājiem (%) (ienākumu kvintiļu grupas)</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151</w:t>
            </w:r>
          </w:p>
        </w:tc>
      </w:tr>
      <w:tr w:rsidR="00744B99" w:rsidRPr="00C93BB4" w:rsidTr="00D90881">
        <w:tc>
          <w:tcPr>
            <w:tcW w:w="9322" w:type="dxa"/>
          </w:tcPr>
          <w:p w:rsidR="00744B99" w:rsidRPr="00940033" w:rsidRDefault="00744B99" w:rsidP="00D90881">
            <w:pPr>
              <w:pStyle w:val="Normalatteli"/>
              <w:spacing w:line="240" w:lineRule="auto"/>
              <w:jc w:val="left"/>
              <w:outlineLvl w:val="0"/>
              <w:rPr>
                <w:noProof/>
                <w:szCs w:val="22"/>
              </w:rPr>
            </w:pPr>
            <w:r w:rsidRPr="00940033">
              <w:rPr>
                <w:noProof/>
                <w:szCs w:val="22"/>
              </w:rPr>
              <w:t>2.7. attēls. Hroniska slimība, ilgstošas kaites vai fiziski trūkumi 16 gadus veciem un vecākiem iedzīvotājiem (%) (vecums)</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152</w:t>
            </w:r>
          </w:p>
        </w:tc>
      </w:tr>
      <w:tr w:rsidR="00744B99" w:rsidRPr="00C93BB4" w:rsidTr="00D90881">
        <w:tc>
          <w:tcPr>
            <w:tcW w:w="9322" w:type="dxa"/>
          </w:tcPr>
          <w:p w:rsidR="00744B99" w:rsidRPr="00940033" w:rsidRDefault="00744B99" w:rsidP="00D90881">
            <w:pPr>
              <w:pStyle w:val="Normalatteli"/>
              <w:spacing w:line="240" w:lineRule="auto"/>
              <w:jc w:val="left"/>
              <w:outlineLvl w:val="0"/>
              <w:rPr>
                <w:noProof/>
                <w:szCs w:val="22"/>
              </w:rPr>
            </w:pPr>
            <w:r w:rsidRPr="00940033">
              <w:rPr>
                <w:noProof/>
                <w:szCs w:val="22"/>
              </w:rPr>
              <w:t>2.8. attēls. Pārbaužu veikšana vai ārstēšanās pie medicīnas speciālista (izņemot zobārstu) un apstākļi, kas traucējuši veikt pārbaudes vai ārstēšanos 16 gadus veciem un vecākiem (%): bija vismaz viens gadījums, kad neveica nepieciešamo pārbaudi vai ārstēšanos. Visas personas vecumā no 16 gadiem</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154</w:t>
            </w:r>
          </w:p>
        </w:tc>
      </w:tr>
      <w:tr w:rsidR="00744B99" w:rsidRPr="00C93BB4" w:rsidTr="00D90881">
        <w:tc>
          <w:tcPr>
            <w:tcW w:w="9322" w:type="dxa"/>
          </w:tcPr>
          <w:p w:rsidR="00744B99" w:rsidRPr="00940033" w:rsidRDefault="00744B99" w:rsidP="00D90881">
            <w:pPr>
              <w:pStyle w:val="Normalatteli"/>
              <w:spacing w:line="240" w:lineRule="auto"/>
              <w:jc w:val="left"/>
              <w:outlineLvl w:val="0"/>
              <w:rPr>
                <w:noProof/>
                <w:szCs w:val="22"/>
              </w:rPr>
            </w:pPr>
            <w:r w:rsidRPr="00940033">
              <w:rPr>
                <w:noProof/>
                <w:szCs w:val="22"/>
              </w:rPr>
              <w:t>2.9. attēls. Pārbaužu veikšana vai ārstēšanās pie medicīnas speciālista (izņemot zobārstu) un apstākļi, kas traucējuši veikt pārbaudes vai ārstēšanos 16 gadus veciem un vecākiem (%): bija vismaz viens gadījums, kad neveica nepieciešamo pārbaudi vai ārstēšanos kvintiļu grupu griezumā</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155</w:t>
            </w:r>
          </w:p>
        </w:tc>
      </w:tr>
      <w:tr w:rsidR="00744B99" w:rsidRPr="00C93BB4" w:rsidTr="00D90881">
        <w:tc>
          <w:tcPr>
            <w:tcW w:w="9322" w:type="dxa"/>
          </w:tcPr>
          <w:p w:rsidR="00744B99" w:rsidRPr="00940033" w:rsidRDefault="00744B99" w:rsidP="00D90881">
            <w:pPr>
              <w:pStyle w:val="Normalatteli"/>
              <w:spacing w:line="240" w:lineRule="auto"/>
              <w:jc w:val="left"/>
              <w:outlineLvl w:val="0"/>
              <w:rPr>
                <w:noProof/>
                <w:szCs w:val="22"/>
              </w:rPr>
            </w:pPr>
            <w:r w:rsidRPr="00940033">
              <w:rPr>
                <w:noProof/>
                <w:szCs w:val="22"/>
              </w:rPr>
              <w:t>2.10. attēls. Pārbaužu veikšana vai ārstēšanās pie medicīnas speciālista (izņemot zobārstu) un apstākļi, kas traucējuši veikt pārbaudes vai ārstēšanos 16 gadus veciem un vecākiem (%). Neveica pārbaudi vai ārstēšanos, jo nevarēja to atļauties. Visas personas</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157</w:t>
            </w:r>
          </w:p>
        </w:tc>
      </w:tr>
      <w:tr w:rsidR="00744B99" w:rsidRPr="00C93BB4" w:rsidTr="00D90881">
        <w:tc>
          <w:tcPr>
            <w:tcW w:w="9322" w:type="dxa"/>
          </w:tcPr>
          <w:p w:rsidR="00744B99" w:rsidRPr="00940033" w:rsidRDefault="00744B99" w:rsidP="00D90881">
            <w:pPr>
              <w:pStyle w:val="Normalatteli"/>
              <w:spacing w:line="240" w:lineRule="auto"/>
              <w:jc w:val="left"/>
              <w:outlineLvl w:val="0"/>
              <w:rPr>
                <w:noProof/>
                <w:szCs w:val="22"/>
              </w:rPr>
            </w:pPr>
            <w:r w:rsidRPr="00940033">
              <w:rPr>
                <w:noProof/>
                <w:szCs w:val="22"/>
              </w:rPr>
              <w:t>2.11. attēls. Pārbaužu veikšana vai ārstēšanās pie medicīnas speciālista (izņemot zobārstu) un apstākļi, kas traucējuši veikt pārbaudes vai ārstēšanos 16 gadus veciem un vecākiem (%). Neveica pārbaudi vai ārstēšanos, jo nevarēja to atļauties, kvintiļu grupu griezumā</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158</w:t>
            </w:r>
          </w:p>
        </w:tc>
      </w:tr>
      <w:tr w:rsidR="00744B99" w:rsidRPr="00C93BB4" w:rsidTr="00D90881">
        <w:tc>
          <w:tcPr>
            <w:tcW w:w="9322" w:type="dxa"/>
          </w:tcPr>
          <w:p w:rsidR="00744B99" w:rsidRPr="00940033" w:rsidRDefault="00744B99" w:rsidP="00D90881">
            <w:pPr>
              <w:pStyle w:val="Normalatteli"/>
              <w:spacing w:line="240" w:lineRule="auto"/>
              <w:jc w:val="left"/>
              <w:outlineLvl w:val="0"/>
              <w:rPr>
                <w:noProof/>
                <w:szCs w:val="22"/>
              </w:rPr>
            </w:pPr>
            <w:r w:rsidRPr="00940033">
              <w:rPr>
                <w:noProof/>
                <w:szCs w:val="22"/>
              </w:rPr>
              <w:t>2.12. attēls. Zobārsta apmeklējumi un zobārsta neapmeklēšanas iemesls 16 gadus veciem un vecākiem iedzīvotājiem (%). Bija vismaz viens gadījums, kad neveica personai nepieciešamo pārbaudi vai ārstēšanos pie zobārsta. Visas personas vecumā no 16 gadiem</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159</w:t>
            </w:r>
          </w:p>
        </w:tc>
      </w:tr>
      <w:tr w:rsidR="00744B99" w:rsidRPr="00C93BB4" w:rsidTr="00D90881">
        <w:tc>
          <w:tcPr>
            <w:tcW w:w="9322" w:type="dxa"/>
          </w:tcPr>
          <w:p w:rsidR="00744B99" w:rsidRPr="00940033" w:rsidRDefault="00744B99" w:rsidP="00D90881">
            <w:pPr>
              <w:pStyle w:val="Normalatteli"/>
              <w:spacing w:line="240" w:lineRule="auto"/>
              <w:jc w:val="left"/>
              <w:outlineLvl w:val="0"/>
              <w:rPr>
                <w:noProof/>
                <w:szCs w:val="22"/>
              </w:rPr>
            </w:pPr>
            <w:r w:rsidRPr="00940033">
              <w:rPr>
                <w:noProof/>
                <w:szCs w:val="22"/>
              </w:rPr>
              <w:t>2.13. attēls. Zobārsta apmeklējumi un zobārsta neapmeklēšanas iemesls 16 gadus veciem un vecākiem iedzīvotājiem (%). Bija vismaz viens gadījums, kad neveica nepiec</w:t>
            </w:r>
            <w:r w:rsidR="00143ECC">
              <w:rPr>
                <w:noProof/>
                <w:szCs w:val="22"/>
              </w:rPr>
              <w:t xml:space="preserve">iešamo pārbaudi vai ārstēšanos, </w:t>
            </w:r>
            <w:r w:rsidRPr="00940033">
              <w:rPr>
                <w:noProof/>
                <w:szCs w:val="22"/>
              </w:rPr>
              <w:t>kvintiļu grupu griezumā</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160</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2.14. attēls. Zobārsta apmeklējumi un zobārsta neapmeklēšanas iemesls 16 gadus veciem un vecākiem iedzīvotājiem (%). Neapmeklēja zobārstu, jo nevarēja to atļauties. Visas personas</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162</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2.15. attēls. Zobārsta apmeklējumi un zobārsta neapmeklēšanas iemesls 16 gadus veciem un vecākiem iedzīvotājiem (%). Neapmeklēja zobārstu, jo nevarēja to atļauties. kvintiļu grupu griezumā</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163</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lastRenderedPageBreak/>
              <w:t>2.16. attēls. Ārstēšanās un medikamentu izmaksu slogs mājsaimniecībām 2017. gadā. Cik lielā mērā veselības pārbaužu vai ārstēšanās izmaksas pie medicīnas speciālista (izņemot zobārstu) mājsaimniecībai pēdējo 12 mēnešu laikā bija apgrūtinošas. Visas mājsaimniecības un mājsaimniecību tipu griezums</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Default="00744B99" w:rsidP="00D90881">
            <w:pPr>
              <w:pStyle w:val="Normalatteli"/>
              <w:spacing w:line="240" w:lineRule="auto"/>
              <w:jc w:val="right"/>
              <w:outlineLvl w:val="0"/>
              <w:rPr>
                <w:szCs w:val="22"/>
              </w:rPr>
            </w:pPr>
          </w:p>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164</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2.17. attēls. Ārstēšanās un medikamentu izmaksu slogs mājsaimniecībām 2017. gadā. Cik lielā mērā veselības pārbaužu vai ārstēšanās izmaksas pie medicīnas speciālista (izņemot zobārstu) mājsaimniecībai pēdējo 12 mēnešu laikā bija apgrūtinošas. Kvintiļu grupu griezums</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165</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2.18. attēls. Ārstēšanās un medikamentu izmaksu slogs mājsaimniecībām 2017. gadā. Cik lielā mērā zobu pārbaužu vai ārstēšanas izmaksas mājsaimniecībai pēdējo 12 mēnešu laikā bija apgrūtinošas. Visas mājsaimniecības un mājsaimniecību tipu griezums</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166</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2.19. attēls. Ārstēšanās un medikamentu izmaksu slogs mājsaimniecībām 2017. gadā. Cik lielā mērā zobu pārbaužu vai ārstēšanas izmaksas mājsaimniecībai pēdējo 12 mēnešu laikā bija apgrūtinošas. Kvintiļu grupu griezums</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167</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2.20. attēls. Ārstēšanās un medikamentu izmaksu slogs mājsaimniecībām 2017. gadā. Cik lielā mērā recepšu un bezrecepšu medikamentu izmaksas mājsaimniecībai pēdējo 12 mēnešu laikā bija apgrūtinošas. Visas mājsaimniecības un mājsaimniecību tipu griezums</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169</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2.21. attēls. Ārstēšanās un medikamentu izmaksu slogs mājsaimniecībām 2017. gadā. Cik lielā mērā recepšu un bezrecepšu medikamentu izmaksas mājsaimniecībai pēdējo 12 mēnešu laikā bija apgrūtinošas. Kvintiļu grupu griezums</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170</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2.22. attēls. Iedzīvotāju konsultēšanas biežums pie ģimenes (vispārējās prakses) ārsta, medicīnas vai ķirurģijas speciālista, zobārsta, ortodonta vai higiēnista 2017. gadā (%). Ne reizi nav notikusi konsultācija. Visas personas un kvintiļu grupu griezums</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172</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2.23. attēls. Pacientu tiešmaksājumu īpatsvars veselības aprūpes izdevumu struktūrā (</w:t>
            </w:r>
            <w:r>
              <w:rPr>
                <w:noProof/>
                <w:szCs w:val="22"/>
              </w:rPr>
              <w:t>%</w:t>
            </w:r>
            <w:r w:rsidRPr="00915DDA">
              <w:rPr>
                <w:noProof/>
                <w:szCs w:val="22"/>
              </w:rPr>
              <w:t>)</w:t>
            </w:r>
            <w:r>
              <w:rPr>
                <w:noProof/>
                <w:szCs w:val="22"/>
              </w:rPr>
              <w:t xml:space="preserve"> .......................</w:t>
            </w:r>
          </w:p>
        </w:tc>
        <w:tc>
          <w:tcPr>
            <w:tcW w:w="640" w:type="dxa"/>
          </w:tcPr>
          <w:p w:rsidR="00744B99" w:rsidRPr="00915DDA" w:rsidRDefault="00744B99" w:rsidP="00D90881">
            <w:pPr>
              <w:pStyle w:val="Normalatteli"/>
              <w:spacing w:line="240" w:lineRule="auto"/>
              <w:jc w:val="right"/>
              <w:outlineLvl w:val="0"/>
              <w:rPr>
                <w:szCs w:val="22"/>
              </w:rPr>
            </w:pPr>
            <w:r>
              <w:rPr>
                <w:szCs w:val="22"/>
              </w:rPr>
              <w:t>174</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2.24. attēls. Iedzīvotāju ķermeņa masas indekss (ĶMI) 2017. gadā (%). Visas personas un vecuma grupu griezums</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175</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2.25. attēls. Iedzīvotāju ķermeņa masas indekss (ĶMI) 2017. gadā (%). Dzimuma griezums un pilsētu un lauku griezum</w:t>
            </w:r>
            <w:r>
              <w:rPr>
                <w:noProof/>
                <w:szCs w:val="22"/>
              </w:rPr>
              <w:t>s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176</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2.26. attēls. Bērnu vecumā līdz 15 gadiem vispārējā veselības stāvokļa novērtējums 2017. gadā (%). Visi bērni vecumā līdz 15 gadiem un kvintiļu grupu griezumā</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178</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2.27. attēls. Pārbaužu veikšana vai ārstēšanās pie medicīnas speciālista un zobārsta apmeklējums visiem mājsaimniecības bērniem vecumā līdz 15 gadiem 2017. gadā (%).Pēdējo 12 mēnešu laikā kādam no mājsaimniecības bērniem ir bijusi nepieciešamība veikt pārbaudi pie medicīnas speciālista vai ārstēšanos (izņemot zobārstu), bet tā netika veikta, un pēdējo 12 mēnešu laikā kādam no mājsaimniecības bērniem ir bijusi nepieciešamība pārbaudīt vai ārstēt zobus, bet tas netika izdarīts. Visas mājsaimniecības ar 0-15 gadu veciem bērniem un mājsaimniecības tipu griezumā</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Default="00744B99" w:rsidP="00D90881">
            <w:pPr>
              <w:pStyle w:val="Normalatteli"/>
              <w:spacing w:line="240" w:lineRule="auto"/>
              <w:jc w:val="right"/>
              <w:outlineLvl w:val="0"/>
              <w:rPr>
                <w:szCs w:val="22"/>
              </w:rPr>
            </w:pPr>
          </w:p>
          <w:p w:rsidR="00744B99" w:rsidRDefault="00744B99" w:rsidP="00D90881">
            <w:pPr>
              <w:pStyle w:val="Normalatteli"/>
              <w:spacing w:line="240" w:lineRule="auto"/>
              <w:jc w:val="right"/>
              <w:outlineLvl w:val="0"/>
              <w:rPr>
                <w:szCs w:val="22"/>
              </w:rPr>
            </w:pPr>
          </w:p>
          <w:p w:rsidR="00744B99" w:rsidRDefault="00744B99" w:rsidP="00D90881">
            <w:pPr>
              <w:pStyle w:val="Normalatteli"/>
              <w:spacing w:line="240" w:lineRule="auto"/>
              <w:jc w:val="right"/>
              <w:outlineLvl w:val="0"/>
              <w:rPr>
                <w:szCs w:val="22"/>
              </w:rPr>
            </w:pPr>
          </w:p>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180</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p>
        </w:tc>
        <w:tc>
          <w:tcPr>
            <w:tcW w:w="640" w:type="dxa"/>
          </w:tcPr>
          <w:p w:rsidR="00744B99" w:rsidRPr="00915DDA" w:rsidRDefault="00744B99" w:rsidP="00D90881">
            <w:pPr>
              <w:pStyle w:val="Normalatteli"/>
              <w:spacing w:line="240" w:lineRule="auto"/>
              <w:jc w:val="right"/>
              <w:outlineLvl w:val="0"/>
              <w:rPr>
                <w:szCs w:val="22"/>
              </w:rPr>
            </w:pP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3.1. attēls. Dzīvojamais fonds statistiskajos reģionos gada beigās (kopējā platība uz vienu pastāvīgo iedzīvotāju, m²)</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290</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3.2. attēls. Dzīvojamā fonda aprēķinātā apsaimniekošanas maksa vidēji mēnesī statistiskajos reģionos (EUR centi par 1 m²)</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293</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3.3.attēls. Mājsaimniecību īpatsvars, kas norādījušas atsevišķas problēmas saistībā ar sava mājokļa vidi. Problēma – troksnis no kaimiņu dzīvokļiem, kāpņu telpas, ielas vai āra (mājsaimniecību tipi, %)</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295</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3.4.attēls. Mājsaimniecību īpatsvars, kas norādījušas atsevišķas problēmas saistībā ar sava mājokļa vidi. Problēma – apkārtējās vides piesārņojums, putekļi un/vai citas vides problēmas dzīvesvietas tuvumā (mājsaimniecību tipi, %)</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296</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3.5.attēls. Mājsaimniecību īpatsvars, kas norādījušas atsevišķas problēmas saistībā ar sava mājokļa vidi. Problēma – vardarbība un noziedzības līmenis dzīvesvietas apkārtnē (mājsaimniecību tipi, %)</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297</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3.6.attēls. Vidējais istabu skaits mājsaimniecību lietošanā (mājsaimniecību tipi, %)</w:t>
            </w:r>
            <w:r>
              <w:rPr>
                <w:noProof/>
                <w:szCs w:val="22"/>
              </w:rPr>
              <w:t xml:space="preserve"> ...............................</w:t>
            </w:r>
          </w:p>
        </w:tc>
        <w:tc>
          <w:tcPr>
            <w:tcW w:w="640" w:type="dxa"/>
          </w:tcPr>
          <w:p w:rsidR="00744B99" w:rsidRPr="00915DDA" w:rsidRDefault="00744B99" w:rsidP="00D90881">
            <w:pPr>
              <w:pStyle w:val="Normalatteli"/>
              <w:spacing w:line="240" w:lineRule="auto"/>
              <w:jc w:val="right"/>
              <w:outlineLvl w:val="0"/>
              <w:rPr>
                <w:szCs w:val="22"/>
              </w:rPr>
            </w:pPr>
            <w:r>
              <w:rPr>
                <w:szCs w:val="22"/>
              </w:rPr>
              <w:t>298</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3.7.attēls. Istabu skaits uz vienu mājsaimniecības locekli (mājsaimniecību tipi, %)</w:t>
            </w:r>
            <w:r>
              <w:rPr>
                <w:noProof/>
                <w:szCs w:val="22"/>
              </w:rPr>
              <w:t xml:space="preserve"> .................................</w:t>
            </w:r>
          </w:p>
        </w:tc>
        <w:tc>
          <w:tcPr>
            <w:tcW w:w="640" w:type="dxa"/>
          </w:tcPr>
          <w:p w:rsidR="00744B99" w:rsidRPr="00915DDA" w:rsidRDefault="00744B99" w:rsidP="00D90881">
            <w:pPr>
              <w:pStyle w:val="Normalatteli"/>
              <w:spacing w:line="240" w:lineRule="auto"/>
              <w:jc w:val="right"/>
              <w:outlineLvl w:val="0"/>
              <w:rPr>
                <w:szCs w:val="22"/>
              </w:rPr>
            </w:pPr>
            <w:r>
              <w:rPr>
                <w:szCs w:val="22"/>
              </w:rPr>
              <w:t>299</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3.8.attēls. Mājokļa vidējā platība, m2  (mājsaimniecību tipi, %)</w:t>
            </w:r>
            <w:r>
              <w:rPr>
                <w:noProof/>
                <w:szCs w:val="22"/>
              </w:rPr>
              <w:t xml:space="preserve"> ...............................................................</w:t>
            </w:r>
          </w:p>
        </w:tc>
        <w:tc>
          <w:tcPr>
            <w:tcW w:w="640" w:type="dxa"/>
          </w:tcPr>
          <w:p w:rsidR="00744B99" w:rsidRPr="00915DDA" w:rsidRDefault="00744B99" w:rsidP="00D90881">
            <w:pPr>
              <w:pStyle w:val="Normalatteli"/>
              <w:spacing w:line="240" w:lineRule="auto"/>
              <w:jc w:val="right"/>
              <w:outlineLvl w:val="0"/>
              <w:rPr>
                <w:szCs w:val="22"/>
              </w:rPr>
            </w:pPr>
            <w:r>
              <w:rPr>
                <w:szCs w:val="22"/>
              </w:rPr>
              <w:t>300</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3.9. attēls. Mājokļa tips sadalījumā pa mājsaimniecību tipiem (%)</w:t>
            </w:r>
            <w:r>
              <w:rPr>
                <w:noProof/>
                <w:szCs w:val="22"/>
              </w:rPr>
              <w:t xml:space="preserve"> ...........................................................</w:t>
            </w:r>
          </w:p>
        </w:tc>
        <w:tc>
          <w:tcPr>
            <w:tcW w:w="640" w:type="dxa"/>
          </w:tcPr>
          <w:p w:rsidR="00744B99" w:rsidRPr="00915DDA" w:rsidRDefault="00744B99" w:rsidP="00D90881">
            <w:pPr>
              <w:pStyle w:val="Normalatteli"/>
              <w:spacing w:line="240" w:lineRule="auto"/>
              <w:jc w:val="right"/>
              <w:outlineLvl w:val="0"/>
              <w:rPr>
                <w:szCs w:val="22"/>
              </w:rPr>
            </w:pPr>
            <w:r>
              <w:rPr>
                <w:szCs w:val="22"/>
              </w:rPr>
              <w:t>302</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3.10. attēls. Mājokļu īpašuma tiesību statuss: visas mājsaimniecības (%)</w:t>
            </w:r>
            <w:r>
              <w:rPr>
                <w:noProof/>
                <w:szCs w:val="22"/>
              </w:rPr>
              <w:t xml:space="preserve"> .................................................</w:t>
            </w:r>
          </w:p>
        </w:tc>
        <w:tc>
          <w:tcPr>
            <w:tcW w:w="640" w:type="dxa"/>
          </w:tcPr>
          <w:p w:rsidR="00744B99" w:rsidRPr="00915DDA" w:rsidRDefault="00744B99" w:rsidP="00D90881">
            <w:pPr>
              <w:pStyle w:val="Normalatteli"/>
              <w:spacing w:line="240" w:lineRule="auto"/>
              <w:jc w:val="right"/>
              <w:outlineLvl w:val="0"/>
              <w:rPr>
                <w:szCs w:val="22"/>
              </w:rPr>
            </w:pPr>
            <w:r>
              <w:rPr>
                <w:szCs w:val="22"/>
              </w:rPr>
              <w:t>304</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3.11. attēls. Mājokļu īpašuma tiesību statuss, 2017. gads: mājokļa tipu griezumā (%)</w:t>
            </w:r>
            <w:r>
              <w:rPr>
                <w:noProof/>
                <w:szCs w:val="22"/>
              </w:rPr>
              <w:t xml:space="preserve"> .............................</w:t>
            </w:r>
          </w:p>
        </w:tc>
        <w:tc>
          <w:tcPr>
            <w:tcW w:w="640" w:type="dxa"/>
          </w:tcPr>
          <w:p w:rsidR="00744B99" w:rsidRPr="00915DDA" w:rsidRDefault="00744B99" w:rsidP="00D90881">
            <w:pPr>
              <w:pStyle w:val="Normalatteli"/>
              <w:spacing w:line="240" w:lineRule="auto"/>
              <w:jc w:val="right"/>
              <w:outlineLvl w:val="0"/>
              <w:rPr>
                <w:szCs w:val="22"/>
              </w:rPr>
            </w:pPr>
            <w:r>
              <w:rPr>
                <w:szCs w:val="22"/>
              </w:rPr>
              <w:t>304</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3.12. attēls. Mājokļu īpašuma tiesību statuss, 2017. gads: reģionu griezumā (%)</w:t>
            </w:r>
            <w:r>
              <w:rPr>
                <w:noProof/>
                <w:szCs w:val="22"/>
              </w:rPr>
              <w:t xml:space="preserve"> .....................................</w:t>
            </w:r>
          </w:p>
        </w:tc>
        <w:tc>
          <w:tcPr>
            <w:tcW w:w="640" w:type="dxa"/>
          </w:tcPr>
          <w:p w:rsidR="00744B99" w:rsidRPr="00915DDA" w:rsidRDefault="00744B99" w:rsidP="00D90881">
            <w:pPr>
              <w:pStyle w:val="Normalatteli"/>
              <w:spacing w:line="240" w:lineRule="auto"/>
              <w:jc w:val="right"/>
              <w:outlineLvl w:val="0"/>
              <w:rPr>
                <w:szCs w:val="22"/>
              </w:rPr>
            </w:pPr>
            <w:r>
              <w:rPr>
                <w:szCs w:val="22"/>
              </w:rPr>
              <w:t>305</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3.13. attēls. Mājokļu īpašuma tiesību statuss, 2017. gads: kvintiļu grupu griezumā (%)</w:t>
            </w:r>
            <w:r>
              <w:rPr>
                <w:noProof/>
                <w:szCs w:val="22"/>
              </w:rPr>
              <w:t xml:space="preserve"> ..........................</w:t>
            </w:r>
          </w:p>
        </w:tc>
        <w:tc>
          <w:tcPr>
            <w:tcW w:w="640" w:type="dxa"/>
          </w:tcPr>
          <w:p w:rsidR="00744B99" w:rsidRPr="00915DDA" w:rsidRDefault="00744B99" w:rsidP="00D90881">
            <w:pPr>
              <w:pStyle w:val="Normalatteli"/>
              <w:spacing w:line="240" w:lineRule="auto"/>
              <w:jc w:val="right"/>
              <w:outlineLvl w:val="0"/>
              <w:rPr>
                <w:szCs w:val="22"/>
              </w:rPr>
            </w:pPr>
            <w:r>
              <w:rPr>
                <w:szCs w:val="22"/>
              </w:rPr>
              <w:t>307</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lastRenderedPageBreak/>
              <w:t>3.14. attēls. Mājokļu labiekārtotība: aukstā ūdens apgāde (ūdensvads) (mājsaimniecību tipi, %)</w:t>
            </w:r>
            <w:r>
              <w:rPr>
                <w:noProof/>
                <w:szCs w:val="22"/>
              </w:rPr>
              <w:t xml:space="preserve"> ............</w:t>
            </w:r>
          </w:p>
        </w:tc>
        <w:tc>
          <w:tcPr>
            <w:tcW w:w="640" w:type="dxa"/>
          </w:tcPr>
          <w:p w:rsidR="00744B99" w:rsidRPr="00915DDA" w:rsidRDefault="00744B99" w:rsidP="00D90881">
            <w:pPr>
              <w:pStyle w:val="Normalatteli"/>
              <w:spacing w:line="240" w:lineRule="auto"/>
              <w:jc w:val="right"/>
              <w:outlineLvl w:val="0"/>
              <w:rPr>
                <w:szCs w:val="22"/>
              </w:rPr>
            </w:pPr>
            <w:r>
              <w:rPr>
                <w:szCs w:val="22"/>
              </w:rPr>
              <w:t>308</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3.15.attēls. Mājokļu labiekārtotība: karstā ūdens apgāde (mājsaimniecību tipi, %)</w:t>
            </w:r>
            <w:r>
              <w:rPr>
                <w:noProof/>
                <w:szCs w:val="22"/>
              </w:rPr>
              <w:t xml:space="preserve"> ..................................</w:t>
            </w:r>
          </w:p>
        </w:tc>
        <w:tc>
          <w:tcPr>
            <w:tcW w:w="640" w:type="dxa"/>
          </w:tcPr>
          <w:p w:rsidR="00744B99" w:rsidRPr="00915DDA" w:rsidRDefault="00744B99" w:rsidP="00D90881">
            <w:pPr>
              <w:pStyle w:val="Normalatteli"/>
              <w:spacing w:line="240" w:lineRule="auto"/>
              <w:jc w:val="right"/>
              <w:outlineLvl w:val="0"/>
              <w:rPr>
                <w:szCs w:val="22"/>
              </w:rPr>
            </w:pPr>
            <w:r>
              <w:rPr>
                <w:szCs w:val="22"/>
              </w:rPr>
              <w:t>309</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3.16.attēls. Mājokļu labiekārtotība: kanalizācija (mājsaimniecību tipi, %)</w:t>
            </w:r>
            <w:r>
              <w:rPr>
                <w:noProof/>
                <w:szCs w:val="22"/>
              </w:rPr>
              <w:t xml:space="preserve"> ...............................................</w:t>
            </w:r>
          </w:p>
        </w:tc>
        <w:tc>
          <w:tcPr>
            <w:tcW w:w="640" w:type="dxa"/>
          </w:tcPr>
          <w:p w:rsidR="00744B99" w:rsidRPr="00915DDA" w:rsidRDefault="00744B99" w:rsidP="00D90881">
            <w:pPr>
              <w:pStyle w:val="Normalatteli"/>
              <w:spacing w:line="240" w:lineRule="auto"/>
              <w:jc w:val="right"/>
              <w:outlineLvl w:val="0"/>
              <w:rPr>
                <w:szCs w:val="22"/>
              </w:rPr>
            </w:pPr>
            <w:r>
              <w:rPr>
                <w:szCs w:val="22"/>
              </w:rPr>
              <w:t>311</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3.17. attēls. Mājokļa kvalitātes problēmu izplatība (% no visām mājsaimniecībām, kuras ir saskārušās ar attiecīgo problēmu)</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312</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3.18. attēls. Problēmas, kas raksturīgas savrupmājām/viensētām, 2015. -2017. gads (%)</w:t>
            </w:r>
            <w:r>
              <w:rPr>
                <w:noProof/>
                <w:szCs w:val="22"/>
              </w:rPr>
              <w:t xml:space="preserve"> ........................</w:t>
            </w:r>
          </w:p>
        </w:tc>
        <w:tc>
          <w:tcPr>
            <w:tcW w:w="640" w:type="dxa"/>
          </w:tcPr>
          <w:p w:rsidR="00744B99" w:rsidRPr="00915DDA" w:rsidRDefault="00744B99" w:rsidP="00D90881">
            <w:pPr>
              <w:pStyle w:val="Normalatteli"/>
              <w:spacing w:line="240" w:lineRule="auto"/>
              <w:jc w:val="right"/>
              <w:outlineLvl w:val="0"/>
              <w:rPr>
                <w:szCs w:val="22"/>
              </w:rPr>
            </w:pPr>
            <w:r>
              <w:rPr>
                <w:szCs w:val="22"/>
              </w:rPr>
              <w:t>313</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3.19. attēls. Problēmas, kas raksturīgas savrupmājas daļām vai rindu mājām. 2015. -2017. gads (%)</w:t>
            </w:r>
            <w:r>
              <w:rPr>
                <w:noProof/>
                <w:szCs w:val="22"/>
              </w:rPr>
              <w:t xml:space="preserve"> .....</w:t>
            </w:r>
          </w:p>
        </w:tc>
        <w:tc>
          <w:tcPr>
            <w:tcW w:w="640" w:type="dxa"/>
          </w:tcPr>
          <w:p w:rsidR="00744B99" w:rsidRPr="00915DDA" w:rsidRDefault="00744B99" w:rsidP="00D90881">
            <w:pPr>
              <w:pStyle w:val="Normalatteli"/>
              <w:spacing w:line="240" w:lineRule="auto"/>
              <w:jc w:val="right"/>
              <w:outlineLvl w:val="0"/>
              <w:rPr>
                <w:szCs w:val="22"/>
              </w:rPr>
            </w:pPr>
            <w:r>
              <w:rPr>
                <w:szCs w:val="22"/>
              </w:rPr>
              <w:t>314</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3.20. attēls. Problēmas, kas raksturīgas dzīvokļiem, kas atrodas daudzdzīvokļu mājā, kurā ir līdz deviņiem dzīvokļiem 2015. -2017. gads (%)</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315</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3.21. attēls. Problēmas, kas raksturīgas dzīvokļiem, kas atrodas daudzdzīvokļu mājā, kurā desmit un vairāk dzīvokļu 2015. -2017. gads (%)</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316</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3.22. attēls. Zemu mājokļa kvalitāti raksturojošo problēmu izplatība atkarībā no mājokļa tipa (raksturīgas visas problēmas – tekošs jumts ar mitruma problēmām, finansiāla nespēja uzturēt mājokli pietiekami siltu, mājokļa rīcībā esoša vannas vai dušas pieejamība, mājokļa rīcībā esoša iekštelpas tualetes ar ūdens klozetu pieejamība) %</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Default="00744B99" w:rsidP="00D90881">
            <w:pPr>
              <w:pStyle w:val="Normalatteli"/>
              <w:spacing w:line="240" w:lineRule="auto"/>
              <w:jc w:val="right"/>
              <w:outlineLvl w:val="0"/>
              <w:rPr>
                <w:szCs w:val="22"/>
              </w:rPr>
            </w:pPr>
          </w:p>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317</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3.23. attēls. Mājsaimniecību kvintiļu grupas un procentuālais biežums, ar kādu katra kvintiļu grupa saskaras ar konkrēto problēmu (% no mājsaimniecību skaita kvintiļu grupā)</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318</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3.24. attēls. Mājsaimniecības, kas atrodas dziļā materiālajā nenodrošinātībā, un procentuālais biežums, ar kādu katra grupām saskaras ar konkrēto problēmu (% no mājsaimniecību skaita, kuras atrodas dziļā materiālajā nenodrošinātībā)</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319</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3.25. attēls. Mājsaimniecības, kas atrodas materiālajā nenodrošinātībā, un procentuālais biežums ar kādu katra grupām saskaras ar konkrēto problēmu (% no mājsaimniecību skaita, kuras atrodas materiālajā nenodrošinātībā)</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320</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915DDA">
              <w:rPr>
                <w:noProof/>
                <w:szCs w:val="22"/>
              </w:rPr>
              <w:t>3.26.attēls. Ar mājokļa uzturēšanu saistītie izdevumi uz vienu mājsaimniecību. Kopējie ar mājokļa uzturēšanu saistītie izdevumi uz vienu mājsaimniecību mēnesī, EUR (visas mājsaimniecības)</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outlineLvl w:val="0"/>
              <w:rPr>
                <w:szCs w:val="22"/>
              </w:rPr>
            </w:pPr>
            <w:r>
              <w:rPr>
                <w:szCs w:val="22"/>
              </w:rPr>
              <w:t xml:space="preserve"> 326</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FC0B93">
              <w:rPr>
                <w:noProof/>
                <w:szCs w:val="22"/>
              </w:rPr>
              <w:t>3.27.attēls. Kopējie ar mājokļa uzturēšanu saistītie izdevumi uz vienu mājsaimniecību mēnesī, EUR (mājsaimniecību tipi)</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327</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FC0B93">
              <w:rPr>
                <w:noProof/>
                <w:szCs w:val="22"/>
              </w:rPr>
              <w:t>3.28. attēls. Ar mājokļa uzturēšanu saistītie izdevumi uz vienu mājsaimniecību. Mājsaimniecību izdevumi par mājokli. Mājokļa izdevumi % pret rīcībā esošo ienākumu (visas mājsaimniecības)</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328</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FC0B93">
              <w:rPr>
                <w:noProof/>
                <w:szCs w:val="22"/>
              </w:rPr>
              <w:t>3.29.attēls. Ar mājokļa uzturēšanu saistītie izdevumi uz vienu mājsaimniecību: mājokļa izdevumi % pret rīcībā esošo ienākumu (mājsaimniecību tipi)</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328</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FC0B93">
              <w:rPr>
                <w:noProof/>
                <w:szCs w:val="22"/>
              </w:rPr>
              <w:t>3.30. attēls. Ar mājokļa uzturēšanu saistītie izdevumi uz vienu mājsaimniecības locekli. Mājokļa izdevumi uz mājsaimniecības locekli % pret rīcībā esošo ienākumu (mājsaimniecību tipi)</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330</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FC0B93">
              <w:rPr>
                <w:noProof/>
                <w:szCs w:val="22"/>
              </w:rPr>
              <w:t>3.31.attēls. Ar mājokļa uzturēšanu saistīto izdevumu ietekme uz mājsaimniecības finansiālo situāciju (visas mājsaimniecības, %)</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331</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FC0B93">
              <w:rPr>
                <w:noProof/>
                <w:szCs w:val="22"/>
              </w:rPr>
              <w:t>3.32.attēls. Ar mājokļa uzturēšanu saistīto izdevumu ietekme uz mājsaimniecības finansiālo situāciju 2017. gadā (mājsaimniecību tips, %)</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332</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FC0B93">
              <w:rPr>
                <w:noProof/>
                <w:szCs w:val="22"/>
              </w:rPr>
              <w:t>3.33. attēls. Ar mājokļa uzturēšanu saistīto izdevumu ietekme uz mājsaimniecības finansiālo situāciju 2017. gadā. Tās mājsaimniecības, kuras norādījušas, ka ar mājokli saistītie izdevumu ļoti apgrūtina mājsaimniecības finansiālo stāvokli (%)</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333</w:t>
            </w:r>
          </w:p>
        </w:tc>
      </w:tr>
      <w:tr w:rsidR="00744B99" w:rsidRPr="00C93BB4" w:rsidTr="00D90881">
        <w:tc>
          <w:tcPr>
            <w:tcW w:w="9322" w:type="dxa"/>
          </w:tcPr>
          <w:p w:rsidR="00744B99" w:rsidRPr="00915DDA" w:rsidRDefault="00744B99" w:rsidP="00D90881">
            <w:pPr>
              <w:pStyle w:val="Normalatteli"/>
              <w:spacing w:line="240" w:lineRule="auto"/>
              <w:jc w:val="left"/>
              <w:outlineLvl w:val="0"/>
              <w:rPr>
                <w:noProof/>
                <w:szCs w:val="22"/>
              </w:rPr>
            </w:pPr>
            <w:r w:rsidRPr="00FC0B93">
              <w:rPr>
                <w:noProof/>
                <w:szCs w:val="22"/>
              </w:rPr>
              <w:t>3.34. attēls. Atbalsta sniegšanas process personām, kas neatbilst sociāli aizsargājamām grupām, izlikšanas no īres mājokļa gadījumos</w:t>
            </w:r>
            <w:r>
              <w:rPr>
                <w:noProof/>
                <w:szCs w:val="22"/>
              </w:rPr>
              <w:t xml:space="preserve"> .........................................................................................................</w:t>
            </w:r>
          </w:p>
        </w:tc>
        <w:tc>
          <w:tcPr>
            <w:tcW w:w="640" w:type="dxa"/>
          </w:tcPr>
          <w:p w:rsidR="00744B99" w:rsidRDefault="00744B99" w:rsidP="00D90881">
            <w:pPr>
              <w:pStyle w:val="Normalatteli"/>
              <w:spacing w:line="240" w:lineRule="auto"/>
              <w:jc w:val="right"/>
              <w:outlineLvl w:val="0"/>
              <w:rPr>
                <w:szCs w:val="22"/>
              </w:rPr>
            </w:pPr>
          </w:p>
          <w:p w:rsidR="00744B99" w:rsidRPr="00915DDA" w:rsidRDefault="00744B99" w:rsidP="00D90881">
            <w:pPr>
              <w:pStyle w:val="Normalatteli"/>
              <w:spacing w:line="240" w:lineRule="auto"/>
              <w:jc w:val="right"/>
              <w:outlineLvl w:val="0"/>
              <w:rPr>
                <w:szCs w:val="22"/>
              </w:rPr>
            </w:pPr>
            <w:r>
              <w:rPr>
                <w:szCs w:val="22"/>
              </w:rPr>
              <w:t>364</w:t>
            </w:r>
          </w:p>
        </w:tc>
      </w:tr>
    </w:tbl>
    <w:p w:rsidR="000A5E3E" w:rsidRPr="000A5E3E" w:rsidRDefault="000A5E3E" w:rsidP="003945E0">
      <w:pPr>
        <w:pStyle w:val="navnumirsaturlevel3"/>
        <w:outlineLvl w:val="0"/>
        <w:rPr>
          <w:b w:val="0"/>
          <w:i w:val="0"/>
        </w:rPr>
      </w:pPr>
    </w:p>
    <w:p w:rsidR="00227DE1" w:rsidRPr="00AB7A9E" w:rsidRDefault="002075BB" w:rsidP="003945E0">
      <w:pPr>
        <w:pStyle w:val="Navnumercija"/>
      </w:pPr>
      <w:bookmarkStart w:id="31" w:name="_Toc6841508"/>
      <w:r w:rsidRPr="00DA49DB">
        <w:lastRenderedPageBreak/>
        <w:t>Ievads</w:t>
      </w:r>
      <w:bookmarkEnd w:id="31"/>
    </w:p>
    <w:p w:rsidR="000C647F" w:rsidRDefault="000C647F" w:rsidP="000C647F">
      <w:r w:rsidRPr="004133FD">
        <w:t xml:space="preserve">Latvijā jau vairāk nekā desmit gadus saglabājas relatīvi augsts nabadzības risks, jo iedzīvotāju minimālie ienākumi gan no algota darba, gan sociālās aizsardzības sistēmas nav pietiekami, lai </w:t>
      </w:r>
      <w:r w:rsidRPr="00F74B8F">
        <w:t xml:space="preserve">mazinātu nabadzību valstī. </w:t>
      </w:r>
      <w:r>
        <w:t>Kā norāda nabadzības un sociālās atstumtības pētnieki, s</w:t>
      </w:r>
      <w:r w:rsidRPr="00F74B8F">
        <w:t>abiedrībās ar augstiem nevienlīdzības rādītājiem ekonomiskā izaugsme notiek lēnāk</w:t>
      </w:r>
      <w:r w:rsidRPr="00F74B8F">
        <w:rPr>
          <w:rStyle w:val="FootnoteReference"/>
        </w:rPr>
        <w:footnoteReference w:id="23"/>
      </w:r>
      <w:r w:rsidRPr="00F74B8F">
        <w:t xml:space="preserve">. Nabadzības un sociālās atstumtības </w:t>
      </w:r>
      <w:r w:rsidRPr="004133FD">
        <w:t xml:space="preserve">mazināšana tika izvirzīta par vienu no prioritārajiem mērķiem Eiropas Savienības stratēģijā </w:t>
      </w:r>
      <w:r w:rsidRPr="004133FD">
        <w:rPr>
          <w:i/>
        </w:rPr>
        <w:t xml:space="preserve">“Eiropa 2020”. </w:t>
      </w:r>
      <w:r w:rsidRPr="004133FD">
        <w:t xml:space="preserve">Tajā ir noteikts līdz 2020. gadam par vismaz 20 miljoniem samazināt to cilvēku skaitu ES, kurus skar nabadzība un sociālā atstumtība. </w:t>
      </w:r>
      <w:r>
        <w:t>N</w:t>
      </w:r>
      <w:r w:rsidRPr="004133FD">
        <w:t xml:space="preserve">abadzības un ienākumu nevienlīdzības mazināšana ir noteikta arī kā viena no Latvijas valdības prioritātēm. </w:t>
      </w:r>
      <w:r w:rsidRPr="004133FD">
        <w:rPr>
          <w:i/>
        </w:rPr>
        <w:t>Likumā Par vidēja termiņa budžeta ietvaru 2015., 2016. un 2017. gadam</w:t>
      </w:r>
      <w:r w:rsidRPr="004133FD">
        <w:t>, Latvijas valdība kā vienu no budžeta prioritātēm ir noteikusi iedzīvotāju ienākumu nevienlīdzības mazināšanu.</w:t>
      </w:r>
      <w:r>
        <w:t xml:space="preserve"> </w:t>
      </w:r>
      <w:r w:rsidRPr="004133FD">
        <w:t xml:space="preserve">Latvijas mērķi nabadzības mazināšanai ir iezīmēti arī Nacionālajā attīstības plānā 2014.-2020. gadam, un tie ir šādi: </w:t>
      </w:r>
    </w:p>
    <w:p w:rsidR="000C647F" w:rsidRPr="004133FD" w:rsidRDefault="000C647F" w:rsidP="003F469F">
      <w:pPr>
        <w:numPr>
          <w:ilvl w:val="0"/>
          <w:numId w:val="131"/>
        </w:numPr>
        <w:suppressAutoHyphens/>
        <w:autoSpaceDE w:val="0"/>
      </w:pPr>
      <w:r w:rsidRPr="004133FD">
        <w:t>veikt pasākumus nodarbināto labklājības līmeņa paaugstināšanai, samazinot nabadzības riskam pakļauto nodarbināto īpatsvaru vecuma grupā no 18 līdz 64 gadiem no 9,5% 2010. gadā līdz 5% 2020. gadā</w:t>
      </w:r>
      <w:r w:rsidRPr="004133FD">
        <w:rPr>
          <w:vertAlign w:val="superscript"/>
        </w:rPr>
        <w:footnoteReference w:id="24"/>
      </w:r>
      <w:r w:rsidRPr="004133FD">
        <w:t>;</w:t>
      </w:r>
    </w:p>
    <w:p w:rsidR="000C647F" w:rsidRPr="004133FD" w:rsidRDefault="000C647F" w:rsidP="003F469F">
      <w:pPr>
        <w:numPr>
          <w:ilvl w:val="0"/>
          <w:numId w:val="131"/>
        </w:numPr>
        <w:suppressAutoHyphens/>
        <w:autoSpaceDE w:val="0"/>
      </w:pPr>
      <w:r w:rsidRPr="004133FD">
        <w:t>ar kompleksas ģimeņu atbalsta sistēmas palīdzību, kas veicina darba un ģimenes dzīves savienošanu, mazināt bērnu nabadzības risku no 25% 2010. gadā uz 20% 2020. gadā</w:t>
      </w:r>
      <w:r w:rsidRPr="004133FD">
        <w:rPr>
          <w:vertAlign w:val="superscript"/>
        </w:rPr>
        <w:footnoteReference w:id="25"/>
      </w:r>
      <w:r w:rsidRPr="004133FD">
        <w:t>.</w:t>
      </w:r>
    </w:p>
    <w:p w:rsidR="000C647F" w:rsidRDefault="000C647F" w:rsidP="000C647F">
      <w:r w:rsidRPr="004133FD">
        <w:t>Tāpat 2013. gada 14. februārī Saeima ratificēja Pārskatīto Eiropas Sociālo hartu</w:t>
      </w:r>
      <w:r w:rsidRPr="004133FD">
        <w:rPr>
          <w:vertAlign w:val="superscript"/>
        </w:rPr>
        <w:footnoteReference w:id="26"/>
      </w:r>
      <w:r w:rsidRPr="004133FD">
        <w:t xml:space="preserve">, līdz ar to Latvijai </w:t>
      </w:r>
      <w:r w:rsidR="00821D44">
        <w:t>kļuva</w:t>
      </w:r>
      <w:r w:rsidRPr="004133FD">
        <w:t xml:space="preserve"> saistoša virkne hartas pantu, tostarp 30. pants par iedzīvotāju tiesībām uz aizsardzību pret trūkumu un sociālo nevienlīdzību.</w:t>
      </w:r>
      <w:r>
        <w:rPr>
          <w:rStyle w:val="FootnoteReference"/>
        </w:rPr>
        <w:footnoteReference w:id="27"/>
      </w:r>
    </w:p>
    <w:p w:rsidR="000C647F" w:rsidRDefault="000C647F" w:rsidP="000C647F"/>
    <w:p w:rsidR="000C647F" w:rsidRDefault="000C647F" w:rsidP="000C647F">
      <w:r>
        <w:t>Apvienoto Nāciju Organizācija, definējot nabadzību, norādījusi, ka tai „</w:t>
      </w:r>
      <w:r w:rsidRPr="00541B68">
        <w:t>ir dažādas izpausmes, kas ietver ienākumu trūkumu un tādu</w:t>
      </w:r>
      <w:r>
        <w:t xml:space="preserve"> </w:t>
      </w:r>
      <w:r w:rsidRPr="00541B68">
        <w:t>produktīvu resursu trūkumu, kas nenodrošina ilgtspējīgu dzīvotni, bet ietver</w:t>
      </w:r>
      <w:r>
        <w:t xml:space="preserve"> </w:t>
      </w:r>
      <w:r w:rsidRPr="00541B68">
        <w:t>izsalkumu un nepietiekošu pārtiku, sliktu veselību, ierobežotu pieeju vai pieejas</w:t>
      </w:r>
      <w:r>
        <w:t xml:space="preserve"> </w:t>
      </w:r>
      <w:r w:rsidRPr="00541B68">
        <w:t>trūkumu izglītībai un citiem pamata pakalpojumiem, paaugstinātu mirstību</w:t>
      </w:r>
      <w:r>
        <w:t xml:space="preserve"> </w:t>
      </w:r>
      <w:r w:rsidRPr="00541B68">
        <w:t>un mirstību no slimībām; bezpajumtniecību un neatbilstošus mājokļa</w:t>
      </w:r>
      <w:r>
        <w:t xml:space="preserve"> </w:t>
      </w:r>
      <w:r w:rsidRPr="00541B68">
        <w:t>apstākļus, nedrošu apkaimi, kā arī sociālo diskrimināciju un atstumtību. To</w:t>
      </w:r>
      <w:r>
        <w:t xml:space="preserve"> </w:t>
      </w:r>
      <w:r w:rsidRPr="00541B68">
        <w:t>raksturo arī līdzdalības trūkums lēmumu pieņemšanā, pilsoniskajā, sociālajā</w:t>
      </w:r>
      <w:r>
        <w:t xml:space="preserve"> </w:t>
      </w:r>
      <w:r w:rsidRPr="00541B68">
        <w:t>un kultūras dzīvē</w:t>
      </w:r>
      <w:r>
        <w:t>”</w:t>
      </w:r>
      <w:r>
        <w:rPr>
          <w:rStyle w:val="FootnoteReference"/>
        </w:rPr>
        <w:footnoteReference w:id="28"/>
      </w:r>
      <w:r>
        <w:t>. Eiropas Savienības skatījums uz nabadzību arī ir komplekss, tās definējumā uzsverot, ka nabadzīgs ir ikviens, kura rīcībā esošie ienākumi un resursi liedz „</w:t>
      </w:r>
      <w:r w:rsidRPr="00E87305">
        <w:t xml:space="preserve">atļauties tādu dzīves standartu, kāds tiek </w:t>
      </w:r>
      <w:r>
        <w:t>u</w:t>
      </w:r>
      <w:r w:rsidRPr="00E87305">
        <w:t>zlūkots par</w:t>
      </w:r>
      <w:r>
        <w:t xml:space="preserve"> </w:t>
      </w:r>
      <w:r w:rsidRPr="00E87305">
        <w:t>pieņemamu sabiedrībā, kurā viņi dzīvo</w:t>
      </w:r>
      <w:r>
        <w:t>”</w:t>
      </w:r>
      <w:r w:rsidRPr="00E87305">
        <w:t xml:space="preserve">. </w:t>
      </w:r>
      <w:r>
        <w:t xml:space="preserve">Nabadzībai pakļauti cilvēki saskaras ar tādām problēmām kā bezdarbs, </w:t>
      </w:r>
      <w:r w:rsidRPr="00E87305">
        <w:t>zem</w:t>
      </w:r>
      <w:r>
        <w:t>i</w:t>
      </w:r>
      <w:r w:rsidRPr="00E87305">
        <w:t xml:space="preserve"> ienākum</w:t>
      </w:r>
      <w:r>
        <w:t>i</w:t>
      </w:r>
      <w:r w:rsidRPr="00E87305">
        <w:t>, slikt</w:t>
      </w:r>
      <w:r>
        <w:t xml:space="preserve">a </w:t>
      </w:r>
      <w:r w:rsidRPr="00E87305">
        <w:t>mājokļa kvalitāt</w:t>
      </w:r>
      <w:r>
        <w:t>e</w:t>
      </w:r>
      <w:r w:rsidRPr="00E87305">
        <w:t xml:space="preserve">, </w:t>
      </w:r>
      <w:r w:rsidRPr="00E87305">
        <w:lastRenderedPageBreak/>
        <w:t>neatbilstoš</w:t>
      </w:r>
      <w:r>
        <w:t>a</w:t>
      </w:r>
      <w:r w:rsidRPr="00E87305">
        <w:t xml:space="preserve"> veselības aprūp</w:t>
      </w:r>
      <w:r>
        <w:t>e</w:t>
      </w:r>
      <w:r w:rsidRPr="00E87305">
        <w:t xml:space="preserve"> un ierobežot</w:t>
      </w:r>
      <w:r>
        <w:t>a</w:t>
      </w:r>
      <w:r w:rsidRPr="00E87305">
        <w:t xml:space="preserve"> pieej</w:t>
      </w:r>
      <w:r>
        <w:t>a</w:t>
      </w:r>
      <w:r w:rsidRPr="00E87305">
        <w:t xml:space="preserve"> mūžizglītībai,</w:t>
      </w:r>
      <w:r>
        <w:t xml:space="preserve"> </w:t>
      </w:r>
      <w:r w:rsidRPr="00E87305">
        <w:t>kultūrai, sportam un atpū</w:t>
      </w:r>
      <w:r>
        <w:t>tai. Nabadzība būtiski ierobežo cilvēku līdzdalību ekonomiskajās, sociālajās un kultūras aktivitātēs.</w:t>
      </w:r>
      <w:r>
        <w:rPr>
          <w:rStyle w:val="FootnoteReference"/>
        </w:rPr>
        <w:footnoteReference w:id="29"/>
      </w:r>
      <w:r>
        <w:t xml:space="preserve"> </w:t>
      </w:r>
    </w:p>
    <w:p w:rsidR="000C647F" w:rsidRDefault="000C647F" w:rsidP="000C647F"/>
    <w:p w:rsidR="000C647F" w:rsidRDefault="000C647F" w:rsidP="000C647F">
      <w:r>
        <w:t>Sociālo zinātņu skatījums uz nabadzību ir kļuvis ievērojami specifiskāks un plašāks, nekoncentrējoties vairs tikai uz materiālajiem resursiem, bet arvien vairāk arī uz tādiem aspektiem kā prasmju, fizisko spēju, rīcībspējas un pašcieņas deprivāciju, psiholoģisko labbūtību.</w:t>
      </w:r>
      <w:r>
        <w:rPr>
          <w:rStyle w:val="FootnoteReference"/>
        </w:rPr>
        <w:footnoteReference w:id="30"/>
      </w:r>
      <w:r>
        <w:t xml:space="preserve"> Tas ir </w:t>
      </w:r>
      <w:r w:rsidR="00821D44">
        <w:t xml:space="preserve">resursu </w:t>
      </w:r>
      <w:r>
        <w:t xml:space="preserve">kopums, kas rada pamatu cilvēka cienīgai dzīvei 21.gs. Nabadzības pētījumos, kā liecina pasaules pētniecības prakse, atsevišķa uzmanība tiek pievērsta veselības nevienlīdzības un mājokļa pieejamības jautājumiem, kas ne tikai sociālo zinātņu, bet arī politikas plānošanas kontekstā ir definētas kā cilvēka pamata vajadzības un tiesības. </w:t>
      </w:r>
    </w:p>
    <w:p w:rsidR="000C647F" w:rsidRDefault="000C647F" w:rsidP="000C647F"/>
    <w:p w:rsidR="000C647F" w:rsidRDefault="000C647F" w:rsidP="000C647F">
      <w:r w:rsidRPr="00803794">
        <w:t xml:space="preserve">„Ikgadējā </w:t>
      </w:r>
      <w:r w:rsidRPr="00803794">
        <w:rPr>
          <w:bCs/>
        </w:rPr>
        <w:t>nabadzības un sociālās atstumtības mazināšanas rīcībpolitikas izvērtējuma (t.sk. izvērtējuma par nevienlīdzību veselības aprūpē un nevienlīdzību mājokļa pieejamības jomā)” (turpmāk – Izvērtējums)</w:t>
      </w:r>
      <w:r w:rsidRPr="00803794">
        <w:rPr>
          <w:b/>
          <w:bCs/>
        </w:rPr>
        <w:t xml:space="preserve"> </w:t>
      </w:r>
      <w:r w:rsidRPr="000C647F">
        <w:t>mērķis</w:t>
      </w:r>
      <w:r>
        <w:t xml:space="preserve"> ir </w:t>
      </w:r>
      <w:r w:rsidRPr="00FD1CAB">
        <w:t>veikt rīcībpolitikas un īstenoto politikas pasākumu ietekmes un iedzīvotāju ienākumu situāciju raksturojošo datu izvērtējumu, lai secinātu, vai iniciētās un ieviestās polit</w:t>
      </w:r>
      <w:r>
        <w:t>ikas sniedz mērķētu ieguldījumu, aptverot trīs jomas</w:t>
      </w:r>
      <w:r w:rsidRPr="00FD1CAB">
        <w:t>:</w:t>
      </w:r>
      <w:r>
        <w:t xml:space="preserve"> </w:t>
      </w:r>
      <w:r w:rsidRPr="000C647F">
        <w:t>nabadzības un sociālās atstumtības mazināšana; nevienlīdzība veselības aprūpes pieejamībā; nevienlīdzība mājokļa pieejamībā.</w:t>
      </w:r>
      <w:r>
        <w:t xml:space="preserve"> </w:t>
      </w:r>
    </w:p>
    <w:p w:rsidR="000C647F" w:rsidRDefault="000C647F" w:rsidP="000C647F"/>
    <w:p w:rsidR="000C647F" w:rsidRDefault="000C647F" w:rsidP="000C647F">
      <w:r w:rsidRPr="009E650F">
        <w:t xml:space="preserve">Izvērtējuma </w:t>
      </w:r>
      <w:r>
        <w:t>uzdevums</w:t>
      </w:r>
      <w:r w:rsidRPr="009E650F">
        <w:t xml:space="preserve"> ir atspoguļot Izvērtējumā iegūto visa veida datu</w:t>
      </w:r>
      <w:r>
        <w:t xml:space="preserve"> analīzi un rezultātus, kā arī sniegt secinājumus un ieteikumus katrā no Izvērtējuma jomām atbilstoši Tehniskās specifikācijas (turpmāk – TS) uzdevumiem. </w:t>
      </w:r>
      <w:r w:rsidRPr="00BD5DD7">
        <w:t>Izvērtējum</w:t>
      </w:r>
      <w:r>
        <w:t xml:space="preserve">a gala ziņojums </w:t>
      </w:r>
      <w:r w:rsidRPr="00BD5DD7">
        <w:t xml:space="preserve">ir </w:t>
      </w:r>
      <w:r>
        <w:t>strukturēts</w:t>
      </w:r>
      <w:r w:rsidRPr="00BD5DD7">
        <w:t xml:space="preserve"> trīs pamata daļās</w:t>
      </w:r>
      <w:r>
        <w:t xml:space="preserve"> </w:t>
      </w:r>
      <w:r w:rsidRPr="00BD5DD7">
        <w:t xml:space="preserve">– (1) </w:t>
      </w:r>
      <w:r>
        <w:t>s</w:t>
      </w:r>
      <w:r w:rsidRPr="00BD5DD7">
        <w:t>ociālās atstumtības un nabadzības mazināšanas jomas izvērtējums</w:t>
      </w:r>
      <w:r>
        <w:t xml:space="preserve"> (situācijas izvērtējums par 2015., 2016. gadu)</w:t>
      </w:r>
      <w:r w:rsidRPr="00BD5DD7">
        <w:t>, (2) nevienlīdzības veselības aprūpes jomā izvērtējums</w:t>
      </w:r>
      <w:r>
        <w:t xml:space="preserve"> (situācijas izvērtējums dinamikā līdz 2018. gadam atbilstoši pieejamajiem datiem)</w:t>
      </w:r>
      <w:r w:rsidRPr="00BD5DD7">
        <w:t>, (3) nevienlīdzības mājokļa jomā pieejamības jomā izvērtējums</w:t>
      </w:r>
      <w:r>
        <w:t xml:space="preserve"> (situācijas izvērtējums dinamikā līdz 2018. gadam atbilstoši pieejamajiem datiem)</w:t>
      </w:r>
      <w:r w:rsidRPr="00BD5DD7">
        <w:t>.</w:t>
      </w:r>
    </w:p>
    <w:p w:rsidR="000C647F" w:rsidRDefault="000C647F" w:rsidP="000C647F"/>
    <w:p w:rsidR="00FA60EC" w:rsidRDefault="000C647F" w:rsidP="000C647F">
      <w:r>
        <w:t>Izvērtējuma uzdevumi atbilstoši TS un to izpildē izmantotās metodes, informācijas un datu avoti ir izvērsti aprakstīti 1. pielikumā. Katras jomas ietvaros ir veikta politikas plānošanas un tiesību aktu analīze, visaptveroša statistikas datu analīze par konkrēto jomu raksturojošajiem rādītājiem daudzveidīgu mērķa grupu griezumā, kas ir papildināta ar ekspertu interviju datiem un sekundārajiem datiem no iepriekš veiktajiem pētījumiem. Ekspertu interviju dati un sekundārie dati pamatā ir izmantoti, lai raksturotu tās mērķa grupas konkrētajā jomā, kuras ir salīdzinoši mazskaitlīgas un par kurām nav pieejami detalizēti statistikas dati, t.sk. romiem, patvēruma meklētājiem, bēgļiem un personām ar alternatīvo statusu, no vardarbības cietušām personām, no ieslodzījuma vietām atbrīvotām personām, bezpajumtniekiem, internātskolu absolventiem</w:t>
      </w:r>
      <w:r w:rsidR="003C6EB3">
        <w:t xml:space="preserve"> (bērniem un jauniešiem pēc ārpus ģimenes aprūpes)</w:t>
      </w:r>
      <w:r>
        <w:t>.</w:t>
      </w:r>
      <w:r w:rsidR="008D2FC3">
        <w:t xml:space="preserve"> </w:t>
      </w:r>
    </w:p>
    <w:p w:rsidR="000C647F" w:rsidRDefault="000C647F" w:rsidP="00A661B6">
      <w:bookmarkStart w:id="32" w:name="_Toc2761027"/>
      <w:bookmarkStart w:id="33" w:name="_Toc2848130"/>
      <w:bookmarkStart w:id="34" w:name="_Toc6219174"/>
      <w:bookmarkStart w:id="35" w:name="_Toc6220055"/>
    </w:p>
    <w:p w:rsidR="0021681A" w:rsidRDefault="0021681A" w:rsidP="002562D2">
      <w:pPr>
        <w:rPr>
          <w:b/>
        </w:rPr>
      </w:pPr>
      <w:bookmarkStart w:id="36" w:name="_Toc6841509"/>
    </w:p>
    <w:p w:rsidR="004C3074" w:rsidRDefault="004C3074" w:rsidP="00DE4D97">
      <w:pPr>
        <w:rPr>
          <w:b/>
        </w:rPr>
      </w:pPr>
    </w:p>
    <w:p w:rsidR="00476B93" w:rsidRPr="00DE4D97" w:rsidRDefault="000C647F" w:rsidP="00DE4D97">
      <w:pPr>
        <w:rPr>
          <w:b/>
        </w:rPr>
      </w:pPr>
      <w:r w:rsidRPr="00DE4D97">
        <w:rPr>
          <w:b/>
        </w:rPr>
        <w:lastRenderedPageBreak/>
        <w:t>Z</w:t>
      </w:r>
      <w:r w:rsidR="003174E8" w:rsidRPr="00DE4D97">
        <w:rPr>
          <w:b/>
        </w:rPr>
        <w:t>iņojuma</w:t>
      </w:r>
      <w:r w:rsidR="00476B93" w:rsidRPr="00DE4D97">
        <w:rPr>
          <w:b/>
        </w:rPr>
        <w:t xml:space="preserve"> autori</w:t>
      </w:r>
      <w:bookmarkEnd w:id="32"/>
      <w:bookmarkEnd w:id="33"/>
      <w:bookmarkEnd w:id="34"/>
      <w:bookmarkEnd w:id="35"/>
      <w:bookmarkEnd w:id="36"/>
    </w:p>
    <w:p w:rsidR="00476B93" w:rsidRDefault="00476B93" w:rsidP="00DE4D97">
      <w:bookmarkStart w:id="37" w:name="_Toc2761028"/>
      <w:bookmarkStart w:id="38" w:name="_Toc2848131"/>
      <w:bookmarkStart w:id="39" w:name="_Toc6219175"/>
      <w:bookmarkStart w:id="40" w:name="_Toc6220056"/>
      <w:bookmarkStart w:id="41" w:name="_Toc6841510"/>
      <w:r>
        <w:t>Ievads: Evija Kļave</w:t>
      </w:r>
      <w:bookmarkEnd w:id="37"/>
      <w:bookmarkEnd w:id="38"/>
      <w:bookmarkEnd w:id="39"/>
      <w:bookmarkEnd w:id="40"/>
      <w:bookmarkEnd w:id="41"/>
    </w:p>
    <w:p w:rsidR="00476B93" w:rsidRDefault="00476B93" w:rsidP="00064C1E">
      <w:r>
        <w:t xml:space="preserve">Izvērtējuma metodoloģija: Evija Kļave, Oksana Žabko, </w:t>
      </w:r>
      <w:r w:rsidR="00111963">
        <w:t xml:space="preserve">Sandra </w:t>
      </w:r>
      <w:r>
        <w:t>Zīle Gereiša</w:t>
      </w:r>
    </w:p>
    <w:p w:rsidR="00476B93" w:rsidRDefault="00476B93" w:rsidP="00064C1E">
      <w:r w:rsidRPr="003C6EB3">
        <w:rPr>
          <w:b/>
        </w:rPr>
        <w:t>1.daļa.</w:t>
      </w:r>
      <w:r w:rsidRPr="00476B93">
        <w:t xml:space="preserve"> Sociālās atstumtības un nabadzības mazināšanas jomas izvērtējums</w:t>
      </w:r>
      <w:r>
        <w:t xml:space="preserve">: </w:t>
      </w:r>
      <w:r w:rsidR="0019594F">
        <w:t xml:space="preserve">Evija Kļave, </w:t>
      </w:r>
      <w:r>
        <w:t xml:space="preserve">Oksana Žabko, </w:t>
      </w:r>
      <w:r w:rsidR="00487F00">
        <w:t xml:space="preserve">Pēteris Nalivaiko, </w:t>
      </w:r>
      <w:r w:rsidR="00111963">
        <w:t xml:space="preserve">Sandra </w:t>
      </w:r>
      <w:r>
        <w:t>Zīle Gereiša</w:t>
      </w:r>
    </w:p>
    <w:p w:rsidR="00476B93" w:rsidRDefault="00476B93" w:rsidP="00064C1E">
      <w:r w:rsidRPr="003C6EB3">
        <w:rPr>
          <w:b/>
        </w:rPr>
        <w:t>2.daļa.</w:t>
      </w:r>
      <w:r>
        <w:t xml:space="preserve"> </w:t>
      </w:r>
      <w:r w:rsidRPr="00476B93">
        <w:t>Nevienlīdzības veselības aprūpes jomā izvērtējums</w:t>
      </w:r>
      <w:r>
        <w:t xml:space="preserve">: </w:t>
      </w:r>
      <w:r w:rsidR="0019594F">
        <w:t>Oksana Žabko, Pēteris Nalivaiko, Līva Krieķe</w:t>
      </w:r>
      <w:r w:rsidR="00031AC2">
        <w:t xml:space="preserve"> (pašvaldību saistošo noteikumu apk</w:t>
      </w:r>
      <w:r w:rsidR="004612A6">
        <w:t>o</w:t>
      </w:r>
      <w:r w:rsidR="00031AC2">
        <w:t>pošana par atvieglojumiem veselības aprūpes jomā)</w:t>
      </w:r>
    </w:p>
    <w:p w:rsidR="00476B93" w:rsidRDefault="00476B93" w:rsidP="00064C1E">
      <w:r w:rsidRPr="003C6EB3">
        <w:rPr>
          <w:b/>
        </w:rPr>
        <w:t>3.daļa.</w:t>
      </w:r>
      <w:r>
        <w:t xml:space="preserve"> </w:t>
      </w:r>
      <w:r w:rsidRPr="00476B93">
        <w:t>Nevienlīdzības mājokļa pieejamības jomā izvērtējums</w:t>
      </w:r>
      <w:r>
        <w:t>: Evija Kļave, Pēteris Nalivaiko, Līva Krieķe</w:t>
      </w:r>
      <w:r w:rsidR="00031AC2">
        <w:t xml:space="preserve"> (pašvaldību saistošo noteikumu apk</w:t>
      </w:r>
      <w:r w:rsidR="004612A6">
        <w:t>o</w:t>
      </w:r>
      <w:r w:rsidR="00031AC2">
        <w:t>pošana par atbalstu mājokļa jomā)</w:t>
      </w:r>
    </w:p>
    <w:p w:rsidR="004133FD" w:rsidRPr="00DE4D97" w:rsidRDefault="004133FD" w:rsidP="00DE4D97">
      <w:r>
        <w:br w:type="page"/>
      </w:r>
    </w:p>
    <w:p w:rsidR="007F5E42" w:rsidRPr="00A661B6" w:rsidRDefault="0020146D" w:rsidP="003945E0">
      <w:pPr>
        <w:pStyle w:val="navnumnavsaturaarandom"/>
        <w:outlineLvl w:val="0"/>
      </w:pPr>
      <w:bookmarkStart w:id="42" w:name="_Toc6220057"/>
      <w:bookmarkStart w:id="43" w:name="_Toc6841511"/>
      <w:r w:rsidRPr="00A661B6">
        <w:lastRenderedPageBreak/>
        <w:t xml:space="preserve">Izvērtējuma </w:t>
      </w:r>
      <w:r w:rsidRPr="00AB7A9E">
        <w:t>metodoloģija</w:t>
      </w:r>
      <w:r w:rsidR="009E4084" w:rsidRPr="00AB7A9E">
        <w:t>s</w:t>
      </w:r>
      <w:r w:rsidR="009E4084" w:rsidRPr="00A661B6">
        <w:t xml:space="preserve"> kopējais ietvars</w:t>
      </w:r>
      <w:bookmarkEnd w:id="42"/>
      <w:bookmarkEnd w:id="43"/>
    </w:p>
    <w:p w:rsidR="00076D8B" w:rsidRPr="00FD1CAB" w:rsidRDefault="00AE56D4" w:rsidP="00064C1E">
      <w:r>
        <w:t>Izvērtējuma</w:t>
      </w:r>
      <w:r w:rsidR="00076D8B" w:rsidRPr="00FD1CAB">
        <w:t xml:space="preserve"> metodol</w:t>
      </w:r>
      <w:r w:rsidR="00DA649B">
        <w:t xml:space="preserve">oģija ir izstrādāta saskaņā ar </w:t>
      </w:r>
      <w:r w:rsidR="00CB3FE1">
        <w:t>tā</w:t>
      </w:r>
      <w:r w:rsidR="00076D8B" w:rsidRPr="00FD1CAB">
        <w:t xml:space="preserve"> galveno mērķi: veikt rīcībpolitikas un īstenoto politikas pasākumu ietekmes un iedzīvotāju ienākumu situāciju raksturojošo datu izvērtējumu, lai secinātu, vai iniciētās un ieviestās politikas sniedz mērķētu ieguldījumu šādās jomās:</w:t>
      </w:r>
      <w:r w:rsidR="00803794">
        <w:t xml:space="preserve"> </w:t>
      </w:r>
      <w:r w:rsidR="00076D8B" w:rsidRPr="00FD1CAB">
        <w:t>nabadzības un sociālās atstumtības mazināšan</w:t>
      </w:r>
      <w:r w:rsidR="00FD1CAB" w:rsidRPr="00FD1CAB">
        <w:t>a</w:t>
      </w:r>
      <w:r w:rsidR="00076D8B" w:rsidRPr="00FD1CAB">
        <w:t>;</w:t>
      </w:r>
      <w:r w:rsidR="00803794">
        <w:t xml:space="preserve"> </w:t>
      </w:r>
      <w:r w:rsidR="00076D8B" w:rsidRPr="00FD1CAB">
        <w:t>veselības aprūp</w:t>
      </w:r>
      <w:r w:rsidR="00FD1CAB" w:rsidRPr="00FD1CAB">
        <w:t>es pieejamība</w:t>
      </w:r>
      <w:r w:rsidR="00076D8B" w:rsidRPr="00FD1CAB">
        <w:t>;</w:t>
      </w:r>
      <w:r w:rsidR="00803794">
        <w:t xml:space="preserve"> </w:t>
      </w:r>
      <w:r w:rsidR="00076D8B" w:rsidRPr="00FD1CAB">
        <w:t>mājokļu pieejamība</w:t>
      </w:r>
      <w:r w:rsidR="00FD1CAB" w:rsidRPr="00FD1CAB">
        <w:t>.</w:t>
      </w:r>
    </w:p>
    <w:p w:rsidR="00076D8B" w:rsidRDefault="00076D8B" w:rsidP="00064C1E"/>
    <w:p w:rsidR="00803794" w:rsidRDefault="00803794" w:rsidP="00064C1E">
      <w:r>
        <w:t xml:space="preserve">Izvērtējuma metodoloģija </w:t>
      </w:r>
      <w:r w:rsidRPr="00DA649B">
        <w:t>ietver šādus aspektus:</w:t>
      </w:r>
    </w:p>
    <w:p w:rsidR="00803794" w:rsidRPr="00DA649B" w:rsidRDefault="00803794" w:rsidP="005C07F3">
      <w:pPr>
        <w:numPr>
          <w:ilvl w:val="3"/>
          <w:numId w:val="24"/>
        </w:numPr>
        <w:suppressAutoHyphens/>
        <w:autoSpaceDE w:val="0"/>
        <w:ind w:left="512" w:hanging="512"/>
      </w:pPr>
      <w:r>
        <w:t xml:space="preserve">pielietojamo </w:t>
      </w:r>
      <w:r w:rsidRPr="00DA649B">
        <w:t>metožu būtības apraksts, pamatojums metodes/metožu piemērotībai un pielietojumam izvērtējuma mērķa sasniegšanai;</w:t>
      </w:r>
    </w:p>
    <w:p w:rsidR="00803794" w:rsidRPr="00DA649B" w:rsidRDefault="00803794" w:rsidP="005C07F3">
      <w:pPr>
        <w:numPr>
          <w:ilvl w:val="3"/>
          <w:numId w:val="24"/>
        </w:numPr>
        <w:suppressAutoHyphens/>
        <w:autoSpaceDE w:val="0"/>
        <w:ind w:left="512" w:hanging="512"/>
      </w:pPr>
      <w:r>
        <w:t>apraksts, kā izvēlētās metode</w:t>
      </w:r>
      <w:r w:rsidRPr="00DA649B">
        <w:t>s nodrošina ticamu datu iegūšanu, pamatojums par izvērtējumam izvēlēto metožu pārākumu pār citām alternatīvām metodēm un apliecinājums, ka ar izvēlēto metodoloģiju un metodēm iespējams sasniegt iespējami labāko rezultātu, ka arī metodes pielietojuma risku ierobežojumu un šo faktoru ietekmes uz datu ieguvi un apstrādi analīze;</w:t>
      </w:r>
    </w:p>
    <w:p w:rsidR="00803794" w:rsidRDefault="00803794" w:rsidP="005C07F3">
      <w:pPr>
        <w:numPr>
          <w:ilvl w:val="3"/>
          <w:numId w:val="24"/>
        </w:numPr>
        <w:suppressAutoHyphens/>
        <w:autoSpaceDE w:val="0"/>
        <w:ind w:left="512" w:hanging="512"/>
      </w:pPr>
      <w:r>
        <w:t xml:space="preserve">detalizēts </w:t>
      </w:r>
      <w:r w:rsidRPr="00DA649B">
        <w:t>metožu pielietojuma datu ieguvei un fiksācijai soļu un nosacījumu izklāsts un pamatojums</w:t>
      </w:r>
      <w:r w:rsidR="009E4084">
        <w:t xml:space="preserve"> (1. pielikums)</w:t>
      </w:r>
      <w:r w:rsidRPr="00DA649B">
        <w:t>;</w:t>
      </w:r>
    </w:p>
    <w:p w:rsidR="00803794" w:rsidRDefault="00803794" w:rsidP="005C07F3">
      <w:pPr>
        <w:numPr>
          <w:ilvl w:val="3"/>
          <w:numId w:val="24"/>
        </w:numPr>
        <w:suppressAutoHyphens/>
        <w:autoSpaceDE w:val="0"/>
        <w:ind w:left="512" w:hanging="512"/>
      </w:pPr>
      <w:r>
        <w:t>d</w:t>
      </w:r>
      <w:r w:rsidRPr="00DA649B">
        <w:t>atu apstrādes un analīzes soļu detalizēts apraksts, pamatojot datu apstrādes, analīzes, interpretācijas veidus un principus</w:t>
      </w:r>
      <w:r w:rsidR="009E4084">
        <w:t xml:space="preserve"> (1. pielikums)</w:t>
      </w:r>
      <w:r w:rsidRPr="00DA649B">
        <w:t>.</w:t>
      </w:r>
    </w:p>
    <w:p w:rsidR="009E4084" w:rsidRDefault="009E4084" w:rsidP="00064C1E"/>
    <w:p w:rsidR="00F23726" w:rsidRDefault="00803794" w:rsidP="00064C1E">
      <w:r w:rsidRPr="009B613D">
        <w:t>Ņemot vērā I</w:t>
      </w:r>
      <w:r w:rsidR="00DA649B" w:rsidRPr="009B613D">
        <w:t xml:space="preserve">zvērtējuma jomas un uzdevumu kopumu, tā īstenošanas process </w:t>
      </w:r>
      <w:r w:rsidR="003174E8" w:rsidRPr="009B613D">
        <w:t>tika</w:t>
      </w:r>
      <w:r w:rsidR="00DA649B" w:rsidRPr="009B613D">
        <w:t xml:space="preserve"> strukturēts sešos posmos (sk.</w:t>
      </w:r>
      <w:r w:rsidR="00AD3EDD">
        <w:fldChar w:fldCharType="begin"/>
      </w:r>
      <w:r w:rsidR="009B613D">
        <w:instrText xml:space="preserve"> REF _Ref6491362 \h </w:instrText>
      </w:r>
      <w:r w:rsidR="00AD3EDD">
        <w:fldChar w:fldCharType="separate"/>
      </w:r>
      <w:r w:rsidR="00224B50">
        <w:rPr>
          <w:noProof/>
        </w:rPr>
        <w:t>i</w:t>
      </w:r>
      <w:r w:rsidR="00AD3EDD">
        <w:fldChar w:fldCharType="end"/>
      </w:r>
      <w:r w:rsidR="00F23726" w:rsidRPr="009B613D">
        <w:t>. tabulu</w:t>
      </w:r>
      <w:r w:rsidR="00DA649B" w:rsidRPr="009B613D">
        <w:t>), no kuriem četri posmi (2.-5.</w:t>
      </w:r>
      <w:r w:rsidR="009E4084" w:rsidRPr="009B613D">
        <w:t xml:space="preserve"> </w:t>
      </w:r>
      <w:r w:rsidR="00DA649B" w:rsidRPr="009B613D">
        <w:t xml:space="preserve">posms) tiek īstenoti paralēli. Vispirms </w:t>
      </w:r>
      <w:r w:rsidR="00C34285" w:rsidRPr="009B613D">
        <w:t>tika</w:t>
      </w:r>
      <w:r w:rsidR="00DA649B" w:rsidRPr="009B613D">
        <w:t xml:space="preserve"> īstenots 1. </w:t>
      </w:r>
      <w:r w:rsidR="00AB4F2B" w:rsidRPr="009B613D">
        <w:t>p</w:t>
      </w:r>
      <w:r w:rsidR="00DA649B" w:rsidRPr="009B613D">
        <w:t xml:space="preserve">osms, kura rezultātā </w:t>
      </w:r>
      <w:r w:rsidR="00C34285" w:rsidRPr="009B613D">
        <w:t>tika</w:t>
      </w:r>
      <w:r w:rsidR="00DA649B" w:rsidRPr="009B613D">
        <w:t xml:space="preserve"> izstrādāta padziļināta Izvērtējuma metodoloģija un instrumentāriji, savukārt 6. posms, kurš</w:t>
      </w:r>
      <w:r w:rsidR="003174E8" w:rsidRPr="009B613D">
        <w:t>,</w:t>
      </w:r>
      <w:r w:rsidR="00DA649B" w:rsidRPr="009B613D">
        <w:t xml:space="preserve"> sekojot izvērtējuma gaitas loģikai, ir noslēdzošais, </w:t>
      </w:r>
      <w:r w:rsidR="00C34285" w:rsidRPr="009B613D">
        <w:t>tik</w:t>
      </w:r>
      <w:r w:rsidR="003174E8" w:rsidRPr="009B613D">
        <w:t>a</w:t>
      </w:r>
      <w:r w:rsidR="00DA649B" w:rsidRPr="009B613D">
        <w:t xml:space="preserve"> uzsākts </w:t>
      </w:r>
      <w:r w:rsidR="00AB4F2B" w:rsidRPr="009B613D">
        <w:t xml:space="preserve">arī </w:t>
      </w:r>
      <w:r w:rsidR="00DA649B" w:rsidRPr="009B613D">
        <w:t>jau 2. – 5. posma izstrādes gaitā.</w:t>
      </w:r>
    </w:p>
    <w:p w:rsidR="00F23726" w:rsidRDefault="00AD3EDD" w:rsidP="00DE4D97">
      <w:pPr>
        <w:pStyle w:val="Caption"/>
      </w:pPr>
      <w:r>
        <w:fldChar w:fldCharType="begin"/>
      </w:r>
      <w:r w:rsidR="00696156">
        <w:instrText xml:space="preserve"> SEQ table \* roman </w:instrText>
      </w:r>
      <w:r>
        <w:fldChar w:fldCharType="separate"/>
      </w:r>
      <w:bookmarkStart w:id="44" w:name="_Ref6491362"/>
      <w:r w:rsidR="00224B50">
        <w:rPr>
          <w:noProof/>
        </w:rPr>
        <w:t>i</w:t>
      </w:r>
      <w:bookmarkEnd w:id="44"/>
      <w:r>
        <w:fldChar w:fldCharType="end"/>
      </w:r>
      <w:r w:rsidR="00F23726">
        <w:t>. tabula. Izvērtējuma posmi, uzdevumi un jomas</w:t>
      </w:r>
    </w:p>
    <w:tbl>
      <w:tblPr>
        <w:tblStyle w:val="TableGrid"/>
        <w:tblW w:w="9736" w:type="dxa"/>
        <w:jc w:val="center"/>
        <w:tblLayout w:type="fixed"/>
        <w:tblLook w:val="04A0"/>
      </w:tblPr>
      <w:tblGrid>
        <w:gridCol w:w="1582"/>
        <w:gridCol w:w="4677"/>
        <w:gridCol w:w="3477"/>
      </w:tblGrid>
      <w:tr w:rsidR="00DA649B" w:rsidRPr="00BC22F8" w:rsidTr="00BC22F8">
        <w:trPr>
          <w:jc w:val="center"/>
        </w:trPr>
        <w:tc>
          <w:tcPr>
            <w:tcW w:w="1582" w:type="dxa"/>
            <w:shd w:val="clear" w:color="auto" w:fill="B8CCE4" w:themeFill="accent1" w:themeFillTint="66"/>
            <w:vAlign w:val="center"/>
          </w:tcPr>
          <w:p w:rsidR="00DA649B" w:rsidRPr="00BC22F8" w:rsidRDefault="00DA649B" w:rsidP="00064C1E">
            <w:pPr>
              <w:jc w:val="center"/>
              <w:rPr>
                <w:b/>
                <w:color w:val="002060"/>
                <w:sz w:val="22"/>
                <w:szCs w:val="22"/>
              </w:rPr>
            </w:pPr>
            <w:r w:rsidRPr="00BC22F8">
              <w:rPr>
                <w:b/>
                <w:color w:val="002060"/>
                <w:sz w:val="22"/>
                <w:szCs w:val="22"/>
              </w:rPr>
              <w:t>Izvērtējuma posms</w:t>
            </w:r>
          </w:p>
        </w:tc>
        <w:tc>
          <w:tcPr>
            <w:tcW w:w="4677" w:type="dxa"/>
            <w:shd w:val="clear" w:color="auto" w:fill="B8CCE4" w:themeFill="accent1" w:themeFillTint="66"/>
            <w:vAlign w:val="center"/>
          </w:tcPr>
          <w:p w:rsidR="00DA649B" w:rsidRPr="00BC22F8" w:rsidRDefault="00DA649B" w:rsidP="00064C1E">
            <w:pPr>
              <w:jc w:val="center"/>
              <w:rPr>
                <w:b/>
                <w:color w:val="002060"/>
                <w:sz w:val="22"/>
                <w:szCs w:val="22"/>
              </w:rPr>
            </w:pPr>
            <w:r w:rsidRPr="00BC22F8">
              <w:rPr>
                <w:b/>
                <w:color w:val="002060"/>
                <w:sz w:val="22"/>
                <w:szCs w:val="22"/>
              </w:rPr>
              <w:t>Izvērtējuma pamata uzdevums atbilstoši iepriekš sniegtajam uzdevumu aprakstam un izvērtējuma Tehniskajai specifikācijai (TS)</w:t>
            </w:r>
          </w:p>
        </w:tc>
        <w:tc>
          <w:tcPr>
            <w:tcW w:w="3477" w:type="dxa"/>
            <w:shd w:val="clear" w:color="auto" w:fill="B8CCE4" w:themeFill="accent1" w:themeFillTint="66"/>
            <w:vAlign w:val="center"/>
          </w:tcPr>
          <w:p w:rsidR="00DA649B" w:rsidRPr="00BC22F8" w:rsidRDefault="00DA649B" w:rsidP="00064C1E">
            <w:pPr>
              <w:jc w:val="center"/>
              <w:rPr>
                <w:b/>
                <w:color w:val="002060"/>
                <w:sz w:val="22"/>
                <w:szCs w:val="22"/>
              </w:rPr>
            </w:pPr>
            <w:r w:rsidRPr="00BC22F8">
              <w:rPr>
                <w:b/>
                <w:color w:val="002060"/>
                <w:sz w:val="22"/>
                <w:szCs w:val="22"/>
              </w:rPr>
              <w:t>Izvērtējuma pamata joma/-s</w:t>
            </w:r>
          </w:p>
        </w:tc>
      </w:tr>
      <w:tr w:rsidR="00DA649B" w:rsidRPr="00487F00" w:rsidTr="00487F00">
        <w:trPr>
          <w:jc w:val="center"/>
        </w:trPr>
        <w:tc>
          <w:tcPr>
            <w:tcW w:w="1582" w:type="dxa"/>
          </w:tcPr>
          <w:p w:rsidR="00CB3FE1" w:rsidRPr="00487F00" w:rsidRDefault="00CB3FE1" w:rsidP="00064C1E">
            <w:pPr>
              <w:rPr>
                <w:sz w:val="22"/>
                <w:szCs w:val="22"/>
              </w:rPr>
            </w:pPr>
          </w:p>
          <w:p w:rsidR="00DA649B" w:rsidRPr="00487F00" w:rsidRDefault="00DA649B" w:rsidP="00064C1E">
            <w:pPr>
              <w:rPr>
                <w:sz w:val="22"/>
                <w:szCs w:val="22"/>
              </w:rPr>
            </w:pPr>
            <w:r w:rsidRPr="00487F00">
              <w:rPr>
                <w:sz w:val="22"/>
                <w:szCs w:val="22"/>
              </w:rPr>
              <w:t>1. posms</w:t>
            </w:r>
          </w:p>
        </w:tc>
        <w:tc>
          <w:tcPr>
            <w:tcW w:w="4677" w:type="dxa"/>
          </w:tcPr>
          <w:p w:rsidR="00DA649B" w:rsidRPr="00487F00" w:rsidRDefault="00DA649B" w:rsidP="00064C1E">
            <w:pPr>
              <w:rPr>
                <w:sz w:val="22"/>
                <w:szCs w:val="22"/>
              </w:rPr>
            </w:pPr>
            <w:r w:rsidRPr="00487F00">
              <w:rPr>
                <w:sz w:val="22"/>
                <w:szCs w:val="22"/>
              </w:rPr>
              <w:t>Priekšizpēte un izvērtējuma galīgās metodoloģijas izstrāde un saskaņošana ar Pasūtītāju</w:t>
            </w:r>
          </w:p>
        </w:tc>
        <w:tc>
          <w:tcPr>
            <w:tcW w:w="3477" w:type="dxa"/>
          </w:tcPr>
          <w:p w:rsidR="00DA649B" w:rsidRPr="00487F00" w:rsidRDefault="00DA649B" w:rsidP="00064C1E">
            <w:pPr>
              <w:rPr>
                <w:sz w:val="22"/>
                <w:szCs w:val="22"/>
              </w:rPr>
            </w:pPr>
            <w:r w:rsidRPr="00487F00">
              <w:rPr>
                <w:sz w:val="22"/>
                <w:szCs w:val="22"/>
              </w:rPr>
              <w:t>Nabadzības un sociālās atstumtības mazināšana, nevienlīdzība veselības aprūpē un mājokļa pieejamībā</w:t>
            </w:r>
          </w:p>
        </w:tc>
      </w:tr>
      <w:tr w:rsidR="00DA649B" w:rsidRPr="00487F00" w:rsidTr="00487F00">
        <w:trPr>
          <w:jc w:val="center"/>
        </w:trPr>
        <w:tc>
          <w:tcPr>
            <w:tcW w:w="1582" w:type="dxa"/>
          </w:tcPr>
          <w:p w:rsidR="00DA649B" w:rsidRPr="00487F00" w:rsidRDefault="00DA649B" w:rsidP="00064C1E">
            <w:pPr>
              <w:rPr>
                <w:sz w:val="22"/>
                <w:szCs w:val="22"/>
              </w:rPr>
            </w:pPr>
            <w:r w:rsidRPr="00487F00">
              <w:rPr>
                <w:sz w:val="22"/>
                <w:szCs w:val="22"/>
              </w:rPr>
              <w:t>2. posms</w:t>
            </w:r>
          </w:p>
        </w:tc>
        <w:tc>
          <w:tcPr>
            <w:tcW w:w="4677" w:type="dxa"/>
          </w:tcPr>
          <w:p w:rsidR="00DA649B" w:rsidRPr="00487F00" w:rsidRDefault="00DA649B" w:rsidP="00064C1E">
            <w:pPr>
              <w:rPr>
                <w:sz w:val="22"/>
                <w:szCs w:val="22"/>
              </w:rPr>
            </w:pPr>
            <w:r w:rsidRPr="00487F00">
              <w:rPr>
                <w:sz w:val="22"/>
                <w:szCs w:val="22"/>
              </w:rPr>
              <w:t>Tiesību aktu izmaiņu izvērtēšana par 2015. un 2016. gadu (TS 3.1., 3.4. uzdevums)</w:t>
            </w:r>
          </w:p>
        </w:tc>
        <w:tc>
          <w:tcPr>
            <w:tcW w:w="3477" w:type="dxa"/>
          </w:tcPr>
          <w:p w:rsidR="00DA649B" w:rsidRPr="00487F00" w:rsidRDefault="00DA649B" w:rsidP="00064C1E">
            <w:pPr>
              <w:rPr>
                <w:sz w:val="22"/>
                <w:szCs w:val="22"/>
              </w:rPr>
            </w:pPr>
            <w:r w:rsidRPr="00487F00">
              <w:rPr>
                <w:sz w:val="22"/>
                <w:szCs w:val="22"/>
              </w:rPr>
              <w:t>Nabadzības un sociālās atstumtības mazināšana</w:t>
            </w:r>
          </w:p>
        </w:tc>
      </w:tr>
      <w:tr w:rsidR="00DA649B" w:rsidRPr="00487F00" w:rsidTr="00487F00">
        <w:trPr>
          <w:jc w:val="center"/>
        </w:trPr>
        <w:tc>
          <w:tcPr>
            <w:tcW w:w="1582" w:type="dxa"/>
          </w:tcPr>
          <w:p w:rsidR="00CB3FE1" w:rsidRPr="00487F00" w:rsidRDefault="00CB3FE1" w:rsidP="00064C1E">
            <w:pPr>
              <w:rPr>
                <w:sz w:val="22"/>
                <w:szCs w:val="22"/>
              </w:rPr>
            </w:pPr>
          </w:p>
          <w:p w:rsidR="00DA649B" w:rsidRPr="00487F00" w:rsidRDefault="00DA649B" w:rsidP="00064C1E">
            <w:pPr>
              <w:rPr>
                <w:sz w:val="22"/>
                <w:szCs w:val="22"/>
              </w:rPr>
            </w:pPr>
            <w:r w:rsidRPr="00487F00">
              <w:rPr>
                <w:sz w:val="22"/>
                <w:szCs w:val="22"/>
              </w:rPr>
              <w:t>3. posms</w:t>
            </w:r>
          </w:p>
        </w:tc>
        <w:tc>
          <w:tcPr>
            <w:tcW w:w="4677" w:type="dxa"/>
          </w:tcPr>
          <w:p w:rsidR="00DA649B" w:rsidRPr="00487F00" w:rsidRDefault="00DA649B" w:rsidP="00064C1E">
            <w:pPr>
              <w:rPr>
                <w:sz w:val="22"/>
                <w:szCs w:val="22"/>
              </w:rPr>
            </w:pPr>
            <w:r w:rsidRPr="00487F00">
              <w:rPr>
                <w:sz w:val="22"/>
                <w:szCs w:val="22"/>
              </w:rPr>
              <w:t>Administratīvo, statistiskas un apsekojuma datu analīze par 2015. un 2016. gadu (TS 3.2., 3.5. uzdevums)</w:t>
            </w:r>
          </w:p>
        </w:tc>
        <w:tc>
          <w:tcPr>
            <w:tcW w:w="3477" w:type="dxa"/>
          </w:tcPr>
          <w:p w:rsidR="00DA649B" w:rsidRPr="00487F00" w:rsidRDefault="00DA649B" w:rsidP="00064C1E">
            <w:pPr>
              <w:rPr>
                <w:sz w:val="22"/>
                <w:szCs w:val="22"/>
              </w:rPr>
            </w:pPr>
            <w:r w:rsidRPr="00487F00">
              <w:rPr>
                <w:sz w:val="22"/>
                <w:szCs w:val="22"/>
              </w:rPr>
              <w:t>Nabadzības un sociālās atstumtības mazināšana</w:t>
            </w:r>
          </w:p>
        </w:tc>
      </w:tr>
      <w:tr w:rsidR="00DA649B" w:rsidRPr="00487F00" w:rsidTr="00487F00">
        <w:trPr>
          <w:jc w:val="center"/>
        </w:trPr>
        <w:tc>
          <w:tcPr>
            <w:tcW w:w="1582" w:type="dxa"/>
          </w:tcPr>
          <w:p w:rsidR="00DA649B" w:rsidRPr="00487F00" w:rsidRDefault="00DA649B" w:rsidP="00064C1E">
            <w:pPr>
              <w:rPr>
                <w:sz w:val="22"/>
                <w:szCs w:val="22"/>
              </w:rPr>
            </w:pPr>
            <w:r w:rsidRPr="00487F00">
              <w:rPr>
                <w:sz w:val="22"/>
                <w:szCs w:val="22"/>
              </w:rPr>
              <w:t>4. posms</w:t>
            </w:r>
          </w:p>
        </w:tc>
        <w:tc>
          <w:tcPr>
            <w:tcW w:w="4677" w:type="dxa"/>
          </w:tcPr>
          <w:p w:rsidR="00DA649B" w:rsidRPr="00487F00" w:rsidRDefault="00DA649B" w:rsidP="00064C1E">
            <w:pPr>
              <w:rPr>
                <w:sz w:val="22"/>
                <w:szCs w:val="22"/>
              </w:rPr>
            </w:pPr>
            <w:r w:rsidRPr="00487F00">
              <w:rPr>
                <w:sz w:val="22"/>
                <w:szCs w:val="22"/>
              </w:rPr>
              <w:t>Rīcībpolitikas un statistikas datu, pārskatu izvērtēšana (TS 3.7. uzdevums)</w:t>
            </w:r>
          </w:p>
        </w:tc>
        <w:tc>
          <w:tcPr>
            <w:tcW w:w="3477" w:type="dxa"/>
          </w:tcPr>
          <w:p w:rsidR="00DA649B" w:rsidRPr="00487F00" w:rsidRDefault="00DA649B" w:rsidP="00064C1E">
            <w:pPr>
              <w:rPr>
                <w:sz w:val="22"/>
                <w:szCs w:val="22"/>
              </w:rPr>
            </w:pPr>
            <w:r w:rsidRPr="00487F00">
              <w:rPr>
                <w:sz w:val="22"/>
                <w:szCs w:val="22"/>
              </w:rPr>
              <w:t>Nevienlīdzība veselības aprūpē</w:t>
            </w:r>
          </w:p>
        </w:tc>
      </w:tr>
      <w:tr w:rsidR="00DA649B" w:rsidRPr="00487F00" w:rsidTr="00487F00">
        <w:trPr>
          <w:jc w:val="center"/>
        </w:trPr>
        <w:tc>
          <w:tcPr>
            <w:tcW w:w="1582" w:type="dxa"/>
          </w:tcPr>
          <w:p w:rsidR="00DA649B" w:rsidRPr="00487F00" w:rsidRDefault="00DA649B" w:rsidP="00064C1E">
            <w:pPr>
              <w:rPr>
                <w:sz w:val="22"/>
                <w:szCs w:val="22"/>
              </w:rPr>
            </w:pPr>
            <w:r w:rsidRPr="00487F00">
              <w:rPr>
                <w:sz w:val="22"/>
                <w:szCs w:val="22"/>
              </w:rPr>
              <w:t>5. posms</w:t>
            </w:r>
          </w:p>
        </w:tc>
        <w:tc>
          <w:tcPr>
            <w:tcW w:w="4677" w:type="dxa"/>
          </w:tcPr>
          <w:p w:rsidR="00DA649B" w:rsidRPr="00487F00" w:rsidRDefault="00DA649B" w:rsidP="00064C1E">
            <w:pPr>
              <w:rPr>
                <w:sz w:val="22"/>
                <w:szCs w:val="22"/>
              </w:rPr>
            </w:pPr>
            <w:r w:rsidRPr="00487F00">
              <w:rPr>
                <w:sz w:val="22"/>
                <w:szCs w:val="22"/>
              </w:rPr>
              <w:t>Rīcībpolitikas un statistikas datu, pārskatu izvērtēšana (TS 3.9. uzdevums)</w:t>
            </w:r>
          </w:p>
        </w:tc>
        <w:tc>
          <w:tcPr>
            <w:tcW w:w="3477" w:type="dxa"/>
          </w:tcPr>
          <w:p w:rsidR="00DA649B" w:rsidRPr="00487F00" w:rsidRDefault="00DA649B" w:rsidP="00064C1E">
            <w:pPr>
              <w:rPr>
                <w:sz w:val="22"/>
                <w:szCs w:val="22"/>
              </w:rPr>
            </w:pPr>
            <w:r w:rsidRPr="00487F00">
              <w:rPr>
                <w:sz w:val="22"/>
                <w:szCs w:val="22"/>
              </w:rPr>
              <w:t>Nevienlīdzība mājokļu pieejamības jomā</w:t>
            </w:r>
          </w:p>
        </w:tc>
      </w:tr>
      <w:tr w:rsidR="00DA649B" w:rsidRPr="00487F00" w:rsidTr="00487F00">
        <w:trPr>
          <w:jc w:val="center"/>
        </w:trPr>
        <w:tc>
          <w:tcPr>
            <w:tcW w:w="1582" w:type="dxa"/>
          </w:tcPr>
          <w:p w:rsidR="00DA649B" w:rsidRPr="00487F00" w:rsidRDefault="00DA649B" w:rsidP="00064C1E">
            <w:pPr>
              <w:rPr>
                <w:sz w:val="22"/>
                <w:szCs w:val="22"/>
              </w:rPr>
            </w:pPr>
            <w:r w:rsidRPr="00487F00">
              <w:rPr>
                <w:sz w:val="22"/>
                <w:szCs w:val="22"/>
              </w:rPr>
              <w:t>6. posms</w:t>
            </w:r>
          </w:p>
        </w:tc>
        <w:tc>
          <w:tcPr>
            <w:tcW w:w="4677" w:type="dxa"/>
          </w:tcPr>
          <w:p w:rsidR="00DA649B" w:rsidRPr="00487F00" w:rsidRDefault="00DA649B" w:rsidP="00064C1E">
            <w:pPr>
              <w:rPr>
                <w:sz w:val="22"/>
                <w:szCs w:val="22"/>
              </w:rPr>
            </w:pPr>
            <w:r w:rsidRPr="00487F00">
              <w:rPr>
                <w:sz w:val="22"/>
                <w:szCs w:val="22"/>
              </w:rPr>
              <w:t>Secinājumu, rekomendāciju sagatavošana, balstoties uz 1.-5. posmā gūtajām atziņām un rezultātiem (TS 3.3., 3.6., 3.8. un 3.10. uzdevums)</w:t>
            </w:r>
          </w:p>
        </w:tc>
        <w:tc>
          <w:tcPr>
            <w:tcW w:w="3477" w:type="dxa"/>
          </w:tcPr>
          <w:p w:rsidR="00DA649B" w:rsidRPr="00487F00" w:rsidRDefault="00DA649B" w:rsidP="00064C1E">
            <w:pPr>
              <w:rPr>
                <w:sz w:val="22"/>
                <w:szCs w:val="22"/>
              </w:rPr>
            </w:pPr>
            <w:r w:rsidRPr="00487F00">
              <w:rPr>
                <w:sz w:val="22"/>
                <w:szCs w:val="22"/>
              </w:rPr>
              <w:t>Nabadzības un sociālās atstumtības mazināšana, nevienlīdzība veselības aprūpē un mājokļa pieejamībā</w:t>
            </w:r>
          </w:p>
        </w:tc>
      </w:tr>
    </w:tbl>
    <w:p w:rsidR="00144CD8" w:rsidRPr="00AB7A9E" w:rsidRDefault="00144CD8" w:rsidP="00DA49DB">
      <w:pPr>
        <w:pStyle w:val="navnumirsaturlevel3"/>
      </w:pPr>
      <w:bookmarkStart w:id="45" w:name="_Toc535738788"/>
      <w:bookmarkStart w:id="46" w:name="_Toc535741786"/>
      <w:bookmarkStart w:id="47" w:name="_Toc535742139"/>
      <w:bookmarkStart w:id="48" w:name="_Toc535916122"/>
      <w:bookmarkStart w:id="49" w:name="_Toc535922774"/>
      <w:bookmarkStart w:id="50" w:name="_Toc535935077"/>
      <w:bookmarkStart w:id="51" w:name="_Toc6841512"/>
      <w:r w:rsidRPr="00DA49DB">
        <w:lastRenderedPageBreak/>
        <w:t>Izvērtējuma</w:t>
      </w:r>
      <w:r w:rsidRPr="00AB7A9E">
        <w:t xml:space="preserve"> teorētiskais modelis</w:t>
      </w:r>
      <w:bookmarkEnd w:id="45"/>
      <w:bookmarkEnd w:id="46"/>
      <w:bookmarkEnd w:id="47"/>
      <w:bookmarkEnd w:id="48"/>
      <w:bookmarkEnd w:id="49"/>
      <w:bookmarkEnd w:id="50"/>
      <w:bookmarkEnd w:id="51"/>
    </w:p>
    <w:p w:rsidR="00822F03" w:rsidRDefault="00076D8B" w:rsidP="00064C1E">
      <w:r w:rsidRPr="00FD1CAB">
        <w:t>Pastāv dažādas rīcībpolitikas ietekmes izvērtējuma metodikas (teorijā balstītā, kontrafaktuālā, procesa izvērtēšana, ekonomiskā izvērtēšana u.c.)</w:t>
      </w:r>
      <w:r w:rsidRPr="00FD1CAB">
        <w:rPr>
          <w:rStyle w:val="FootnoteReference"/>
        </w:rPr>
        <w:footnoteReference w:id="31"/>
      </w:r>
      <w:r w:rsidR="00C34285">
        <w:t>, kuras viena otru neizslēdz. T</w:t>
      </w:r>
      <w:r w:rsidRPr="00FD1CAB">
        <w:t xml:space="preserve">as nozīmē, ka viena ietekmes izvērtējuma ietvaros iespējams kombinēt dažādas pieejas atkarībā no izvērtējuma mērķiem, pieejamajiem resursiem (laika, finanšu, metožu, datu avotu u.c.) un rezultāta tālākā pielietojuma. Izvērtējumā kā pamata pieeja </w:t>
      </w:r>
      <w:r w:rsidR="003174E8">
        <w:t>ir</w:t>
      </w:r>
      <w:r w:rsidRPr="00FD1CAB">
        <w:t xml:space="preserve"> izmantota </w:t>
      </w:r>
      <w:r w:rsidRPr="00AE56D4">
        <w:rPr>
          <w:b/>
        </w:rPr>
        <w:t>teorijā balstītā pieeja</w:t>
      </w:r>
      <w:r w:rsidRPr="00FD1CAB">
        <w:t xml:space="preserve">. Tās būtība ir atklāt aiz intervences (pasākumi) esošo teoriju (politiku) un novērtēt intervences ietekmi, kas izpaužas konkrētos rezultātos. Šī pieeja paredz saprast intervences (šajā gadījumā rīcībpolitikas un īstenoto politikas pasākumu) ieguldījumu novērotajos rezultātos, balstoties gan uz empīriskajiem (piemēram, statistikas, apsekojumu, pētījumu) datiem, gan ekspertu viedokļiem. Galvenie teorijā balstītās pieejas jautājumi ir: </w:t>
      </w:r>
      <w:r w:rsidRPr="00FD1CAB">
        <w:rPr>
          <w:u w:val="single"/>
        </w:rPr>
        <w:t>kas, kāpēc un kā</w:t>
      </w:r>
      <w:r w:rsidRPr="00FD1CAB">
        <w:t xml:space="preserve"> ir ticis darīts kādā no inter</w:t>
      </w:r>
      <w:r w:rsidR="003174E8">
        <w:t>vences attīstības posmiem (I</w:t>
      </w:r>
      <w:r w:rsidRPr="00FD1CAB">
        <w:t xml:space="preserve">zvērtējuma gadījumā noteiktā laika posmā (2015. un 2016. gadā, veselības aprūpes un mājokļa politikas jomā – līdz pat 2018. gada I pusgada beigām) konkrētās jomās: nabadzības, sociālās atstumtības un ienākumu nevienlīdzības samazināšana, nevienlīdzība veselības aprūpe un mājokļa pieejamība). Teorijā balstīto pieeju raksturo elastīgs un atvērts novērtēšanas modelis, kas ļauj izmantot </w:t>
      </w:r>
      <w:r w:rsidRPr="00FD1CAB">
        <w:rPr>
          <w:u w:val="single"/>
        </w:rPr>
        <w:t>plašu metožu kopumu</w:t>
      </w:r>
      <w:r w:rsidRPr="00FD1CAB">
        <w:t xml:space="preserve"> atkarībā no novērtējuma vajadzībām. Teorijā balstītās pieejas pielietojums izvērtējuma mērķiem līdzās kvantitatīvajiem datiem lielu uzsvaru liek arī uz </w:t>
      </w:r>
      <w:r w:rsidRPr="00822F03">
        <w:rPr>
          <w:u w:val="single"/>
        </w:rPr>
        <w:t>kvalitatīvajiem datiem</w:t>
      </w:r>
      <w:r w:rsidRPr="00FD1CAB">
        <w:t>, lai rastu ne tikai atbildi uz jautājumu, cik lielā mērā intervence ir ietekmējusi noteiktus procesus, mērķa grupu situāciju, bet arī, lai izpra</w:t>
      </w:r>
      <w:r w:rsidR="00A355E1">
        <w:t>s</w:t>
      </w:r>
      <w:r w:rsidRPr="00FD1CAB">
        <w:t xml:space="preserve">tu, kāpēc tieši šī intervence ir bijusi piemērotākā noteiktos kontekstos. Metožu izvēles ziņā tas nozīmē, ka visa veida kvantificējamo datu analīze ir </w:t>
      </w:r>
      <w:r w:rsidRPr="00FD1CAB">
        <w:rPr>
          <w:u w:val="single"/>
        </w:rPr>
        <w:t>jāpapildina</w:t>
      </w:r>
      <w:r w:rsidRPr="00FD1CAB">
        <w:t xml:space="preserve"> ar </w:t>
      </w:r>
      <w:r w:rsidRPr="00FD1CAB">
        <w:rPr>
          <w:i/>
        </w:rPr>
        <w:t>naratīvu</w:t>
      </w:r>
      <w:r w:rsidR="008308C8">
        <w:rPr>
          <w:i/>
        </w:rPr>
        <w:t xml:space="preserve"> </w:t>
      </w:r>
      <w:r w:rsidR="008308C8" w:rsidRPr="008308C8">
        <w:t>(stāstījumu)</w:t>
      </w:r>
      <w:r w:rsidRPr="00FD1CAB">
        <w:t xml:space="preserve">, šajā gadījumā ekspertu un speciālistu pieredzē balstītiem viedokļiem, novērojumiem, secinājumiem un ieteikumiem. Priekšroka tiek dota dažādu pētniecisko metožu izmantošanai un triangulācijai, kas ļauj iegūt objektīvāku un labāk pamatotu informāciju. Triangulācija paredz vairāku pielietoto metožu, teorētisko pieeju, datu avotu izmantošanu, kas ļauj pētāmo/ izvērtējamo aspektu, tēmu vai problēmu aplūkot no dažādiem leņķiem (t.s. kristāla princips). Triangulācijai ir īpaša loma izvērtējuma datu un rezultātu kvalitātes nodrošināšanai. </w:t>
      </w:r>
    </w:p>
    <w:p w:rsidR="00822F03" w:rsidRDefault="00822F03" w:rsidP="00064C1E"/>
    <w:p w:rsidR="0006024D" w:rsidRPr="0006024D" w:rsidRDefault="003174E8" w:rsidP="00064C1E">
      <w:r>
        <w:t>T</w:t>
      </w:r>
      <w:r w:rsidR="00C52CB5">
        <w:t xml:space="preserve">eorijā balstīto pieeju ir iespējams un pat vēlams papildināt ar citām izvērtējumu metodikām – </w:t>
      </w:r>
      <w:r w:rsidR="00545A97">
        <w:t>kontrafaktuālo</w:t>
      </w:r>
      <w:r w:rsidR="00C52CB5">
        <w:t xml:space="preserve"> pieeju, procesa izvērtēšanas un ekonomiskās izvērtēšanas pieeju. Izvērtējuma mērķiem – izvērtēt politikas ietekmi uz konkrētu mērķa grupu situāciju – teorētiski piemērota ir </w:t>
      </w:r>
      <w:r w:rsidR="00C52CB5" w:rsidRPr="00E34BAA">
        <w:rPr>
          <w:u w:val="single"/>
        </w:rPr>
        <w:t>kontrafaktuālā pieeja</w:t>
      </w:r>
      <w:r w:rsidR="00C52CB5">
        <w:t>, kas paredz salīdzināt divas grupas: konkrētās intervences mērķa grupu un kontrolgrupu, kuras situāciju nav ietekmējusi konkrētā intervence (politikas pasākums/-i). Priekšizpētē identificētie sociālās politikas, mājokļu politikas un veselības aprūpes politikas pasākumi ir bijuši vērsti uz visiem mērķa grupas dalībniekiem, neizdalot atsevišķas tās apakšgrupas. Līdz ar to pēc būtības nav iespējams</w:t>
      </w:r>
      <w:r w:rsidR="004C00BB">
        <w:t xml:space="preserve"> identificēt kontrolgrupas, jo I</w:t>
      </w:r>
      <w:r w:rsidR="00C52CB5">
        <w:t>zvērtējuma mērķa grupas nav tiešā veidā salīdzināmas ar citām iedzīvotāju grupām, kur</w:t>
      </w:r>
      <w:r w:rsidR="00A355E1">
        <w:t>as</w:t>
      </w:r>
      <w:r w:rsidR="00C52CB5">
        <w:t xml:space="preserve"> nav konkrētās sociālās atstumtības un nabadzības riskam pakļautās grupas. </w:t>
      </w:r>
      <w:r w:rsidR="00A76E1D">
        <w:t xml:space="preserve">Tāpēc </w:t>
      </w:r>
      <w:r w:rsidR="004C00BB">
        <w:t>I</w:t>
      </w:r>
      <w:r w:rsidR="00E34BAA">
        <w:t xml:space="preserve">zvērtējumā </w:t>
      </w:r>
      <w:r w:rsidR="00A76E1D">
        <w:t>kontrafaktuālā pieeja vai tās elementi</w:t>
      </w:r>
      <w:r w:rsidR="00E34BAA">
        <w:t xml:space="preserve"> netik</w:t>
      </w:r>
      <w:r>
        <w:t xml:space="preserve">a </w:t>
      </w:r>
      <w:r>
        <w:lastRenderedPageBreak/>
        <w:t>izmantoti</w:t>
      </w:r>
      <w:r w:rsidR="00A76E1D">
        <w:t xml:space="preserve">. </w:t>
      </w:r>
      <w:r w:rsidR="0080560A" w:rsidRPr="0006024D">
        <w:rPr>
          <w:u w:val="single"/>
        </w:rPr>
        <w:t>P</w:t>
      </w:r>
      <w:r w:rsidR="0006024D" w:rsidRPr="0006024D">
        <w:rPr>
          <w:u w:val="single"/>
        </w:rPr>
        <w:t>rocesa izvērtēšanas</w:t>
      </w:r>
      <w:r w:rsidR="0006024D" w:rsidRPr="0006024D">
        <w:t xml:space="preserve"> pieeja paredz izmantot dažādas metodes, t.sk. gadījuma analīzi, intervijas ar ieinteresētajām pusēm, līdzdalības metodes un darbības izpēti</w:t>
      </w:r>
      <w:r w:rsidR="0006024D" w:rsidRPr="0006024D">
        <w:rPr>
          <w:rStyle w:val="FootnoteReference"/>
        </w:rPr>
        <w:footnoteReference w:id="32"/>
      </w:r>
      <w:r w:rsidR="0006024D" w:rsidRPr="0006024D">
        <w:t>. Pēc būtības procesa izvērtēšanas</w:t>
      </w:r>
      <w:r w:rsidR="0006024D">
        <w:t xml:space="preserve"> pieeja ir daļa no teorijā balstītās pieejas. Izvērtējumā </w:t>
      </w:r>
      <w:r>
        <w:t>netika veiktas</w:t>
      </w:r>
      <w:r w:rsidR="0006024D">
        <w:t xml:space="preserve"> tiešās vai padziļinātās intervijas ar intervenču mērķa grupām (ieinteresētajām personām</w:t>
      </w:r>
      <w:r w:rsidR="00A355E1">
        <w:t>)</w:t>
      </w:r>
      <w:r w:rsidR="0006024D">
        <w:t xml:space="preserve">, taču </w:t>
      </w:r>
      <w:r>
        <w:t>ir</w:t>
      </w:r>
      <w:r w:rsidR="0006024D">
        <w:t xml:space="preserve"> veiktas ekspertu intervijas, kuru mērķis </w:t>
      </w:r>
      <w:r>
        <w:t xml:space="preserve">bija </w:t>
      </w:r>
      <w:r w:rsidR="0006024D">
        <w:t xml:space="preserve">iegūt gan  īstenoto intervenču novērtējumu pēc būtības (novērojumi par procesu/-iem), gan rast izpratni par to, kāda veida informācija, zināšanas ir nepieciešamas, lai īstenotu nākamās intervences (politikas pasākumus). Tas nozīmē, ka Izvērtējumā </w:t>
      </w:r>
      <w:r w:rsidR="00594C39">
        <w:t>ir</w:t>
      </w:r>
      <w:r w:rsidR="0006024D">
        <w:t xml:space="preserve"> izmantoti procesa izvērtēšanas pieejas elementi. </w:t>
      </w:r>
      <w:r w:rsidR="0006024D" w:rsidRPr="0006024D">
        <w:t xml:space="preserve">Trešā metodika, ko vēlams kombinēt ar teorijā balstīto pieeju, </w:t>
      </w:r>
      <w:r w:rsidR="0006024D" w:rsidRPr="0006024D">
        <w:rPr>
          <w:u w:val="single"/>
        </w:rPr>
        <w:t>ir ekonomiskā izvērtēšana</w:t>
      </w:r>
      <w:r w:rsidR="0006024D" w:rsidRPr="0006024D">
        <w:t>. Tās mērķis ir projekta/ politikas pasākumu izmaksu-ieguvumu analīze. Biežāk šī pieeja tiek izmantota infrastruktūras</w:t>
      </w:r>
      <w:r w:rsidR="001A6E9E">
        <w:t xml:space="preserve"> un investīciju</w:t>
      </w:r>
      <w:r w:rsidR="0006024D" w:rsidRPr="0006024D">
        <w:t xml:space="preserve"> projektu izvērtējumos</w:t>
      </w:r>
      <w:r w:rsidR="001A6E9E">
        <w:rPr>
          <w:rStyle w:val="FootnoteReference"/>
        </w:rPr>
        <w:footnoteReference w:id="33"/>
      </w:r>
      <w:r w:rsidR="0006024D" w:rsidRPr="0006024D">
        <w:t xml:space="preserve">. Ņemot vērā Izvērtējuma mērķi un uzdevumus, šīs pieejas izmantošana nav </w:t>
      </w:r>
      <w:r w:rsidR="001A6E9E">
        <w:t xml:space="preserve">pamatota un </w:t>
      </w:r>
      <w:r w:rsidR="0006024D" w:rsidRPr="0006024D">
        <w:t xml:space="preserve">nepieciešama. </w:t>
      </w:r>
    </w:p>
    <w:p w:rsidR="00FD1CAB" w:rsidRDefault="00FD1CAB" w:rsidP="00064C1E">
      <w:pPr>
        <w:rPr>
          <w:color w:val="FF0000"/>
          <w:highlight w:val="yellow"/>
        </w:rPr>
      </w:pPr>
    </w:p>
    <w:p w:rsidR="00FD1CAB" w:rsidRPr="00FD1CAB" w:rsidRDefault="00FD1CAB" w:rsidP="00064C1E">
      <w:r w:rsidRPr="00FD1CAB">
        <w:t xml:space="preserve">Ievērojot teorijā balstītās pieejas principus, izvērtējuma veikšanā </w:t>
      </w:r>
      <w:r w:rsidR="00594C39">
        <w:t>ir</w:t>
      </w:r>
      <w:r w:rsidRPr="00FD1CAB">
        <w:t xml:space="preserve"> izmantotas </w:t>
      </w:r>
      <w:r w:rsidRPr="00AE56D4">
        <w:rPr>
          <w:b/>
        </w:rPr>
        <w:t>kvantitatīvās un kvalitatīvās datu ieguves un analīzes metodes</w:t>
      </w:r>
      <w:r w:rsidRPr="00FD1CAB">
        <w:t>:</w:t>
      </w:r>
    </w:p>
    <w:p w:rsidR="00FD1CAB" w:rsidRPr="00FD1CAB" w:rsidRDefault="00FD1CAB" w:rsidP="005C07F3">
      <w:pPr>
        <w:pStyle w:val="ListParagraph"/>
        <w:numPr>
          <w:ilvl w:val="0"/>
          <w:numId w:val="8"/>
        </w:numPr>
        <w:spacing w:line="276" w:lineRule="auto"/>
        <w:jc w:val="both"/>
      </w:pPr>
      <w:r w:rsidRPr="00FD1CAB">
        <w:t>kvantitatīvās datu analīzes metodes: administratīvo, statistikas un apsekojumu datu analīze, statistiskās datu apstrādes un analīzes metodes (korelācijas, regresijas analīze, faktoru analīze, klasteru analīze u.c. atbilstoši pieejamo datu kvalitātei un konkrētajam statistiskas datu analīzes uzdevumam);</w:t>
      </w:r>
    </w:p>
    <w:p w:rsidR="00FD1CAB" w:rsidRPr="00FD1CAB" w:rsidRDefault="00FD1CAB" w:rsidP="005C07F3">
      <w:pPr>
        <w:pStyle w:val="ListParagraph"/>
        <w:numPr>
          <w:ilvl w:val="0"/>
          <w:numId w:val="8"/>
        </w:numPr>
        <w:spacing w:line="276" w:lineRule="auto"/>
        <w:jc w:val="both"/>
      </w:pPr>
      <w:r w:rsidRPr="00FD1CAB">
        <w:t xml:space="preserve">kvalitatīvās datu analīzes metodes: dokumentu analīze, ekspertu intervijas padziļinātās intervijas formā, fokusa grupu diskusijas. </w:t>
      </w:r>
    </w:p>
    <w:p w:rsidR="000E48A8" w:rsidRDefault="00FD1CAB" w:rsidP="000E48A8">
      <w:r w:rsidRPr="00FD1CAB">
        <w:t xml:space="preserve">Četras </w:t>
      </w:r>
      <w:r w:rsidRPr="00545A97">
        <w:t>galvenās bāzes datu analīzes metodes</w:t>
      </w:r>
      <w:r w:rsidRPr="00FD1CAB">
        <w:t xml:space="preserve">, kas </w:t>
      </w:r>
      <w:r w:rsidR="00594C39">
        <w:t>ir</w:t>
      </w:r>
      <w:r w:rsidRPr="00FD1CAB">
        <w:t xml:space="preserve"> izmantotas </w:t>
      </w:r>
      <w:r w:rsidR="00AE56D4">
        <w:t>I</w:t>
      </w:r>
      <w:r w:rsidRPr="00FD1CAB">
        <w:t>zvērtējumā, ir aprakstītas sīkāk, raksturojot šo metožu būtību, pielietojumu, atbilstību (pārākumu un ierobežojumus) veicamajiem uzdevumiem, skaidrojot, kādā veidā tās nodrošina labāko rezultātu sasniegšanu.</w:t>
      </w:r>
      <w:bookmarkStart w:id="52" w:name="_Toc535738789"/>
      <w:bookmarkStart w:id="53" w:name="_Toc535741787"/>
      <w:bookmarkStart w:id="54" w:name="_Toc535742140"/>
      <w:bookmarkStart w:id="55" w:name="_Toc535916123"/>
      <w:bookmarkStart w:id="56" w:name="_Toc535922775"/>
      <w:bookmarkStart w:id="57" w:name="_Toc535935078"/>
      <w:bookmarkStart w:id="58" w:name="_Toc6841513"/>
    </w:p>
    <w:p w:rsidR="00BA4EEE" w:rsidRPr="00DE4D97" w:rsidRDefault="00BA4EEE" w:rsidP="00DE4D97">
      <w:pPr>
        <w:pStyle w:val="navnumirsaturlevel3"/>
        <w:rPr>
          <w:szCs w:val="28"/>
        </w:rPr>
      </w:pPr>
      <w:r w:rsidRPr="00DE4D97">
        <w:rPr>
          <w:szCs w:val="28"/>
        </w:rPr>
        <w:t>Metožu vispārējs raksturojums</w:t>
      </w:r>
      <w:bookmarkEnd w:id="52"/>
      <w:bookmarkEnd w:id="53"/>
      <w:bookmarkEnd w:id="54"/>
      <w:bookmarkEnd w:id="55"/>
      <w:bookmarkEnd w:id="56"/>
      <w:bookmarkEnd w:id="57"/>
      <w:bookmarkEnd w:id="58"/>
    </w:p>
    <w:p w:rsidR="00FD1CAB" w:rsidRPr="00A661B6" w:rsidRDefault="00FD1CAB" w:rsidP="00DE4D97">
      <w:pPr>
        <w:pStyle w:val="virsrakstslvl4"/>
      </w:pPr>
      <w:bookmarkStart w:id="59" w:name="_Toc528762822"/>
      <w:bookmarkStart w:id="60" w:name="_Toc528768880"/>
      <w:bookmarkStart w:id="61" w:name="_Toc528847607"/>
      <w:bookmarkStart w:id="62" w:name="_Toc528930591"/>
      <w:bookmarkStart w:id="63" w:name="_Toc529170539"/>
      <w:bookmarkStart w:id="64" w:name="_Toc529176262"/>
      <w:bookmarkStart w:id="65" w:name="_Toc529180090"/>
      <w:bookmarkStart w:id="66" w:name="_Toc529180335"/>
      <w:bookmarkStart w:id="67" w:name="_Toc531694110"/>
      <w:bookmarkStart w:id="68" w:name="_Toc531856215"/>
      <w:bookmarkStart w:id="69" w:name="_Toc531860004"/>
      <w:bookmarkStart w:id="70" w:name="_Toc535738790"/>
      <w:bookmarkStart w:id="71" w:name="_Toc535741788"/>
      <w:bookmarkStart w:id="72" w:name="_Toc535742141"/>
      <w:bookmarkStart w:id="73" w:name="_Toc535916124"/>
      <w:bookmarkStart w:id="74" w:name="_Toc535922776"/>
      <w:bookmarkStart w:id="75" w:name="_Toc535935079"/>
      <w:bookmarkStart w:id="76" w:name="_Toc788637"/>
      <w:bookmarkStart w:id="77" w:name="_Toc2761032"/>
      <w:bookmarkStart w:id="78" w:name="_Toc2848135"/>
      <w:bookmarkStart w:id="79" w:name="_Toc6219179"/>
      <w:bookmarkStart w:id="80" w:name="_Toc6220060"/>
      <w:bookmarkStart w:id="81" w:name="_Toc6841514"/>
      <w:r w:rsidRPr="00DA49DB">
        <w:t>Dokumentu</w:t>
      </w:r>
      <w:r w:rsidRPr="00A661B6">
        <w:t xml:space="preserve"> analīze</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C23CA9" w:rsidRPr="00C23CA9" w:rsidRDefault="00FD1CAB" w:rsidP="00064C1E">
      <w:r w:rsidRPr="00FD1CAB">
        <w:t>Dokumentu analīzes metodes pielietoju</w:t>
      </w:r>
      <w:r w:rsidR="00AE56D4">
        <w:t>mu nosaka viens no galvenajiem I</w:t>
      </w:r>
      <w:r w:rsidRPr="00FD1CAB">
        <w:t xml:space="preserve">zvērtējuma izpētes objektiem – tiesību akti un tiesību aktu projektu anotācijas, politikas plānošanas dokumenti (dokumenti), kā arī daudzveidīgi primāro un sekundāro datu avoti, kuri pieejami dokumentu veidā. Dokumentu analīzes metodes pielietojumā ļoti svarīgi ir, pirmkārt, dokumentu (datu) avoti; otrkārt, dokumentu atlases kritēriji; treškārt, dokumentu satura analīzes kritēriji. </w:t>
      </w:r>
    </w:p>
    <w:p w:rsidR="00FD1CAB" w:rsidRPr="00C23CA9" w:rsidRDefault="00FD1CAB" w:rsidP="00064C1E"/>
    <w:p w:rsidR="00FD1CAB" w:rsidRPr="00FD1CAB" w:rsidRDefault="00FD1CAB" w:rsidP="00064C1E">
      <w:r w:rsidRPr="00FD1CAB">
        <w:t>Izvērtējumā ir izmantot</w:t>
      </w:r>
      <w:r w:rsidR="00594C39">
        <w:t>i</w:t>
      </w:r>
      <w:r w:rsidRPr="00FD1CAB">
        <w:t xml:space="preserve"> dažād</w:t>
      </w:r>
      <w:r w:rsidR="00594C39">
        <w:t>i</w:t>
      </w:r>
      <w:r w:rsidRPr="00FD1CAB">
        <w:t xml:space="preserve"> dokumentu vei</w:t>
      </w:r>
      <w:r w:rsidR="00594C39">
        <w:t>di</w:t>
      </w:r>
      <w:r w:rsidR="00C23CA9">
        <w:t>, kas saturiski saistīti ar I</w:t>
      </w:r>
      <w:r w:rsidRPr="00FD1CAB">
        <w:t>zvērtējuma politikas jomām (nabadzība</w:t>
      </w:r>
      <w:r w:rsidR="00DF6646">
        <w:t>s mazināšana</w:t>
      </w:r>
      <w:r w:rsidRPr="00FD1CAB">
        <w:t xml:space="preserve">, sociālā atstumtība, ienākumu nevienlīdzība, veselības aprūpe, mājokļa pieejamība) un mērķa grupām (atbilstoši </w:t>
      </w:r>
      <w:r w:rsidR="007D58AF">
        <w:t>TS</w:t>
      </w:r>
      <w:r w:rsidRPr="00FD1CAB">
        <w:t xml:space="preserve"> 3.2., 3.7. un 3.9. punktā minētajām iedzīvotāju grupām):</w:t>
      </w:r>
    </w:p>
    <w:p w:rsidR="00FD1CAB" w:rsidRPr="00FD1CAB" w:rsidRDefault="00FD1CAB" w:rsidP="005C07F3">
      <w:pPr>
        <w:pStyle w:val="ListParagraph"/>
        <w:numPr>
          <w:ilvl w:val="0"/>
          <w:numId w:val="9"/>
        </w:numPr>
        <w:suppressAutoHyphens/>
        <w:autoSpaceDE w:val="0"/>
        <w:spacing w:line="276" w:lineRule="auto"/>
      </w:pPr>
      <w:r w:rsidRPr="00FD1CAB">
        <w:t>tiesību akt</w:t>
      </w:r>
      <w:r w:rsidR="00594C39">
        <w:t xml:space="preserve">i </w:t>
      </w:r>
      <w:r w:rsidRPr="00FD1CAB">
        <w:t>un ar to izstrādi saistī</w:t>
      </w:r>
      <w:r w:rsidR="00594C39">
        <w:t>tie</w:t>
      </w:r>
      <w:r w:rsidRPr="00FD1CAB">
        <w:t xml:space="preserve"> dokument</w:t>
      </w:r>
      <w:r w:rsidR="00594C39">
        <w:t>i</w:t>
      </w:r>
      <w:r w:rsidRPr="00FD1CAB">
        <w:t>, t.sk. tiesību aktu anotācijas,</w:t>
      </w:r>
    </w:p>
    <w:p w:rsidR="00FD1CAB" w:rsidRPr="00FD1CAB" w:rsidRDefault="00FD1CAB" w:rsidP="005C07F3">
      <w:pPr>
        <w:pStyle w:val="ListParagraph"/>
        <w:numPr>
          <w:ilvl w:val="0"/>
          <w:numId w:val="9"/>
        </w:numPr>
        <w:suppressAutoHyphens/>
        <w:autoSpaceDE w:val="0"/>
        <w:spacing w:line="276" w:lineRule="auto"/>
        <w:jc w:val="both"/>
      </w:pPr>
      <w:r w:rsidRPr="00FD1CAB">
        <w:t>politikas plānošanas dokument</w:t>
      </w:r>
      <w:r w:rsidR="00594C39">
        <w:t>i</w:t>
      </w:r>
      <w:r w:rsidRPr="00FD1CAB">
        <w:t>,</w:t>
      </w:r>
    </w:p>
    <w:p w:rsidR="00FD1CAB" w:rsidRPr="00FD1CAB" w:rsidRDefault="00FD1CAB" w:rsidP="005C07F3">
      <w:pPr>
        <w:pStyle w:val="ListParagraph"/>
        <w:numPr>
          <w:ilvl w:val="0"/>
          <w:numId w:val="9"/>
        </w:numPr>
        <w:suppressAutoHyphens/>
        <w:autoSpaceDE w:val="0"/>
        <w:spacing w:line="276" w:lineRule="auto"/>
        <w:jc w:val="both"/>
      </w:pPr>
      <w:r w:rsidRPr="00FD1CAB">
        <w:lastRenderedPageBreak/>
        <w:t>iepriekš veikt</w:t>
      </w:r>
      <w:r w:rsidR="00594C39">
        <w:t>ie</w:t>
      </w:r>
      <w:r w:rsidRPr="00FD1CAB">
        <w:t xml:space="preserve"> pētījum</w:t>
      </w:r>
      <w:r w:rsidR="00594C39">
        <w:t>i</w:t>
      </w:r>
      <w:r w:rsidRPr="00FD1CAB">
        <w:t>, izvērtējum</w:t>
      </w:r>
      <w:r w:rsidR="00594C39">
        <w:t>i</w:t>
      </w:r>
      <w:r w:rsidRPr="00FD1CAB">
        <w:t xml:space="preserve"> (kā nacionālā, tā starptautiskā līmenī),</w:t>
      </w:r>
    </w:p>
    <w:p w:rsidR="00FD1CAB" w:rsidRPr="00FD1CAB" w:rsidRDefault="00FD1CAB" w:rsidP="005C07F3">
      <w:pPr>
        <w:pStyle w:val="ListParagraph"/>
        <w:numPr>
          <w:ilvl w:val="0"/>
          <w:numId w:val="9"/>
        </w:numPr>
        <w:suppressAutoHyphens/>
        <w:autoSpaceDE w:val="0"/>
        <w:spacing w:line="276" w:lineRule="auto"/>
        <w:jc w:val="both"/>
      </w:pPr>
      <w:r w:rsidRPr="00FD1CAB">
        <w:t>pašvaldību saistoš</w:t>
      </w:r>
      <w:r w:rsidR="00594C39">
        <w:t>ie</w:t>
      </w:r>
      <w:r w:rsidRPr="00FD1CAB">
        <w:t xml:space="preserve"> noteikum</w:t>
      </w:r>
      <w:r w:rsidR="00594C39">
        <w:t>i</w:t>
      </w:r>
      <w:r w:rsidRPr="00FD1CAB">
        <w:t>.</w:t>
      </w:r>
    </w:p>
    <w:p w:rsidR="00830823" w:rsidRDefault="00830823" w:rsidP="00064C1E">
      <w:pPr>
        <w:tabs>
          <w:tab w:val="left" w:pos="459"/>
        </w:tabs>
      </w:pPr>
    </w:p>
    <w:p w:rsidR="00B3140E" w:rsidRDefault="00FD1CAB" w:rsidP="00064C1E">
      <w:pPr>
        <w:tabs>
          <w:tab w:val="left" w:pos="459"/>
        </w:tabs>
      </w:pPr>
      <w:r w:rsidRPr="00FD1CAB">
        <w:t xml:space="preserve">Katram dokumentu veidam var būt atšķirīgi </w:t>
      </w:r>
      <w:r w:rsidRPr="00FD1CAB">
        <w:rPr>
          <w:u w:val="single"/>
        </w:rPr>
        <w:t>avoti</w:t>
      </w:r>
      <w:r w:rsidRPr="00FD1CAB">
        <w:t xml:space="preserve">, kur tie ir pieejami. Tiesību akti un ar to izstrādi saistītie dokumenti pamatā </w:t>
      </w:r>
      <w:r w:rsidR="00594C39">
        <w:t>ir</w:t>
      </w:r>
      <w:r w:rsidRPr="00FD1CAB">
        <w:t xml:space="preserve"> atlasīti tiesību aktu vortālā </w:t>
      </w:r>
      <w:hyperlink r:id="rId10" w:history="1">
        <w:r w:rsidRPr="00FD1CAB">
          <w:rPr>
            <w:rStyle w:val="Hyperlink"/>
          </w:rPr>
          <w:t>www.likumi.lv</w:t>
        </w:r>
      </w:hyperlink>
      <w:r w:rsidRPr="00FD1CAB">
        <w:t xml:space="preserve">, kas ļauj veikt sistemātisku atlasi un pārbaudi par spēkā esošajiem tiesību aktiem un veiktajām izmaiņām noteiktā laika periodā pēc dokumentu veidiem, tēmām u.c. parametriem. Politikas plānošanas dokumentu atlasē kā bāzes datu avots </w:t>
      </w:r>
      <w:r w:rsidR="00594C39">
        <w:t>tika</w:t>
      </w:r>
      <w:r w:rsidRPr="00FD1CAB">
        <w:t xml:space="preserve"> izmantota politikas plānošanas dokumentu datu bāze POLSIS, kurā </w:t>
      </w:r>
      <w:r w:rsidRPr="00FD1CAB">
        <w:rPr>
          <w:color w:val="000000"/>
        </w:rPr>
        <w:t>ir iespējams dokumentus meklēt pēc nosaukuma, akceptēšanas datuma, statusa, dokumenta jomas, iesniedzējinstitūcijas</w:t>
      </w:r>
      <w:r w:rsidR="00CD7A15">
        <w:rPr>
          <w:color w:val="000000"/>
        </w:rPr>
        <w:t xml:space="preserve"> un atslēgas vārdiem</w:t>
      </w:r>
      <w:r w:rsidRPr="00FD1CAB">
        <w:rPr>
          <w:color w:val="000000"/>
        </w:rPr>
        <w:t xml:space="preserve">. </w:t>
      </w:r>
      <w:r w:rsidR="00B3140E">
        <w:rPr>
          <w:color w:val="000000"/>
        </w:rPr>
        <w:t xml:space="preserve">Vēl viens dokumentu avots ir atbildīgo institūciju interneta vietnes. </w:t>
      </w:r>
      <w:r w:rsidR="00B3140E" w:rsidRPr="003D3671">
        <w:t>Ņemot vērā, ka sociālās iekļaušanas politika ir starpnozaru jautājums, tad tik</w:t>
      </w:r>
      <w:r w:rsidR="00594C39">
        <w:t>a</w:t>
      </w:r>
      <w:r w:rsidR="00B3140E" w:rsidRPr="003D3671">
        <w:t xml:space="preserve"> identificēti ne tikai Labklājības ministrijas kompetencē esošie tiesību akti, bet arī citu ministriju (t.sk., Ekonomikas ministrijas, VARAM, Veselības ministrijas, Izglītības </w:t>
      </w:r>
      <w:r w:rsidR="00323E2E">
        <w:t xml:space="preserve">un zinātnes </w:t>
      </w:r>
      <w:r w:rsidR="00B3140E" w:rsidRPr="003D3671">
        <w:t>ministrijas, Kultūras ministrijas, Satiksmes ministrijas) atbildībā esošie normatīvie akti, kas attiecas uz konkrēto Izvērtējuma uzdevumu (jomu un/vai mērķa grupām).</w:t>
      </w:r>
    </w:p>
    <w:p w:rsidR="00FD1CAB" w:rsidRPr="00FD1CAB" w:rsidRDefault="00FD1CAB" w:rsidP="00064C1E">
      <w:pPr>
        <w:rPr>
          <w:color w:val="000000"/>
        </w:rPr>
      </w:pPr>
    </w:p>
    <w:p w:rsidR="00FD1CAB" w:rsidRPr="00FD1CAB" w:rsidRDefault="00FD1CAB" w:rsidP="00064C1E">
      <w:pPr>
        <w:rPr>
          <w:color w:val="000000"/>
        </w:rPr>
      </w:pPr>
      <w:r w:rsidRPr="00FD1CAB">
        <w:rPr>
          <w:color w:val="000000"/>
        </w:rPr>
        <w:t xml:space="preserve">Iepriekš veikto pētījumu un izvērtējumu </w:t>
      </w:r>
      <w:r w:rsidR="00594C39">
        <w:rPr>
          <w:color w:val="000000"/>
        </w:rPr>
        <w:t>identificēšana tika veikta, izmantojot šādus galvenos datu avotus:</w:t>
      </w:r>
      <w:r w:rsidRPr="00FD1CAB">
        <w:rPr>
          <w:color w:val="000000"/>
        </w:rPr>
        <w:t xml:space="preserve"> </w:t>
      </w:r>
      <w:r w:rsidR="00AE56D4">
        <w:rPr>
          <w:color w:val="000000"/>
        </w:rPr>
        <w:t xml:space="preserve">(i) </w:t>
      </w:r>
      <w:r w:rsidRPr="00FD1CAB">
        <w:rPr>
          <w:color w:val="000000"/>
        </w:rPr>
        <w:t xml:space="preserve">Pārresoru koordinācijas centra </w:t>
      </w:r>
      <w:r w:rsidR="00594C39">
        <w:rPr>
          <w:color w:val="000000"/>
        </w:rPr>
        <w:t xml:space="preserve">(PKC) </w:t>
      </w:r>
      <w:r w:rsidRPr="00FD1CAB">
        <w:rPr>
          <w:color w:val="000000"/>
        </w:rPr>
        <w:t>Pētījumu un publikāciju datu bāz</w:t>
      </w:r>
      <w:r w:rsidR="00594C39">
        <w:rPr>
          <w:color w:val="000000"/>
        </w:rPr>
        <w:t>e</w:t>
      </w:r>
      <w:r w:rsidRPr="00FD1CAB">
        <w:rPr>
          <w:color w:val="000000"/>
        </w:rPr>
        <w:t xml:space="preserve"> </w:t>
      </w:r>
      <w:hyperlink r:id="rId11" w:history="1">
        <w:r w:rsidRPr="00FD1CAB">
          <w:rPr>
            <w:rStyle w:val="Hyperlink"/>
            <w:rFonts w:eastAsiaTheme="majorEastAsia"/>
          </w:rPr>
          <w:t>http://petijumi.mk.gov.lv/</w:t>
        </w:r>
      </w:hyperlink>
      <w:r w:rsidRPr="00FD1CAB">
        <w:rPr>
          <w:color w:val="000000"/>
        </w:rPr>
        <w:t xml:space="preserve">, kurā pieejami valsts pasūtītie un publiskotie pētījumi, </w:t>
      </w:r>
      <w:r w:rsidR="00AE56D4">
        <w:rPr>
          <w:color w:val="000000"/>
        </w:rPr>
        <w:t xml:space="preserve">(ii) konkrēto Izvērtējuma jomu </w:t>
      </w:r>
      <w:r w:rsidRPr="00FD1CAB">
        <w:rPr>
          <w:color w:val="000000"/>
        </w:rPr>
        <w:t xml:space="preserve">galveno atbildīgo institūciju </w:t>
      </w:r>
      <w:r w:rsidR="00594C39">
        <w:rPr>
          <w:color w:val="000000"/>
        </w:rPr>
        <w:t xml:space="preserve">un padotības iestāžu </w:t>
      </w:r>
      <w:r w:rsidRPr="00FD1CAB">
        <w:rPr>
          <w:color w:val="000000"/>
        </w:rPr>
        <w:t>mājas lapas (piemēram, Labklājības ministrijas, Slimību profilakses un kontroles centra, Nacionālā veselības dienesta, VARAM u.c. institūciju mājas lapas, kurās iespējama pēt</w:t>
      </w:r>
      <w:r w:rsidR="008D6552">
        <w:rPr>
          <w:color w:val="000000"/>
        </w:rPr>
        <w:t>ījumu ziņojumu izvietošana par I</w:t>
      </w:r>
      <w:r w:rsidRPr="00FD1CAB">
        <w:rPr>
          <w:color w:val="000000"/>
        </w:rPr>
        <w:t>zvērtējuma tēmu)</w:t>
      </w:r>
      <w:r w:rsidR="00AE56D4">
        <w:rPr>
          <w:color w:val="000000"/>
        </w:rPr>
        <w:t>, (iii) jautājot informāciju par veiktajiem pētījumiem ekspertu intervijās</w:t>
      </w:r>
      <w:r w:rsidR="00BE2153">
        <w:rPr>
          <w:color w:val="000000"/>
        </w:rPr>
        <w:t xml:space="preserve">, (iv) </w:t>
      </w:r>
      <w:r w:rsidR="00594C39">
        <w:rPr>
          <w:color w:val="000000"/>
        </w:rPr>
        <w:t xml:space="preserve">tika apsekotas attiecīgajā jomā darbojošos NVO interneta vietnes. </w:t>
      </w:r>
    </w:p>
    <w:p w:rsidR="00FD1CAB" w:rsidRPr="00FD1CAB" w:rsidRDefault="00FD1CAB" w:rsidP="00064C1E">
      <w:pPr>
        <w:rPr>
          <w:color w:val="000000"/>
        </w:rPr>
      </w:pPr>
    </w:p>
    <w:p w:rsidR="00FD1CAB" w:rsidRPr="00FD1CAB" w:rsidRDefault="00FD1CAB" w:rsidP="00064C1E">
      <w:r w:rsidRPr="00FD1CAB">
        <w:t xml:space="preserve">Pašvaldību saistošie noteikumi attiecībā uz atvieglojumiem trūcīgām un maznodrošinātām personām, kā arī nabadzības riskam pakļautajām iedzīvotāju grupām veselības aprūpes </w:t>
      </w:r>
      <w:r w:rsidR="00DF6646">
        <w:t>un mājokļu pieejamības jomās</w:t>
      </w:r>
      <w:r w:rsidRPr="00FD1CAB">
        <w:t xml:space="preserve"> primāri tik</w:t>
      </w:r>
      <w:r w:rsidR="007727B4">
        <w:t>a</w:t>
      </w:r>
      <w:r w:rsidRPr="00FD1CAB">
        <w:t xml:space="preserve"> meklēti katras pašvaldības tīmekļ</w:t>
      </w:r>
      <w:r w:rsidR="007727B4">
        <w:t xml:space="preserve">a </w:t>
      </w:r>
      <w:r w:rsidRPr="00FD1CAB">
        <w:t xml:space="preserve">vietnē. Nepieciešamības gadījumā pētnieki </w:t>
      </w:r>
      <w:r w:rsidR="007727B4">
        <w:t>sazinājās</w:t>
      </w:r>
      <w:r w:rsidRPr="00FD1CAB">
        <w:t xml:space="preserve"> ar atbildīgajiem pašvaldīb</w:t>
      </w:r>
      <w:r w:rsidR="007727B4">
        <w:t>u pārstāvjiem ar lūgumu sniegt I</w:t>
      </w:r>
      <w:r w:rsidRPr="00FD1CAB">
        <w:t xml:space="preserve">zvērtējumam nepieciešamo informāciju. </w:t>
      </w:r>
    </w:p>
    <w:p w:rsidR="00FD1CAB" w:rsidRPr="00FD1CAB" w:rsidRDefault="00FD1CAB" w:rsidP="00064C1E"/>
    <w:p w:rsidR="00DF6646" w:rsidRDefault="00FD1CAB" w:rsidP="00064C1E">
      <w:r w:rsidRPr="00FD1CAB">
        <w:t xml:space="preserve">Metodes galvenie </w:t>
      </w:r>
      <w:r w:rsidRPr="00DF6646">
        <w:rPr>
          <w:b/>
        </w:rPr>
        <w:t>ierobežojumi</w:t>
      </w:r>
      <w:r w:rsidRPr="00FD1CAB">
        <w:t xml:space="preserve"> ir saistīti ar tās laikietilpīgumu. Lai mazinātu šī ierobežojuma nozīmi, </w:t>
      </w:r>
      <w:r w:rsidR="007727B4">
        <w:t>tika</w:t>
      </w:r>
      <w:r w:rsidRPr="00FD1CAB">
        <w:t xml:space="preserve"> izstrādāt</w:t>
      </w:r>
      <w:r w:rsidR="007727B4">
        <w:t>a</w:t>
      </w:r>
      <w:r w:rsidRPr="00FD1CAB">
        <w:t xml:space="preserve"> ļoti precīz</w:t>
      </w:r>
      <w:r w:rsidR="007727B4">
        <w:t>a</w:t>
      </w:r>
      <w:r w:rsidRPr="00FD1CAB">
        <w:t xml:space="preserve"> analīzes metodik</w:t>
      </w:r>
      <w:r w:rsidR="007727B4">
        <w:t>a</w:t>
      </w:r>
      <w:r w:rsidRPr="00FD1CAB">
        <w:t xml:space="preserve">, kas </w:t>
      </w:r>
      <w:r w:rsidR="007727B4">
        <w:t>ļāva</w:t>
      </w:r>
      <w:r w:rsidRPr="00FD1CAB">
        <w:t xml:space="preserve"> šo uzdevumu īstenot vairākiem darba grupas speciālistiem bez atšķirīga darba uzdevuma un sagaidāmā rezultāta interpretācijas riska, kā arī efektīvi pārvaldīt šī uzdevuma izpildei atvēlētos laika resursus. Metodikas pamatā ir analizējamo vienību atlases kritēriju izstrāde un atlasīto dokument</w:t>
      </w:r>
      <w:r w:rsidR="00DF6646">
        <w:t xml:space="preserve">u analīzes rādītāju noteikšana. Šiem mērķiem katram Izvērtējuma uzdevumam, kura izpildē ir plānots pielietot dokumentu analīzi kā metodi, </w:t>
      </w:r>
      <w:r w:rsidR="007727B4">
        <w:t>tika</w:t>
      </w:r>
      <w:r w:rsidR="00DF6646">
        <w:t xml:space="preserve"> izstrādāts instrumentārijs. </w:t>
      </w:r>
    </w:p>
    <w:p w:rsidR="000E48A8" w:rsidRDefault="000E48A8" w:rsidP="00064C1E"/>
    <w:p w:rsidR="00DF6646" w:rsidRDefault="00DF6646" w:rsidP="00064C1E">
      <w:r>
        <w:t xml:space="preserve">Kopumā ir izstrādāti pieci </w:t>
      </w:r>
      <w:r w:rsidRPr="00C23CA9">
        <w:rPr>
          <w:u w:val="single"/>
        </w:rPr>
        <w:t>dokumentu analīzes instrumentāriji</w:t>
      </w:r>
      <w:r>
        <w:t>:</w:t>
      </w:r>
    </w:p>
    <w:p w:rsidR="00DF6646" w:rsidRPr="00C23CA9" w:rsidRDefault="00DF6646" w:rsidP="005C07F3">
      <w:pPr>
        <w:pStyle w:val="ListParagraph"/>
        <w:numPr>
          <w:ilvl w:val="0"/>
          <w:numId w:val="27"/>
        </w:numPr>
        <w:tabs>
          <w:tab w:val="left" w:pos="459"/>
        </w:tabs>
        <w:spacing w:line="276" w:lineRule="auto"/>
        <w:jc w:val="both"/>
      </w:pPr>
      <w:r w:rsidRPr="00C23CA9">
        <w:t>Tiesību aktu atlases un analīzes kritēriji sociālās atstumtības un nabadzības mazināšanas jomā</w:t>
      </w:r>
      <w:r>
        <w:t xml:space="preserve"> (sk. nodaļu „</w:t>
      </w:r>
      <w:r w:rsidRPr="00E16DCF">
        <w:t>Sociālās atstumtības un nabadzības mazināšanas joma</w:t>
      </w:r>
      <w:r>
        <w:t>s analīzes metodika”)</w:t>
      </w:r>
    </w:p>
    <w:p w:rsidR="00DF6646" w:rsidRPr="00C23CA9" w:rsidRDefault="00DF6646" w:rsidP="005C07F3">
      <w:pPr>
        <w:pStyle w:val="ListParagraph"/>
        <w:numPr>
          <w:ilvl w:val="0"/>
          <w:numId w:val="27"/>
        </w:numPr>
        <w:spacing w:line="276" w:lineRule="auto"/>
        <w:jc w:val="both"/>
      </w:pPr>
      <w:r w:rsidRPr="00C23CA9">
        <w:lastRenderedPageBreak/>
        <w:t>Normatīvo aktu un politikas plānošanas dokumentu atlases un analīzes kritēriji veselības aprūpes jomā (t.sk. tiesību aktu anotāciju analīzes kritēriji)</w:t>
      </w:r>
      <w:r>
        <w:t xml:space="preserve"> (sk. nodaļu „Nevienlīdzības v</w:t>
      </w:r>
      <w:r w:rsidRPr="002442C0">
        <w:t>eselības aprūpes jom</w:t>
      </w:r>
      <w:r>
        <w:t>ā analīzes metodika”)</w:t>
      </w:r>
    </w:p>
    <w:p w:rsidR="00DF6646" w:rsidRPr="00C23CA9" w:rsidRDefault="00DF6646" w:rsidP="005C07F3">
      <w:pPr>
        <w:pStyle w:val="ListParagraph"/>
        <w:numPr>
          <w:ilvl w:val="0"/>
          <w:numId w:val="27"/>
        </w:numPr>
        <w:spacing w:line="276" w:lineRule="auto"/>
        <w:jc w:val="both"/>
      </w:pPr>
      <w:r w:rsidRPr="00C23CA9">
        <w:t>Pašvaldību saistošo noteikumu atlases un analīzes kritēriji veselības aprūpes jomā</w:t>
      </w:r>
      <w:r>
        <w:t xml:space="preserve"> (sk. nodaļu „Nevienlīdzības v</w:t>
      </w:r>
      <w:r w:rsidRPr="002442C0">
        <w:t>eselības aprūpes jom</w:t>
      </w:r>
      <w:r>
        <w:t>ā analīzes metodika”)</w:t>
      </w:r>
    </w:p>
    <w:p w:rsidR="00DF6646" w:rsidRPr="00C23CA9" w:rsidRDefault="00DF6646" w:rsidP="005C07F3">
      <w:pPr>
        <w:pStyle w:val="ListParagraph"/>
        <w:numPr>
          <w:ilvl w:val="0"/>
          <w:numId w:val="27"/>
        </w:numPr>
        <w:spacing w:line="276" w:lineRule="auto"/>
        <w:jc w:val="both"/>
      </w:pPr>
      <w:r w:rsidRPr="00C23CA9">
        <w:t>Tiesību aktu un politikas plānošanas dokumentu atlases un analīzes kritēriji mājokļa jomā (t.sk. tiesību aktu anotāciju analīzes kritēriji)</w:t>
      </w:r>
      <w:r>
        <w:t xml:space="preserve"> (sk. nodaļu „Nevienlīdzības m</w:t>
      </w:r>
      <w:r w:rsidRPr="002442C0">
        <w:t xml:space="preserve">ājokļa </w:t>
      </w:r>
      <w:r>
        <w:t xml:space="preserve">pieejamības </w:t>
      </w:r>
      <w:r w:rsidRPr="002442C0">
        <w:t>jom</w:t>
      </w:r>
      <w:r>
        <w:t>ā analīzes metodika”)</w:t>
      </w:r>
    </w:p>
    <w:p w:rsidR="00DF6646" w:rsidRPr="00C23CA9" w:rsidRDefault="00DF6646" w:rsidP="005C07F3">
      <w:pPr>
        <w:pStyle w:val="ListParagraph"/>
        <w:numPr>
          <w:ilvl w:val="0"/>
          <w:numId w:val="26"/>
        </w:numPr>
        <w:spacing w:line="276" w:lineRule="auto"/>
        <w:jc w:val="both"/>
      </w:pPr>
      <w:r w:rsidRPr="00C23CA9">
        <w:t>Pašvaldību saistošo noteikumu atlases un analīzes kritēriji mājokļa jomā</w:t>
      </w:r>
      <w:r>
        <w:t xml:space="preserve"> (sk. nodaļu „Nevienlīdzības m</w:t>
      </w:r>
      <w:r w:rsidRPr="002442C0">
        <w:t xml:space="preserve">ājokļa </w:t>
      </w:r>
      <w:r>
        <w:t xml:space="preserve">pieejamības </w:t>
      </w:r>
      <w:r w:rsidRPr="002442C0">
        <w:t>jom</w:t>
      </w:r>
      <w:r>
        <w:t>ā analīzes metodika”)</w:t>
      </w:r>
    </w:p>
    <w:p w:rsidR="00FD1CAB" w:rsidRPr="00315872" w:rsidRDefault="00FD1CAB" w:rsidP="00DE4D97">
      <w:pPr>
        <w:pStyle w:val="virsrakstslvl4"/>
      </w:pPr>
      <w:bookmarkStart w:id="82" w:name="_Toc528762823"/>
      <w:bookmarkStart w:id="83" w:name="_Toc528768881"/>
      <w:bookmarkStart w:id="84" w:name="_Toc528847608"/>
      <w:bookmarkStart w:id="85" w:name="_Toc528930592"/>
      <w:bookmarkStart w:id="86" w:name="_Toc529170540"/>
      <w:bookmarkStart w:id="87" w:name="_Toc529176263"/>
      <w:bookmarkStart w:id="88" w:name="_Toc529180091"/>
      <w:bookmarkStart w:id="89" w:name="_Toc529180336"/>
      <w:bookmarkStart w:id="90" w:name="_Toc531694111"/>
      <w:bookmarkStart w:id="91" w:name="_Toc531856216"/>
      <w:bookmarkStart w:id="92" w:name="_Toc531860005"/>
      <w:bookmarkStart w:id="93" w:name="_Toc535738791"/>
      <w:bookmarkStart w:id="94" w:name="_Toc535741789"/>
      <w:bookmarkStart w:id="95" w:name="_Toc535742142"/>
      <w:bookmarkStart w:id="96" w:name="_Toc535916125"/>
      <w:bookmarkStart w:id="97" w:name="_Toc535922777"/>
      <w:bookmarkStart w:id="98" w:name="_Toc535935080"/>
      <w:bookmarkStart w:id="99" w:name="_Toc788638"/>
      <w:bookmarkStart w:id="100" w:name="_Toc2761033"/>
      <w:bookmarkStart w:id="101" w:name="_Toc2848136"/>
      <w:bookmarkStart w:id="102" w:name="_Toc6219180"/>
      <w:bookmarkStart w:id="103" w:name="_Toc6220061"/>
      <w:bookmarkStart w:id="104" w:name="_Toc6841515"/>
      <w:r w:rsidRPr="00315872">
        <w:t>Statistikas datu un apsekojumu padziļināta analīze</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FD1CAB" w:rsidRPr="00FD1CAB" w:rsidRDefault="00FD1CAB" w:rsidP="00064C1E">
      <w:r w:rsidRPr="00FD1CAB">
        <w:t>Statistikas datu un apsekojumu padziļināt</w:t>
      </w:r>
      <w:r w:rsidR="00EB2776">
        <w:t>a</w:t>
      </w:r>
      <w:r w:rsidRPr="00FD1CAB">
        <w:t xml:space="preserve"> analīz</w:t>
      </w:r>
      <w:r w:rsidR="00EB2776">
        <w:t>e</w:t>
      </w:r>
      <w:r w:rsidRPr="00FD1CAB">
        <w:t xml:space="preserve"> (turpinājumā saīsināti – datu statistiskā analīze) </w:t>
      </w:r>
      <w:r w:rsidR="00EB2776">
        <w:t>tika</w:t>
      </w:r>
      <w:r w:rsidRPr="00FD1CAB">
        <w:t xml:space="preserve"> izmantot</w:t>
      </w:r>
      <w:r w:rsidR="00EB2776">
        <w:t>s I</w:t>
      </w:r>
      <w:r w:rsidRPr="00FD1CAB">
        <w:t>zvērtējuma 3.-5. posma īstenošanai, izmantojot matemātiskās statistikas metodes.</w:t>
      </w:r>
    </w:p>
    <w:p w:rsidR="00FD1CAB" w:rsidRPr="00FD1CAB" w:rsidRDefault="00FD1CAB" w:rsidP="00064C1E"/>
    <w:p w:rsidR="00FD1CAB" w:rsidRPr="00E31612" w:rsidRDefault="00FD1CAB" w:rsidP="00064C1E">
      <w:r w:rsidRPr="00FD1CAB">
        <w:t xml:space="preserve">Datu statistiskā analīze sociālajās zinātnēs tiek uzskatīta par vienu no objektīvākajām metodēm, ko nodrošina zinātniski pamatotas metodikas pielietojums datu vākšanā, izlases veidošanā, datu </w:t>
      </w:r>
      <w:r w:rsidRPr="00E31612">
        <w:t>apstrādē un aprēķinos. Datu statistiskā analīze paredz plašu statistiskās analīzes metožu pielietojum</w:t>
      </w:r>
      <w:r w:rsidR="000A08DA" w:rsidRPr="00E31612">
        <w:t>u, kas tik</w:t>
      </w:r>
      <w:r w:rsidR="00EB2776" w:rsidRPr="00E31612">
        <w:t>a</w:t>
      </w:r>
      <w:r w:rsidR="000A08DA" w:rsidRPr="00E31612">
        <w:t xml:space="preserve"> izmantoti arī šajā I</w:t>
      </w:r>
      <w:r w:rsidRPr="00E31612">
        <w:t>zvērtējumā (piemēram, ekonometriskā analīze, kas ietver tādu metožu lietojumu kā daudzfaktoru regresijas analīze vai līdzvērtīgas). Datu statistiskā analīze, neatkarīgi no</w:t>
      </w:r>
      <w:r w:rsidR="000A08DA" w:rsidRPr="00E31612">
        <w:t xml:space="preserve"> konkrētās tēmas, paredz secīgu</w:t>
      </w:r>
      <w:r w:rsidRPr="00E31612">
        <w:t xml:space="preserve"> soļu ievērošanu:</w:t>
      </w:r>
    </w:p>
    <w:p w:rsidR="00FD1CAB" w:rsidRPr="00E31612" w:rsidRDefault="00EB2776" w:rsidP="005C07F3">
      <w:pPr>
        <w:pStyle w:val="ListParagraph"/>
        <w:numPr>
          <w:ilvl w:val="0"/>
          <w:numId w:val="14"/>
        </w:numPr>
        <w:spacing w:line="276" w:lineRule="auto"/>
        <w:jc w:val="both"/>
      </w:pPr>
      <w:r w:rsidRPr="00E31612">
        <w:t>datu avotu identificēšana: I</w:t>
      </w:r>
      <w:r w:rsidR="00FD1CAB" w:rsidRPr="00E31612">
        <w:t xml:space="preserve">zvērtējumā izmantojamie kvantitatīvo datu avoti ir raksturoti metodoloģijas izklāstā (sk. </w:t>
      </w:r>
      <w:r w:rsidR="000A08DA" w:rsidRPr="00E31612">
        <w:t>zemāk</w:t>
      </w:r>
      <w:r w:rsidR="00FD1CAB" w:rsidRPr="00E31612">
        <w:t>);</w:t>
      </w:r>
    </w:p>
    <w:p w:rsidR="00FD1CAB" w:rsidRPr="00E31612" w:rsidRDefault="00FD1CAB" w:rsidP="005C07F3">
      <w:pPr>
        <w:pStyle w:val="ListParagraph"/>
        <w:numPr>
          <w:ilvl w:val="0"/>
          <w:numId w:val="14"/>
        </w:numPr>
        <w:spacing w:line="276" w:lineRule="auto"/>
        <w:jc w:val="both"/>
      </w:pPr>
      <w:r w:rsidRPr="00E31612">
        <w:t>datu atlase;</w:t>
      </w:r>
    </w:p>
    <w:p w:rsidR="00FD1CAB" w:rsidRPr="00E31612" w:rsidRDefault="00FD1CAB" w:rsidP="005C07F3">
      <w:pPr>
        <w:pStyle w:val="ListParagraph"/>
        <w:numPr>
          <w:ilvl w:val="0"/>
          <w:numId w:val="14"/>
        </w:numPr>
        <w:spacing w:line="276" w:lineRule="auto"/>
        <w:jc w:val="both"/>
      </w:pPr>
      <w:r w:rsidRPr="00E31612">
        <w:t>datu kvalitātes kontrole (tā paredz izvērtēt datu ieguves metodiku, informāciju par izlases apjomu un veidošanas principiem, rādītāju mērījumos izmantoto metodiku: jautājumu formulējumiem, atbilžu variantiem; datu salīdzināmības novērtējumu);</w:t>
      </w:r>
    </w:p>
    <w:p w:rsidR="00FD1CAB" w:rsidRPr="00E31612" w:rsidRDefault="00FD1CAB" w:rsidP="005C07F3">
      <w:pPr>
        <w:pStyle w:val="ListParagraph"/>
        <w:numPr>
          <w:ilvl w:val="0"/>
          <w:numId w:val="14"/>
        </w:numPr>
        <w:spacing w:line="276" w:lineRule="auto"/>
        <w:jc w:val="both"/>
      </w:pPr>
      <w:r w:rsidRPr="00E31612">
        <w:t>datu sagatavošana apstrādei (ja nepieciešams, kodēšana, datu interpolācija vai ekstrapolācija, kā arī aproksimācija);</w:t>
      </w:r>
    </w:p>
    <w:p w:rsidR="00FD1CAB" w:rsidRPr="00E31612" w:rsidRDefault="00FD1CAB" w:rsidP="005C07F3">
      <w:pPr>
        <w:pStyle w:val="ListParagraph"/>
        <w:numPr>
          <w:ilvl w:val="0"/>
          <w:numId w:val="14"/>
        </w:numPr>
        <w:spacing w:line="276" w:lineRule="auto"/>
        <w:jc w:val="both"/>
      </w:pPr>
      <w:r w:rsidRPr="00E31612">
        <w:t xml:space="preserve">aprēķinu veikšana, noformēšana lietotājam viegli pārskatāmā formā (tabulas, grafiskie attēli u.tml.) un secinājumu formulēšana. </w:t>
      </w:r>
    </w:p>
    <w:p w:rsidR="00FF51E2" w:rsidRPr="00E31612" w:rsidRDefault="00FF51E2" w:rsidP="00064C1E"/>
    <w:p w:rsidR="00FD1CAB" w:rsidRPr="00FD1CAB" w:rsidRDefault="00FD1CAB" w:rsidP="00064C1E">
      <w:r w:rsidRPr="00E31612">
        <w:t xml:space="preserve">Kopumā, veicot ekonometrisko analīzi, ciktāl tas </w:t>
      </w:r>
      <w:r w:rsidR="00CB3FE1" w:rsidRPr="00E31612">
        <w:t>ir</w:t>
      </w:r>
      <w:r w:rsidRPr="00E31612">
        <w:t xml:space="preserve"> iespējams u</w:t>
      </w:r>
      <w:r w:rsidR="008D6552">
        <w:t>n nepieciešams, vadoties no I</w:t>
      </w:r>
      <w:r w:rsidRPr="00E31612">
        <w:t>zvērtējumā apskatāmajiem jautājumiem un uzdevumiem, statistisko datu, apsekojumu un administratīvo datu analīze seko tai loģikai, kas tika izmantota iepriekšējā izvērtējumā</w:t>
      </w:r>
      <w:r w:rsidRPr="00E31612">
        <w:rPr>
          <w:rStyle w:val="FootnoteReference"/>
        </w:rPr>
        <w:footnoteReference w:id="34"/>
      </w:r>
      <w:r w:rsidRPr="00E31612">
        <w:t xml:space="preserve">. Piemēram, tas nozīmē, ka, veicot statistisko datu analīzi ienākumu palielināšanas, nabadzības, sociālās atstumtības un ienākumu nevienlīdzības jomā, mērķa grupu ienākumu portreti </w:t>
      </w:r>
      <w:r w:rsidR="00CB3FE1" w:rsidRPr="00E31612">
        <w:t>ir</w:t>
      </w:r>
      <w:r w:rsidRPr="00E31612">
        <w:t xml:space="preserve"> izveidoti un ietekmes faktor</w:t>
      </w:r>
      <w:r w:rsidR="000A08DA" w:rsidRPr="00E31612">
        <w:t>i</w:t>
      </w:r>
      <w:r w:rsidRPr="00E31612">
        <w:t xml:space="preserve"> </w:t>
      </w:r>
      <w:r w:rsidR="00CB3FE1" w:rsidRPr="00E31612">
        <w:t>ir</w:t>
      </w:r>
      <w:r w:rsidRPr="00E31612">
        <w:t xml:space="preserve"> novērtēti ar ekonometriskās analīzes palīdzību (loģistiskie ekonometriskie modeļi), kas ļauj izvairīties no pētnieku subjektīvā faktora ietekmes.</w:t>
      </w:r>
      <w:r w:rsidRPr="00FD1CAB">
        <w:t xml:space="preserve"> </w:t>
      </w:r>
    </w:p>
    <w:p w:rsidR="00FD1CAB" w:rsidRPr="00FD1CAB" w:rsidRDefault="00FD1CAB" w:rsidP="00064C1E">
      <w:pPr>
        <w:rPr>
          <w:b/>
          <w:u w:val="single"/>
        </w:rPr>
      </w:pPr>
    </w:p>
    <w:p w:rsidR="00FD1CAB" w:rsidRPr="00FD1CAB" w:rsidRDefault="00FD1CAB" w:rsidP="00064C1E">
      <w:r w:rsidRPr="00FD1CAB">
        <w:lastRenderedPageBreak/>
        <w:t xml:space="preserve">Galvenie datu statistiskās analīzes kā metodes </w:t>
      </w:r>
      <w:r w:rsidRPr="000A08DA">
        <w:rPr>
          <w:b/>
        </w:rPr>
        <w:t>ierobežojumi</w:t>
      </w:r>
      <w:r w:rsidRPr="00FD1CAB">
        <w:t xml:space="preserve"> ir:</w:t>
      </w:r>
    </w:p>
    <w:p w:rsidR="00FD1CAB" w:rsidRPr="00FD1CAB" w:rsidRDefault="00FD1CAB" w:rsidP="005C07F3">
      <w:pPr>
        <w:pStyle w:val="ListParagraph"/>
        <w:numPr>
          <w:ilvl w:val="0"/>
          <w:numId w:val="13"/>
        </w:numPr>
        <w:spacing w:line="276" w:lineRule="auto"/>
        <w:jc w:val="both"/>
      </w:pPr>
      <w:r w:rsidRPr="00FD1CAB">
        <w:t>analīzes mērķim (rādītājam) atbilstošu datu pieejamība;</w:t>
      </w:r>
    </w:p>
    <w:p w:rsidR="00FD1CAB" w:rsidRPr="00FD1CAB" w:rsidRDefault="00FD1CAB" w:rsidP="005C07F3">
      <w:pPr>
        <w:pStyle w:val="ListParagraph"/>
        <w:numPr>
          <w:ilvl w:val="0"/>
          <w:numId w:val="13"/>
        </w:numPr>
        <w:spacing w:line="276" w:lineRule="auto"/>
        <w:jc w:val="both"/>
      </w:pPr>
      <w:r w:rsidRPr="00FD1CAB">
        <w:t>datu kvalitātes pārbaudes iespējas (informācijas pieejamība par kvantitatīvo datu ieguves metodiku, izlases veidošanas metodi, izlases apmēru, rādītāju mērījumos izmantoto instrumentāriju u.tml.);</w:t>
      </w:r>
    </w:p>
    <w:p w:rsidR="00FD1CAB" w:rsidRPr="00FD1CAB" w:rsidRDefault="00FD1CAB" w:rsidP="005C07F3">
      <w:pPr>
        <w:pStyle w:val="ListParagraph"/>
        <w:numPr>
          <w:ilvl w:val="0"/>
          <w:numId w:val="13"/>
        </w:numPr>
        <w:spacing w:line="276" w:lineRule="auto"/>
        <w:jc w:val="both"/>
      </w:pPr>
      <w:r w:rsidRPr="00FD1CAB">
        <w:t>kvantitatīvo datu pieejamība par konkrētām mērķa grupām, īpaši par ļoti mazām grupām vai nepilnīgi uzskaitītām grupām (nepietiekami lielas izlases, lai datus varētu analizēt nepieciešamajos griezumos, kas rada grūtības noteikt atšķirību būtiskumu), kā tas ir nabadzības un sociālās atstumtības jomā pieejamo apsekojumu datos (ierobežojuma mazināšanai tiks izmantoti citi datu avoti, piemēram, iepriekš veiktie pētījumi vai pētījumi specifiskās mērķa grupās);</w:t>
      </w:r>
    </w:p>
    <w:p w:rsidR="00FD1CAB" w:rsidRPr="00FD1CAB" w:rsidRDefault="00FD1CAB" w:rsidP="005C07F3">
      <w:pPr>
        <w:pStyle w:val="ListParagraph"/>
        <w:numPr>
          <w:ilvl w:val="0"/>
          <w:numId w:val="13"/>
        </w:numPr>
        <w:spacing w:line="276" w:lineRule="auto"/>
        <w:jc w:val="both"/>
      </w:pPr>
      <w:r w:rsidRPr="00FD1CAB">
        <w:t xml:space="preserve">kvantitatīvo datu pieejamība par konkrētiem rādītājiem (piemēram, EU-SILC </w:t>
      </w:r>
      <w:r w:rsidRPr="00FD1CAB">
        <w:rPr>
          <w:color w:val="000000"/>
        </w:rPr>
        <w:t>apsekojumos un aptaujās respondentiem tiek uzdoti samērā detalizēti jautājumi par sociālo atbalstu, bet anonimizētajos datos ir pieejamas jau agregētas vērtības, atsevišķi mainīgie anonimizētajā datu bāzē vispār netiek iekļauti);</w:t>
      </w:r>
    </w:p>
    <w:p w:rsidR="00FD1CAB" w:rsidRPr="00FD1CAB" w:rsidRDefault="00FD1CAB" w:rsidP="005C07F3">
      <w:pPr>
        <w:pStyle w:val="ListParagraph"/>
        <w:numPr>
          <w:ilvl w:val="0"/>
          <w:numId w:val="13"/>
        </w:numPr>
        <w:spacing w:line="276" w:lineRule="auto"/>
        <w:jc w:val="both"/>
      </w:pPr>
      <w:r w:rsidRPr="00FD1CAB">
        <w:t>kvantitatīvo datu atbilstība reālajai situācijai (šis aspekts ir tieši saistīts ar datu kvalitāti; ierobežojuma mazināšanai ir izmantojama triangulācijas metode: papildu kvantitatīvo datu izmantošana un kvalitatīvo datu izmantošana, piemēram, ekspertu interviju dati);</w:t>
      </w:r>
    </w:p>
    <w:p w:rsidR="00FD1CAB" w:rsidRPr="00FD1CAB" w:rsidRDefault="00FD1CAB" w:rsidP="005C07F3">
      <w:pPr>
        <w:pStyle w:val="ListParagraph"/>
        <w:numPr>
          <w:ilvl w:val="0"/>
          <w:numId w:val="13"/>
        </w:numPr>
        <w:spacing w:line="276" w:lineRule="auto"/>
        <w:jc w:val="both"/>
      </w:pPr>
      <w:r w:rsidRPr="00FD1CAB">
        <w:t xml:space="preserve">laikietilpīga metode gadījumos, kad papildu aprēķinu veikšanai nepieciešama oriģinālo datu pārkodēšana, strukturēšana atbilstoši pētnieciskajām un statistisko aprēķinu vajadzībām (ierobežojuma mazināšanas pamatā ir darba grupas līdzšinējā pieredze un zināšanas darbā ar lieliem statistikas datu masīviem, laika plānošana katra konkrētā uzdevuma izpildei). </w:t>
      </w:r>
    </w:p>
    <w:p w:rsidR="00FD1CAB" w:rsidRPr="00917E78" w:rsidRDefault="00FD1CAB" w:rsidP="00DE4D97">
      <w:pPr>
        <w:pStyle w:val="virsrakstslvl4"/>
      </w:pPr>
      <w:bookmarkStart w:id="105" w:name="_Toc528762824"/>
      <w:bookmarkStart w:id="106" w:name="_Toc528768882"/>
      <w:bookmarkStart w:id="107" w:name="_Toc528847609"/>
      <w:bookmarkStart w:id="108" w:name="_Toc528930593"/>
      <w:bookmarkStart w:id="109" w:name="_Toc529170541"/>
      <w:bookmarkStart w:id="110" w:name="_Toc529176264"/>
      <w:bookmarkStart w:id="111" w:name="_Toc529180092"/>
      <w:bookmarkStart w:id="112" w:name="_Toc529180337"/>
      <w:bookmarkStart w:id="113" w:name="_Toc531694112"/>
      <w:bookmarkStart w:id="114" w:name="_Toc531856217"/>
      <w:bookmarkStart w:id="115" w:name="_Toc531860006"/>
      <w:bookmarkStart w:id="116" w:name="_Toc535738792"/>
      <w:bookmarkStart w:id="117" w:name="_Toc535741790"/>
      <w:bookmarkStart w:id="118" w:name="_Toc535742143"/>
      <w:bookmarkStart w:id="119" w:name="_Toc535916126"/>
      <w:bookmarkStart w:id="120" w:name="_Toc535922778"/>
      <w:bookmarkStart w:id="121" w:name="_Toc535935081"/>
      <w:bookmarkStart w:id="122" w:name="_Toc788639"/>
      <w:bookmarkStart w:id="123" w:name="_Toc2761034"/>
      <w:bookmarkStart w:id="124" w:name="_Toc2848137"/>
      <w:bookmarkStart w:id="125" w:name="_Toc6219181"/>
      <w:bookmarkStart w:id="126" w:name="_Toc6220062"/>
      <w:bookmarkStart w:id="127" w:name="_Toc6841516"/>
      <w:r w:rsidRPr="00917E78">
        <w:t>Ekspertu intervijas</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EC1A1D" w:rsidRDefault="00FD1CAB" w:rsidP="00064C1E">
      <w:r w:rsidRPr="00FD1CAB">
        <w:t xml:space="preserve">Ekspertu intervijas </w:t>
      </w:r>
      <w:r w:rsidR="00EB2776">
        <w:t>tika</w:t>
      </w:r>
      <w:r w:rsidRPr="00FD1CAB">
        <w:t xml:space="preserve"> pielietotas </w:t>
      </w:r>
      <w:r w:rsidR="00FF51E2">
        <w:t xml:space="preserve">2., </w:t>
      </w:r>
      <w:r w:rsidRPr="00FD1CAB">
        <w:t xml:space="preserve"> 4. un 5. posma (sk. </w:t>
      </w:r>
      <w:r w:rsidR="00EB2776">
        <w:t>i</w:t>
      </w:r>
      <w:r w:rsidRPr="00FD1CAB">
        <w:t>. tabulu) uzdevumu izpildei.</w:t>
      </w:r>
      <w:r w:rsidR="00EB2776">
        <w:t xml:space="preserve"> </w:t>
      </w:r>
      <w:r w:rsidRPr="00FD1CAB">
        <w:t>Ekspertu intervijas tik</w:t>
      </w:r>
      <w:r w:rsidR="00EB2776">
        <w:t>a</w:t>
      </w:r>
      <w:r w:rsidRPr="00FD1CAB">
        <w:t xml:space="preserve"> veiktas, izmantojot padziļinātās daļēji strukturētās intervijas metodi. Padziļinātās daļēji strukturētās intervijas gaitā speciāli apmācīts intervētājs uzdod tā sauktos „atvērtos” jautājumus, t.i., tādus jautājumus, kuriem nav iepriekš noformulēti atbilžu varianti. Tas ļau</w:t>
      </w:r>
      <w:r w:rsidR="001832A9">
        <w:t>j</w:t>
      </w:r>
      <w:r w:rsidRPr="00FD1CAB">
        <w:t xml:space="preserve"> noskaidrot katra respondenta unikālo pieredzi, izpratni par konkrētām intervencēm sociālās aizsardzības, veselības aprūpes un mājokļa </w:t>
      </w:r>
      <w:r w:rsidR="001832A9">
        <w:t>pieejamības jomās I</w:t>
      </w:r>
      <w:r w:rsidRPr="00FD1CAB">
        <w:t>zvērtējumā aptvertajā laika periodā, neierobežojot to ar pētnieku vai institūciju iepriekš paredzētajām atbildēm. Šī datu iegūšanas metode šajā gadījumā ir īpaši piemērota, jo tā ir individuāla saruna, kura notiek pē</w:t>
      </w:r>
      <w:r w:rsidR="001832A9">
        <w:t>c iepriekšējas vienošanās ekspertam</w:t>
      </w:r>
      <w:r w:rsidRPr="00FD1CAB">
        <w:t xml:space="preserve"> ērtā vietā un laikā, kas ir īpaši svarīgi</w:t>
      </w:r>
      <w:r w:rsidR="001832A9">
        <w:t>,</w:t>
      </w:r>
      <w:r w:rsidRPr="00FD1CAB">
        <w:t xml:space="preserve"> apzinoties ekspertu grupas pārstāvju noslodzi pamatdarbā. Individuāla saruna sākotnējās informācijas iegūšanai ir piemērota arī tāpēc, ka ekspertiem ir ļoti plaša pieredze un zināšanas, un arī viedoklis par vēlamo tālāko darbību jomā, kuru ir vērtīgi netraucēti uzklausīt un fiksēt, turklāt pārrunājamo jautājumu apjoms ir tik liels, ka to sekmīga pārrunāšana ir iespējama tikai padziļinātās intervijas ietvaros. Fokusa grupu diskusijas gadījumā katra dalībnieka izteikšanās laiks ir ierobežotāks, tāpēc daļa vērtīgas informācijas var palikt neizpausta. </w:t>
      </w:r>
    </w:p>
    <w:p w:rsidR="00DE4D97" w:rsidRDefault="00DE4D97" w:rsidP="00064C1E"/>
    <w:p w:rsidR="00FD1CAB" w:rsidRPr="00FD1CAB" w:rsidRDefault="00FD1CAB" w:rsidP="00064C1E">
      <w:r w:rsidRPr="00FD1CAB">
        <w:t xml:space="preserve">Intervijas </w:t>
      </w:r>
      <w:r w:rsidR="001832A9">
        <w:t>tika</w:t>
      </w:r>
      <w:r w:rsidRPr="00FD1CAB">
        <w:t xml:space="preserve"> strukturētas atbilstoši iepriekš izstrādātajām vadlīnijām</w:t>
      </w:r>
      <w:r w:rsidR="001832A9">
        <w:t xml:space="preserve"> (sk. 3. pielikumu)</w:t>
      </w:r>
      <w:r w:rsidRPr="00FD1CAB">
        <w:t xml:space="preserve">, aptverot visus </w:t>
      </w:r>
      <w:r w:rsidR="00EC1A1D">
        <w:t>tos jautājumus, kuri nodrošina I</w:t>
      </w:r>
      <w:r w:rsidRPr="00FD1CAB">
        <w:t xml:space="preserve">zvērtējuma galvenā mērķa sasniegšanai un uzdevumu izpildei nepieciešamās informācijas iegūšanu. Vienlaikus intervijas laikā intervētājam </w:t>
      </w:r>
      <w:r w:rsidR="001832A9">
        <w:t xml:space="preserve">bija iespēja uzdot </w:t>
      </w:r>
      <w:r w:rsidR="001832A9">
        <w:lastRenderedPageBreak/>
        <w:t>papildu</w:t>
      </w:r>
      <w:r w:rsidRPr="00FD1CAB">
        <w:t xml:space="preserve"> jautājumus, brīvi mainīt jautājumu kārtību, piemērot sarunas tempu un saturu </w:t>
      </w:r>
      <w:r w:rsidR="001832A9">
        <w:t>eksperta</w:t>
      </w:r>
      <w:r w:rsidRPr="00FD1CAB">
        <w:t xml:space="preserve"> runas veidam un sniegto atbilžu saturam, kontekstam. Ekspertu interviju priekšrocība ir tā, ka brīvas sarunas formā organizētās intervij</w:t>
      </w:r>
      <w:r w:rsidR="001832A9">
        <w:t>ās, ir iespējams uzzināt citās I</w:t>
      </w:r>
      <w:r w:rsidRPr="00FD1CAB">
        <w:t>zvērtējuma aktivitātēs neidentificē</w:t>
      </w:r>
      <w:r w:rsidR="001832A9">
        <w:t>tu informāciju, kas ir vērtīga I</w:t>
      </w:r>
      <w:r w:rsidRPr="00FD1CAB">
        <w:t xml:space="preserve">zvērtējuma mērķu sasniegšanai. </w:t>
      </w:r>
    </w:p>
    <w:p w:rsidR="00FD1CAB" w:rsidRPr="00FD1CAB" w:rsidRDefault="00FD1CAB" w:rsidP="00064C1E"/>
    <w:p w:rsidR="00FD1CAB" w:rsidRPr="00FD1CAB" w:rsidRDefault="00FD1CAB" w:rsidP="00064C1E">
      <w:r w:rsidRPr="00FD1CAB">
        <w:t xml:space="preserve">Ekspertu intervijās iegūtā informācija veido daļu no </w:t>
      </w:r>
      <w:r w:rsidR="00CD7633">
        <w:t>I</w:t>
      </w:r>
      <w:r w:rsidRPr="00FD1CAB">
        <w:t>zvērtējuma integrētās analīzes informācijas bāzes. Saņemot ekspertu piekrišanu, tik</w:t>
      </w:r>
      <w:r w:rsidR="001832A9">
        <w:t>a</w:t>
      </w:r>
      <w:r w:rsidRPr="00FD1CAB">
        <w:t xml:space="preserve"> veikti ekspertu interviju audioieraksti. </w:t>
      </w:r>
      <w:r w:rsidR="001832A9">
        <w:t>P</w:t>
      </w:r>
      <w:r w:rsidRPr="00FD1CAB">
        <w:t xml:space="preserve">irms integrētās analīzes </w:t>
      </w:r>
      <w:r w:rsidR="001832A9">
        <w:t>tika īstenota</w:t>
      </w:r>
      <w:r w:rsidRPr="00FD1CAB">
        <w:t xml:space="preserve"> iegūto datu primārā apstrāde, veicot šādas datu apstrādes procedūras:</w:t>
      </w:r>
    </w:p>
    <w:p w:rsidR="00FD1CAB" w:rsidRPr="00FD1CAB" w:rsidRDefault="00FD1CAB" w:rsidP="005C07F3">
      <w:pPr>
        <w:numPr>
          <w:ilvl w:val="0"/>
          <w:numId w:val="23"/>
        </w:numPr>
        <w:suppressAutoHyphens/>
      </w:pPr>
      <w:r w:rsidRPr="00FD1CAB">
        <w:t>interviju transkripciju sagatavošana (intervijas tekstuālā atšifrēšana);</w:t>
      </w:r>
    </w:p>
    <w:p w:rsidR="00FD1CAB" w:rsidRPr="00FD1CAB" w:rsidRDefault="00FD1CAB" w:rsidP="005C07F3">
      <w:pPr>
        <w:numPr>
          <w:ilvl w:val="0"/>
          <w:numId w:val="23"/>
        </w:numPr>
      </w:pPr>
      <w:r w:rsidRPr="00FD1CAB">
        <w:t>kvalitatīvo datu primārā kodēšana, identificējot kopīgās tēmas, no tām izrietošās apakštēmas (t.i., strukturētās padziļinātās intervijas transkripcijas teksta grupēšana tēmās, apakštēmās un to loģiskās sasaistes blokos).</w:t>
      </w:r>
    </w:p>
    <w:p w:rsidR="00FD1CAB" w:rsidRPr="00FD1CAB" w:rsidRDefault="00FD1CAB" w:rsidP="00064C1E"/>
    <w:p w:rsidR="00FD1CAB" w:rsidRPr="00FD1CAB" w:rsidRDefault="00FD1CAB" w:rsidP="00064C1E">
      <w:r w:rsidRPr="00FD1CAB">
        <w:t xml:space="preserve">Metodes galvenās priekšrocības ir aprakstītas metodes kopējā raksturojumā. Tās būtiskākie </w:t>
      </w:r>
      <w:r w:rsidRPr="00CD7633">
        <w:rPr>
          <w:b/>
        </w:rPr>
        <w:t>ierobežojumi</w:t>
      </w:r>
      <w:r w:rsidRPr="00FD1CAB">
        <w:t xml:space="preserve"> ir saistīti ar ekspertu pieejamību, atsaucību un motivāciju piedalīties intervijā pa</w:t>
      </w:r>
      <w:r w:rsidR="008D6552">
        <w:t>r I</w:t>
      </w:r>
      <w:r w:rsidRPr="00FD1CAB">
        <w:t xml:space="preserve">zvērtējuma tēmām, kā arī to, ka šādā formā iegūtie dati nav kvantificējami. </w:t>
      </w:r>
      <w:r w:rsidR="001832A9">
        <w:t xml:space="preserve">Ekspertu </w:t>
      </w:r>
      <w:r w:rsidRPr="00FD1CAB">
        <w:t>pieejamības ierobežojum</w:t>
      </w:r>
      <w:r w:rsidR="001832A9">
        <w:t>s</w:t>
      </w:r>
      <w:r w:rsidRPr="00FD1CAB">
        <w:t xml:space="preserve"> </w:t>
      </w:r>
      <w:r w:rsidR="001832A9">
        <w:t>tika</w:t>
      </w:r>
      <w:r w:rsidRPr="00FD1CAB">
        <w:t xml:space="preserve"> mazināt</w:t>
      </w:r>
      <w:r w:rsidR="001832A9">
        <w:t>s</w:t>
      </w:r>
      <w:r w:rsidRPr="00FD1CAB">
        <w:t xml:space="preserve"> ar savlaicīgu interviju norises laika plānošanu. Zināms ierobežojums </w:t>
      </w:r>
      <w:r w:rsidR="001832A9">
        <w:t xml:space="preserve">šīs metodes pielietojumā </w:t>
      </w:r>
      <w:r w:rsidRPr="00FD1CAB">
        <w:t xml:space="preserve">ir ekspertu institucionālā atmiņa, </w:t>
      </w:r>
      <w:r w:rsidR="008D6552">
        <w:t>ņemot vērā I</w:t>
      </w:r>
      <w:r w:rsidRPr="00FD1CAB">
        <w:t>zvērtējumam definēto laika periodu. Š</w:t>
      </w:r>
      <w:r w:rsidR="001832A9">
        <w:t>is</w:t>
      </w:r>
      <w:r w:rsidRPr="00FD1CAB">
        <w:t xml:space="preserve"> ierobežojum</w:t>
      </w:r>
      <w:r w:rsidR="001832A9">
        <w:t>s</w:t>
      </w:r>
      <w:r w:rsidRPr="00FD1CAB">
        <w:t xml:space="preserve"> </w:t>
      </w:r>
      <w:r w:rsidR="001832A9">
        <w:t>tika mazināts</w:t>
      </w:r>
      <w:r w:rsidRPr="00FD1CAB">
        <w:t xml:space="preserve"> ekspertu rekrutācijas posmā, noskaidrojot viņu kompetenci par intervencēm, kas notikušas konkrētajā periodā. Tā kā ekspertu interviju datu iegūšana </w:t>
      </w:r>
      <w:r w:rsidR="001832A9">
        <w:t>tika</w:t>
      </w:r>
      <w:r w:rsidRPr="00FD1CAB">
        <w:t xml:space="preserve"> plānota, lai papildinātu kvantitatīvos datus, tad ierobežojumi, kas saistīti ar to, ka d</w:t>
      </w:r>
      <w:r w:rsidR="001832A9">
        <w:t>ati nav kvantificējami, šī I</w:t>
      </w:r>
      <w:r w:rsidRPr="00FD1CAB">
        <w:t>zvērtējuma izstrādes ietvaros nav aktuāls.</w:t>
      </w:r>
    </w:p>
    <w:p w:rsidR="00FD1CAB" w:rsidRPr="00917E78" w:rsidRDefault="00FD1CAB" w:rsidP="00DE4D97">
      <w:pPr>
        <w:pStyle w:val="virsrakstslvl4"/>
      </w:pPr>
      <w:bookmarkStart w:id="128" w:name="_Toc528762825"/>
      <w:bookmarkStart w:id="129" w:name="_Toc528768883"/>
      <w:bookmarkStart w:id="130" w:name="_Toc528847610"/>
      <w:bookmarkStart w:id="131" w:name="_Toc528930594"/>
      <w:bookmarkStart w:id="132" w:name="_Toc529170542"/>
      <w:bookmarkStart w:id="133" w:name="_Toc529176265"/>
      <w:bookmarkStart w:id="134" w:name="_Toc529180093"/>
      <w:bookmarkStart w:id="135" w:name="_Toc529180338"/>
      <w:bookmarkStart w:id="136" w:name="_Toc531694113"/>
      <w:bookmarkStart w:id="137" w:name="_Toc531856218"/>
      <w:bookmarkStart w:id="138" w:name="_Toc531860007"/>
      <w:bookmarkStart w:id="139" w:name="_Toc535738793"/>
      <w:bookmarkStart w:id="140" w:name="_Toc535741791"/>
      <w:bookmarkStart w:id="141" w:name="_Toc535742144"/>
      <w:bookmarkStart w:id="142" w:name="_Toc535916127"/>
      <w:bookmarkStart w:id="143" w:name="_Toc535922779"/>
      <w:bookmarkStart w:id="144" w:name="_Toc535935082"/>
      <w:bookmarkStart w:id="145" w:name="_Toc788640"/>
      <w:bookmarkStart w:id="146" w:name="_Toc2761035"/>
      <w:bookmarkStart w:id="147" w:name="_Toc2848138"/>
      <w:bookmarkStart w:id="148" w:name="_Toc6219182"/>
      <w:bookmarkStart w:id="149" w:name="_Toc6220063"/>
      <w:bookmarkStart w:id="150" w:name="_Toc6841517"/>
      <w:r w:rsidRPr="00917E78">
        <w:t>Fokusa grupu diskusijas</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FD1CAB" w:rsidRDefault="001832A9" w:rsidP="00064C1E">
      <w:r>
        <w:t>Fokusa grupas</w:t>
      </w:r>
      <w:r w:rsidR="00FD1CAB" w:rsidRPr="00FD1CAB">
        <w:t xml:space="preserve"> diskusijas </w:t>
      </w:r>
      <w:r w:rsidR="00CD7633">
        <w:t xml:space="preserve">(FGD) </w:t>
      </w:r>
      <w:r w:rsidR="00FD1CAB" w:rsidRPr="00FD1CAB">
        <w:t>metode tik</w:t>
      </w:r>
      <w:r>
        <w:t>a izmantota I</w:t>
      </w:r>
      <w:r w:rsidR="00FD1CAB" w:rsidRPr="00FD1CAB">
        <w:t>zvērtējuma 4. un 5. posma izpildei (atbils</w:t>
      </w:r>
      <w:r w:rsidR="00CD7633">
        <w:t xml:space="preserve">toši </w:t>
      </w:r>
      <w:r>
        <w:t>i</w:t>
      </w:r>
      <w:r w:rsidR="00CD7633">
        <w:t>. tabulai), lai aprobētu I</w:t>
      </w:r>
      <w:r w:rsidR="00FD1CAB" w:rsidRPr="00FD1CAB">
        <w:t xml:space="preserve">zvērtējuma secinājumus nozares </w:t>
      </w:r>
      <w:r>
        <w:t xml:space="preserve"> - veselības aprūpes un mājokļu pieejamības - </w:t>
      </w:r>
      <w:r w:rsidR="00FD1CAB" w:rsidRPr="00FD1CAB">
        <w:t>ekspertu grupā. Tādējād</w:t>
      </w:r>
      <w:r w:rsidR="00CD7633">
        <w:t xml:space="preserve">i </w:t>
      </w:r>
      <w:r>
        <w:t>tika</w:t>
      </w:r>
      <w:r w:rsidR="00CD7633">
        <w:t xml:space="preserve"> novērtēta I</w:t>
      </w:r>
      <w:r w:rsidR="00FD1CAB" w:rsidRPr="00FD1CAB">
        <w:t>zvērtējuma secinājumu un reko</w:t>
      </w:r>
      <w:r>
        <w:t>mendāciju iekšējā validitāte – I</w:t>
      </w:r>
      <w:r w:rsidR="00FD1CAB" w:rsidRPr="00FD1CAB">
        <w:t>zvērtējuma rezultātu precizitāte, atbilstība, objektivitāte.</w:t>
      </w:r>
      <w:r>
        <w:t xml:space="preserve"> </w:t>
      </w:r>
    </w:p>
    <w:p w:rsidR="001832A9" w:rsidRPr="00FD1CAB" w:rsidRDefault="001832A9" w:rsidP="00064C1E"/>
    <w:p w:rsidR="00FD1CAB" w:rsidRPr="00FD1CAB" w:rsidRDefault="00CD7633" w:rsidP="00064C1E">
      <w:r>
        <w:t>FGD</w:t>
      </w:r>
      <w:r w:rsidR="00FD1CAB" w:rsidRPr="00FD1CAB">
        <w:t xml:space="preserve"> ir kvalitatīvā datu ieguves metode – rūpīgi izplānota 6-10 dalībnieku diskusija moderatora (diskusijas vadītāja) vadībā pēc iespējas neformālā un brīvā gaisotnē, lai iegūtu izpratni par konkrētu jautājumu vai tēmu</w:t>
      </w:r>
      <w:r w:rsidR="001832A9">
        <w:t xml:space="preserve"> (FGD jautājumu vadlīnijas sk. 4.pielikumā)</w:t>
      </w:r>
      <w:r w:rsidR="00FD1CAB" w:rsidRPr="00FD1CAB">
        <w:t xml:space="preserve">. FGD raksturo: </w:t>
      </w:r>
    </w:p>
    <w:p w:rsidR="00FD1CAB" w:rsidRPr="00FD1CAB" w:rsidRDefault="00FD1CAB" w:rsidP="005C07F3">
      <w:pPr>
        <w:numPr>
          <w:ilvl w:val="0"/>
          <w:numId w:val="10"/>
        </w:numPr>
      </w:pPr>
      <w:r w:rsidRPr="00FD1CAB">
        <w:t>konkrēts mērķis un tēma,</w:t>
      </w:r>
    </w:p>
    <w:p w:rsidR="00FD1CAB" w:rsidRPr="00FD1CAB" w:rsidRDefault="00FD1CAB" w:rsidP="005C07F3">
      <w:pPr>
        <w:numPr>
          <w:ilvl w:val="0"/>
          <w:numId w:val="10"/>
        </w:numPr>
      </w:pPr>
      <w:r w:rsidRPr="00FD1CAB">
        <w:t>6-10 dalībnieki, kas ir atlasīti pēc konkrētām pazīmēm (šajā gadījumā pēc to profesionālās kompetences),</w:t>
      </w:r>
    </w:p>
    <w:p w:rsidR="00FD1CAB" w:rsidRPr="00FD1CAB" w:rsidRDefault="00FD1CAB" w:rsidP="005C07F3">
      <w:pPr>
        <w:numPr>
          <w:ilvl w:val="0"/>
          <w:numId w:val="10"/>
        </w:numPr>
      </w:pPr>
      <w:r w:rsidRPr="00FD1CAB">
        <w:t>dalībnieku starppersonu komunikācija,</w:t>
      </w:r>
    </w:p>
    <w:p w:rsidR="00FD1CAB" w:rsidRPr="00FD1CAB" w:rsidRDefault="00FD1CAB" w:rsidP="005C07F3">
      <w:pPr>
        <w:numPr>
          <w:ilvl w:val="0"/>
          <w:numId w:val="10"/>
        </w:numPr>
      </w:pPr>
      <w:r w:rsidRPr="00FD1CAB">
        <w:t>neformāla, brīva, pēc iespējas dabiska un iedrošinoša vide un gaisotne,</w:t>
      </w:r>
    </w:p>
    <w:p w:rsidR="00FD1CAB" w:rsidRPr="00FD1CAB" w:rsidRDefault="00FD1CAB" w:rsidP="005C07F3">
      <w:pPr>
        <w:numPr>
          <w:ilvl w:val="0"/>
          <w:numId w:val="10"/>
        </w:numPr>
      </w:pPr>
      <w:r w:rsidRPr="00FD1CAB">
        <w:t xml:space="preserve">kopējais ilgums līdz 2 stundām, </w:t>
      </w:r>
    </w:p>
    <w:p w:rsidR="00FD1CAB" w:rsidRPr="00FD1CAB" w:rsidRDefault="00FD1CAB" w:rsidP="005C07F3">
      <w:pPr>
        <w:numPr>
          <w:ilvl w:val="0"/>
          <w:numId w:val="10"/>
        </w:numPr>
      </w:pPr>
      <w:r w:rsidRPr="00FD1CAB">
        <w:t>viedokļu, attieksmju, rīcības modeļu daudzveidība,</w:t>
      </w:r>
    </w:p>
    <w:p w:rsidR="00FD1CAB" w:rsidRPr="00FD1CAB" w:rsidRDefault="00FD1CAB" w:rsidP="005C07F3">
      <w:pPr>
        <w:numPr>
          <w:ilvl w:val="0"/>
          <w:numId w:val="10"/>
        </w:numPr>
      </w:pPr>
      <w:r w:rsidRPr="00FD1CAB">
        <w:t>padziļinātas izpratnes iegūšana.</w:t>
      </w:r>
    </w:p>
    <w:p w:rsidR="00FD1CAB" w:rsidRDefault="00FD1CAB" w:rsidP="00064C1E">
      <w:pPr>
        <w:tabs>
          <w:tab w:val="num" w:pos="720"/>
        </w:tabs>
      </w:pPr>
      <w:r w:rsidRPr="00FD1CAB">
        <w:t xml:space="preserve">Metodes galvenās priekšrocības ir </w:t>
      </w:r>
      <w:r w:rsidR="001832A9">
        <w:t>grupas dalībnieku</w:t>
      </w:r>
      <w:r w:rsidRPr="00FD1CAB">
        <w:t xml:space="preserve"> mijiedarbība, kas palielina viedokļu atklāšanas iespējas; viedokļu veidošanās procesa izpratne; īsā laikā posmā bagātīgi dati; brīva dalībnieku izteiksmes forma; tieša moderatora un </w:t>
      </w:r>
      <w:r w:rsidR="001832A9">
        <w:t>dalībnieku</w:t>
      </w:r>
      <w:r w:rsidRPr="00FD1CAB">
        <w:t xml:space="preserve"> saskarsme. Izvērtējuma ietvaros metode tik</w:t>
      </w:r>
      <w:r w:rsidR="001832A9">
        <w:t>a</w:t>
      </w:r>
      <w:r w:rsidRPr="00FD1CAB">
        <w:t xml:space="preserve"> </w:t>
      </w:r>
      <w:r w:rsidRPr="00FD1CAB">
        <w:lastRenderedPageBreak/>
        <w:t xml:space="preserve">izmantota kā galveno secinājumu un rekomendāciju aprobācijas metode, lai saņemtu atgriezenisko saiti no ekspertiem veselības aprūpes </w:t>
      </w:r>
      <w:r w:rsidR="00EC1A1D">
        <w:t xml:space="preserve">un mājokļu pieejamības </w:t>
      </w:r>
      <w:r w:rsidR="001832A9">
        <w:t>jomā</w:t>
      </w:r>
      <w:r w:rsidR="008D6552">
        <w:t xml:space="preserve"> par I</w:t>
      </w:r>
      <w:r w:rsidRPr="00FD1CAB">
        <w:t xml:space="preserve">zvērtējuma rezultātiem. </w:t>
      </w:r>
    </w:p>
    <w:p w:rsidR="00C34285" w:rsidRPr="00FD1CAB" w:rsidRDefault="00C34285" w:rsidP="00064C1E">
      <w:pPr>
        <w:tabs>
          <w:tab w:val="num" w:pos="720"/>
        </w:tabs>
      </w:pPr>
    </w:p>
    <w:p w:rsidR="00FD1CAB" w:rsidRPr="00FD1CAB" w:rsidRDefault="00FD1CAB" w:rsidP="00064C1E">
      <w:pPr>
        <w:tabs>
          <w:tab w:val="num" w:pos="720"/>
        </w:tabs>
      </w:pPr>
      <w:r w:rsidRPr="00EC1A1D">
        <w:t>Gan FGD, gan ekspertu intervijas</w:t>
      </w:r>
      <w:r w:rsidR="008D6552">
        <w:t xml:space="preserve"> ir piemērotas I</w:t>
      </w:r>
      <w:r w:rsidRPr="00FD1CAB">
        <w:t>zvērtējuma vajadzībām šādos aspektos:</w:t>
      </w:r>
    </w:p>
    <w:p w:rsidR="00FD1CAB" w:rsidRPr="00FD1CAB" w:rsidRDefault="00FD1CAB" w:rsidP="005C07F3">
      <w:pPr>
        <w:pStyle w:val="ListParagraph"/>
        <w:numPr>
          <w:ilvl w:val="0"/>
          <w:numId w:val="11"/>
        </w:numPr>
        <w:suppressAutoHyphens/>
        <w:autoSpaceDE w:val="0"/>
        <w:spacing w:line="276" w:lineRule="auto"/>
        <w:contextualSpacing w:val="0"/>
      </w:pPr>
      <w:r w:rsidRPr="00FD1CAB">
        <w:t>noteikt un definēt intervences ieviešanas problēmas;</w:t>
      </w:r>
    </w:p>
    <w:p w:rsidR="00FD1CAB" w:rsidRPr="00FD1CAB" w:rsidRDefault="00FD1CAB" w:rsidP="005C07F3">
      <w:pPr>
        <w:pStyle w:val="ListParagraph"/>
        <w:numPr>
          <w:ilvl w:val="0"/>
          <w:numId w:val="11"/>
        </w:numPr>
        <w:suppressAutoHyphens/>
        <w:autoSpaceDE w:val="0"/>
        <w:spacing w:line="276" w:lineRule="auto"/>
        <w:contextualSpacing w:val="0"/>
      </w:pPr>
      <w:r w:rsidRPr="00FD1CAB">
        <w:t>noteikt un izprast intervences stiprās un vājās puses;</w:t>
      </w:r>
    </w:p>
    <w:p w:rsidR="00FD1CAB" w:rsidRPr="00FD1CAB" w:rsidRDefault="00FD1CAB" w:rsidP="005C07F3">
      <w:pPr>
        <w:pStyle w:val="ListParagraph"/>
        <w:numPr>
          <w:ilvl w:val="0"/>
          <w:numId w:val="11"/>
        </w:numPr>
        <w:suppressAutoHyphens/>
        <w:autoSpaceDE w:val="0"/>
        <w:spacing w:line="276" w:lineRule="auto"/>
        <w:contextualSpacing w:val="0"/>
        <w:jc w:val="both"/>
      </w:pPr>
      <w:r w:rsidRPr="00FD1CAB">
        <w:t>iegūt ieteikumus rīcībpolitikas un tās novērtējuma pilnveidošanai;</w:t>
      </w:r>
    </w:p>
    <w:p w:rsidR="00FD1CAB" w:rsidRPr="00FD1CAB" w:rsidRDefault="008D6552" w:rsidP="005C07F3">
      <w:pPr>
        <w:pStyle w:val="ListParagraph"/>
        <w:numPr>
          <w:ilvl w:val="0"/>
          <w:numId w:val="11"/>
        </w:numPr>
        <w:suppressAutoHyphens/>
        <w:autoSpaceDE w:val="0"/>
        <w:spacing w:line="276" w:lineRule="auto"/>
        <w:contextualSpacing w:val="0"/>
        <w:jc w:val="both"/>
      </w:pPr>
      <w:r>
        <w:t>palīdzēt izprast kvantitatīvos I</w:t>
      </w:r>
      <w:r w:rsidR="00FD1CAB" w:rsidRPr="00FD1CAB">
        <w:t>zvērtējuma datus;</w:t>
      </w:r>
    </w:p>
    <w:p w:rsidR="00FD1CAB" w:rsidRPr="00FD1CAB" w:rsidRDefault="00FD1CAB" w:rsidP="005C07F3">
      <w:pPr>
        <w:pStyle w:val="ListParagraph"/>
        <w:numPr>
          <w:ilvl w:val="0"/>
          <w:numId w:val="11"/>
        </w:numPr>
        <w:suppressAutoHyphens/>
        <w:autoSpaceDE w:val="0"/>
        <w:spacing w:line="276" w:lineRule="auto"/>
        <w:contextualSpacing w:val="0"/>
        <w:jc w:val="both"/>
      </w:pPr>
      <w:r w:rsidRPr="00FD1CAB">
        <w:t>rast izpratni pat intervences rezultātiem un ietekmi uz mērķa grupām;</w:t>
      </w:r>
    </w:p>
    <w:p w:rsidR="00FD1CAB" w:rsidRPr="00FD1CAB" w:rsidRDefault="00FD1CAB" w:rsidP="005C07F3">
      <w:pPr>
        <w:pStyle w:val="ListParagraph"/>
        <w:numPr>
          <w:ilvl w:val="0"/>
          <w:numId w:val="11"/>
        </w:numPr>
        <w:suppressAutoHyphens/>
        <w:autoSpaceDE w:val="0"/>
        <w:spacing w:line="276" w:lineRule="auto"/>
        <w:contextualSpacing w:val="0"/>
        <w:jc w:val="both"/>
      </w:pPr>
      <w:r w:rsidRPr="00FD1CAB">
        <w:t>radīt jaunas idejas pa</w:t>
      </w:r>
      <w:r w:rsidR="008D6552">
        <w:t>r I</w:t>
      </w:r>
      <w:r w:rsidRPr="00FD1CAB">
        <w:t>zvērtējumā izmantojamajiem datiem;</w:t>
      </w:r>
    </w:p>
    <w:p w:rsidR="00FD1CAB" w:rsidRPr="00FD1CAB" w:rsidRDefault="00FD1CAB" w:rsidP="005C07F3">
      <w:pPr>
        <w:pStyle w:val="ListParagraph"/>
        <w:numPr>
          <w:ilvl w:val="0"/>
          <w:numId w:val="11"/>
        </w:numPr>
        <w:suppressAutoHyphens/>
        <w:autoSpaceDE w:val="0"/>
        <w:spacing w:line="276" w:lineRule="auto"/>
        <w:contextualSpacing w:val="0"/>
      </w:pPr>
      <w:r w:rsidRPr="00FD1CAB">
        <w:t>iegūt padziļinātu intervences vērtējumu no mērķa grupas perspektīvas (politikas veidotāji un dažāda līmeņa politikas īstenotāji).</w:t>
      </w:r>
    </w:p>
    <w:p w:rsidR="00FD1CAB" w:rsidRPr="00FD1CAB" w:rsidRDefault="00FD1CAB" w:rsidP="00064C1E">
      <w:pPr>
        <w:tabs>
          <w:tab w:val="num" w:pos="720"/>
        </w:tabs>
      </w:pPr>
      <w:r w:rsidRPr="00FD1CAB">
        <w:t xml:space="preserve">Galvenie </w:t>
      </w:r>
      <w:r w:rsidR="00EC1A1D">
        <w:t>FGD kā</w:t>
      </w:r>
      <w:r w:rsidRPr="00FD1CAB">
        <w:t xml:space="preserve"> metodes </w:t>
      </w:r>
      <w:r w:rsidRPr="00EC1A1D">
        <w:rPr>
          <w:b/>
        </w:rPr>
        <w:t>ierobežojumi</w:t>
      </w:r>
      <w:r w:rsidRPr="00FD1CAB">
        <w:t xml:space="preserve"> ir šādi:</w:t>
      </w:r>
    </w:p>
    <w:p w:rsidR="00FD1CAB" w:rsidRPr="00FD1CAB" w:rsidRDefault="00FD1CAB" w:rsidP="005C07F3">
      <w:pPr>
        <w:pStyle w:val="ListParagraph"/>
        <w:numPr>
          <w:ilvl w:val="0"/>
          <w:numId w:val="12"/>
        </w:numPr>
        <w:spacing w:line="276" w:lineRule="auto"/>
        <w:contextualSpacing w:val="0"/>
        <w:jc w:val="both"/>
      </w:pPr>
      <w:r w:rsidRPr="00FD1CAB">
        <w:t>grupas viedokļa veidošanās, kas var apgrūtināt individuālo viedokļu paušanu;</w:t>
      </w:r>
    </w:p>
    <w:p w:rsidR="00FD1CAB" w:rsidRPr="00FD1CAB" w:rsidRDefault="00FD1CAB" w:rsidP="005C07F3">
      <w:pPr>
        <w:pStyle w:val="ListParagraph"/>
        <w:numPr>
          <w:ilvl w:val="0"/>
          <w:numId w:val="12"/>
        </w:numPr>
        <w:spacing w:line="276" w:lineRule="auto"/>
        <w:contextualSpacing w:val="0"/>
        <w:jc w:val="both"/>
      </w:pPr>
      <w:r w:rsidRPr="00FD1CAB">
        <w:t>viedokļu maiņa diskusijas laikā (moderatora uzdevums ir to pamanīt un lūgt dalībniekiem tās skaidrot);</w:t>
      </w:r>
    </w:p>
    <w:p w:rsidR="00FD1CAB" w:rsidRPr="00FD1CAB" w:rsidRDefault="00FD1CAB" w:rsidP="005C07F3">
      <w:pPr>
        <w:pStyle w:val="ListParagraph"/>
        <w:numPr>
          <w:ilvl w:val="0"/>
          <w:numId w:val="12"/>
        </w:numPr>
        <w:spacing w:line="276" w:lineRule="auto"/>
        <w:contextualSpacing w:val="0"/>
        <w:jc w:val="both"/>
      </w:pPr>
      <w:r w:rsidRPr="00FD1CAB">
        <w:t>laikietilpīga datu „ievadīšana” (FGD audioierakstu transkriptu sagatavošana);</w:t>
      </w:r>
    </w:p>
    <w:p w:rsidR="00FD1CAB" w:rsidRPr="00FD1CAB" w:rsidRDefault="00FD1CAB" w:rsidP="005C07F3">
      <w:pPr>
        <w:pStyle w:val="ListParagraph"/>
        <w:numPr>
          <w:ilvl w:val="0"/>
          <w:numId w:val="12"/>
        </w:numPr>
        <w:spacing w:line="276" w:lineRule="auto"/>
        <w:contextualSpacing w:val="0"/>
        <w:jc w:val="both"/>
      </w:pPr>
      <w:r w:rsidRPr="00FD1CAB">
        <w:t>laikietilpīga datu kodēšana un analīze;</w:t>
      </w:r>
    </w:p>
    <w:p w:rsidR="00FD1CAB" w:rsidRPr="00FD1CAB" w:rsidRDefault="00FD1CAB" w:rsidP="005C07F3">
      <w:pPr>
        <w:pStyle w:val="ListParagraph"/>
        <w:numPr>
          <w:ilvl w:val="0"/>
          <w:numId w:val="12"/>
        </w:numPr>
        <w:spacing w:line="276" w:lineRule="auto"/>
        <w:contextualSpacing w:val="0"/>
        <w:jc w:val="both"/>
      </w:pPr>
      <w:r w:rsidRPr="00FD1CAB">
        <w:t xml:space="preserve">ierobežotas vispārinājuma iespējas (šajā gadījumā ierobežojums ir minimāls, jo FGD mērķis ir konkrētu secinājumu un rekomendāciju apspriešana, papildus stipro un vājo pušu analīzes veikšana). </w:t>
      </w:r>
    </w:p>
    <w:p w:rsidR="00FD1CAB" w:rsidRPr="00FD1CAB" w:rsidRDefault="00FD1CAB" w:rsidP="00064C1E"/>
    <w:p w:rsidR="00803794" w:rsidRDefault="00144CD8" w:rsidP="00064C1E">
      <w:r>
        <w:t>I</w:t>
      </w:r>
      <w:r w:rsidR="00FD1CAB" w:rsidRPr="00FD1CAB">
        <w:t>zvērtējuma metodoloģijas detalizēts raksturojums</w:t>
      </w:r>
      <w:r w:rsidR="00FD1CAB">
        <w:t xml:space="preserve"> pa jomām</w:t>
      </w:r>
      <w:r w:rsidR="001832A9">
        <w:t xml:space="preserve"> ir sniegts 1.</w:t>
      </w:r>
      <w:r w:rsidR="003C6EB3">
        <w:t xml:space="preserve"> </w:t>
      </w:r>
      <w:r w:rsidR="001832A9">
        <w:t>pielikumā „Izvērtējuma metodoloģija”</w:t>
      </w:r>
      <w:r w:rsidR="00FD1CAB" w:rsidRPr="00FD1CAB">
        <w:t>.</w:t>
      </w:r>
      <w:r w:rsidR="00803794">
        <w:t xml:space="preserve"> </w:t>
      </w:r>
    </w:p>
    <w:p w:rsidR="00803794" w:rsidRDefault="00803794" w:rsidP="00064C1E"/>
    <w:p w:rsidR="00076D8B" w:rsidRPr="00076D8B" w:rsidRDefault="00076D8B" w:rsidP="00064C1E">
      <w:pPr>
        <w:rPr>
          <w:b/>
          <w:color w:val="FF0000"/>
        </w:rPr>
      </w:pPr>
    </w:p>
    <w:p w:rsidR="000176CF" w:rsidRPr="00315872" w:rsidRDefault="009D6ABD" w:rsidP="003945E0">
      <w:pPr>
        <w:pStyle w:val="Heading1"/>
      </w:pPr>
      <w:bookmarkStart w:id="151" w:name="_Toc6220064"/>
      <w:bookmarkStart w:id="152" w:name="_Toc6841518"/>
      <w:r w:rsidRPr="00315872">
        <w:lastRenderedPageBreak/>
        <w:t>Sociālās atstumtības un nabadzības mazināšanas jomas izvērtējums</w:t>
      </w:r>
      <w:bookmarkEnd w:id="151"/>
      <w:bookmarkEnd w:id="152"/>
    </w:p>
    <w:p w:rsidR="00E258AC" w:rsidRPr="00DE09E2" w:rsidRDefault="00E258AC" w:rsidP="00E258AC">
      <w:bookmarkStart w:id="153" w:name="_Toc2949215"/>
      <w:r w:rsidRPr="00DE09E2">
        <w:t xml:space="preserve">Izvērtējuma 1. nodaļa ir strukturēta četrās sadaļās. </w:t>
      </w:r>
      <w:r w:rsidR="003C6EB3">
        <w:t>1.1.</w:t>
      </w:r>
      <w:r w:rsidRPr="00DE09E2">
        <w:t xml:space="preserve"> </w:t>
      </w:r>
      <w:r w:rsidR="006C1F29">
        <w:t xml:space="preserve">sadaļā </w:t>
      </w:r>
      <w:r w:rsidRPr="00DE09E2">
        <w:t>ir apkopoti analīzes rezultāti par tiesību aktu un rīcībpolitikas izmaiņām 2015. un 2016. gadā sociālās atstumtības, nabadzības un ienākumu nevienlīdzības mazināšanas jomā. Ņemot vērā Izvērtējuma uzdevumus, tās ir aplūkotas secīgi – vispirms 2015. gadā notikušās izmaiņas, pēc tam 2</w:t>
      </w:r>
      <w:r w:rsidR="00963E30">
        <w:t>0</w:t>
      </w:r>
      <w:r w:rsidRPr="00DE09E2">
        <w:t xml:space="preserve">16. gadā uzsāktie rīcībpolitikas pasākumi. </w:t>
      </w:r>
      <w:r w:rsidR="003C6EB3">
        <w:t>1.2.</w:t>
      </w:r>
      <w:r w:rsidRPr="00DE09E2">
        <w:t xml:space="preserve"> sadaļā ir atspoguļoti veiktās statistikas datu par dažādiem nabadzības un sociālās nevienlīdzības rādītājiem analīzes rezultāti</w:t>
      </w:r>
      <w:r w:rsidR="004442C9">
        <w:t>, ko papildina padziļināta personu ar invaliditāti ienākumu analīze un statistikas datu kvalitātes novērtējums</w:t>
      </w:r>
      <w:r w:rsidRPr="00DE09E2">
        <w:t xml:space="preserve">. </w:t>
      </w:r>
      <w:r w:rsidR="003C6EB3">
        <w:t>1.3.</w:t>
      </w:r>
      <w:r w:rsidRPr="00DE09E2">
        <w:t xml:space="preserve"> sadaļā ir sniegti no tiesību aktu analīzes un statistikas datu analīzes rezultātiem izrietošie secinājumi. Nodaļas noslēgumā – </w:t>
      </w:r>
      <w:r w:rsidR="003C6EB3">
        <w:t>1.4.</w:t>
      </w:r>
      <w:r w:rsidRPr="00DE09E2">
        <w:t xml:space="preserve"> sadaļā – ir identificētas no veiktās izpētes izrietošās problēmas un sniegti ieteikumi to risinājumiem. Būtiski uzsvērt, ka rīcībpolitikas un statistikas datu analīze attiecas uz 2015., 2016. gadu. Daļa identificēto problēmu, kas izriet no šī perioda datiem, jau ir apzinātas un tiek risinātas, ir izstrādāti politikas plānošanas dokumenti, piemēram, </w:t>
      </w:r>
      <w:r w:rsidR="003C6EB3">
        <w:t>k</w:t>
      </w:r>
      <w:r w:rsidRPr="00DE09E2">
        <w:t>oncepcija „Par minimālā ienākuma līmeņa noteikšanu”, veikti pētījumi nabadzības, sociālās atstumtības un nodarbinātības jomās, aptverot jaunāku periodu (2017., 2018.gadu). Tāpēc daļā gadījumu šajā Izvērtējumā konstatēto problēmu risinājumu ieteikumi papildin</w:t>
      </w:r>
      <w:r w:rsidR="003C6EB3">
        <w:t>a</w:t>
      </w:r>
      <w:r w:rsidRPr="00DE09E2">
        <w:t xml:space="preserve"> jau esošos darbības virzienus, tādējādi vēršot dažādu nozaru  politikas plānotāju, veidotāju un īstenotāju uzmanību uz to nozīmīgumu. </w:t>
      </w:r>
    </w:p>
    <w:p w:rsidR="00E258AC" w:rsidRPr="00A661B6" w:rsidRDefault="00E258AC" w:rsidP="003945E0">
      <w:pPr>
        <w:pStyle w:val="Heading2"/>
      </w:pPr>
      <w:bookmarkStart w:id="154" w:name="_Toc6841519"/>
      <w:r w:rsidRPr="00A661B6">
        <w:t>Tiesību aktu un rīcībpolitikas izmaiņas 2015. un 2016.</w:t>
      </w:r>
      <w:r w:rsidR="001E2BEB">
        <w:t xml:space="preserve"> </w:t>
      </w:r>
      <w:r w:rsidRPr="00A661B6">
        <w:t>gadā sociālās atstumtības un nabadzības, kā arī ienākumu nevienlīdzības mazināšanas jomā</w:t>
      </w:r>
      <w:bookmarkEnd w:id="153"/>
      <w:bookmarkEnd w:id="154"/>
    </w:p>
    <w:p w:rsidR="00E258AC" w:rsidRDefault="00E258AC" w:rsidP="00E258AC">
      <w:r>
        <w:t xml:space="preserve">Tiesību akti, kuros veikti grozījumi vai kuri pieņemti no jauna 2015., 2016. gadā, sākotnēji tika identificēti, veicot to atlasi tīmekļa vietnē </w:t>
      </w:r>
      <w:hyperlink r:id="rId12" w:history="1">
        <w:r w:rsidRPr="00227E4F">
          <w:rPr>
            <w:rStyle w:val="Hyperlink"/>
          </w:rPr>
          <w:t>www.likumi.lv</w:t>
        </w:r>
      </w:hyperlink>
      <w:r>
        <w:t xml:space="preserve">. Kopumā periodā no 01.01.2015. līdz 31.12.2016. ir stājušies spēkā </w:t>
      </w:r>
      <w:r w:rsidRPr="00BB7CFD">
        <w:rPr>
          <w:b/>
        </w:rPr>
        <w:t>425 likumi</w:t>
      </w:r>
      <w:r>
        <w:t xml:space="preserve">, t.sk. likumu grozījumi, un </w:t>
      </w:r>
      <w:r w:rsidRPr="00BB7CFD">
        <w:rPr>
          <w:b/>
        </w:rPr>
        <w:t>1459 MK noteikumi</w:t>
      </w:r>
      <w:r>
        <w:t xml:space="preserve">, t.sk. to grozījumi. No 425 likumiem 23 un no 1459 MK noteikumiem septiņi ir tādi, kas tieši attiecas uz Izvērtējuma TS 3.1., 3.4. uzdevumu </w:t>
      </w:r>
      <w:r w:rsidRPr="00BB7CFD">
        <w:rPr>
          <w:b/>
        </w:rPr>
        <w:t>identificēt un izvērtēt izmaiņas spēkā stājušos tiesību aktos 2015. un 2016.gadā, kuras vērstas uz nabadzības, sociālās atstumtības un/vai ienākumu nevienlīdzības samazināšanu, palielinot iedzīvotāju rīcībā esošos tiešos un/vai netiešos ienākumus</w:t>
      </w:r>
      <w:r>
        <w:t xml:space="preserve">. Veiktā apsekojuma rezultāti par visiem tiesību aktiem ir atspoguļoti 9. pielikumā. </w:t>
      </w:r>
    </w:p>
    <w:p w:rsidR="00E258AC" w:rsidRDefault="00E258AC" w:rsidP="00E258AC"/>
    <w:p w:rsidR="00E258AC" w:rsidRDefault="00E258AC" w:rsidP="00E258AC">
      <w:r>
        <w:t>Tiesību aktu izmaiņu analīzē nav iekļauti MK noteikumi un to grozījumi, kas regulē Darbības programmas „</w:t>
      </w:r>
      <w:r w:rsidRPr="00517A0B">
        <w:t>Izaugsme un nodarbinātība</w:t>
      </w:r>
      <w:r>
        <w:t>” specifiskā atbalsta mērķu īstenošanas nosacījumus (kopumā laika periodā no 01.01.2015. līdz 31.12.2016. ir pieņemti vai grozīti 27 MK noteikumi). Vienlaikus jānorāda, ka ES fondu 2014.-2020. gada plānošanas perioda ietvaros īstenotie projekti un pasākumi kā rīcībpolitikas instrumenti sniedz būtisku ieguldījumu nabadzības, sociālās atstumtības un ienākumu nevienlīdzības mazināšanā</w:t>
      </w:r>
      <w:r>
        <w:rPr>
          <w:rStyle w:val="FootnoteReference"/>
        </w:rPr>
        <w:footnoteReference w:id="35"/>
      </w:r>
      <w:r>
        <w:t xml:space="preserve">. </w:t>
      </w:r>
    </w:p>
    <w:p w:rsidR="00903901" w:rsidRPr="009A14E3" w:rsidRDefault="00903901" w:rsidP="00903901">
      <w:r>
        <w:lastRenderedPageBreak/>
        <w:t>Tiesību aktu kvalitatīvs</w:t>
      </w:r>
      <w:r>
        <w:rPr>
          <w:rStyle w:val="FootnoteReference"/>
        </w:rPr>
        <w:footnoteReference w:id="36"/>
      </w:r>
      <w:r>
        <w:t xml:space="preserve"> izvērtējums ir balstīts uz </w:t>
      </w:r>
      <w:r w:rsidRPr="00903901">
        <w:rPr>
          <w:b/>
        </w:rPr>
        <w:t>tiesību aktu projektu anotāciju analīzi</w:t>
      </w:r>
      <w:r>
        <w:t xml:space="preserve">, aptverot šādus aspektus: identificētās problēmas, pasākumi to mazināšanai, izmaiņu ietekme uz tiešajiem un/vai netiešajiem ienākumiem (sk. jēdzienu un terminu skaidrojumu), ir/nav mērķēts atbalsts un </w:t>
      </w:r>
      <w:r w:rsidRPr="009A14E3">
        <w:t xml:space="preserve">mērķētā atbalsta veids. </w:t>
      </w:r>
      <w:r w:rsidRPr="00903901">
        <w:rPr>
          <w:b/>
        </w:rPr>
        <w:t>Mērķēts atbalsts</w:t>
      </w:r>
      <w:r w:rsidRPr="009A14E3">
        <w:t xml:space="preserve"> šajā analīzē ir tāds atbalsts, kas </w:t>
      </w:r>
      <w:r w:rsidRPr="00903901">
        <w:rPr>
          <w:b/>
        </w:rPr>
        <w:t>tieši vērsts uz iedzīvotāju grupām ar augstākiem nabadzības riskiem, zemākiem ienākumiem un augstākiem ienākumu nevienlīdzības un sociālās atstumtības rādītājiem</w:t>
      </w:r>
      <w:r>
        <w:t xml:space="preserve"> tādā nozīmē, ka īstenotais rīcībpolitikas pasākums paredzēts tieši konkrētu mērķa grup</w:t>
      </w:r>
      <w:r w:rsidR="003C6EB3">
        <w:t>u</w:t>
      </w:r>
      <w:r>
        <w:t xml:space="preserve"> ienākumu palielināšanai vai situācijas  (kopējās labklājības) uzlabošanai. R</w:t>
      </w:r>
      <w:r w:rsidRPr="009A14E3">
        <w:t xml:space="preserve">augoties no sociālās politikas perspektīvas kopumā, nabadzības un sociālās atstumtības riskam pakļauto iedzīvotāju grupu tvērums ir </w:t>
      </w:r>
      <w:r>
        <w:t>plašs</w:t>
      </w:r>
      <w:r>
        <w:rPr>
          <w:rStyle w:val="FootnoteReference"/>
        </w:rPr>
        <w:footnoteReference w:id="37"/>
      </w:r>
      <w:r>
        <w:t>. Tās ir:</w:t>
      </w:r>
    </w:p>
    <w:p w:rsidR="00E258AC" w:rsidRDefault="00E258AC" w:rsidP="003F469F">
      <w:pPr>
        <w:pStyle w:val="ListParagraph"/>
        <w:numPr>
          <w:ilvl w:val="0"/>
          <w:numId w:val="163"/>
        </w:numPr>
        <w:spacing w:line="276" w:lineRule="auto"/>
        <w:jc w:val="both"/>
      </w:pPr>
      <w:r w:rsidRPr="009A14E3">
        <w:t>pensijas vecuma personas (īpaši  sievietes un vientuļie pensionāri); </w:t>
      </w:r>
    </w:p>
    <w:p w:rsidR="00E258AC" w:rsidRDefault="00E258AC" w:rsidP="003F469F">
      <w:pPr>
        <w:pStyle w:val="ListParagraph"/>
        <w:numPr>
          <w:ilvl w:val="0"/>
          <w:numId w:val="163"/>
        </w:numPr>
        <w:spacing w:line="276" w:lineRule="auto"/>
        <w:jc w:val="both"/>
      </w:pPr>
      <w:r w:rsidRPr="009A14E3">
        <w:t>pirmspensijas vecuma personas; </w:t>
      </w:r>
    </w:p>
    <w:p w:rsidR="00E258AC" w:rsidRDefault="00E258AC" w:rsidP="003F469F">
      <w:pPr>
        <w:pStyle w:val="ListParagraph"/>
        <w:numPr>
          <w:ilvl w:val="0"/>
          <w:numId w:val="163"/>
        </w:numPr>
        <w:spacing w:line="276" w:lineRule="auto"/>
        <w:jc w:val="both"/>
      </w:pPr>
      <w:r>
        <w:t>d</w:t>
      </w:r>
      <w:r w:rsidRPr="009A14E3">
        <w:t xml:space="preserve">audzbērnu un viena </w:t>
      </w:r>
      <w:r w:rsidR="00BA1727">
        <w:t>vecāka mājsaimniecības</w:t>
      </w:r>
      <w:r w:rsidRPr="009A14E3">
        <w:t>; </w:t>
      </w:r>
    </w:p>
    <w:p w:rsidR="00E258AC" w:rsidRDefault="00E258AC" w:rsidP="003F469F">
      <w:pPr>
        <w:pStyle w:val="ListParagraph"/>
        <w:numPr>
          <w:ilvl w:val="0"/>
          <w:numId w:val="163"/>
        </w:numPr>
        <w:spacing w:line="276" w:lineRule="auto"/>
        <w:jc w:val="both"/>
      </w:pPr>
      <w:r w:rsidRPr="009A14E3">
        <w:t>bērni; </w:t>
      </w:r>
    </w:p>
    <w:p w:rsidR="00E258AC" w:rsidRDefault="00E258AC" w:rsidP="003F469F">
      <w:pPr>
        <w:pStyle w:val="ListParagraph"/>
        <w:numPr>
          <w:ilvl w:val="0"/>
          <w:numId w:val="163"/>
        </w:numPr>
        <w:spacing w:line="276" w:lineRule="auto"/>
        <w:jc w:val="both"/>
      </w:pPr>
      <w:r w:rsidRPr="009A14E3">
        <w:t>personas ar invaliditāti un personas ar funkcionēšanas ierobežojumiem;</w:t>
      </w:r>
    </w:p>
    <w:p w:rsidR="00E258AC" w:rsidRDefault="00E258AC" w:rsidP="003F469F">
      <w:pPr>
        <w:pStyle w:val="ListParagraph"/>
        <w:numPr>
          <w:ilvl w:val="0"/>
          <w:numId w:val="163"/>
        </w:numPr>
        <w:spacing w:line="276" w:lineRule="auto"/>
        <w:jc w:val="both"/>
      </w:pPr>
      <w:r w:rsidRPr="009A14E3">
        <w:t>bezdarbnieki (īpaši ilgstošie bezdarbnieki); </w:t>
      </w:r>
    </w:p>
    <w:p w:rsidR="00E258AC" w:rsidRDefault="00E258AC" w:rsidP="003F469F">
      <w:pPr>
        <w:pStyle w:val="ListParagraph"/>
        <w:numPr>
          <w:ilvl w:val="0"/>
          <w:numId w:val="163"/>
        </w:numPr>
        <w:spacing w:line="276" w:lineRule="auto"/>
        <w:jc w:val="both"/>
      </w:pPr>
      <w:r w:rsidRPr="009A14E3">
        <w:t>bezpajumtnieki</w:t>
      </w:r>
      <w:r>
        <w:t>;</w:t>
      </w:r>
    </w:p>
    <w:p w:rsidR="00E258AC" w:rsidRDefault="00E258AC" w:rsidP="003F469F">
      <w:pPr>
        <w:pStyle w:val="ListParagraph"/>
        <w:numPr>
          <w:ilvl w:val="0"/>
          <w:numId w:val="163"/>
        </w:numPr>
        <w:spacing w:line="276" w:lineRule="auto"/>
        <w:jc w:val="both"/>
      </w:pPr>
      <w:r w:rsidRPr="009A14E3">
        <w:t>romi</w:t>
      </w:r>
      <w:r>
        <w:t>;</w:t>
      </w:r>
    </w:p>
    <w:p w:rsidR="00E258AC" w:rsidRDefault="00E258AC" w:rsidP="003F469F">
      <w:pPr>
        <w:pStyle w:val="ListParagraph"/>
        <w:numPr>
          <w:ilvl w:val="0"/>
          <w:numId w:val="163"/>
        </w:numPr>
        <w:spacing w:line="276" w:lineRule="auto"/>
        <w:jc w:val="both"/>
      </w:pPr>
      <w:r w:rsidRPr="009A14E3">
        <w:t>ieslodzītie un no ieslodzījuma vietām atbrīvotās personas;</w:t>
      </w:r>
    </w:p>
    <w:p w:rsidR="00E258AC" w:rsidRDefault="00E258AC" w:rsidP="003F469F">
      <w:pPr>
        <w:pStyle w:val="ListParagraph"/>
        <w:numPr>
          <w:ilvl w:val="0"/>
          <w:numId w:val="163"/>
        </w:numPr>
        <w:spacing w:line="276" w:lineRule="auto"/>
        <w:jc w:val="both"/>
      </w:pPr>
      <w:r w:rsidRPr="009A14E3">
        <w:t>cilvēku tirdzniecības upuri; </w:t>
      </w:r>
    </w:p>
    <w:p w:rsidR="00E258AC" w:rsidRDefault="00E258AC" w:rsidP="003F469F">
      <w:pPr>
        <w:pStyle w:val="ListParagraph"/>
        <w:numPr>
          <w:ilvl w:val="0"/>
          <w:numId w:val="163"/>
        </w:numPr>
        <w:spacing w:line="276" w:lineRule="auto"/>
        <w:jc w:val="both"/>
      </w:pPr>
      <w:r w:rsidRPr="009A14E3">
        <w:t>no psihoaktīvām vielām (alkohola, narkotiskajām, toksiskajām vai citām apreibinošām vielām) atkarīgās personas;</w:t>
      </w:r>
    </w:p>
    <w:p w:rsidR="00E258AC" w:rsidRDefault="00E258AC" w:rsidP="003F469F">
      <w:pPr>
        <w:pStyle w:val="ListParagraph"/>
        <w:numPr>
          <w:ilvl w:val="0"/>
          <w:numId w:val="163"/>
        </w:numPr>
        <w:spacing w:line="276" w:lineRule="auto"/>
        <w:jc w:val="both"/>
      </w:pPr>
      <w:r w:rsidRPr="009A14E3">
        <w:t>personas ar nepietiekošām, zemām vai darba tirgum neatbilstošām zināšanām un prasmēm; </w:t>
      </w:r>
    </w:p>
    <w:p w:rsidR="00E258AC" w:rsidRPr="009A14E3" w:rsidRDefault="00E258AC" w:rsidP="003F469F">
      <w:pPr>
        <w:pStyle w:val="ListParagraph"/>
        <w:numPr>
          <w:ilvl w:val="0"/>
          <w:numId w:val="163"/>
        </w:numPr>
        <w:spacing w:line="276" w:lineRule="auto"/>
        <w:jc w:val="both"/>
      </w:pPr>
      <w:r w:rsidRPr="009A14E3">
        <w:t>trūcīgās personas.</w:t>
      </w:r>
    </w:p>
    <w:p w:rsidR="00E258AC" w:rsidRDefault="00E258AC" w:rsidP="00E258AC">
      <w:pPr>
        <w:rPr>
          <w:highlight w:val="yellow"/>
        </w:rPr>
      </w:pPr>
    </w:p>
    <w:p w:rsidR="00E258AC" w:rsidRPr="001F05D5" w:rsidRDefault="00E258AC" w:rsidP="00E258AC">
      <w:r w:rsidRPr="001F05D5">
        <w:t>Daļa no šīm grupām</w:t>
      </w:r>
      <w:r>
        <w:t>, par kurām ir pieejami statistiskas dati</w:t>
      </w:r>
      <w:r>
        <w:rPr>
          <w:rStyle w:val="FootnoteReference"/>
        </w:rPr>
        <w:footnoteReference w:id="38"/>
      </w:r>
      <w:r>
        <w:t>,</w:t>
      </w:r>
      <w:r w:rsidRPr="001F05D5">
        <w:t xml:space="preserve"> tika identificētas arī Izvērtējumā veiktās statistikas datu analīzes ietvaros</w:t>
      </w:r>
      <w:r>
        <w:t xml:space="preserve"> (sk. 1.2. sadaļu):</w:t>
      </w:r>
    </w:p>
    <w:p w:rsidR="00E258AC" w:rsidRDefault="00E258AC" w:rsidP="003F469F">
      <w:pPr>
        <w:pStyle w:val="ListParagraph"/>
        <w:numPr>
          <w:ilvl w:val="0"/>
          <w:numId w:val="163"/>
        </w:numPr>
        <w:spacing w:line="276" w:lineRule="auto"/>
        <w:jc w:val="both"/>
      </w:pPr>
      <w:r>
        <w:t>s</w:t>
      </w:r>
      <w:r w:rsidRPr="009A14E3">
        <w:t>eniori, īpaši pensionāri, vecumā virs 65 gadiem, īpaši sievietes;</w:t>
      </w:r>
    </w:p>
    <w:p w:rsidR="00E258AC" w:rsidRPr="009A14E3" w:rsidRDefault="00E258AC" w:rsidP="003F469F">
      <w:pPr>
        <w:pStyle w:val="ListParagraph"/>
        <w:numPr>
          <w:ilvl w:val="0"/>
          <w:numId w:val="163"/>
        </w:numPr>
        <w:spacing w:line="276" w:lineRule="auto"/>
        <w:jc w:val="both"/>
      </w:pPr>
      <w:r>
        <w:t xml:space="preserve">pirmspensijas vecuma cilvēki; </w:t>
      </w:r>
    </w:p>
    <w:p w:rsidR="00E258AC" w:rsidRPr="009A14E3" w:rsidRDefault="00E258AC" w:rsidP="003F469F">
      <w:pPr>
        <w:pStyle w:val="ListParagraph"/>
        <w:numPr>
          <w:ilvl w:val="0"/>
          <w:numId w:val="163"/>
        </w:numPr>
        <w:spacing w:line="276" w:lineRule="auto"/>
        <w:jc w:val="both"/>
      </w:pPr>
      <w:r>
        <w:t>b</w:t>
      </w:r>
      <w:r w:rsidRPr="009A14E3">
        <w:t>ezdarbnieki;</w:t>
      </w:r>
    </w:p>
    <w:p w:rsidR="00E258AC" w:rsidRPr="009A14E3" w:rsidRDefault="00E258AC" w:rsidP="003F469F">
      <w:pPr>
        <w:pStyle w:val="ListParagraph"/>
        <w:numPr>
          <w:ilvl w:val="0"/>
          <w:numId w:val="163"/>
        </w:numPr>
        <w:spacing w:line="276" w:lineRule="auto"/>
        <w:jc w:val="both"/>
      </w:pPr>
      <w:r>
        <w:t>ģ</w:t>
      </w:r>
      <w:r w:rsidRPr="009A14E3">
        <w:t xml:space="preserve">imenes ar bērniem, īpaši viena </w:t>
      </w:r>
      <w:r w:rsidR="000B2AA7">
        <w:t>vecāka</w:t>
      </w:r>
      <w:r w:rsidR="00716212" w:rsidRPr="00DE672A">
        <w:t xml:space="preserve"> </w:t>
      </w:r>
      <w:r w:rsidR="00E8603F">
        <w:t>mājsaimniecības</w:t>
      </w:r>
      <w:r w:rsidRPr="009A14E3">
        <w:t>;</w:t>
      </w:r>
    </w:p>
    <w:p w:rsidR="00E258AC" w:rsidRPr="009A14E3" w:rsidRDefault="00E258AC" w:rsidP="003F469F">
      <w:pPr>
        <w:pStyle w:val="ListParagraph"/>
        <w:numPr>
          <w:ilvl w:val="0"/>
          <w:numId w:val="163"/>
        </w:numPr>
        <w:spacing w:line="276" w:lineRule="auto"/>
        <w:jc w:val="both"/>
      </w:pPr>
      <w:r>
        <w:t>p</w:t>
      </w:r>
      <w:r w:rsidRPr="009A14E3">
        <w:t>ersonas ar invaliditāti;</w:t>
      </w:r>
    </w:p>
    <w:p w:rsidR="00E258AC" w:rsidRPr="009A14E3" w:rsidRDefault="00E258AC" w:rsidP="003F469F">
      <w:pPr>
        <w:pStyle w:val="ListParagraph"/>
        <w:numPr>
          <w:ilvl w:val="0"/>
          <w:numId w:val="163"/>
        </w:numPr>
        <w:spacing w:line="276" w:lineRule="auto"/>
        <w:jc w:val="both"/>
      </w:pPr>
      <w:r>
        <w:t>i</w:t>
      </w:r>
      <w:r w:rsidRPr="009A14E3">
        <w:t>edzīvotāji ar pamata izglītību;</w:t>
      </w:r>
    </w:p>
    <w:p w:rsidR="00E258AC" w:rsidRPr="009A14E3" w:rsidRDefault="00E258AC" w:rsidP="003F469F">
      <w:pPr>
        <w:pStyle w:val="ListParagraph"/>
        <w:numPr>
          <w:ilvl w:val="0"/>
          <w:numId w:val="163"/>
        </w:numPr>
        <w:spacing w:line="276" w:lineRule="auto"/>
        <w:jc w:val="both"/>
      </w:pPr>
      <w:r>
        <w:t>a</w:t>
      </w:r>
      <w:r w:rsidRPr="009A14E3">
        <w:t>tsevišķi dzīvojošas personas, īpaši vecumā no 50 līdz 64 gadiem un vīrieši;</w:t>
      </w:r>
    </w:p>
    <w:p w:rsidR="00E258AC" w:rsidRDefault="00E258AC" w:rsidP="003F469F">
      <w:pPr>
        <w:pStyle w:val="ListParagraph"/>
        <w:numPr>
          <w:ilvl w:val="0"/>
          <w:numId w:val="163"/>
        </w:numPr>
        <w:spacing w:line="276" w:lineRule="auto"/>
        <w:jc w:val="both"/>
      </w:pPr>
      <w:r w:rsidRPr="009A14E3">
        <w:t>Latgales reģiona iedzīvotāji</w:t>
      </w:r>
      <w:r>
        <w:t>.</w:t>
      </w:r>
    </w:p>
    <w:p w:rsidR="00903901" w:rsidRPr="009A14E3" w:rsidRDefault="00903901" w:rsidP="00903901">
      <w:pPr>
        <w:pStyle w:val="ListParagraph"/>
        <w:spacing w:line="276" w:lineRule="auto"/>
        <w:jc w:val="both"/>
      </w:pPr>
    </w:p>
    <w:p w:rsidR="00E258AC" w:rsidRDefault="00E258AC" w:rsidP="00E258AC">
      <w:r>
        <w:t xml:space="preserve">1.1.1.-1.1.2. sadaļās, </w:t>
      </w:r>
      <w:r w:rsidRPr="001860E7">
        <w:t>balstoties uz atlasīto</w:t>
      </w:r>
      <w:r w:rsidRPr="001860E7">
        <w:rPr>
          <w:b/>
        </w:rPr>
        <w:t xml:space="preserve"> tiesību aktu un to anotāciju analīzi</w:t>
      </w:r>
      <w:r>
        <w:t xml:space="preserve"> (datu avots: vortāls www.likumi.lv), NRP </w:t>
      </w:r>
      <w:r w:rsidRPr="00581548">
        <w:t xml:space="preserve">„Eiropa 2020” stratēģijas </w:t>
      </w:r>
      <w:r>
        <w:t xml:space="preserve">īstenošanai progresa ziņojumiem par 2015. un 2016. </w:t>
      </w:r>
      <w:r>
        <w:lastRenderedPageBreak/>
        <w:t xml:space="preserve">gadu, kā arī MK un LM publiskoto informāciju par izmaiņām sociālās politikas jomā, ir apkopotas galvenās izmaiņas rīcībpolitikā ar ietekmi uz </w:t>
      </w:r>
      <w:r w:rsidRPr="000673FE">
        <w:t>sociālās atstumtības un nabadzības</w:t>
      </w:r>
      <w:r>
        <w:t xml:space="preserve">, kā arī ienākumu nevienlīdzības mazināšanu. </w:t>
      </w:r>
      <w:r w:rsidRPr="002267DE">
        <w:t xml:space="preserve">Veiktā tiesību aktu izmaiņu analīze rāda, ka izmaiņas, kas ietekmē iedzīvotāju ienākumus, nabadzības un sociālās atstumtības riskus ir </w:t>
      </w:r>
      <w:r w:rsidRPr="002267DE">
        <w:rPr>
          <w:b/>
        </w:rPr>
        <w:t>veiktas dažādās politikas nozarēs</w:t>
      </w:r>
      <w:r w:rsidRPr="002267DE">
        <w:t xml:space="preserve"> – sociālās aizsardzības, sociālās iekļaušanas, bērnu un ģimenes, darba, finanšu, nodokļu un enerģētikas politikas nozarēs. Izmaiņas ir skārušas arī sabiedrības veselības un veselības aprūpes politikas nozares, kuras ir analizēta</w:t>
      </w:r>
      <w:r w:rsidR="007217D3">
        <w:t>s</w:t>
      </w:r>
      <w:r w:rsidRPr="002267DE">
        <w:t xml:space="preserve"> atsevišķi Izvērtējuma 2.</w:t>
      </w:r>
      <w:r w:rsidR="003C6EB3">
        <w:t xml:space="preserve"> </w:t>
      </w:r>
      <w:r w:rsidRPr="002267DE">
        <w:t xml:space="preserve">nodaļā, tāpēc šajā nodaļā izmaiņas šajās politikas nozarēs nav </w:t>
      </w:r>
      <w:r>
        <w:t xml:space="preserve">atsevišķi </w:t>
      </w:r>
      <w:r w:rsidRPr="002267DE">
        <w:t xml:space="preserve">aplūkotas. </w:t>
      </w:r>
    </w:p>
    <w:p w:rsidR="00E258AC" w:rsidRDefault="00E258AC" w:rsidP="00E258AC"/>
    <w:p w:rsidR="00E258AC" w:rsidRDefault="00E258AC" w:rsidP="00E258AC">
      <w:r>
        <w:t>Analizētās tiesību aktu izmaiņas un no tām izrietošie rīcībpolitikas pasākumi 2015., 2016. gadā ir sadalīti četrās tematiskās grupās:</w:t>
      </w:r>
    </w:p>
    <w:p w:rsidR="00E258AC" w:rsidRDefault="00E258AC" w:rsidP="003F469F">
      <w:pPr>
        <w:pStyle w:val="ListParagraph"/>
        <w:numPr>
          <w:ilvl w:val="0"/>
          <w:numId w:val="167"/>
        </w:numPr>
        <w:spacing w:line="276" w:lineRule="auto"/>
        <w:jc w:val="both"/>
      </w:pPr>
      <w:r>
        <w:t>monetārais un materiālais atbalsts;</w:t>
      </w:r>
    </w:p>
    <w:p w:rsidR="00E258AC" w:rsidRDefault="00E258AC" w:rsidP="003F469F">
      <w:pPr>
        <w:pStyle w:val="ListParagraph"/>
        <w:numPr>
          <w:ilvl w:val="0"/>
          <w:numId w:val="167"/>
        </w:numPr>
        <w:spacing w:line="276" w:lineRule="auto"/>
        <w:jc w:val="both"/>
      </w:pPr>
      <w:r>
        <w:t>sociālā drošība;</w:t>
      </w:r>
    </w:p>
    <w:p w:rsidR="00E258AC" w:rsidRDefault="00E258AC" w:rsidP="003F469F">
      <w:pPr>
        <w:pStyle w:val="ListParagraph"/>
        <w:numPr>
          <w:ilvl w:val="0"/>
          <w:numId w:val="167"/>
        </w:numPr>
        <w:spacing w:line="276" w:lineRule="auto"/>
        <w:jc w:val="both"/>
      </w:pPr>
      <w:r>
        <w:t>nodokļu politika;</w:t>
      </w:r>
    </w:p>
    <w:p w:rsidR="00BF4385" w:rsidRDefault="00E258AC" w:rsidP="003F469F">
      <w:pPr>
        <w:pStyle w:val="ListParagraph"/>
        <w:numPr>
          <w:ilvl w:val="0"/>
          <w:numId w:val="167"/>
        </w:numPr>
        <w:spacing w:line="276" w:lineRule="auto"/>
        <w:jc w:val="both"/>
      </w:pPr>
      <w:r>
        <w:t>ekonomikas un finanšu politika.</w:t>
      </w:r>
    </w:p>
    <w:p w:rsidR="00E258AC" w:rsidRDefault="00E258AC" w:rsidP="003945E0">
      <w:pPr>
        <w:pStyle w:val="Heading3"/>
      </w:pPr>
      <w:bookmarkStart w:id="155" w:name="_Toc2949216"/>
      <w:bookmarkStart w:id="156" w:name="_Toc6841520"/>
      <w:r w:rsidRPr="00A661B6">
        <w:t>Galvenās tiesību aktu izmaiņas un rīcībpolitikas pasākumi 2015. gadā</w:t>
      </w:r>
      <w:bookmarkEnd w:id="155"/>
      <w:bookmarkEnd w:id="156"/>
      <w:r w:rsidRPr="00A661B6">
        <w:t xml:space="preserve"> </w:t>
      </w:r>
    </w:p>
    <w:p w:rsidR="00903901" w:rsidRDefault="00903901" w:rsidP="00903901">
      <w:r>
        <w:t>Šajā sadaļā ir apkopotas g</w:t>
      </w:r>
      <w:r w:rsidRPr="00500563">
        <w:t>alvenās</w:t>
      </w:r>
      <w:r>
        <w:t xml:space="preserve"> </w:t>
      </w:r>
      <w:r w:rsidRPr="00500563">
        <w:t xml:space="preserve">izmaiņas </w:t>
      </w:r>
      <w:r>
        <w:t>spēkā stājušos tiesību aktos</w:t>
      </w:r>
      <w:r w:rsidRPr="00500563">
        <w:t xml:space="preserve"> 2015.</w:t>
      </w:r>
      <w:r>
        <w:t xml:space="preserve"> g</w:t>
      </w:r>
      <w:r w:rsidRPr="00500563">
        <w:t>adā</w:t>
      </w:r>
      <w:r>
        <w:t xml:space="preserve">, kuras vērstas uz  </w:t>
      </w:r>
      <w:r w:rsidRPr="00500563">
        <w:t>nabadzības, sociālās atstumtības un ienākumu nevienlīdzības samazināšanu, palielinot iedzīvotāju rīcībā esošos tiešos un/vai netiešos ienākumus</w:t>
      </w:r>
      <w:r>
        <w:t xml:space="preserve"> (galvenokārt ir apkopotas tās izmaiņas, kuras jau stājās spēkā 2015. gadā, nevis tika plānotas šajā gadā uz tālākajiem periodiem).</w:t>
      </w:r>
    </w:p>
    <w:p w:rsidR="00903901" w:rsidRPr="002562D2" w:rsidRDefault="00903901" w:rsidP="00DE4D97">
      <w:pPr>
        <w:pStyle w:val="virsrakstslvl4"/>
      </w:pPr>
      <w:bookmarkStart w:id="157" w:name="_Toc6841521"/>
      <w:r w:rsidRPr="002562D2">
        <w:t>Monetārais un materiālais atbalsts</w:t>
      </w:r>
      <w:bookmarkEnd w:id="157"/>
      <w:r w:rsidRPr="002562D2">
        <w:t xml:space="preserve"> </w:t>
      </w:r>
    </w:p>
    <w:p w:rsidR="00903901" w:rsidRDefault="00903901" w:rsidP="00903901">
      <w:r>
        <w:t xml:space="preserve">Saskaņā ar NRP </w:t>
      </w:r>
      <w:r w:rsidRPr="00581548">
        <w:t xml:space="preserve">„Eiropa 2020” stratēģijas </w:t>
      </w:r>
      <w:r>
        <w:t>īstenošanai progresa ziņojumā par 2015. gadu norādīto, „(..) likumā Par vidēja termiņa budžeta ietvaru 2015., 2016. un 2017. gadam, Latvijas valdība kā vienu no budžeta prioritātēm ir noteikusi iedzīvotāju ienākumu nevienlīdzības mazināšanu, pakāpeniski palielinot minimālo algu (..)”</w:t>
      </w:r>
      <w:r>
        <w:rPr>
          <w:rStyle w:val="FootnoteReference"/>
        </w:rPr>
        <w:footnoteReference w:id="39"/>
      </w:r>
      <w:r>
        <w:t xml:space="preserve">. </w:t>
      </w:r>
      <w:r w:rsidRPr="00DA388E">
        <w:t>2015.</w:t>
      </w:r>
      <w:r>
        <w:t xml:space="preserve"> </w:t>
      </w:r>
      <w:r w:rsidRPr="00DA388E">
        <w:t xml:space="preserve">gadā </w:t>
      </w:r>
      <w:r>
        <w:rPr>
          <w:b/>
        </w:rPr>
        <w:t>m</w:t>
      </w:r>
      <w:r w:rsidRPr="00751252">
        <w:rPr>
          <w:b/>
        </w:rPr>
        <w:t>inimālā mēneša darba alga</w:t>
      </w:r>
      <w:r w:rsidRPr="00DA388E">
        <w:t>  palielināta no 320 EUR uz 360 EUR. Minimālā stundas tarifa likme 2015.</w:t>
      </w:r>
      <w:r>
        <w:t xml:space="preserve"> </w:t>
      </w:r>
      <w:r w:rsidRPr="00DA388E">
        <w:t xml:space="preserve">gadā </w:t>
      </w:r>
      <w:r w:rsidR="003C6EB3">
        <w:t xml:space="preserve">tik noteikta </w:t>
      </w:r>
      <w:r w:rsidRPr="00DA388E">
        <w:t>2,166 EUR, pusaudžiem un cilvēkiem, kuri ir pakļauti īpašam riskam, minimālā s</w:t>
      </w:r>
      <w:r>
        <w:t>tundas tarifa likme - 2,477 EUR</w:t>
      </w:r>
      <w:r w:rsidRPr="00751252">
        <w:rPr>
          <w:vertAlign w:val="superscript"/>
        </w:rPr>
        <w:footnoteReference w:id="40"/>
      </w:r>
      <w:r w:rsidRPr="00DA388E">
        <w:t>.</w:t>
      </w:r>
      <w:r>
        <w:t xml:space="preserve"> </w:t>
      </w:r>
    </w:p>
    <w:p w:rsidR="00903901" w:rsidRDefault="00903901" w:rsidP="00903901"/>
    <w:p w:rsidR="00903901" w:rsidRDefault="00903901" w:rsidP="00903901">
      <w:r>
        <w:t xml:space="preserve">Minimālās algas palielināšana ir pasākums, kas sniedz mērķētu atbalstu iedzīvotāju grupām ar augstākiem nabadzības riskiem un rada tiešu ietekmi uz ienākumu nevienlīdzības samazināšanu. </w:t>
      </w:r>
      <w:r w:rsidR="002A4AEF">
        <w:t xml:space="preserve">Vienlaikus jāuzsver, </w:t>
      </w:r>
      <w:r w:rsidR="002A4AEF" w:rsidRPr="002A4AEF">
        <w:t xml:space="preserve">ka </w:t>
      </w:r>
      <w:r w:rsidR="002A4AEF" w:rsidRPr="002A4AEF">
        <w:rPr>
          <w:bCs/>
          <w:iCs/>
        </w:rPr>
        <w:t>minimālās algas palielināšana neaptver vienādi visas iedzīvotāju sociāli demogrāfiskās un ekonomiskās grupas</w:t>
      </w:r>
      <w:r w:rsidR="002A4AEF" w:rsidRPr="002A4AEF">
        <w:t xml:space="preserve">. </w:t>
      </w:r>
      <w:r>
        <w:t xml:space="preserve">Primāri tas ietekmē strādājošos ar zemu atalgojumu (tos, kuru alga ir noteikta minimālās algas līmenī vai kuru alga ir atkarīga no minimālās darba algas likmes), samazinot strādājošo ar zemu atalgojumu īpatsvaru. Sekundārā līmenī tas ietekmē mājsaimniecības, kurās vismaz kāds no tās locekļiem ir strādājošais, palielinot mājsaimniecības </w:t>
      </w:r>
      <w:r>
        <w:lastRenderedPageBreak/>
        <w:t xml:space="preserve">rīcībā </w:t>
      </w:r>
      <w:r w:rsidR="003C6EB3">
        <w:t xml:space="preserve">esošos </w:t>
      </w:r>
      <w:r>
        <w:t>kopējos ienākumus. Jāņem gan vērā, ka lai minimālās algas palielināšanas pasākumam būtu pozitīva ietekme, jāizpildās vairākiem būtiskiem faktoriem, t.sk. strādājoša</w:t>
      </w:r>
      <w:r w:rsidR="003C6EB3">
        <w:t>ja</w:t>
      </w:r>
      <w:r>
        <w:t>m jābūt nodarbinātam uz darba līguma pamata, darba devējiem, mainoties minimālās algas likmei, jāpārskata darbinieku atalgojums un jāveic atbilstošas izmaiņas atalgojuma apmēra noteikšana</w:t>
      </w:r>
      <w:r w:rsidR="001A3B11">
        <w:t>i</w:t>
      </w:r>
      <w:r>
        <w:t xml:space="preserve">. </w:t>
      </w:r>
      <w:r w:rsidR="002A4AEF">
        <w:t xml:space="preserve">Papildus jānorāda, ka, lai sekmētu deklarēto nodarbinātību, ienākumiem no algota darba, pēc kuru apmēra savukārt tiek noteikts sociālo transfertu apmērs, būtu jābūt augstākiem nekā šo transfertu maksimālajam apmēram. </w:t>
      </w:r>
    </w:p>
    <w:p w:rsidR="002A4AEF" w:rsidRDefault="002A4AEF" w:rsidP="00903901"/>
    <w:p w:rsidR="00903901" w:rsidRDefault="00903901" w:rsidP="00903901">
      <w:r>
        <w:t>2015. gadā minimālas algas apmērs (265 EUR pēc nodokļu nomaksas, pieņemot, ka personai nav apgādājamo) veidoja 83% no vienas personas mājsaimniecības nabadzības riska sliekšņa (318 EUR), kas nozīmē, pēc būtības minimālās algas saņēmēji, ja tas ir vienīgais ienākum</w:t>
      </w:r>
      <w:r w:rsidR="003C6EB3">
        <w:t>u</w:t>
      </w:r>
      <w:r>
        <w:t xml:space="preserve"> avots, tika pakļauti nabadzības riskam. Salīdzinot ar 2014. gadu, minimālās algas apmērs pie tādiem pašiem nosacījumiem bija 236 EUR  un veidoja 81% no vienas personas mājsaimniecības nabadzības riska sliekšņa (291 EUR). Tātad attiecībā pret 2014. gadu minimālās algas saņēmēju ienākumi vienas personas mājsaimniecību grupā teorētiski palielinājās par 29 EUR jeb 12,2%. Modelējot šo situāciju mājsaimniecībai ar diviem pieaugušajiem (pieņemot, ka abiem ir minimālā alga un katram pieaugušajam ir norādīts viens apgādājamais) un diviem bērniem vecumā līdz 14 gadiem, tās neto ienākumi 2015. gadā būtu 606 EUR mēnesī (2014. gadā – 604 EUR), kas bija 90,7% no nabadzības riska sliekšņa ilustratīvās vērtības šāda tipa mājsaimniecībām, piemērojot OECD modificēto ekvivalences skalu</w:t>
      </w:r>
      <w:r w:rsidR="003C6EB3">
        <w:rPr>
          <w:rStyle w:val="FootnoteReference"/>
        </w:rPr>
        <w:footnoteReference w:id="41"/>
      </w:r>
      <w:r>
        <w:t xml:space="preserve"> (2014. gadā – 98,6%). Tas nozīmē, ka </w:t>
      </w:r>
      <w:r w:rsidR="00FF117C">
        <w:t>piemērā izmantotajam mājsaimniecības tipam</w:t>
      </w:r>
      <w:r>
        <w:t xml:space="preserve"> </w:t>
      </w:r>
      <w:r w:rsidR="00FF117C">
        <w:t xml:space="preserve">(ģimenei ar diviem bērniem) </w:t>
      </w:r>
      <w:r>
        <w:t xml:space="preserve">ienākumi no strādājošo mājsaimniecības locekļu atalgojuma palielinājās tikai par 2 EUR jeb par 0,3%. </w:t>
      </w:r>
      <w:r w:rsidR="002A4AEF">
        <w:t xml:space="preserve">Ienākumu apjoms </w:t>
      </w:r>
      <w:r w:rsidR="002A4AEF" w:rsidRPr="002A4AEF">
        <w:rPr>
          <w:u w:val="single"/>
        </w:rPr>
        <w:t xml:space="preserve">uz vienu </w:t>
      </w:r>
      <w:r w:rsidR="00A53CEE">
        <w:rPr>
          <w:u w:val="single"/>
        </w:rPr>
        <w:t xml:space="preserve">ekvivalento </w:t>
      </w:r>
      <w:r w:rsidR="002A4AEF" w:rsidRPr="002A4AEF">
        <w:rPr>
          <w:u w:val="single"/>
        </w:rPr>
        <w:t>mājsaimniecības locekli</w:t>
      </w:r>
      <w:r w:rsidR="002A4AEF">
        <w:t xml:space="preserve"> </w:t>
      </w:r>
      <w:r w:rsidR="00A53CEE">
        <w:t xml:space="preserve">pēc OECD modificētās ekvivalences skalas </w:t>
      </w:r>
      <w:r w:rsidR="00FF117C">
        <w:t>šajā ģimenē</w:t>
      </w:r>
      <w:r w:rsidR="002A4AEF">
        <w:t xml:space="preserve"> būtu </w:t>
      </w:r>
      <w:r w:rsidR="0006732A">
        <w:t>288</w:t>
      </w:r>
      <w:r w:rsidR="002A4AEF">
        <w:t xml:space="preserve"> EUR mēnesī</w:t>
      </w:r>
      <w:r w:rsidR="0006732A">
        <w:t>, savukārt pēc nemodificētās skalas – 224 EUR</w:t>
      </w:r>
      <w:r w:rsidR="002A4AEF">
        <w:t xml:space="preserve"> (vienas personas mājsaimniecības gadījumā, kā norādīts augstāk, tie bija 265 EUR).</w:t>
      </w:r>
    </w:p>
    <w:p w:rsidR="002A4AEF" w:rsidRDefault="002A4AEF" w:rsidP="00903901"/>
    <w:p w:rsidR="002A4AEF" w:rsidRDefault="002A4AEF" w:rsidP="00903901">
      <w:r>
        <w:t xml:space="preserve">Veiktie aprēķini </w:t>
      </w:r>
      <w:r w:rsidR="00FF117C">
        <w:t xml:space="preserve">par </w:t>
      </w:r>
      <w:r w:rsidR="00360DBC">
        <w:t>minimālās algas palielinā</w:t>
      </w:r>
      <w:r w:rsidR="003C6EB3">
        <w:t>ša</w:t>
      </w:r>
      <w:r w:rsidR="00360DBC">
        <w:t xml:space="preserve">nas ietekmi uz </w:t>
      </w:r>
      <w:r w:rsidR="00FF117C">
        <w:t>ienākumu izmaiņām vienas personas mājsaimniecībai un divu pieaugušo ar</w:t>
      </w:r>
      <w:r w:rsidR="00360DBC">
        <w:t xml:space="preserve"> diviem bērniem mājsaimniecībai</w:t>
      </w:r>
      <w:r w:rsidR="00FF117C">
        <w:t xml:space="preserve"> </w:t>
      </w:r>
      <w:r>
        <w:t>parāda,</w:t>
      </w:r>
      <w:r w:rsidR="00360DBC">
        <w:t xml:space="preserve"> ka</w:t>
      </w:r>
      <w:r w:rsidR="00FF117C">
        <w:t xml:space="preserve"> </w:t>
      </w:r>
      <w:r w:rsidR="00FF117C" w:rsidRPr="00360DBC">
        <w:rPr>
          <w:u w:val="single"/>
        </w:rPr>
        <w:t>ģimenēm ar bērniem tiešo ienākumu pieaugums ir bijis būtiski mazāks nekā strādājošo pieaugušo mājsaimniecībām bez bērniem</w:t>
      </w:r>
      <w:r w:rsidR="0006732A">
        <w:t>. Vienlaikus ienākumu apjoma atšķirīb</w:t>
      </w:r>
      <w:r w:rsidR="00360DBC">
        <w:t>u aprēķini</w:t>
      </w:r>
      <w:r w:rsidR="0006732A">
        <w:t xml:space="preserve"> uz vienu ekvivalento patērētāju katrā no aplūkoto mājsaim</w:t>
      </w:r>
      <w:r w:rsidR="00360DBC">
        <w:t>n</w:t>
      </w:r>
      <w:r w:rsidR="0006732A">
        <w:t xml:space="preserve">iecību tipiem </w:t>
      </w:r>
      <w:r w:rsidR="00360DBC">
        <w:t xml:space="preserve">rāda, ka tās </w:t>
      </w:r>
      <w:r w:rsidR="0006732A">
        <w:t>ir atkarīgas no piemērotās ekvivalences skalas, kur vienā gadījumā ģimenes ar bērniem ir labvēlīgākā situācijā attiecībā pret vienas personas mājsaimniecīb</w:t>
      </w:r>
      <w:r w:rsidR="00360DBC">
        <w:t>ām</w:t>
      </w:r>
      <w:r w:rsidR="0006732A">
        <w:t>, bet otrā gadījumā – nelabvēlīgākā situācijā. T</w:t>
      </w:r>
      <w:r w:rsidR="00FF117C">
        <w:t xml:space="preserve">āpēc </w:t>
      </w:r>
      <w:r w:rsidR="00FF117C" w:rsidRPr="0006732A">
        <w:rPr>
          <w:b/>
        </w:rPr>
        <w:t>minimālās algas palielināšanas ietekme uz iedzīvotāju ienākumu nevienlīdz</w:t>
      </w:r>
      <w:r w:rsidR="0006732A" w:rsidRPr="0006732A">
        <w:rPr>
          <w:b/>
        </w:rPr>
        <w:t>ī</w:t>
      </w:r>
      <w:r w:rsidR="00FF117C" w:rsidRPr="0006732A">
        <w:rPr>
          <w:b/>
        </w:rPr>
        <w:t>bu nav viennozīmīga starp dažādiem mājsaimniecību tipiem</w:t>
      </w:r>
      <w:r w:rsidR="00FF117C">
        <w:t xml:space="preserve">. No tā secināms, ka </w:t>
      </w:r>
      <w:r w:rsidR="00FF117C">
        <w:rPr>
          <w:b/>
        </w:rPr>
        <w:t>m</w:t>
      </w:r>
      <w:r w:rsidR="00FF117C" w:rsidRPr="00EE48A1">
        <w:rPr>
          <w:b/>
        </w:rPr>
        <w:t>inimālās algas palielināšanas kā rīcībpolitikas pasākuma ar mērķi mazināt ienākumu nevienlīdzību un sociālo nevienlīdzību ietekme ir atšķirīga dažādās sociāli demogrāfiskās grupās un mājsaimniecību tipos</w:t>
      </w:r>
      <w:r w:rsidR="00FF117C">
        <w:rPr>
          <w:b/>
        </w:rPr>
        <w:t>.</w:t>
      </w:r>
    </w:p>
    <w:p w:rsidR="00903901" w:rsidRDefault="00903901" w:rsidP="00903901"/>
    <w:p w:rsidR="00903901" w:rsidRPr="00810D77" w:rsidRDefault="00903901" w:rsidP="00903901">
      <w:r>
        <w:t>Minimālās mēneša darba algas ietekmē mainās arī</w:t>
      </w:r>
      <w:r w:rsidR="00FF117C">
        <w:t xml:space="preserve"> valsts noteiktais</w:t>
      </w:r>
      <w:r>
        <w:t xml:space="preserve"> </w:t>
      </w:r>
      <w:r w:rsidRPr="0010738F">
        <w:rPr>
          <w:b/>
        </w:rPr>
        <w:t>minimālais</w:t>
      </w:r>
      <w:r>
        <w:t xml:space="preserve"> </w:t>
      </w:r>
      <w:r w:rsidRPr="00D110FF">
        <w:rPr>
          <w:b/>
        </w:rPr>
        <w:t>uzturlīdzekļu apmērs</w:t>
      </w:r>
      <w:r>
        <w:rPr>
          <w:b/>
        </w:rPr>
        <w:t xml:space="preserve"> </w:t>
      </w:r>
      <w:r w:rsidRPr="00D110FF">
        <w:t>(2015.</w:t>
      </w:r>
      <w:r>
        <w:t xml:space="preserve"> </w:t>
      </w:r>
      <w:r w:rsidRPr="00D110FF">
        <w:t>gadā tas bija</w:t>
      </w:r>
      <w:r>
        <w:rPr>
          <w:b/>
        </w:rPr>
        <w:t xml:space="preserve"> </w:t>
      </w:r>
      <w:r>
        <w:t>90 EUR apmērā par bērnu 0-7 gadu vecumā (2014. gadā tie bija 71,14 EUR) un 108 EUR apmērā par bērnu 7-18 gadu vecumā (2014. gadā tie bija 78,26 EUR)).</w:t>
      </w:r>
      <w:r>
        <w:rPr>
          <w:rStyle w:val="FootnoteReference"/>
        </w:rPr>
        <w:footnoteReference w:id="42"/>
      </w:r>
      <w:r>
        <w:t xml:space="preserve"> Tas </w:t>
      </w:r>
      <w:r>
        <w:lastRenderedPageBreak/>
        <w:t xml:space="preserve">nozīmē, ka 2015. gadā attiecībā pret 2014. gadu valsts uzturlīdzekļu apmērs par bērnu 0-7 gadu vecumā palielinājās par 18,86 EUR jeb 21,0% un par bērnu 7-18 gadu vecumā – par 29,74 EUR jeb 27,5%. </w:t>
      </w:r>
      <w:r w:rsidRPr="00810D77">
        <w:t>Šīs izmaiņas vērtējamas kā mērķēts atbalsts</w:t>
      </w:r>
      <w:r w:rsidR="00783CC7">
        <w:t xml:space="preserve"> bērniem, kuru ikdienas aizgādību īsteno viens no vecākiem. Plašākā izpratnē tas ir atbalsts</w:t>
      </w:r>
      <w:r w:rsidRPr="00810D77">
        <w:t xml:space="preserve"> </w:t>
      </w:r>
      <w:r w:rsidR="00783CC7">
        <w:rPr>
          <w:b/>
        </w:rPr>
        <w:t xml:space="preserve">viena </w:t>
      </w:r>
      <w:r w:rsidR="007A3269">
        <w:rPr>
          <w:b/>
        </w:rPr>
        <w:t xml:space="preserve">vecāka </w:t>
      </w:r>
      <w:r w:rsidR="00BA1727">
        <w:rPr>
          <w:b/>
        </w:rPr>
        <w:t>mājsaimniecībām</w:t>
      </w:r>
      <w:r w:rsidRPr="00810D77">
        <w:t>, kas ir viena no nabadzības un sociālās atstumtības riskam pakļautajām grupām, ko apstiprina arī Izvērtējumā veiktā statistikas datu analīze</w:t>
      </w:r>
      <w:r>
        <w:t xml:space="preserve"> (2015. gadā 11,7% (jeb 25721) no visām mājsaimniecībām ar bērniem bija viena pieaugušā mājsaimniecības ar bērniem</w:t>
      </w:r>
      <w:r>
        <w:rPr>
          <w:rStyle w:val="FootnoteReference"/>
        </w:rPr>
        <w:footnoteReference w:id="43"/>
      </w:r>
      <w:r>
        <w:t>)</w:t>
      </w:r>
      <w:r w:rsidRPr="00810D77">
        <w:t xml:space="preserve">. Valsts </w:t>
      </w:r>
      <w:r w:rsidR="00783CC7">
        <w:t xml:space="preserve">garantēto </w:t>
      </w:r>
      <w:r w:rsidRPr="00810D77">
        <w:t xml:space="preserve">uzturlīdzekļu palielināšana ietekmēja tiešos šīs mērķa grupas ienākumus. </w:t>
      </w:r>
      <w:r>
        <w:t>Jānorāda, ka šis pasākums attiecas uz tām ģimenēm, kurās augošajiem bērniem ir tiesības uz uzturlīdzekļiem no otra vecāka. Tāpat</w:t>
      </w:r>
      <w:r w:rsidRPr="00810D77">
        <w:t xml:space="preserve"> jāņem vērā, ka šis pēc būtības ir pakārtots pasākums minimālās darba algas palielināšanas pasākumam, nevis tieši iniciēts vecāku</w:t>
      </w:r>
      <w:r w:rsidR="007A3269">
        <w:t>, kuri vieni īsteno ikdiena</w:t>
      </w:r>
      <w:r w:rsidR="00153ADA">
        <w:t>s</w:t>
      </w:r>
      <w:r w:rsidR="007A3269">
        <w:t xml:space="preserve"> aizgādību,</w:t>
      </w:r>
      <w:r w:rsidRPr="00810D77">
        <w:t xml:space="preserve"> ienākumu palielināšanai. Neto minimālās algas pieaugums salīdzinājumā ar 2014. gadu vienas personas mājsaimniecībai ar vienu apgādājamo 2015. gadā bija 28 EUR (jeb par 10,1%), ar diviem apgādājamiem – 36 EUR (jeb par 12,6%)</w:t>
      </w:r>
      <w:r>
        <w:t xml:space="preserve">. </w:t>
      </w:r>
    </w:p>
    <w:p w:rsidR="00903901" w:rsidRDefault="00903901" w:rsidP="00903901"/>
    <w:p w:rsidR="00903901" w:rsidRDefault="00903901" w:rsidP="00903901">
      <w:r w:rsidRPr="002E3E40">
        <w:t xml:space="preserve">Saskaņā ar izmaiņām </w:t>
      </w:r>
      <w:r>
        <w:t xml:space="preserve">18.09.2014. </w:t>
      </w:r>
      <w:r w:rsidRPr="002E3E40">
        <w:t>Elektroenerģijas tirgus likumā</w:t>
      </w:r>
      <w:r>
        <w:rPr>
          <w:rStyle w:val="FootnoteReference"/>
        </w:rPr>
        <w:footnoteReference w:id="44"/>
      </w:r>
      <w:r w:rsidRPr="002E3E40">
        <w:t>, kas stājās spēkā no 2015.</w:t>
      </w:r>
      <w:r>
        <w:t xml:space="preserve"> </w:t>
      </w:r>
      <w:r w:rsidRPr="002E3E40">
        <w:t>gada 1.</w:t>
      </w:r>
      <w:r>
        <w:t xml:space="preserve"> </w:t>
      </w:r>
      <w:r w:rsidRPr="002E3E40">
        <w:t xml:space="preserve">janvāra, Latvijā pilnībā tika liberalizēts </w:t>
      </w:r>
      <w:r w:rsidRPr="002E3E40">
        <w:rPr>
          <w:b/>
        </w:rPr>
        <w:t>elektroenerģijas tirgus</w:t>
      </w:r>
      <w:r w:rsidRPr="002E3E40">
        <w:t xml:space="preserve"> un tika pārtraukta administratīvi regulēto elektroenerģijas cenu piemērošana elektroenerģijas tirdzniecībai. Mājsaimniecībām piemērojamie elektroenerģijas tirdzniecības tarifi noteiktu faktoru dēļ </w:t>
      </w:r>
      <w:r>
        <w:t>bija</w:t>
      </w:r>
      <w:r w:rsidRPr="002E3E40">
        <w:t xml:space="preserve"> zemāki nekā elektroenerģijas kopējā cena, kas veidojās atbilstoši tirgus nosacījumiem, tādēļ tika paredzēts, ka elektroenerģijas kopējā cena mājsaimniecībām 2015.</w:t>
      </w:r>
      <w:r>
        <w:t xml:space="preserve"> </w:t>
      </w:r>
      <w:r w:rsidRPr="002E3E40">
        <w:t>gadā būtiski pieaugtu. Lai novērstu problēmu, ka šāds izmaksu pieaugums sociāli neaizsargātajai sabiedrības daļai radī</w:t>
      </w:r>
      <w:r>
        <w:t>tu</w:t>
      </w:r>
      <w:r w:rsidRPr="002E3E40">
        <w:t xml:space="preserve"> papildu finanšu slogu, bija nepieciešams izveidot instrumentu, kas aizsargātu noteiktus elektroenerģijas lietotājus (sociāli neaizsargātas personas) no elektroenerģijas cenas pieauguma, kas tieši var atstāt ietekmi uz šo personu maksātspēju un ietekmēt viņu vispārējo sociālo stāvokli. Tāpēc tika ieviests „</w:t>
      </w:r>
      <w:r w:rsidRPr="002E3E40">
        <w:rPr>
          <w:b/>
        </w:rPr>
        <w:t>aizsargātā lietotāja</w:t>
      </w:r>
      <w:r w:rsidRPr="002E3E40">
        <w:t xml:space="preserve">” jēdziens, radot risinājumu atbalsta shēmas izveidošanai </w:t>
      </w:r>
      <w:r w:rsidRPr="00464FE2">
        <w:rPr>
          <w:b/>
        </w:rPr>
        <w:t>trūcīgām vai maznodrošinātām personām (ģimenēm), kā arī daudzbērnu ģimenēm</w:t>
      </w:r>
      <w:r w:rsidRPr="002E3E40">
        <w:t xml:space="preserve"> </w:t>
      </w:r>
      <w:r w:rsidRPr="001860E7">
        <w:rPr>
          <w:b/>
        </w:rPr>
        <w:t>saņemt elektroenerģijas pakalpojumus par pazeminātu cenu</w:t>
      </w:r>
      <w:r w:rsidRPr="002E3E40">
        <w:t xml:space="preserve">. </w:t>
      </w:r>
      <w:r>
        <w:t xml:space="preserve">Atbalsta mehānisms paredzēja, ka 2015. gadā </w:t>
      </w:r>
      <w:r w:rsidRPr="00464FE2">
        <w:t xml:space="preserve">aizsargātais lietotājs par 100 kilovatstundu elektroenerģijas patēriņu norēķināsies par </w:t>
      </w:r>
      <w:r>
        <w:t>s</w:t>
      </w:r>
      <w:r w:rsidRPr="00464FE2">
        <w:t xml:space="preserve">tarta tarifa cenu – 11,64 </w:t>
      </w:r>
      <w:r>
        <w:t>EUR</w:t>
      </w:r>
      <w:r w:rsidRPr="00464FE2">
        <w:t xml:space="preserve"> </w:t>
      </w:r>
      <w:r w:rsidR="00203A08">
        <w:t xml:space="preserve">centi </w:t>
      </w:r>
      <w:r w:rsidRPr="00464FE2">
        <w:t>par kilovatstundu un attiecīgi par patēriņu virs šī apjoma lietotājam piemēros tirgotāja, kas nodrošina aizsargātā lietotāja tirdzniecības pakalpojumu, piedāvāto un aizsargātā lietotāja izvēlēto elektroenerģijas tirdzniecības pakalpojuma cenu vai tirgotāja, kas nodrošina aizsargātā lietotāja tirdzniecības pakalpojumu, noteikto universālā pakalpojuma cenu.</w:t>
      </w:r>
      <w:r>
        <w:t xml:space="preserve"> </w:t>
      </w:r>
    </w:p>
    <w:p w:rsidR="00903901" w:rsidRDefault="00903901" w:rsidP="00903901"/>
    <w:p w:rsidR="00903901" w:rsidRDefault="00903901" w:rsidP="00903901">
      <w:r>
        <w:t xml:space="preserve">Šis atbalsta instruments vērtējams kā mērķēts atbalsts iedzīvotājiem ar zemākiem ienākumiem (kā norādīts likumprojekta anotācijā – sociāli neaizsargātām personām) un tiem, kas ir pakļauti nabadzības riskam, proti, </w:t>
      </w:r>
      <w:r w:rsidRPr="005B6207">
        <w:rPr>
          <w:b/>
        </w:rPr>
        <w:t>trūcīgām un maznodrošinātām personām, kā arī daudzbērnu ģimenēm</w:t>
      </w:r>
      <w:r>
        <w:t xml:space="preserve">. 2015. gadā Latvijā bija 81 887 trūcīgas personas (4,1% no kopējā iedzīvotāju skaita), 96 673 maznodrošinātas personas (4,8% no kopējā iedzīvotāju skaita), 88 418 daudzbērnu ģimenes (pāris ar trīs un vairāk bērniem), kas veidoja 1,4% no visām mājsaimniecībām. Iespēja saņemt elektroenerģijas pakalpojumus par pazeminātu cenu radīja ietekmi uz minēto mērķa grupu </w:t>
      </w:r>
      <w:r w:rsidRPr="003B626F">
        <w:rPr>
          <w:b/>
        </w:rPr>
        <w:lastRenderedPageBreak/>
        <w:t>netiešajiem ienākumiem</w:t>
      </w:r>
      <w:r>
        <w:t xml:space="preserve">, samazinoties to izdevumiem par elektroenerģiju un attiecīgi palielinoties personas un/vai mājsaimniecības rīcībā esošo ienākumu daļai citiem izdevumiem, citu vajadzību nodrošināšanai. Tādējādi tas kopumā pozitīvi ietekmēja šo mērķa grupu situāciju. Taču tiešā veidā kopējais ienākumu līmenis šī pasākuma ietekmē neizmainījās, tāpēc to var vērtēt ne tik daudz kā ienākumu nevienlīdzību, bet gan sociālo atstumtību mazinošu pasākumu. </w:t>
      </w:r>
    </w:p>
    <w:p w:rsidR="00903901" w:rsidRDefault="00903901" w:rsidP="00903901"/>
    <w:p w:rsidR="00903901" w:rsidRPr="00C1557A" w:rsidRDefault="00903901" w:rsidP="00903901">
      <w:r>
        <w:t xml:space="preserve">Vēl viena būtiska </w:t>
      </w:r>
      <w:r w:rsidRPr="00E43D3A">
        <w:rPr>
          <w:b/>
        </w:rPr>
        <w:t>iniciatīva nabadzības mazināšanai</w:t>
      </w:r>
      <w:r>
        <w:t xml:space="preserve">, kas praksē sāka īstenoties </w:t>
      </w:r>
      <w:r w:rsidRPr="00DA388E">
        <w:t>2015.</w:t>
      </w:r>
      <w:r>
        <w:t xml:space="preserve"> </w:t>
      </w:r>
      <w:r w:rsidRPr="00DA388E">
        <w:t>gadā</w:t>
      </w:r>
      <w:r>
        <w:t>, bija Eiropas Atbalsta fonda vistrūcīgākajām personām darbības programma „Pārtikas un pamata materiālās palīdzības sniegšana vistrūcīgākajām personām 2014.–2020. gada plānošanas periodā” darbība. Tās ietvaros 2015. gadā</w:t>
      </w:r>
      <w:r w:rsidRPr="00DA388E">
        <w:t> </w:t>
      </w:r>
      <w:r w:rsidRPr="006F258D">
        <w:rPr>
          <w:b/>
        </w:rPr>
        <w:t>trūcīgie cilvēki</w:t>
      </w:r>
      <w:r w:rsidRPr="00DA388E">
        <w:t xml:space="preserve"> </w:t>
      </w:r>
      <w:r w:rsidRPr="00E86466">
        <w:rPr>
          <w:b/>
        </w:rPr>
        <w:t>bez maksas varēja saņemt trīs veidu pakas jeb komplektus - pārtikas preču komplekts, individuālo mācību piederumu komplekts un higiēnas un saimniecības preču komplekts</w:t>
      </w:r>
      <w:r w:rsidRPr="00DA388E">
        <w:t>. Palīdzības izdalīšanu vistrūcīgākajām personām nodrošināja biedrības, nodibinājumi, reliģiskas organizācijas un pašvaldības vai to iestādes, iepriekš piedaloties Sabiedrības integrācijas fonda organizētajā atlasē.</w:t>
      </w:r>
      <w:r w:rsidRPr="00751252">
        <w:rPr>
          <w:vertAlign w:val="superscript"/>
        </w:rPr>
        <w:footnoteReference w:id="45"/>
      </w:r>
      <w:r w:rsidRPr="00751252">
        <w:rPr>
          <w:vertAlign w:val="superscript"/>
        </w:rPr>
        <w:t xml:space="preserve"> </w:t>
      </w:r>
      <w:r>
        <w:rPr>
          <w:vertAlign w:val="superscript"/>
        </w:rPr>
        <w:t xml:space="preserve"> </w:t>
      </w:r>
      <w:r w:rsidRPr="001860E7">
        <w:t xml:space="preserve">Šis rīcībpolitikas pasākums ir vērtējams kā </w:t>
      </w:r>
      <w:r w:rsidRPr="00E43D3A">
        <w:rPr>
          <w:b/>
        </w:rPr>
        <w:t xml:space="preserve">tieši mērķēts uz </w:t>
      </w:r>
      <w:r w:rsidR="00360DBC">
        <w:rPr>
          <w:b/>
        </w:rPr>
        <w:t xml:space="preserve">nabadzībai pakļautu </w:t>
      </w:r>
      <w:r w:rsidRPr="00E43D3A">
        <w:rPr>
          <w:b/>
        </w:rPr>
        <w:t>iedzīvotāju grupu</w:t>
      </w:r>
      <w:r w:rsidR="00360DBC">
        <w:rPr>
          <w:b/>
        </w:rPr>
        <w:t xml:space="preserve"> </w:t>
      </w:r>
      <w:r w:rsidRPr="00E43D3A">
        <w:rPr>
          <w:b/>
        </w:rPr>
        <w:t>– trūcīgajām personām</w:t>
      </w:r>
      <w:r w:rsidRPr="001860E7">
        <w:t>. Pasākumam, tā kā tas ir materiālās palīdzības natūrā veids, ir ietekme uz mērķa grupas netiešajiem ienākumiem.</w:t>
      </w:r>
      <w:r>
        <w:rPr>
          <w:color w:val="FF0000"/>
        </w:rPr>
        <w:t xml:space="preserve"> </w:t>
      </w:r>
      <w:r>
        <w:t xml:space="preserve">2015. gadā Latvijā bija 81 887 trūcīgas personas (4,1% no kopējā iedzīvotāju skaita). Saskaņā ar </w:t>
      </w:r>
      <w:r w:rsidR="00153ADA">
        <w:t>SIF</w:t>
      </w:r>
      <w:r>
        <w:t xml:space="preserve"> apkopoto informāciju “</w:t>
      </w:r>
      <w:r w:rsidRPr="00C1557A">
        <w:t>no 2015.</w:t>
      </w:r>
      <w:r w:rsidR="00153ADA">
        <w:t xml:space="preserve"> </w:t>
      </w:r>
      <w:r w:rsidRPr="00C1557A">
        <w:t>gada maija, kad partnerorganizācijas uzsāka atbalstāmo darbību īstenošanu, Latvijā ap 69 097 personas saņēmušas 190 018 pārtikas komplektus, 24 378 personas - 33 520 higiēnas un saimniecības preču komplektus, izsniegtas 1 080 maltītes, īstenoti 639 papildpasākumi, kuros piedalījušās 7300 personas</w:t>
      </w:r>
      <w:r>
        <w:t>”</w:t>
      </w:r>
      <w:r>
        <w:rPr>
          <w:rStyle w:val="FootnoteReference"/>
        </w:rPr>
        <w:footnoteReference w:id="46"/>
      </w:r>
      <w:r w:rsidRPr="00C1557A">
        <w:t>.</w:t>
      </w:r>
    </w:p>
    <w:p w:rsidR="00903901" w:rsidRPr="004049FE" w:rsidRDefault="00903901" w:rsidP="00DE4D97">
      <w:pPr>
        <w:pStyle w:val="virsrakstslvl4"/>
      </w:pPr>
      <w:bookmarkStart w:id="158" w:name="_Toc6841522"/>
      <w:r w:rsidRPr="004049FE">
        <w:t>Sociālā drošība</w:t>
      </w:r>
      <w:bookmarkEnd w:id="158"/>
    </w:p>
    <w:p w:rsidR="00903901" w:rsidRDefault="00903901" w:rsidP="00903901">
      <w:r w:rsidRPr="00134D26">
        <w:t>No 2015.</w:t>
      </w:r>
      <w:r>
        <w:t xml:space="preserve"> </w:t>
      </w:r>
      <w:r w:rsidRPr="00134D26">
        <w:t>gada</w:t>
      </w:r>
      <w:r>
        <w:rPr>
          <w:b/>
        </w:rPr>
        <w:t xml:space="preserve"> s</w:t>
      </w:r>
      <w:r w:rsidRPr="00751252">
        <w:rPr>
          <w:b/>
        </w:rPr>
        <w:t xml:space="preserve">limības, maternitātes, paternitātes un vecāku pabalstus, </w:t>
      </w:r>
      <w:r>
        <w:rPr>
          <w:b/>
        </w:rPr>
        <w:t xml:space="preserve">kā arī </w:t>
      </w:r>
      <w:r w:rsidRPr="00751252">
        <w:rPr>
          <w:b/>
        </w:rPr>
        <w:t>bezdarbnieku pabalstu</w:t>
      </w:r>
      <w:r w:rsidRPr="00DA388E">
        <w:t xml:space="preserve"> </w:t>
      </w:r>
      <w:r>
        <w:t>atsāka izmaksāt</w:t>
      </w:r>
      <w:r w:rsidRPr="00DA388E">
        <w:t> bez līdz 2014.</w:t>
      </w:r>
      <w:r>
        <w:t xml:space="preserve"> </w:t>
      </w:r>
      <w:r w:rsidRPr="00DA388E">
        <w:t>gad</w:t>
      </w:r>
      <w:r>
        <w:t xml:space="preserve">am noteiktajiem ierobežojumiem (tie tika noteikti 2009. gadā) </w:t>
      </w:r>
      <w:r w:rsidRPr="000673FE">
        <w:t>(01.01.2015. zaudē spēku likums “Par valsts pabalstu izmaksu laika periodā no 2009.</w:t>
      </w:r>
      <w:r>
        <w:t xml:space="preserve"> </w:t>
      </w:r>
      <w:r w:rsidRPr="000673FE">
        <w:t>gada līdz 2014.</w:t>
      </w:r>
      <w:r>
        <w:t xml:space="preserve"> </w:t>
      </w:r>
      <w:r w:rsidRPr="000673FE">
        <w:t>gadam”</w:t>
      </w:r>
      <w:r w:rsidRPr="00751252">
        <w:rPr>
          <w:vertAlign w:val="superscript"/>
        </w:rPr>
        <w:footnoteReference w:id="47"/>
      </w:r>
      <w:r w:rsidRPr="000673FE">
        <w:t xml:space="preserve">). </w:t>
      </w:r>
      <w:r w:rsidR="00597A46">
        <w:t xml:space="preserve">Minēto </w:t>
      </w:r>
      <w:r w:rsidR="0036026A">
        <w:t xml:space="preserve">sociālās sistēmas apdrošināšanas </w:t>
      </w:r>
      <w:r w:rsidR="00597A46">
        <w:t>p</w:t>
      </w:r>
      <w:r w:rsidRPr="000673FE">
        <w:t xml:space="preserve">abalstu izmaksas apmērs </w:t>
      </w:r>
      <w:r>
        <w:t>no 2015. gada tika noteikts</w:t>
      </w:r>
      <w:r w:rsidRPr="000673FE">
        <w:t xml:space="preserve"> atbilstoši </w:t>
      </w:r>
      <w:r>
        <w:t xml:space="preserve">personas </w:t>
      </w:r>
      <w:r w:rsidRPr="000673FE">
        <w:t>veiktajām so</w:t>
      </w:r>
      <w:r>
        <w:t xml:space="preserve">ciālās apdrošināšanas iemaksām. </w:t>
      </w:r>
      <w:r w:rsidRPr="00682207">
        <w:t>Laikā no 2009. gada līdz 2014.</w:t>
      </w:r>
      <w:r>
        <w:t xml:space="preserve"> </w:t>
      </w:r>
      <w:r w:rsidRPr="00682207">
        <w:t xml:space="preserve">gadam </w:t>
      </w:r>
      <w:r w:rsidRPr="00A754E5">
        <w:t>vecāku pabalsts</w:t>
      </w:r>
      <w:r w:rsidRPr="00682207">
        <w:t xml:space="preserve"> tika izmaksāts </w:t>
      </w:r>
      <w:r w:rsidR="00B208B0">
        <w:t xml:space="preserve">pēc </w:t>
      </w:r>
      <w:r w:rsidR="00B208B0" w:rsidRPr="00B208B0">
        <w:t xml:space="preserve">šāda principa - ja aprēķinātā pabalsta apmērs pārsniedza 32,75 EUR dienā, izmaksājamā pabalsta maksimālais apmērs dienā bija 32,75 EUR un 50 % no summas, kas pārsniedza 32,75 EUR (līdz 2012.gada 31.decembrim - ja aprēķinātā pabalsta apmērs pārsniedza 16,38 EUR dienā, izmaksājamā pabalsta maksimālais apmērs dienā bija 16,38 EUR un 50 % no summas, kas pārsniedz 16,38 EUR). </w:t>
      </w:r>
      <w:r w:rsidR="00597A46" w:rsidRPr="00B208B0">
        <w:t xml:space="preserve">Slimības un bezdarbnieka pabalsta gadījumā – ja aprēķinātā slimības pabalsta apmērs pārsniedza 16,38 EUR dienā, izmaksājamā pabalsta maksimālais apmērs dienā bija 16,38 EUR un 50 % no summas, kas pārsniedza 16,38 EUR, kā arī, ja aprēķinātā bezdarbnieka pabalsta apmērs pārsniedza 16,38 EUR dienā, piešķiramā pabalsta maksimālais apmērs dienā bija 16,38 EUR un 50 % no summas, kas pārsniedza 16,38 EUR. </w:t>
      </w:r>
      <w:r w:rsidRPr="00B208B0">
        <w:t xml:space="preserve">Maternitātes un paternitātes pabalsta ierobežojumi bija 32,75 EUR dienā un 50% no piešķirtā </w:t>
      </w:r>
      <w:r w:rsidRPr="00B208B0">
        <w:lastRenderedPageBreak/>
        <w:t>pabalsta summas</w:t>
      </w:r>
      <w:r w:rsidR="00597A46" w:rsidRPr="00B208B0">
        <w:t xml:space="preserve">, kas pārsniedza </w:t>
      </w:r>
      <w:r w:rsidR="001B0A19">
        <w:t>šo lielumu</w:t>
      </w:r>
      <w:r w:rsidR="00597A46" w:rsidRPr="00B208B0">
        <w:t xml:space="preserve"> (līdz 2012.gada 31.decembrim - ja aprēķinātā pabalsta apmērs pārsniedza 16,38 EUR dienā, izmaksājamā pabalsta maksimālais apmērs dienā bija 16,38 EUR un 50 % no summas, kas pārsniedz 16,38 EUR).</w:t>
      </w:r>
      <w:r w:rsidR="00B208B0">
        <w:rPr>
          <w:rStyle w:val="FootnoteReference"/>
          <w:sz w:val="28"/>
        </w:rPr>
        <w:footnoteReference w:id="48"/>
      </w:r>
      <w:r w:rsidR="00597A46">
        <w:rPr>
          <w:sz w:val="28"/>
        </w:rPr>
        <w:t xml:space="preserve"> </w:t>
      </w:r>
      <w:r>
        <w:t>Ņ</w:t>
      </w:r>
      <w:r w:rsidRPr="00AA5C58">
        <w:rPr>
          <w:bCs/>
          <w:iCs/>
        </w:rPr>
        <w:t xml:space="preserve">emot vērā, ka </w:t>
      </w:r>
      <w:r w:rsidRPr="00AA5C58">
        <w:t xml:space="preserve"> pabalsta ierobežojumi nebija atkarīgi no apgādājamo personu skaita, tie visnelabvēlīgāk ietekmēja mājsaimniecības ar bērniem</w:t>
      </w:r>
      <w:r>
        <w:t xml:space="preserve">. </w:t>
      </w:r>
      <w:r w:rsidR="00B208B0" w:rsidRPr="00C3590A">
        <w:t xml:space="preserve">2015. gadā Latvijā kopumā bija 803 800 mājsaimniecības. No tām </w:t>
      </w:r>
      <w:r w:rsidR="000443C3">
        <w:t xml:space="preserve">220 241 jeb </w:t>
      </w:r>
      <w:r w:rsidR="00B208B0" w:rsidRPr="00C3590A">
        <w:t xml:space="preserve">27,4% bija mājsaimniecības ar bērniem, no tām attiecīgi - 11,7% nepilnās ģimenes, 24,8% </w:t>
      </w:r>
      <w:r w:rsidR="000443C3">
        <w:t xml:space="preserve">- </w:t>
      </w:r>
      <w:r w:rsidR="00B208B0" w:rsidRPr="00C3590A">
        <w:t xml:space="preserve">ģimenes (pāris) ar vienu bērnu, 18,2% </w:t>
      </w:r>
      <w:r w:rsidR="000443C3">
        <w:t xml:space="preserve">- </w:t>
      </w:r>
      <w:r w:rsidR="00B208B0" w:rsidRPr="00C3590A">
        <w:t xml:space="preserve">ģimenes ar diviem bērniem, 5,1% </w:t>
      </w:r>
      <w:r w:rsidR="000443C3">
        <w:t xml:space="preserve">- </w:t>
      </w:r>
      <w:r w:rsidR="00B208B0" w:rsidRPr="00C3590A">
        <w:t xml:space="preserve">ģimenes ar trīs un vairāk bērniem, 40,1% </w:t>
      </w:r>
      <w:r w:rsidR="000443C3">
        <w:t xml:space="preserve">- </w:t>
      </w:r>
      <w:r w:rsidR="00B208B0" w:rsidRPr="00C3590A">
        <w:t>citas mājsaimniecības ar bērniem</w:t>
      </w:r>
      <w:r w:rsidR="00B208B0">
        <w:t>.</w:t>
      </w:r>
      <w:r>
        <w:t xml:space="preserve"> </w:t>
      </w:r>
    </w:p>
    <w:p w:rsidR="00903901" w:rsidRDefault="00903901" w:rsidP="00903901"/>
    <w:p w:rsidR="00903901" w:rsidRPr="00551905" w:rsidRDefault="000443C3" w:rsidP="00903901">
      <w:r>
        <w:t>Valsts sociālās apdrošināšanas</w:t>
      </w:r>
      <w:r w:rsidR="00903901" w:rsidRPr="00190FB5">
        <w:t xml:space="preserve"> pabalstu ierobežojumu atcelšana vērtējama kopumā kā rīcībpolitikas pasākums ar pozitīvu ietekmi uz iedzīvotāju </w:t>
      </w:r>
      <w:r w:rsidR="00903901" w:rsidRPr="00A538DD">
        <w:rPr>
          <w:b/>
        </w:rPr>
        <w:t>tiešajiem ienākumiem</w:t>
      </w:r>
      <w:r w:rsidR="00903901" w:rsidRPr="00190FB5">
        <w:t xml:space="preserve"> ekonomiski un sociāli nelabvēlīgās situācijās (slimības vai darba zaudēšanas gadījumā) un situācijās, kas ietekmē ienākumu gūšanas iespējas un palielina mājsaimniecības izdevumus (bērna piedzimšana un rūpju uzņemšanās par bērnu). Attiecībā uz nabadzības un sociālās atstumtības riskam pakļautajām iedzīvotāju grupām jāsecina, ka šis pasākums ir tieš</w:t>
      </w:r>
      <w:r w:rsidR="00903901">
        <w:t>i</w:t>
      </w:r>
      <w:r w:rsidR="00903901" w:rsidRPr="00190FB5">
        <w:t xml:space="preserve"> mērķēts atbalsts </w:t>
      </w:r>
      <w:r w:rsidR="00903901" w:rsidRPr="00A538DD">
        <w:rPr>
          <w:b/>
        </w:rPr>
        <w:t>ģimenēm/ mājsaimniecībām ar bērniem un bezdarbniekiem</w:t>
      </w:r>
      <w:r w:rsidR="00903901" w:rsidRPr="00190FB5">
        <w:t xml:space="preserve">. </w:t>
      </w:r>
      <w:r w:rsidR="00903901">
        <w:t xml:space="preserve">Specifiski aprēķini, cik lielā </w:t>
      </w:r>
      <w:r w:rsidR="00153ADA">
        <w:t xml:space="preserve">mērā </w:t>
      </w:r>
      <w:r w:rsidR="00903901">
        <w:t>valsts pabalstu ierobežojumu atcelšana palielināja dažādu mājsaimniecību tipu vai sociālo grupu ienākumus, Izvērtējumā nav veikti. 1.</w:t>
      </w:r>
      <w:r w:rsidR="000E48A8">
        <w:t>1</w:t>
      </w:r>
      <w:r w:rsidR="00903901">
        <w:t xml:space="preserve">. tabulā ir atspoguļoti dati par izlietotajiem </w:t>
      </w:r>
      <w:r w:rsidR="00903901" w:rsidRPr="00041378">
        <w:t>līdzekļiem</w:t>
      </w:r>
      <w:r w:rsidR="00903901" w:rsidRPr="008F253A">
        <w:rPr>
          <w:color w:val="FF0000"/>
        </w:rPr>
        <w:t xml:space="preserve"> </w:t>
      </w:r>
      <w:r w:rsidR="00903901">
        <w:rPr>
          <w:b/>
        </w:rPr>
        <w:t>s</w:t>
      </w:r>
      <w:r w:rsidR="00903901" w:rsidRPr="00751252">
        <w:rPr>
          <w:b/>
        </w:rPr>
        <w:t>limības</w:t>
      </w:r>
      <w:r w:rsidR="00903901">
        <w:rPr>
          <w:b/>
        </w:rPr>
        <w:t xml:space="preserve">, maternitātes, paternitātes, </w:t>
      </w:r>
      <w:r w:rsidR="00903901" w:rsidRPr="00751252">
        <w:rPr>
          <w:b/>
        </w:rPr>
        <w:t>vecāku</w:t>
      </w:r>
      <w:r w:rsidR="00903901">
        <w:rPr>
          <w:b/>
        </w:rPr>
        <w:t xml:space="preserve"> un</w:t>
      </w:r>
      <w:r w:rsidR="00903901" w:rsidRPr="00751252">
        <w:rPr>
          <w:b/>
        </w:rPr>
        <w:t xml:space="preserve"> bezdarbnieku pabalst</w:t>
      </w:r>
      <w:r w:rsidR="00903901">
        <w:rPr>
          <w:b/>
        </w:rPr>
        <w:t>iem</w:t>
      </w:r>
      <w:r w:rsidR="00903901" w:rsidRPr="005F5E94">
        <w:t>, salīdzinot</w:t>
      </w:r>
      <w:r w:rsidR="00903901">
        <w:rPr>
          <w:b/>
        </w:rPr>
        <w:t xml:space="preserve"> </w:t>
      </w:r>
      <w:r w:rsidR="00903901">
        <w:t xml:space="preserve">2014. gadu un 2015., 2016. gadu. Izlietoto līdzekļu pieaugums ir visās pabalstu grupās. </w:t>
      </w:r>
      <w:r w:rsidR="00903901" w:rsidRPr="00551905">
        <w:t>2015. gadā attiecībā pret 2014. gadu vislielākais izlietoto līdzekļu pie</w:t>
      </w:r>
      <w:r w:rsidR="00903901">
        <w:t>a</w:t>
      </w:r>
      <w:r w:rsidR="00903901" w:rsidRPr="00551905">
        <w:t>ugums bija slimības pabalstiem – p</w:t>
      </w:r>
      <w:r w:rsidR="00903901">
        <w:t>a</w:t>
      </w:r>
      <w:r w:rsidR="00903901" w:rsidRPr="00551905">
        <w:t xml:space="preserve">r 38,0%, bet 2016. gadā attiecībā pret 2015. gadu vecāku pabalstam – par 21,2%.  </w:t>
      </w:r>
    </w:p>
    <w:p w:rsidR="00903901" w:rsidRPr="00041378" w:rsidRDefault="00903901" w:rsidP="00DE4D97">
      <w:pPr>
        <w:pStyle w:val="Caption"/>
      </w:pPr>
      <w:r w:rsidRPr="00041378">
        <w:t>1.</w:t>
      </w:r>
      <w:r w:rsidR="000E48A8">
        <w:t>1</w:t>
      </w:r>
      <w:r w:rsidRPr="00041378">
        <w:t>. tabula. Sociālās apdrošināšanas speciālā budžeta izdevumi pensijām un pabalstiem</w:t>
      </w:r>
      <w:r>
        <w:t xml:space="preserve"> 2014-2016</w:t>
      </w:r>
      <w:r w:rsidRPr="00041378">
        <w:t xml:space="preserve"> (milj. EUR)</w:t>
      </w:r>
    </w:p>
    <w:tbl>
      <w:tblPr>
        <w:tblStyle w:val="TableGrid"/>
        <w:tblW w:w="0" w:type="auto"/>
        <w:tblLook w:val="04A0"/>
      </w:tblPr>
      <w:tblGrid>
        <w:gridCol w:w="2376"/>
        <w:gridCol w:w="1560"/>
        <w:gridCol w:w="1275"/>
        <w:gridCol w:w="1843"/>
        <w:gridCol w:w="1418"/>
        <w:gridCol w:w="1490"/>
      </w:tblGrid>
      <w:tr w:rsidR="00903901" w:rsidRPr="00BC22F8" w:rsidTr="00BC22F8">
        <w:tc>
          <w:tcPr>
            <w:tcW w:w="2376" w:type="dxa"/>
            <w:shd w:val="clear" w:color="auto" w:fill="B8CCE4" w:themeFill="accent1" w:themeFillTint="66"/>
            <w:vAlign w:val="center"/>
          </w:tcPr>
          <w:p w:rsidR="00903901" w:rsidRPr="00BC22F8" w:rsidRDefault="00903901" w:rsidP="00965160">
            <w:pPr>
              <w:jc w:val="center"/>
              <w:rPr>
                <w:b/>
                <w:color w:val="002060"/>
                <w:sz w:val="22"/>
                <w:szCs w:val="22"/>
              </w:rPr>
            </w:pPr>
            <w:r w:rsidRPr="00BC22F8">
              <w:rPr>
                <w:b/>
                <w:color w:val="002060"/>
                <w:sz w:val="22"/>
                <w:szCs w:val="22"/>
              </w:rPr>
              <w:t>Pabalsta veids</w:t>
            </w:r>
          </w:p>
        </w:tc>
        <w:tc>
          <w:tcPr>
            <w:tcW w:w="1560" w:type="dxa"/>
            <w:shd w:val="clear" w:color="auto" w:fill="B8CCE4" w:themeFill="accent1" w:themeFillTint="66"/>
            <w:vAlign w:val="center"/>
          </w:tcPr>
          <w:p w:rsidR="00903901" w:rsidRPr="00BC22F8" w:rsidRDefault="00903901" w:rsidP="00965160">
            <w:pPr>
              <w:jc w:val="center"/>
              <w:rPr>
                <w:b/>
                <w:color w:val="002060"/>
                <w:sz w:val="22"/>
                <w:szCs w:val="22"/>
              </w:rPr>
            </w:pPr>
            <w:r w:rsidRPr="00BC22F8">
              <w:rPr>
                <w:b/>
                <w:color w:val="002060"/>
                <w:sz w:val="22"/>
                <w:szCs w:val="22"/>
              </w:rPr>
              <w:t>2014</w:t>
            </w:r>
          </w:p>
        </w:tc>
        <w:tc>
          <w:tcPr>
            <w:tcW w:w="1275" w:type="dxa"/>
            <w:shd w:val="clear" w:color="auto" w:fill="B8CCE4" w:themeFill="accent1" w:themeFillTint="66"/>
            <w:vAlign w:val="center"/>
          </w:tcPr>
          <w:p w:rsidR="00903901" w:rsidRPr="00BC22F8" w:rsidRDefault="00903901" w:rsidP="00965160">
            <w:pPr>
              <w:jc w:val="center"/>
              <w:rPr>
                <w:b/>
                <w:color w:val="002060"/>
                <w:sz w:val="22"/>
                <w:szCs w:val="22"/>
              </w:rPr>
            </w:pPr>
            <w:r w:rsidRPr="00BC22F8">
              <w:rPr>
                <w:b/>
                <w:color w:val="002060"/>
                <w:sz w:val="22"/>
                <w:szCs w:val="22"/>
              </w:rPr>
              <w:t>2015</w:t>
            </w:r>
          </w:p>
        </w:tc>
        <w:tc>
          <w:tcPr>
            <w:tcW w:w="1843" w:type="dxa"/>
            <w:shd w:val="clear" w:color="auto" w:fill="B8CCE4" w:themeFill="accent1" w:themeFillTint="66"/>
            <w:vAlign w:val="center"/>
          </w:tcPr>
          <w:p w:rsidR="00903901" w:rsidRPr="00BC22F8" w:rsidRDefault="00903901" w:rsidP="00965160">
            <w:pPr>
              <w:jc w:val="center"/>
              <w:rPr>
                <w:b/>
                <w:color w:val="002060"/>
                <w:sz w:val="22"/>
                <w:szCs w:val="22"/>
              </w:rPr>
            </w:pPr>
            <w:r w:rsidRPr="00BC22F8">
              <w:rPr>
                <w:b/>
                <w:color w:val="002060"/>
                <w:sz w:val="22"/>
                <w:szCs w:val="22"/>
              </w:rPr>
              <w:t xml:space="preserve">Tendence </w:t>
            </w:r>
          </w:p>
          <w:p w:rsidR="00903901" w:rsidRPr="00BC22F8" w:rsidRDefault="00903901" w:rsidP="00965160">
            <w:pPr>
              <w:jc w:val="center"/>
              <w:rPr>
                <w:b/>
                <w:color w:val="002060"/>
                <w:sz w:val="22"/>
                <w:szCs w:val="22"/>
              </w:rPr>
            </w:pPr>
            <w:r w:rsidRPr="00BC22F8">
              <w:rPr>
                <w:b/>
                <w:color w:val="002060"/>
                <w:sz w:val="22"/>
                <w:szCs w:val="22"/>
              </w:rPr>
              <w:t>(pret 2014.g.)</w:t>
            </w:r>
          </w:p>
        </w:tc>
        <w:tc>
          <w:tcPr>
            <w:tcW w:w="1418" w:type="dxa"/>
            <w:shd w:val="clear" w:color="auto" w:fill="B8CCE4" w:themeFill="accent1" w:themeFillTint="66"/>
            <w:vAlign w:val="center"/>
          </w:tcPr>
          <w:p w:rsidR="00903901" w:rsidRPr="00BC22F8" w:rsidRDefault="00903901" w:rsidP="00965160">
            <w:pPr>
              <w:jc w:val="center"/>
              <w:rPr>
                <w:b/>
                <w:color w:val="002060"/>
                <w:sz w:val="22"/>
                <w:szCs w:val="22"/>
              </w:rPr>
            </w:pPr>
            <w:r w:rsidRPr="00BC22F8">
              <w:rPr>
                <w:b/>
                <w:color w:val="002060"/>
                <w:sz w:val="22"/>
                <w:szCs w:val="22"/>
              </w:rPr>
              <w:t>2016</w:t>
            </w:r>
          </w:p>
        </w:tc>
        <w:tc>
          <w:tcPr>
            <w:tcW w:w="1490" w:type="dxa"/>
            <w:shd w:val="clear" w:color="auto" w:fill="B8CCE4" w:themeFill="accent1" w:themeFillTint="66"/>
            <w:vAlign w:val="center"/>
          </w:tcPr>
          <w:p w:rsidR="00903901" w:rsidRPr="00BC22F8" w:rsidRDefault="00903901" w:rsidP="00965160">
            <w:pPr>
              <w:jc w:val="center"/>
              <w:rPr>
                <w:b/>
                <w:color w:val="002060"/>
                <w:sz w:val="22"/>
                <w:szCs w:val="22"/>
              </w:rPr>
            </w:pPr>
            <w:r w:rsidRPr="00BC22F8">
              <w:rPr>
                <w:b/>
                <w:color w:val="002060"/>
                <w:sz w:val="22"/>
                <w:szCs w:val="22"/>
              </w:rPr>
              <w:t>Tendence</w:t>
            </w:r>
          </w:p>
          <w:p w:rsidR="00903901" w:rsidRPr="00BC22F8" w:rsidRDefault="00903901" w:rsidP="00965160">
            <w:pPr>
              <w:jc w:val="center"/>
              <w:rPr>
                <w:b/>
                <w:color w:val="002060"/>
                <w:sz w:val="22"/>
                <w:szCs w:val="22"/>
              </w:rPr>
            </w:pPr>
            <w:r w:rsidRPr="00BC22F8">
              <w:rPr>
                <w:b/>
                <w:color w:val="002060"/>
                <w:sz w:val="22"/>
                <w:szCs w:val="22"/>
              </w:rPr>
              <w:t>(pret 2015.g.)</w:t>
            </w:r>
          </w:p>
        </w:tc>
      </w:tr>
      <w:tr w:rsidR="00903901" w:rsidRPr="00041378" w:rsidTr="00965160">
        <w:tc>
          <w:tcPr>
            <w:tcW w:w="2376" w:type="dxa"/>
          </w:tcPr>
          <w:p w:rsidR="00903901" w:rsidRPr="00041378" w:rsidRDefault="00903901" w:rsidP="00965160">
            <w:pPr>
              <w:rPr>
                <w:sz w:val="22"/>
                <w:szCs w:val="22"/>
              </w:rPr>
            </w:pPr>
            <w:r w:rsidRPr="00041378">
              <w:rPr>
                <w:sz w:val="22"/>
                <w:szCs w:val="22"/>
              </w:rPr>
              <w:t>Slimības pabalsts</w:t>
            </w:r>
          </w:p>
        </w:tc>
        <w:tc>
          <w:tcPr>
            <w:tcW w:w="1560" w:type="dxa"/>
          </w:tcPr>
          <w:p w:rsidR="00903901" w:rsidRPr="00041378" w:rsidRDefault="00903901" w:rsidP="00965160">
            <w:pPr>
              <w:jc w:val="center"/>
              <w:rPr>
                <w:sz w:val="22"/>
                <w:szCs w:val="22"/>
              </w:rPr>
            </w:pPr>
            <w:r>
              <w:rPr>
                <w:sz w:val="22"/>
                <w:szCs w:val="22"/>
              </w:rPr>
              <w:t>82,21</w:t>
            </w:r>
          </w:p>
        </w:tc>
        <w:tc>
          <w:tcPr>
            <w:tcW w:w="1275" w:type="dxa"/>
          </w:tcPr>
          <w:p w:rsidR="00903901" w:rsidRPr="00041378" w:rsidRDefault="00903901" w:rsidP="00965160">
            <w:pPr>
              <w:jc w:val="center"/>
              <w:rPr>
                <w:sz w:val="22"/>
                <w:szCs w:val="22"/>
              </w:rPr>
            </w:pPr>
            <w:r>
              <w:rPr>
                <w:sz w:val="22"/>
                <w:szCs w:val="22"/>
              </w:rPr>
              <w:t>113,5</w:t>
            </w:r>
          </w:p>
        </w:tc>
        <w:tc>
          <w:tcPr>
            <w:tcW w:w="1843" w:type="dxa"/>
          </w:tcPr>
          <w:p w:rsidR="00903901" w:rsidRPr="00041378" w:rsidRDefault="00903901" w:rsidP="00965160">
            <w:pPr>
              <w:jc w:val="center"/>
              <w:rPr>
                <w:sz w:val="22"/>
                <w:szCs w:val="22"/>
              </w:rPr>
            </w:pPr>
            <w:r>
              <w:rPr>
                <w:sz w:val="22"/>
                <w:szCs w:val="22"/>
              </w:rPr>
              <w:sym w:font="Symbol" w:char="F0AD"/>
            </w:r>
            <w:r>
              <w:rPr>
                <w:sz w:val="22"/>
                <w:szCs w:val="22"/>
              </w:rPr>
              <w:t xml:space="preserve"> 38,0%</w:t>
            </w:r>
          </w:p>
        </w:tc>
        <w:tc>
          <w:tcPr>
            <w:tcW w:w="1418" w:type="dxa"/>
          </w:tcPr>
          <w:p w:rsidR="00903901" w:rsidRPr="00041378" w:rsidRDefault="00903901" w:rsidP="00965160">
            <w:pPr>
              <w:jc w:val="center"/>
              <w:rPr>
                <w:sz w:val="22"/>
                <w:szCs w:val="22"/>
              </w:rPr>
            </w:pPr>
            <w:r>
              <w:rPr>
                <w:sz w:val="22"/>
                <w:szCs w:val="22"/>
              </w:rPr>
              <w:t>134,83</w:t>
            </w:r>
          </w:p>
        </w:tc>
        <w:tc>
          <w:tcPr>
            <w:tcW w:w="1490" w:type="dxa"/>
          </w:tcPr>
          <w:p w:rsidR="00903901" w:rsidRPr="00041378" w:rsidRDefault="00903901" w:rsidP="00965160">
            <w:pPr>
              <w:jc w:val="center"/>
              <w:rPr>
                <w:sz w:val="22"/>
                <w:szCs w:val="22"/>
              </w:rPr>
            </w:pPr>
            <w:r>
              <w:rPr>
                <w:sz w:val="22"/>
                <w:szCs w:val="22"/>
              </w:rPr>
              <w:sym w:font="Symbol" w:char="F0AD"/>
            </w:r>
            <w:r>
              <w:rPr>
                <w:sz w:val="22"/>
                <w:szCs w:val="22"/>
              </w:rPr>
              <w:t xml:space="preserve"> 18,8%</w:t>
            </w:r>
          </w:p>
        </w:tc>
      </w:tr>
      <w:tr w:rsidR="00903901" w:rsidRPr="00041378" w:rsidTr="00965160">
        <w:tc>
          <w:tcPr>
            <w:tcW w:w="2376" w:type="dxa"/>
          </w:tcPr>
          <w:p w:rsidR="00903901" w:rsidRPr="00041378" w:rsidRDefault="00903901" w:rsidP="00965160">
            <w:pPr>
              <w:rPr>
                <w:sz w:val="22"/>
                <w:szCs w:val="22"/>
              </w:rPr>
            </w:pPr>
            <w:r w:rsidRPr="00041378">
              <w:rPr>
                <w:sz w:val="22"/>
                <w:szCs w:val="22"/>
              </w:rPr>
              <w:t>Bezdarbnieka pabalsts</w:t>
            </w:r>
          </w:p>
        </w:tc>
        <w:tc>
          <w:tcPr>
            <w:tcW w:w="1560" w:type="dxa"/>
          </w:tcPr>
          <w:p w:rsidR="00903901" w:rsidRPr="00041378" w:rsidRDefault="00903901" w:rsidP="00965160">
            <w:pPr>
              <w:jc w:val="center"/>
              <w:rPr>
                <w:sz w:val="22"/>
                <w:szCs w:val="22"/>
              </w:rPr>
            </w:pPr>
            <w:r>
              <w:rPr>
                <w:sz w:val="22"/>
                <w:szCs w:val="22"/>
              </w:rPr>
              <w:t>85,23</w:t>
            </w:r>
          </w:p>
        </w:tc>
        <w:tc>
          <w:tcPr>
            <w:tcW w:w="1275" w:type="dxa"/>
          </w:tcPr>
          <w:p w:rsidR="00903901" w:rsidRPr="00041378" w:rsidRDefault="00903901" w:rsidP="00965160">
            <w:pPr>
              <w:jc w:val="center"/>
              <w:rPr>
                <w:sz w:val="22"/>
                <w:szCs w:val="22"/>
              </w:rPr>
            </w:pPr>
            <w:r>
              <w:rPr>
                <w:sz w:val="22"/>
                <w:szCs w:val="22"/>
              </w:rPr>
              <w:t>102,11</w:t>
            </w:r>
          </w:p>
        </w:tc>
        <w:tc>
          <w:tcPr>
            <w:tcW w:w="1843" w:type="dxa"/>
          </w:tcPr>
          <w:p w:rsidR="00903901" w:rsidRPr="00041378" w:rsidRDefault="00903901" w:rsidP="00965160">
            <w:pPr>
              <w:jc w:val="center"/>
              <w:rPr>
                <w:sz w:val="22"/>
                <w:szCs w:val="22"/>
              </w:rPr>
            </w:pPr>
            <w:r>
              <w:rPr>
                <w:sz w:val="22"/>
                <w:szCs w:val="22"/>
              </w:rPr>
              <w:sym w:font="Symbol" w:char="F0AD"/>
            </w:r>
            <w:r>
              <w:rPr>
                <w:sz w:val="22"/>
                <w:szCs w:val="22"/>
              </w:rPr>
              <w:t xml:space="preserve"> 19,8%</w:t>
            </w:r>
          </w:p>
        </w:tc>
        <w:tc>
          <w:tcPr>
            <w:tcW w:w="1418" w:type="dxa"/>
          </w:tcPr>
          <w:p w:rsidR="00903901" w:rsidRPr="00041378" w:rsidRDefault="00903901" w:rsidP="00965160">
            <w:pPr>
              <w:jc w:val="center"/>
              <w:rPr>
                <w:sz w:val="22"/>
                <w:szCs w:val="22"/>
              </w:rPr>
            </w:pPr>
            <w:r>
              <w:rPr>
                <w:sz w:val="22"/>
                <w:szCs w:val="22"/>
              </w:rPr>
              <w:t>116,17</w:t>
            </w:r>
          </w:p>
        </w:tc>
        <w:tc>
          <w:tcPr>
            <w:tcW w:w="1490" w:type="dxa"/>
          </w:tcPr>
          <w:p w:rsidR="00903901" w:rsidRPr="00041378" w:rsidRDefault="00903901" w:rsidP="00965160">
            <w:pPr>
              <w:jc w:val="center"/>
              <w:rPr>
                <w:sz w:val="22"/>
                <w:szCs w:val="22"/>
              </w:rPr>
            </w:pPr>
            <w:r>
              <w:rPr>
                <w:sz w:val="22"/>
                <w:szCs w:val="22"/>
              </w:rPr>
              <w:sym w:font="Symbol" w:char="F0AD"/>
            </w:r>
            <w:r>
              <w:rPr>
                <w:sz w:val="22"/>
                <w:szCs w:val="22"/>
              </w:rPr>
              <w:t xml:space="preserve"> 13,7%</w:t>
            </w:r>
          </w:p>
        </w:tc>
      </w:tr>
      <w:tr w:rsidR="00903901" w:rsidRPr="00041378" w:rsidTr="00965160">
        <w:tc>
          <w:tcPr>
            <w:tcW w:w="2376" w:type="dxa"/>
          </w:tcPr>
          <w:p w:rsidR="00903901" w:rsidRPr="00041378" w:rsidRDefault="00903901" w:rsidP="00965160">
            <w:pPr>
              <w:rPr>
                <w:sz w:val="22"/>
                <w:szCs w:val="22"/>
              </w:rPr>
            </w:pPr>
            <w:r w:rsidRPr="00041378">
              <w:rPr>
                <w:sz w:val="22"/>
                <w:szCs w:val="22"/>
              </w:rPr>
              <w:t>Maternitātes pabalsts</w:t>
            </w:r>
          </w:p>
        </w:tc>
        <w:tc>
          <w:tcPr>
            <w:tcW w:w="1560" w:type="dxa"/>
          </w:tcPr>
          <w:p w:rsidR="00903901" w:rsidRPr="00041378" w:rsidRDefault="00903901" w:rsidP="00965160">
            <w:pPr>
              <w:jc w:val="center"/>
              <w:rPr>
                <w:sz w:val="22"/>
                <w:szCs w:val="22"/>
              </w:rPr>
            </w:pPr>
            <w:r>
              <w:rPr>
                <w:sz w:val="22"/>
                <w:szCs w:val="22"/>
              </w:rPr>
              <w:t>34,57</w:t>
            </w:r>
          </w:p>
        </w:tc>
        <w:tc>
          <w:tcPr>
            <w:tcW w:w="1275" w:type="dxa"/>
          </w:tcPr>
          <w:p w:rsidR="00903901" w:rsidRPr="00041378" w:rsidRDefault="00903901" w:rsidP="00965160">
            <w:pPr>
              <w:jc w:val="center"/>
              <w:rPr>
                <w:sz w:val="22"/>
                <w:szCs w:val="22"/>
              </w:rPr>
            </w:pPr>
            <w:r>
              <w:rPr>
                <w:sz w:val="22"/>
                <w:szCs w:val="22"/>
              </w:rPr>
              <w:t>40,45</w:t>
            </w:r>
          </w:p>
        </w:tc>
        <w:tc>
          <w:tcPr>
            <w:tcW w:w="1843" w:type="dxa"/>
          </w:tcPr>
          <w:p w:rsidR="00903901" w:rsidRPr="00041378" w:rsidRDefault="00903901" w:rsidP="00965160">
            <w:pPr>
              <w:jc w:val="center"/>
              <w:rPr>
                <w:sz w:val="22"/>
                <w:szCs w:val="22"/>
              </w:rPr>
            </w:pPr>
            <w:r>
              <w:rPr>
                <w:sz w:val="22"/>
                <w:szCs w:val="22"/>
              </w:rPr>
              <w:sym w:font="Symbol" w:char="F0AD"/>
            </w:r>
            <w:r>
              <w:rPr>
                <w:sz w:val="22"/>
                <w:szCs w:val="22"/>
              </w:rPr>
              <w:t xml:space="preserve"> 17,0% </w:t>
            </w:r>
          </w:p>
        </w:tc>
        <w:tc>
          <w:tcPr>
            <w:tcW w:w="1418" w:type="dxa"/>
          </w:tcPr>
          <w:p w:rsidR="00903901" w:rsidRPr="00041378" w:rsidRDefault="00903901" w:rsidP="00965160">
            <w:pPr>
              <w:jc w:val="center"/>
              <w:rPr>
                <w:sz w:val="22"/>
                <w:szCs w:val="22"/>
              </w:rPr>
            </w:pPr>
            <w:r>
              <w:rPr>
                <w:sz w:val="22"/>
                <w:szCs w:val="22"/>
              </w:rPr>
              <w:t>44,51</w:t>
            </w:r>
          </w:p>
        </w:tc>
        <w:tc>
          <w:tcPr>
            <w:tcW w:w="1490" w:type="dxa"/>
          </w:tcPr>
          <w:p w:rsidR="00903901" w:rsidRPr="00041378" w:rsidRDefault="00903901" w:rsidP="00965160">
            <w:pPr>
              <w:jc w:val="center"/>
              <w:rPr>
                <w:sz w:val="22"/>
                <w:szCs w:val="22"/>
              </w:rPr>
            </w:pPr>
            <w:r>
              <w:rPr>
                <w:sz w:val="22"/>
                <w:szCs w:val="22"/>
              </w:rPr>
              <w:sym w:font="Symbol" w:char="F0AD"/>
            </w:r>
            <w:r>
              <w:rPr>
                <w:sz w:val="22"/>
                <w:szCs w:val="22"/>
              </w:rPr>
              <w:t xml:space="preserve"> 10,0%</w:t>
            </w:r>
          </w:p>
        </w:tc>
      </w:tr>
      <w:tr w:rsidR="00903901" w:rsidRPr="00041378" w:rsidTr="00965160">
        <w:tc>
          <w:tcPr>
            <w:tcW w:w="2376" w:type="dxa"/>
          </w:tcPr>
          <w:p w:rsidR="00903901" w:rsidRPr="00041378" w:rsidRDefault="00903901" w:rsidP="00965160">
            <w:pPr>
              <w:rPr>
                <w:sz w:val="22"/>
                <w:szCs w:val="22"/>
              </w:rPr>
            </w:pPr>
            <w:r w:rsidRPr="00041378">
              <w:rPr>
                <w:sz w:val="22"/>
                <w:szCs w:val="22"/>
              </w:rPr>
              <w:t>Paternitātes pabalsts</w:t>
            </w:r>
          </w:p>
        </w:tc>
        <w:tc>
          <w:tcPr>
            <w:tcW w:w="1560" w:type="dxa"/>
          </w:tcPr>
          <w:p w:rsidR="00903901" w:rsidRPr="00041378" w:rsidRDefault="00903901" w:rsidP="00965160">
            <w:pPr>
              <w:jc w:val="center"/>
              <w:rPr>
                <w:sz w:val="22"/>
                <w:szCs w:val="22"/>
              </w:rPr>
            </w:pPr>
            <w:r>
              <w:rPr>
                <w:sz w:val="22"/>
                <w:szCs w:val="22"/>
              </w:rPr>
              <w:t>2,22</w:t>
            </w:r>
          </w:p>
        </w:tc>
        <w:tc>
          <w:tcPr>
            <w:tcW w:w="1275" w:type="dxa"/>
          </w:tcPr>
          <w:p w:rsidR="00903901" w:rsidRPr="00041378" w:rsidRDefault="00903901" w:rsidP="00965160">
            <w:pPr>
              <w:jc w:val="center"/>
              <w:rPr>
                <w:sz w:val="22"/>
                <w:szCs w:val="22"/>
              </w:rPr>
            </w:pPr>
            <w:r>
              <w:rPr>
                <w:sz w:val="22"/>
                <w:szCs w:val="22"/>
              </w:rPr>
              <w:t>2,84</w:t>
            </w:r>
          </w:p>
        </w:tc>
        <w:tc>
          <w:tcPr>
            <w:tcW w:w="1843" w:type="dxa"/>
          </w:tcPr>
          <w:p w:rsidR="00903901" w:rsidRPr="00041378" w:rsidRDefault="00903901" w:rsidP="00965160">
            <w:pPr>
              <w:jc w:val="center"/>
              <w:rPr>
                <w:sz w:val="22"/>
                <w:szCs w:val="22"/>
              </w:rPr>
            </w:pPr>
            <w:r>
              <w:rPr>
                <w:sz w:val="22"/>
                <w:szCs w:val="22"/>
              </w:rPr>
              <w:sym w:font="Symbol" w:char="F0AD"/>
            </w:r>
            <w:r>
              <w:rPr>
                <w:sz w:val="22"/>
                <w:szCs w:val="22"/>
              </w:rPr>
              <w:t xml:space="preserve"> 27,9%</w:t>
            </w:r>
          </w:p>
        </w:tc>
        <w:tc>
          <w:tcPr>
            <w:tcW w:w="1418" w:type="dxa"/>
          </w:tcPr>
          <w:p w:rsidR="00903901" w:rsidRPr="00041378" w:rsidRDefault="00903901" w:rsidP="00965160">
            <w:pPr>
              <w:jc w:val="center"/>
              <w:rPr>
                <w:sz w:val="22"/>
                <w:szCs w:val="22"/>
              </w:rPr>
            </w:pPr>
            <w:r>
              <w:rPr>
                <w:sz w:val="22"/>
                <w:szCs w:val="22"/>
              </w:rPr>
              <w:t>3,08</w:t>
            </w:r>
          </w:p>
        </w:tc>
        <w:tc>
          <w:tcPr>
            <w:tcW w:w="1490" w:type="dxa"/>
          </w:tcPr>
          <w:p w:rsidR="00903901" w:rsidRPr="00041378" w:rsidRDefault="00903901" w:rsidP="00965160">
            <w:pPr>
              <w:jc w:val="center"/>
              <w:rPr>
                <w:sz w:val="22"/>
                <w:szCs w:val="22"/>
              </w:rPr>
            </w:pPr>
            <w:r>
              <w:rPr>
                <w:sz w:val="22"/>
                <w:szCs w:val="22"/>
              </w:rPr>
              <w:sym w:font="Symbol" w:char="F0AD"/>
            </w:r>
            <w:r>
              <w:rPr>
                <w:sz w:val="22"/>
                <w:szCs w:val="22"/>
              </w:rPr>
              <w:t xml:space="preserve"> 8,4%</w:t>
            </w:r>
          </w:p>
        </w:tc>
      </w:tr>
      <w:tr w:rsidR="00903901" w:rsidRPr="00041378" w:rsidTr="00965160">
        <w:tc>
          <w:tcPr>
            <w:tcW w:w="2376" w:type="dxa"/>
          </w:tcPr>
          <w:p w:rsidR="00903901" w:rsidRPr="00041378" w:rsidRDefault="00903901" w:rsidP="00965160">
            <w:pPr>
              <w:rPr>
                <w:sz w:val="22"/>
                <w:szCs w:val="22"/>
              </w:rPr>
            </w:pPr>
            <w:r w:rsidRPr="00041378">
              <w:rPr>
                <w:sz w:val="22"/>
                <w:szCs w:val="22"/>
              </w:rPr>
              <w:t>Vecāku pabalsts</w:t>
            </w:r>
          </w:p>
        </w:tc>
        <w:tc>
          <w:tcPr>
            <w:tcW w:w="1560" w:type="dxa"/>
          </w:tcPr>
          <w:p w:rsidR="00903901" w:rsidRPr="00041378" w:rsidRDefault="00903901" w:rsidP="00965160">
            <w:pPr>
              <w:jc w:val="center"/>
              <w:rPr>
                <w:sz w:val="22"/>
                <w:szCs w:val="22"/>
              </w:rPr>
            </w:pPr>
            <w:r>
              <w:rPr>
                <w:sz w:val="22"/>
                <w:szCs w:val="22"/>
              </w:rPr>
              <w:t>70,88</w:t>
            </w:r>
          </w:p>
        </w:tc>
        <w:tc>
          <w:tcPr>
            <w:tcW w:w="1275" w:type="dxa"/>
          </w:tcPr>
          <w:p w:rsidR="00903901" w:rsidRPr="00041378" w:rsidRDefault="00903901" w:rsidP="00965160">
            <w:pPr>
              <w:jc w:val="center"/>
              <w:rPr>
                <w:sz w:val="22"/>
                <w:szCs w:val="22"/>
              </w:rPr>
            </w:pPr>
            <w:r>
              <w:rPr>
                <w:sz w:val="22"/>
                <w:szCs w:val="22"/>
              </w:rPr>
              <w:t>76,39</w:t>
            </w:r>
          </w:p>
        </w:tc>
        <w:tc>
          <w:tcPr>
            <w:tcW w:w="1843" w:type="dxa"/>
          </w:tcPr>
          <w:p w:rsidR="00903901" w:rsidRPr="00041378" w:rsidRDefault="00903901" w:rsidP="00965160">
            <w:pPr>
              <w:jc w:val="center"/>
              <w:rPr>
                <w:sz w:val="22"/>
                <w:szCs w:val="22"/>
              </w:rPr>
            </w:pPr>
            <w:r>
              <w:rPr>
                <w:sz w:val="22"/>
                <w:szCs w:val="22"/>
              </w:rPr>
              <w:sym w:font="Symbol" w:char="F0AD"/>
            </w:r>
            <w:r>
              <w:rPr>
                <w:sz w:val="22"/>
                <w:szCs w:val="22"/>
              </w:rPr>
              <w:t xml:space="preserve"> 7,7%</w:t>
            </w:r>
          </w:p>
        </w:tc>
        <w:tc>
          <w:tcPr>
            <w:tcW w:w="1418" w:type="dxa"/>
          </w:tcPr>
          <w:p w:rsidR="00903901" w:rsidRPr="00041378" w:rsidRDefault="00903901" w:rsidP="00965160">
            <w:pPr>
              <w:jc w:val="center"/>
              <w:rPr>
                <w:sz w:val="22"/>
                <w:szCs w:val="22"/>
              </w:rPr>
            </w:pPr>
            <w:r>
              <w:rPr>
                <w:sz w:val="22"/>
                <w:szCs w:val="22"/>
              </w:rPr>
              <w:t>92,63</w:t>
            </w:r>
          </w:p>
        </w:tc>
        <w:tc>
          <w:tcPr>
            <w:tcW w:w="1490" w:type="dxa"/>
          </w:tcPr>
          <w:p w:rsidR="00903901" w:rsidRPr="00041378" w:rsidRDefault="00903901" w:rsidP="00965160">
            <w:pPr>
              <w:jc w:val="center"/>
              <w:rPr>
                <w:sz w:val="22"/>
                <w:szCs w:val="22"/>
              </w:rPr>
            </w:pPr>
            <w:r>
              <w:rPr>
                <w:sz w:val="22"/>
                <w:szCs w:val="22"/>
              </w:rPr>
              <w:sym w:font="Symbol" w:char="F0AD"/>
            </w:r>
            <w:r>
              <w:rPr>
                <w:sz w:val="22"/>
                <w:szCs w:val="22"/>
              </w:rPr>
              <w:t xml:space="preserve"> 21,2%</w:t>
            </w:r>
          </w:p>
        </w:tc>
      </w:tr>
    </w:tbl>
    <w:p w:rsidR="00903901" w:rsidRPr="00041378" w:rsidRDefault="00903901" w:rsidP="00903901">
      <w:pPr>
        <w:spacing w:line="240" w:lineRule="auto"/>
        <w:rPr>
          <w:sz w:val="20"/>
          <w:szCs w:val="20"/>
        </w:rPr>
      </w:pPr>
      <w:r w:rsidRPr="00041378">
        <w:rPr>
          <w:sz w:val="20"/>
          <w:szCs w:val="20"/>
        </w:rPr>
        <w:t>Avots: LM oficiālā statistika, Sociālās apdrošināšanas speciālā budžeta izdevumi pensijām, pabalstiem, atlīdzībām. Pieejams:</w:t>
      </w:r>
      <w:r w:rsidRPr="00041378">
        <w:rPr>
          <w:color w:val="FF0000"/>
          <w:sz w:val="20"/>
          <w:szCs w:val="20"/>
        </w:rPr>
        <w:t xml:space="preserve"> </w:t>
      </w:r>
      <w:hyperlink r:id="rId13" w:history="1">
        <w:r w:rsidRPr="00041378">
          <w:rPr>
            <w:rStyle w:val="Hyperlink"/>
            <w:sz w:val="20"/>
            <w:szCs w:val="20"/>
          </w:rPr>
          <w:t>http://www.lm.gov.lv/lv/nozares-politika/sociala-apdrosinasana/2-statistika</w:t>
        </w:r>
      </w:hyperlink>
      <w:r w:rsidRPr="00041378">
        <w:rPr>
          <w:color w:val="FF0000"/>
          <w:sz w:val="20"/>
          <w:szCs w:val="20"/>
        </w:rPr>
        <w:t xml:space="preserve"> </w:t>
      </w:r>
      <w:r w:rsidRPr="00041378">
        <w:rPr>
          <w:sz w:val="20"/>
          <w:szCs w:val="20"/>
          <w:shd w:val="clear" w:color="auto" w:fill="FFFFFF" w:themeFill="background1"/>
        </w:rPr>
        <w:t>(sk. 12.04.2019.)</w:t>
      </w:r>
    </w:p>
    <w:p w:rsidR="00903901" w:rsidRPr="008F253A" w:rsidRDefault="00903901" w:rsidP="00903901">
      <w:pPr>
        <w:rPr>
          <w:color w:val="FF0000"/>
        </w:rPr>
      </w:pPr>
    </w:p>
    <w:p w:rsidR="000443C3" w:rsidRDefault="00903901" w:rsidP="00903901">
      <w:r w:rsidRPr="00751252">
        <w:rPr>
          <w:b/>
        </w:rPr>
        <w:t>Ģimenes valsts pabalsta apmērs</w:t>
      </w:r>
      <w:r>
        <w:rPr>
          <w:b/>
        </w:rPr>
        <w:t xml:space="preserve"> </w:t>
      </w:r>
      <w:r w:rsidRPr="00FF2537">
        <w:t xml:space="preserve">no 2015. </w:t>
      </w:r>
      <w:r>
        <w:t>g</w:t>
      </w:r>
      <w:r w:rsidRPr="00FF2537">
        <w:t>ada</w:t>
      </w:r>
      <w:r>
        <w:t xml:space="preserve"> tika</w:t>
      </w:r>
      <w:r w:rsidRPr="00751252">
        <w:rPr>
          <w:b/>
        </w:rPr>
        <w:t> noteikts atkarībā no bērnu skaita ģimenē</w:t>
      </w:r>
      <w:r w:rsidRPr="00DA388E">
        <w:t xml:space="preserve">. </w:t>
      </w:r>
      <w:r>
        <w:t xml:space="preserve">Tiesības uz šo pabalstu ir noteiktas </w:t>
      </w:r>
      <w:r w:rsidRPr="00C33E7D">
        <w:t>Latvijā pastāvīgi dzīvojošiem Latvijas pilsoņiem, nepilsoņiem, ārvalstniekiem un bezvalstniekiem, kuriem pašiem un kuru bērniem ir piešķirts personas kods</w:t>
      </w:r>
      <w:r>
        <w:t>. 2015. gadā spēkā stājušās izmaiņas tiesību aktos</w:t>
      </w:r>
      <w:r w:rsidRPr="00751252">
        <w:rPr>
          <w:vertAlign w:val="superscript"/>
        </w:rPr>
        <w:footnoteReference w:id="49"/>
      </w:r>
      <w:r>
        <w:t xml:space="preserve"> noteica jaunos pabalstu apmērus:</w:t>
      </w:r>
      <w:r w:rsidRPr="00DA388E">
        <w:t xml:space="preserve"> </w:t>
      </w:r>
      <w:r>
        <w:t>p</w:t>
      </w:r>
      <w:r w:rsidRPr="00DA388E">
        <w:t xml:space="preserve">ar pirmo bērnu - </w:t>
      </w:r>
      <w:r w:rsidRPr="00DA388E">
        <w:lastRenderedPageBreak/>
        <w:t xml:space="preserve">11,38 EUR mēnesī, par otro bērnu ģimenē pabalsts tika noteikts 22,76 EUR (divas reizes lielāks), par trešo bērnu un nākamajiem bērniem – 34,14 EUR jeb trīs reizes lielāks nekā par pirmo bērnu ģimenē (šobrīd tiesību normas ir mainītas, nosakot pabalsta apmēru arī par ceturto un </w:t>
      </w:r>
      <w:r w:rsidR="004B61EB">
        <w:t>nākamajiem</w:t>
      </w:r>
      <w:r w:rsidRPr="00DA388E">
        <w:t xml:space="preserve"> bērniem). </w:t>
      </w:r>
      <w:r w:rsidR="000443C3" w:rsidRPr="00C3590A">
        <w:t>Līdzīga sistēma pastāvēja arī pirms 2009.</w:t>
      </w:r>
      <w:r w:rsidR="00153ADA">
        <w:t xml:space="preserve"> </w:t>
      </w:r>
      <w:r w:rsidR="000443C3" w:rsidRPr="00C3590A">
        <w:t>gada 1.</w:t>
      </w:r>
      <w:r w:rsidR="00153ADA">
        <w:t xml:space="preserve"> </w:t>
      </w:r>
      <w:r w:rsidR="000443C3" w:rsidRPr="00C3590A">
        <w:t xml:space="preserve">jūlija, kad par </w:t>
      </w:r>
      <w:r w:rsidR="000443C3">
        <w:t xml:space="preserve">pirmo </w:t>
      </w:r>
      <w:r w:rsidR="000443C3" w:rsidRPr="00C3590A">
        <w:t xml:space="preserve">bērnu </w:t>
      </w:r>
      <w:r w:rsidR="000443C3">
        <w:t>ģimenes valsts pabalsts</w:t>
      </w:r>
      <w:r w:rsidR="000443C3" w:rsidRPr="00C3590A">
        <w:t xml:space="preserve"> bija Ls 8 (11,38 </w:t>
      </w:r>
      <w:r w:rsidR="000443C3">
        <w:t>EUR</w:t>
      </w:r>
      <w:r w:rsidR="000443C3" w:rsidRPr="00C3590A">
        <w:t xml:space="preserve">),  par </w:t>
      </w:r>
      <w:r w:rsidR="000443C3">
        <w:t xml:space="preserve">otro </w:t>
      </w:r>
      <w:r w:rsidR="000443C3" w:rsidRPr="00C3590A">
        <w:t xml:space="preserve">bērnu - Ls 9,6 (13,66 </w:t>
      </w:r>
      <w:r w:rsidR="000443C3">
        <w:t>EUR</w:t>
      </w:r>
      <w:r w:rsidR="000443C3" w:rsidRPr="00C3590A">
        <w:t xml:space="preserve"> par </w:t>
      </w:r>
      <w:r w:rsidR="000443C3">
        <w:t xml:space="preserve">trešo </w:t>
      </w:r>
      <w:r w:rsidR="000443C3" w:rsidRPr="00C3590A">
        <w:t xml:space="preserve">bērnu - Ls 12,8 (18,21 </w:t>
      </w:r>
      <w:r w:rsidR="000443C3">
        <w:t>EUR</w:t>
      </w:r>
      <w:r w:rsidR="000443C3" w:rsidRPr="00C3590A">
        <w:t xml:space="preserve">), bet par </w:t>
      </w:r>
      <w:r w:rsidR="000443C3">
        <w:t xml:space="preserve">ceturto </w:t>
      </w:r>
      <w:r w:rsidR="000443C3" w:rsidRPr="00C3590A">
        <w:t xml:space="preserve">un nākamajiem bērniem Ls 14,4 (20,48 </w:t>
      </w:r>
      <w:r w:rsidR="000443C3">
        <w:t>EUR</w:t>
      </w:r>
      <w:r w:rsidR="000443C3" w:rsidRPr="00C3590A">
        <w:t xml:space="preserve">). </w:t>
      </w:r>
      <w:r w:rsidR="000443C3">
        <w:t>Līdz ar</w:t>
      </w:r>
      <w:r w:rsidR="000443C3" w:rsidRPr="00C3590A">
        <w:t xml:space="preserve"> likum</w:t>
      </w:r>
      <w:r w:rsidR="000443C3">
        <w:t>a</w:t>
      </w:r>
      <w:r w:rsidR="000443C3" w:rsidRPr="00C3590A">
        <w:t xml:space="preserve"> </w:t>
      </w:r>
      <w:r w:rsidR="000443C3" w:rsidRPr="000673FE">
        <w:t>“Par valsts pabalstu izmaksu laika periodā no 2009.</w:t>
      </w:r>
      <w:r w:rsidR="000443C3">
        <w:t xml:space="preserve"> </w:t>
      </w:r>
      <w:r w:rsidR="000443C3" w:rsidRPr="000673FE">
        <w:t>gada līdz 2014.</w:t>
      </w:r>
      <w:r w:rsidR="000443C3">
        <w:t xml:space="preserve"> </w:t>
      </w:r>
      <w:r w:rsidR="000443C3" w:rsidRPr="000673FE">
        <w:t>gadam”</w:t>
      </w:r>
      <w:r w:rsidR="000443C3">
        <w:t xml:space="preserve"> pieņemšanu 2009. gada 16. jūnijā tika atcelti ģimenes valsts pabalsta koeficienti, kā rezultātā pasliktinājās materiālā situācija </w:t>
      </w:r>
      <w:r w:rsidR="000443C3" w:rsidRPr="00C3590A">
        <w:t xml:space="preserve">ģimenēm, kurās </w:t>
      </w:r>
      <w:r w:rsidR="000443C3">
        <w:t>bija</w:t>
      </w:r>
      <w:r w:rsidR="000443C3" w:rsidRPr="00C3590A">
        <w:t xml:space="preserve"> divi un vairāk bērni</w:t>
      </w:r>
      <w:r w:rsidR="000443C3">
        <w:t xml:space="preserve">. </w:t>
      </w:r>
      <w:r w:rsidR="000443C3" w:rsidRPr="00C33E7D">
        <w:t>Līdz 2015.</w:t>
      </w:r>
      <w:r w:rsidR="000443C3">
        <w:t xml:space="preserve"> </w:t>
      </w:r>
      <w:r w:rsidR="000443C3" w:rsidRPr="00C33E7D">
        <w:t xml:space="preserve">gadam </w:t>
      </w:r>
      <w:r w:rsidR="000443C3">
        <w:t xml:space="preserve">šī </w:t>
      </w:r>
      <w:r w:rsidR="000443C3" w:rsidRPr="00C33E7D">
        <w:t>pabalsta apmērs par katru bērnu bija vienāds – 11,38 EUR.</w:t>
      </w:r>
    </w:p>
    <w:p w:rsidR="00903901" w:rsidRDefault="000443C3" w:rsidP="00903901">
      <w:r>
        <w:t xml:space="preserve">2015. gadā spēkā stājušos </w:t>
      </w:r>
      <w:r w:rsidR="00903901">
        <w:t xml:space="preserve">izmaiņu rezultātā, kas vērtējamas kā </w:t>
      </w:r>
      <w:r w:rsidR="00903901" w:rsidRPr="00235FAA">
        <w:rPr>
          <w:b/>
        </w:rPr>
        <w:t>mērķēts atbalsts ģimenēm ar bērniem</w:t>
      </w:r>
      <w:r w:rsidR="00903901">
        <w:t xml:space="preserve">, pieauga </w:t>
      </w:r>
      <w:r w:rsidR="00903901" w:rsidRPr="00235FAA">
        <w:rPr>
          <w:b/>
        </w:rPr>
        <w:t>ģimeņu ar vairāk kā vienu bērnu tiešie ienākumi</w:t>
      </w:r>
      <w:r w:rsidR="00903901">
        <w:t xml:space="preserve"> – ģimenēm ar diviem bērniem tie palielinājās par 34,14 EUR, ģimenēm ar trīs bērniem – par 68,28 EUR, ģimenēm ar četriem bērniem – par 102, 42 EUR, ģimenēm ar pieciem bērniem – par 136,56 EUR. 1.</w:t>
      </w:r>
      <w:r w:rsidR="000A7157">
        <w:t>2</w:t>
      </w:r>
      <w:r w:rsidR="00903901">
        <w:t xml:space="preserve">. tabulā ir atspoguļoti dati par ģimenes valsts pabalsta saņēmēju skaita izmaiņām vidēji mēnesī un pabalsta vidējo apmēru mēnesī. 2015. gadā salīdzinājumā ar 2014. gadu vidēji mēnesī tās pieauga par 7,55 EUR jeb 66,3%. Pieaugums turpinājās arī 2016. gadā, bet jau mazākā apmērā, kas skaidrojams ar ģimeņu ar bērniem pieaugumu visās mājsaimniecību grupās atkarībā no bērnu skaita. </w:t>
      </w:r>
    </w:p>
    <w:p w:rsidR="00903901" w:rsidRPr="00C65CC9" w:rsidRDefault="00903901" w:rsidP="00DE4D97">
      <w:pPr>
        <w:pStyle w:val="Caption"/>
      </w:pPr>
      <w:r w:rsidRPr="00C65CC9">
        <w:t>1.</w:t>
      </w:r>
      <w:r w:rsidR="000E48A8">
        <w:t>2</w:t>
      </w:r>
      <w:r w:rsidRPr="00C65CC9">
        <w:t>. tabula. Ģimenes valsts pabalsta saņēmēju skaits un pabalsta apmērs mēnesī</w:t>
      </w:r>
    </w:p>
    <w:tbl>
      <w:tblPr>
        <w:tblW w:w="9228" w:type="dxa"/>
        <w:tblInd w:w="94" w:type="dxa"/>
        <w:tblLook w:val="04A0"/>
      </w:tblPr>
      <w:tblGrid>
        <w:gridCol w:w="3133"/>
        <w:gridCol w:w="2551"/>
        <w:gridCol w:w="1134"/>
        <w:gridCol w:w="1276"/>
        <w:gridCol w:w="1134"/>
      </w:tblGrid>
      <w:tr w:rsidR="00903901" w:rsidRPr="00BC22F8" w:rsidTr="00BC22F8">
        <w:trPr>
          <w:trHeight w:val="270"/>
        </w:trPr>
        <w:tc>
          <w:tcPr>
            <w:tcW w:w="3133" w:type="dxa"/>
            <w:tcBorders>
              <w:top w:val="single" w:sz="8" w:space="0" w:color="000000"/>
              <w:left w:val="single" w:sz="4" w:space="0" w:color="000000"/>
              <w:bottom w:val="single" w:sz="8" w:space="0" w:color="000000"/>
              <w:right w:val="nil"/>
            </w:tcBorders>
            <w:shd w:val="clear" w:color="auto" w:fill="B8CCE4" w:themeFill="accent1" w:themeFillTint="66"/>
            <w:noWrap/>
            <w:vAlign w:val="center"/>
            <w:hideMark/>
          </w:tcPr>
          <w:p w:rsidR="00903901" w:rsidRPr="00BC22F8" w:rsidRDefault="00903901" w:rsidP="00965160">
            <w:pPr>
              <w:spacing w:line="240" w:lineRule="auto"/>
              <w:jc w:val="left"/>
              <w:rPr>
                <w:rFonts w:eastAsia="Times New Roman"/>
                <w:b/>
                <w:color w:val="002060"/>
                <w:sz w:val="22"/>
                <w:szCs w:val="22"/>
              </w:rPr>
            </w:pPr>
            <w:r w:rsidRPr="00BC22F8">
              <w:rPr>
                <w:rFonts w:eastAsia="Times New Roman"/>
                <w:b/>
                <w:color w:val="002060"/>
                <w:sz w:val="22"/>
                <w:szCs w:val="22"/>
              </w:rPr>
              <w:t> Rādītājs</w:t>
            </w:r>
          </w:p>
        </w:tc>
        <w:tc>
          <w:tcPr>
            <w:tcW w:w="2551" w:type="dxa"/>
            <w:tcBorders>
              <w:top w:val="single" w:sz="8" w:space="0" w:color="000000"/>
              <w:left w:val="single" w:sz="4" w:space="0" w:color="000000"/>
              <w:bottom w:val="single" w:sz="8" w:space="0" w:color="000000"/>
              <w:right w:val="single" w:sz="4" w:space="0" w:color="000000"/>
            </w:tcBorders>
            <w:shd w:val="clear" w:color="auto" w:fill="B8CCE4" w:themeFill="accent1" w:themeFillTint="66"/>
            <w:vAlign w:val="center"/>
            <w:hideMark/>
          </w:tcPr>
          <w:p w:rsidR="00903901" w:rsidRPr="00BC22F8" w:rsidRDefault="00903901" w:rsidP="00965160">
            <w:pPr>
              <w:spacing w:line="240" w:lineRule="auto"/>
              <w:jc w:val="left"/>
              <w:rPr>
                <w:rFonts w:eastAsia="Times New Roman"/>
                <w:b/>
                <w:color w:val="002060"/>
                <w:sz w:val="22"/>
                <w:szCs w:val="22"/>
              </w:rPr>
            </w:pPr>
            <w:r w:rsidRPr="00BC22F8">
              <w:rPr>
                <w:rFonts w:eastAsia="Times New Roman"/>
                <w:b/>
                <w:color w:val="002060"/>
                <w:sz w:val="22"/>
                <w:szCs w:val="22"/>
              </w:rPr>
              <w:t> Mērvienība</w:t>
            </w:r>
          </w:p>
        </w:tc>
        <w:tc>
          <w:tcPr>
            <w:tcW w:w="1134" w:type="dxa"/>
            <w:tcBorders>
              <w:top w:val="single" w:sz="8" w:space="0" w:color="000000"/>
              <w:left w:val="nil"/>
              <w:bottom w:val="single" w:sz="8" w:space="0" w:color="000000"/>
              <w:right w:val="single" w:sz="4" w:space="0" w:color="000000"/>
            </w:tcBorders>
            <w:shd w:val="clear" w:color="auto" w:fill="B8CCE4" w:themeFill="accent1" w:themeFillTint="66"/>
            <w:vAlign w:val="center"/>
            <w:hideMark/>
          </w:tcPr>
          <w:p w:rsidR="00903901" w:rsidRPr="00BC22F8" w:rsidRDefault="00903901" w:rsidP="00965160">
            <w:pPr>
              <w:spacing w:line="240" w:lineRule="auto"/>
              <w:jc w:val="center"/>
              <w:rPr>
                <w:rFonts w:eastAsia="Times New Roman"/>
                <w:b/>
                <w:bCs/>
                <w:color w:val="002060"/>
                <w:sz w:val="22"/>
                <w:szCs w:val="22"/>
              </w:rPr>
            </w:pPr>
            <w:r w:rsidRPr="00BC22F8">
              <w:rPr>
                <w:rFonts w:eastAsia="Times New Roman"/>
                <w:b/>
                <w:bCs/>
                <w:color w:val="002060"/>
                <w:sz w:val="22"/>
                <w:szCs w:val="22"/>
              </w:rPr>
              <w:t>2014</w:t>
            </w:r>
          </w:p>
        </w:tc>
        <w:tc>
          <w:tcPr>
            <w:tcW w:w="1276" w:type="dxa"/>
            <w:tcBorders>
              <w:top w:val="single" w:sz="8" w:space="0" w:color="000000"/>
              <w:left w:val="nil"/>
              <w:bottom w:val="single" w:sz="8" w:space="0" w:color="000000"/>
              <w:right w:val="single" w:sz="4" w:space="0" w:color="000000"/>
            </w:tcBorders>
            <w:shd w:val="clear" w:color="auto" w:fill="B8CCE4" w:themeFill="accent1" w:themeFillTint="66"/>
            <w:vAlign w:val="center"/>
            <w:hideMark/>
          </w:tcPr>
          <w:p w:rsidR="00903901" w:rsidRPr="00BC22F8" w:rsidRDefault="00903901" w:rsidP="00965160">
            <w:pPr>
              <w:spacing w:line="240" w:lineRule="auto"/>
              <w:jc w:val="center"/>
              <w:rPr>
                <w:rFonts w:eastAsia="Times New Roman"/>
                <w:b/>
                <w:bCs/>
                <w:color w:val="002060"/>
                <w:sz w:val="22"/>
                <w:szCs w:val="22"/>
              </w:rPr>
            </w:pPr>
            <w:r w:rsidRPr="00BC22F8">
              <w:rPr>
                <w:rFonts w:eastAsia="Times New Roman"/>
                <w:b/>
                <w:bCs/>
                <w:color w:val="002060"/>
                <w:sz w:val="22"/>
                <w:szCs w:val="22"/>
              </w:rPr>
              <w:t>2015</w:t>
            </w:r>
          </w:p>
        </w:tc>
        <w:tc>
          <w:tcPr>
            <w:tcW w:w="1134" w:type="dxa"/>
            <w:tcBorders>
              <w:top w:val="single" w:sz="8" w:space="0" w:color="000000"/>
              <w:left w:val="nil"/>
              <w:bottom w:val="single" w:sz="8" w:space="0" w:color="000000"/>
              <w:right w:val="single" w:sz="4" w:space="0" w:color="000000"/>
            </w:tcBorders>
            <w:shd w:val="clear" w:color="auto" w:fill="B8CCE4" w:themeFill="accent1" w:themeFillTint="66"/>
            <w:vAlign w:val="center"/>
            <w:hideMark/>
          </w:tcPr>
          <w:p w:rsidR="00903901" w:rsidRPr="00BC22F8" w:rsidRDefault="00903901" w:rsidP="00965160">
            <w:pPr>
              <w:spacing w:line="240" w:lineRule="auto"/>
              <w:jc w:val="center"/>
              <w:rPr>
                <w:rFonts w:eastAsia="Times New Roman"/>
                <w:b/>
                <w:bCs/>
                <w:color w:val="002060"/>
                <w:sz w:val="22"/>
                <w:szCs w:val="22"/>
              </w:rPr>
            </w:pPr>
            <w:r w:rsidRPr="00BC22F8">
              <w:rPr>
                <w:rFonts w:eastAsia="Times New Roman"/>
                <w:b/>
                <w:bCs/>
                <w:color w:val="002060"/>
                <w:sz w:val="22"/>
                <w:szCs w:val="22"/>
              </w:rPr>
              <w:t>2016</w:t>
            </w:r>
          </w:p>
        </w:tc>
      </w:tr>
      <w:tr w:rsidR="00903901" w:rsidRPr="00C65CC9" w:rsidTr="00965160">
        <w:trPr>
          <w:trHeight w:val="270"/>
        </w:trPr>
        <w:tc>
          <w:tcPr>
            <w:tcW w:w="3133" w:type="dxa"/>
            <w:vMerge w:val="restart"/>
            <w:tcBorders>
              <w:top w:val="nil"/>
              <w:left w:val="single" w:sz="4" w:space="0" w:color="000000"/>
              <w:bottom w:val="single" w:sz="8" w:space="0" w:color="000000"/>
              <w:right w:val="single" w:sz="4" w:space="0" w:color="000000"/>
            </w:tcBorders>
            <w:shd w:val="clear" w:color="auto" w:fill="auto"/>
            <w:vAlign w:val="center"/>
            <w:hideMark/>
          </w:tcPr>
          <w:p w:rsidR="00903901" w:rsidRPr="00C65CC9" w:rsidRDefault="00903901" w:rsidP="00965160">
            <w:pPr>
              <w:spacing w:line="240" w:lineRule="auto"/>
              <w:jc w:val="left"/>
              <w:rPr>
                <w:rFonts w:eastAsia="Times New Roman"/>
                <w:color w:val="000000"/>
                <w:sz w:val="22"/>
                <w:szCs w:val="22"/>
              </w:rPr>
            </w:pPr>
            <w:r w:rsidRPr="00C65CC9">
              <w:rPr>
                <w:rFonts w:eastAsia="Times New Roman"/>
                <w:b/>
                <w:bCs/>
                <w:color w:val="000000"/>
                <w:sz w:val="22"/>
                <w:szCs w:val="22"/>
              </w:rPr>
              <w:t>Ģimenes valsts pabalsts</w:t>
            </w:r>
            <w:r w:rsidRPr="00C65CC9">
              <w:rPr>
                <w:rFonts w:eastAsia="Times New Roman"/>
                <w:color w:val="000000"/>
                <w:sz w:val="22"/>
                <w:szCs w:val="22"/>
              </w:rPr>
              <w:t xml:space="preserve"> (bērnu skaits, par kuriem izmaksājams pabalsts)</w:t>
            </w:r>
          </w:p>
        </w:tc>
        <w:tc>
          <w:tcPr>
            <w:tcW w:w="2551" w:type="dxa"/>
            <w:tcBorders>
              <w:top w:val="nil"/>
              <w:left w:val="nil"/>
              <w:bottom w:val="single" w:sz="4" w:space="0" w:color="000000"/>
              <w:right w:val="single" w:sz="4" w:space="0" w:color="000000"/>
            </w:tcBorders>
            <w:shd w:val="clear" w:color="auto" w:fill="auto"/>
            <w:vAlign w:val="center"/>
            <w:hideMark/>
          </w:tcPr>
          <w:p w:rsidR="00903901" w:rsidRPr="00C65CC9" w:rsidRDefault="00903901" w:rsidP="00965160">
            <w:pPr>
              <w:spacing w:line="240" w:lineRule="auto"/>
              <w:jc w:val="left"/>
              <w:rPr>
                <w:rFonts w:eastAsia="Times New Roman"/>
                <w:color w:val="000000"/>
                <w:sz w:val="22"/>
                <w:szCs w:val="22"/>
              </w:rPr>
            </w:pPr>
            <w:r>
              <w:rPr>
                <w:rFonts w:eastAsia="Times New Roman"/>
                <w:color w:val="000000"/>
                <w:sz w:val="22"/>
                <w:szCs w:val="22"/>
              </w:rPr>
              <w:t xml:space="preserve">skaits vidēji </w:t>
            </w:r>
            <w:r w:rsidRPr="00C65CC9">
              <w:rPr>
                <w:rFonts w:eastAsia="Times New Roman"/>
                <w:color w:val="000000"/>
                <w:sz w:val="22"/>
                <w:szCs w:val="22"/>
              </w:rPr>
              <w:t>mēn</w:t>
            </w:r>
            <w:r>
              <w:rPr>
                <w:rFonts w:eastAsia="Times New Roman"/>
                <w:color w:val="000000"/>
                <w:sz w:val="22"/>
                <w:szCs w:val="22"/>
              </w:rPr>
              <w:t>esī</w:t>
            </w:r>
          </w:p>
        </w:tc>
        <w:tc>
          <w:tcPr>
            <w:tcW w:w="1134" w:type="dxa"/>
            <w:tcBorders>
              <w:top w:val="nil"/>
              <w:left w:val="nil"/>
              <w:bottom w:val="single" w:sz="4" w:space="0" w:color="000000"/>
              <w:right w:val="single" w:sz="4" w:space="0" w:color="000000"/>
            </w:tcBorders>
            <w:shd w:val="clear" w:color="auto" w:fill="auto"/>
            <w:noWrap/>
            <w:vAlign w:val="center"/>
            <w:hideMark/>
          </w:tcPr>
          <w:p w:rsidR="00903901" w:rsidRPr="00C65CC9" w:rsidRDefault="00903901" w:rsidP="00965160">
            <w:pPr>
              <w:spacing w:line="240" w:lineRule="auto"/>
              <w:jc w:val="center"/>
              <w:rPr>
                <w:rFonts w:eastAsia="Times New Roman"/>
                <w:color w:val="000000"/>
                <w:sz w:val="22"/>
                <w:szCs w:val="22"/>
              </w:rPr>
            </w:pPr>
            <w:r w:rsidRPr="00C65CC9">
              <w:rPr>
                <w:rFonts w:eastAsia="Times New Roman"/>
                <w:color w:val="000000"/>
                <w:sz w:val="22"/>
                <w:szCs w:val="22"/>
              </w:rPr>
              <w:t>306 315</w:t>
            </w:r>
          </w:p>
        </w:tc>
        <w:tc>
          <w:tcPr>
            <w:tcW w:w="1276" w:type="dxa"/>
            <w:tcBorders>
              <w:top w:val="nil"/>
              <w:left w:val="nil"/>
              <w:bottom w:val="single" w:sz="4" w:space="0" w:color="000000"/>
              <w:right w:val="single" w:sz="4" w:space="0" w:color="000000"/>
            </w:tcBorders>
            <w:shd w:val="clear" w:color="auto" w:fill="auto"/>
            <w:noWrap/>
            <w:vAlign w:val="center"/>
            <w:hideMark/>
          </w:tcPr>
          <w:p w:rsidR="00903901" w:rsidRPr="00C65CC9" w:rsidRDefault="00903901" w:rsidP="00965160">
            <w:pPr>
              <w:spacing w:line="240" w:lineRule="auto"/>
              <w:jc w:val="center"/>
              <w:rPr>
                <w:rFonts w:eastAsia="Times New Roman"/>
                <w:color w:val="000000"/>
                <w:sz w:val="22"/>
                <w:szCs w:val="22"/>
              </w:rPr>
            </w:pPr>
            <w:r w:rsidRPr="00C65CC9">
              <w:rPr>
                <w:rFonts w:eastAsia="Times New Roman"/>
                <w:color w:val="000000"/>
                <w:sz w:val="22"/>
                <w:szCs w:val="22"/>
              </w:rPr>
              <w:t>313 106</w:t>
            </w:r>
          </w:p>
        </w:tc>
        <w:tc>
          <w:tcPr>
            <w:tcW w:w="1134" w:type="dxa"/>
            <w:tcBorders>
              <w:top w:val="nil"/>
              <w:left w:val="nil"/>
              <w:bottom w:val="single" w:sz="4" w:space="0" w:color="000000"/>
              <w:right w:val="single" w:sz="4" w:space="0" w:color="000000"/>
            </w:tcBorders>
            <w:shd w:val="clear" w:color="auto" w:fill="auto"/>
            <w:noWrap/>
            <w:vAlign w:val="center"/>
            <w:hideMark/>
          </w:tcPr>
          <w:p w:rsidR="00903901" w:rsidRPr="00C65CC9" w:rsidRDefault="00903901" w:rsidP="00965160">
            <w:pPr>
              <w:spacing w:line="240" w:lineRule="auto"/>
              <w:jc w:val="center"/>
              <w:rPr>
                <w:rFonts w:eastAsia="Times New Roman"/>
                <w:color w:val="000000"/>
                <w:sz w:val="22"/>
                <w:szCs w:val="22"/>
              </w:rPr>
            </w:pPr>
            <w:r w:rsidRPr="00C65CC9">
              <w:rPr>
                <w:rFonts w:eastAsia="Times New Roman"/>
                <w:color w:val="000000"/>
                <w:sz w:val="22"/>
                <w:szCs w:val="22"/>
              </w:rPr>
              <w:t>317 835</w:t>
            </w:r>
          </w:p>
        </w:tc>
      </w:tr>
      <w:tr w:rsidR="00903901" w:rsidRPr="00C65CC9" w:rsidTr="00965160">
        <w:trPr>
          <w:trHeight w:val="465"/>
        </w:trPr>
        <w:tc>
          <w:tcPr>
            <w:tcW w:w="3133" w:type="dxa"/>
            <w:vMerge/>
            <w:tcBorders>
              <w:top w:val="nil"/>
              <w:left w:val="single" w:sz="4" w:space="0" w:color="000000"/>
              <w:bottom w:val="single" w:sz="8" w:space="0" w:color="000000"/>
              <w:right w:val="single" w:sz="4" w:space="0" w:color="000000"/>
            </w:tcBorders>
            <w:vAlign w:val="center"/>
            <w:hideMark/>
          </w:tcPr>
          <w:p w:rsidR="00903901" w:rsidRPr="00C65CC9" w:rsidRDefault="00903901" w:rsidP="00965160">
            <w:pPr>
              <w:spacing w:line="240" w:lineRule="auto"/>
              <w:jc w:val="left"/>
              <w:rPr>
                <w:rFonts w:eastAsia="Times New Roman"/>
                <w:color w:val="000000"/>
                <w:sz w:val="22"/>
                <w:szCs w:val="22"/>
              </w:rPr>
            </w:pPr>
          </w:p>
        </w:tc>
        <w:tc>
          <w:tcPr>
            <w:tcW w:w="2551" w:type="dxa"/>
            <w:tcBorders>
              <w:top w:val="nil"/>
              <w:left w:val="nil"/>
              <w:bottom w:val="single" w:sz="8" w:space="0" w:color="000000"/>
              <w:right w:val="single" w:sz="4" w:space="0" w:color="000000"/>
            </w:tcBorders>
            <w:shd w:val="clear" w:color="auto" w:fill="auto"/>
            <w:vAlign w:val="center"/>
            <w:hideMark/>
          </w:tcPr>
          <w:p w:rsidR="00903901" w:rsidRPr="00C65CC9" w:rsidRDefault="00903901" w:rsidP="00965160">
            <w:pPr>
              <w:spacing w:line="240" w:lineRule="auto"/>
              <w:jc w:val="left"/>
              <w:rPr>
                <w:rFonts w:eastAsia="Times New Roman"/>
                <w:sz w:val="22"/>
                <w:szCs w:val="22"/>
              </w:rPr>
            </w:pPr>
            <w:r w:rsidRPr="00C65CC9">
              <w:rPr>
                <w:rFonts w:eastAsia="Times New Roman"/>
                <w:sz w:val="22"/>
                <w:szCs w:val="22"/>
              </w:rPr>
              <w:t>apmērs vid.</w:t>
            </w:r>
            <w:r>
              <w:rPr>
                <w:rFonts w:eastAsia="Times New Roman"/>
                <w:sz w:val="22"/>
                <w:szCs w:val="22"/>
              </w:rPr>
              <w:t xml:space="preserve"> </w:t>
            </w:r>
            <w:r w:rsidRPr="00C65CC9">
              <w:rPr>
                <w:rFonts w:eastAsia="Times New Roman"/>
                <w:sz w:val="22"/>
                <w:szCs w:val="22"/>
              </w:rPr>
              <w:t>mēnesī,</w:t>
            </w:r>
            <w:r>
              <w:rPr>
                <w:rFonts w:eastAsia="Times New Roman"/>
                <w:sz w:val="22"/>
                <w:szCs w:val="22"/>
              </w:rPr>
              <w:t xml:space="preserve"> </w:t>
            </w:r>
            <w:r w:rsidRPr="00C65CC9">
              <w:rPr>
                <w:rFonts w:eastAsia="Times New Roman"/>
                <w:sz w:val="22"/>
                <w:szCs w:val="22"/>
              </w:rPr>
              <w:t>EUR</w:t>
            </w:r>
          </w:p>
        </w:tc>
        <w:tc>
          <w:tcPr>
            <w:tcW w:w="1134" w:type="dxa"/>
            <w:tcBorders>
              <w:top w:val="nil"/>
              <w:left w:val="nil"/>
              <w:bottom w:val="single" w:sz="8" w:space="0" w:color="000000"/>
              <w:right w:val="single" w:sz="4" w:space="0" w:color="000000"/>
            </w:tcBorders>
            <w:shd w:val="clear" w:color="auto" w:fill="auto"/>
            <w:noWrap/>
            <w:vAlign w:val="center"/>
            <w:hideMark/>
          </w:tcPr>
          <w:p w:rsidR="00903901" w:rsidRPr="00C65CC9" w:rsidRDefault="00903901" w:rsidP="00965160">
            <w:pPr>
              <w:spacing w:line="240" w:lineRule="auto"/>
              <w:jc w:val="center"/>
              <w:rPr>
                <w:rFonts w:eastAsia="Times New Roman"/>
                <w:sz w:val="22"/>
                <w:szCs w:val="22"/>
              </w:rPr>
            </w:pPr>
            <w:r w:rsidRPr="00C65CC9">
              <w:rPr>
                <w:rFonts w:eastAsia="Times New Roman"/>
                <w:sz w:val="22"/>
                <w:szCs w:val="22"/>
              </w:rPr>
              <w:t>11,38</w:t>
            </w:r>
          </w:p>
        </w:tc>
        <w:tc>
          <w:tcPr>
            <w:tcW w:w="1276" w:type="dxa"/>
            <w:tcBorders>
              <w:top w:val="nil"/>
              <w:left w:val="nil"/>
              <w:bottom w:val="single" w:sz="8" w:space="0" w:color="000000"/>
              <w:right w:val="single" w:sz="4" w:space="0" w:color="000000"/>
            </w:tcBorders>
            <w:shd w:val="clear" w:color="auto" w:fill="auto"/>
            <w:noWrap/>
            <w:vAlign w:val="center"/>
            <w:hideMark/>
          </w:tcPr>
          <w:p w:rsidR="00903901" w:rsidRPr="00C65CC9" w:rsidRDefault="00903901" w:rsidP="00965160">
            <w:pPr>
              <w:spacing w:line="240" w:lineRule="auto"/>
              <w:jc w:val="center"/>
              <w:rPr>
                <w:rFonts w:eastAsia="Times New Roman"/>
                <w:sz w:val="22"/>
                <w:szCs w:val="22"/>
              </w:rPr>
            </w:pPr>
            <w:r w:rsidRPr="00C65CC9">
              <w:rPr>
                <w:rFonts w:eastAsia="Times New Roman"/>
                <w:sz w:val="22"/>
                <w:szCs w:val="22"/>
              </w:rPr>
              <w:t>18,93</w:t>
            </w:r>
          </w:p>
        </w:tc>
        <w:tc>
          <w:tcPr>
            <w:tcW w:w="1134" w:type="dxa"/>
            <w:tcBorders>
              <w:top w:val="nil"/>
              <w:left w:val="nil"/>
              <w:bottom w:val="single" w:sz="8" w:space="0" w:color="000000"/>
              <w:right w:val="single" w:sz="4" w:space="0" w:color="000000"/>
            </w:tcBorders>
            <w:shd w:val="clear" w:color="auto" w:fill="auto"/>
            <w:noWrap/>
            <w:vAlign w:val="center"/>
            <w:hideMark/>
          </w:tcPr>
          <w:p w:rsidR="00903901" w:rsidRPr="00C65CC9" w:rsidRDefault="00903901" w:rsidP="00965160">
            <w:pPr>
              <w:spacing w:line="240" w:lineRule="auto"/>
              <w:jc w:val="center"/>
              <w:rPr>
                <w:rFonts w:eastAsia="Times New Roman"/>
                <w:sz w:val="22"/>
                <w:szCs w:val="22"/>
              </w:rPr>
            </w:pPr>
            <w:r w:rsidRPr="00C65CC9">
              <w:rPr>
                <w:rFonts w:eastAsia="Times New Roman"/>
                <w:sz w:val="22"/>
                <w:szCs w:val="22"/>
              </w:rPr>
              <w:t>19,04</w:t>
            </w:r>
          </w:p>
        </w:tc>
      </w:tr>
    </w:tbl>
    <w:p w:rsidR="00903901" w:rsidRDefault="00903901" w:rsidP="00903901">
      <w:pPr>
        <w:spacing w:line="240" w:lineRule="auto"/>
        <w:rPr>
          <w:sz w:val="20"/>
          <w:szCs w:val="20"/>
          <w:shd w:val="clear" w:color="auto" w:fill="FFFFFF" w:themeFill="background1"/>
        </w:rPr>
      </w:pPr>
      <w:r>
        <w:rPr>
          <w:sz w:val="20"/>
          <w:szCs w:val="20"/>
        </w:rPr>
        <w:t xml:space="preserve">Avots: </w:t>
      </w:r>
      <w:r w:rsidRPr="00C65CC9">
        <w:rPr>
          <w:sz w:val="20"/>
          <w:szCs w:val="20"/>
        </w:rPr>
        <w:t>LM oficiālā statistika, Valsts sociālo pabalstu, atlīdzību skaits un vidējais apmērs (izmaksāti no valsts budžeta). Pieejams:</w:t>
      </w:r>
      <w:r w:rsidRPr="00C65CC9">
        <w:rPr>
          <w:color w:val="FF0000"/>
          <w:sz w:val="20"/>
          <w:szCs w:val="20"/>
        </w:rPr>
        <w:t xml:space="preserve"> </w:t>
      </w:r>
      <w:hyperlink r:id="rId14" w:history="1">
        <w:r w:rsidRPr="00C65CC9">
          <w:rPr>
            <w:rStyle w:val="Hyperlink"/>
            <w:sz w:val="20"/>
            <w:szCs w:val="20"/>
          </w:rPr>
          <w:t>http://www.lm.gov.lv/lv/nozares-politika/sociala-apdrosinasana/2-statistika</w:t>
        </w:r>
      </w:hyperlink>
      <w:r w:rsidRPr="00C65CC9">
        <w:rPr>
          <w:color w:val="FF0000"/>
          <w:sz w:val="20"/>
          <w:szCs w:val="20"/>
        </w:rPr>
        <w:t xml:space="preserve"> </w:t>
      </w:r>
      <w:r w:rsidRPr="00C65CC9">
        <w:rPr>
          <w:sz w:val="20"/>
          <w:szCs w:val="20"/>
          <w:shd w:val="clear" w:color="auto" w:fill="FFFFFF" w:themeFill="background1"/>
        </w:rPr>
        <w:t>(sk. 12.04.2019.)</w:t>
      </w:r>
    </w:p>
    <w:p w:rsidR="000443C3" w:rsidRDefault="000443C3" w:rsidP="00903901"/>
    <w:p w:rsidR="00903901" w:rsidRDefault="00903901" w:rsidP="00903901">
      <w:r>
        <w:t>2015. gadā kopumā bija 27,4% mājsaimniecības ar bērniem (2014. gadā – 26,6%). No visām mājsaimniecībām ar bērniem 13,2% mājsaimniecību bija viens, divi, trīs un vairāk bērnu (2014. gadā – 13,1%). Jāņem vērā, ka atbilstoši CSP datu apkopojumam</w:t>
      </w:r>
      <w:r>
        <w:rPr>
          <w:rStyle w:val="FootnoteReference"/>
        </w:rPr>
        <w:footnoteReference w:id="50"/>
      </w:r>
      <w:r>
        <w:t xml:space="preserve"> 11% bija citas mājsaimniecības ar bērniem un 3,2% viena </w:t>
      </w:r>
      <w:r w:rsidR="00BA1727">
        <w:t>vecāka</w:t>
      </w:r>
      <w:r>
        <w:t xml:space="preserve"> mājsaimniecības, neprecizējot bērnu skaitu tajās. 2015. gadā attiecībā pret 2014. gadu samazinājās viena </w:t>
      </w:r>
      <w:r w:rsidR="00BA1727">
        <w:t>vecāka</w:t>
      </w:r>
      <w:r>
        <w:t xml:space="preserve"> </w:t>
      </w:r>
      <w:r w:rsidR="00BA1727">
        <w:t>mājsaimniecības</w:t>
      </w:r>
      <w:r>
        <w:t xml:space="preserve"> (par 0,4 procentpunktiem), par 0,2 procentpunktiem pieauga mājsaimniecības ar vienu un diviem bērniem, ģimenes ar trīs un vairāk bērniem palika nemainīgā īpatsvarā (1,4% no visām mājsaimniecībām ar bērniem) un par 1,1 procentpunktu pieauga citas mājsaimniecības ar bērniem. Izvērtējumā intervēto ekspertu vērtējumā ģimenes pabalsta apmēra palielināšana vērtējama pozitīvi, taču vienlaikus eksperti vērsa uzmanību, ka tas nemazināja ģimeņu, kas ir pakļautas nabadzības riskam, izkļūšanu no nabadzības slazda</w:t>
      </w:r>
      <w:r>
        <w:rPr>
          <w:rStyle w:val="FootnoteReference"/>
        </w:rPr>
        <w:footnoteReference w:id="51"/>
      </w:r>
      <w:r>
        <w:t xml:space="preserve">. Kopējais nabadzības riska indekss mājsaimniecībām ar bērniem 2015. gadā samazinājās par 3,5 procentpunktiem, </w:t>
      </w:r>
      <w:r w:rsidR="007A3269">
        <w:t xml:space="preserve">viena </w:t>
      </w:r>
      <w:r w:rsidR="00BA1727">
        <w:t>vecāka mājsaimniecībām</w:t>
      </w:r>
      <w:r w:rsidR="00153ADA">
        <w:t xml:space="preserve"> </w:t>
      </w:r>
      <w:r>
        <w:t xml:space="preserve">par 2,6 procentpunktiem, ģimenēm ar vienu bērnu par 3,9 procentpunktiem, ģimenēm ar diviem bērniem par 1,2 procentpunktiem un daudzbērnu ģimenēm par 9 procentpunktiem. Vienlaikus dati par mājsaimniecību ar bērniem ienākumu </w:t>
      </w:r>
      <w:r>
        <w:lastRenderedPageBreak/>
        <w:t>izmaiņām uz vienu mājsaimniecības locekli atklāj, ka 2015. gadā attiecībā pret 2014. gadu nepilnajās ģimenēs tie pieauga par 29,24 EUR, ģimenēs ar vienu bērnu par 30,0 EUR, ģimenēs ar diviem bērniem par 39,46 EUR, daudzbērnu ģimenēs par 1,44 EUR. Tātad, no vienas puses, daudzbērnu ģimenēm būtiski samazinājās nabadzības riska indekss, no otras puses, vismazākā apmērā pieauga to ienākumi, kas, visticamāk, skaidrojams gan ar nabadzības riska sliekšņa, gan nabadzības riska indeksa noteikšanas metodiku, kurā tiek piemērota ekvivalences skala, atbilstoši kurai otram pieaugušajam ir koeficients 0,5, bet bērniem līdz 14 gadu vecumam 0,3. Tāpat tas skaidrojams ar nodokļu slogu, kas laikā no 2015. gada līdz 2017. gada ģimenēm ar trim apgādājamiem stabili auga.</w:t>
      </w:r>
      <w:r>
        <w:rPr>
          <w:rStyle w:val="FootnoteReference"/>
        </w:rPr>
        <w:footnoteReference w:id="52"/>
      </w:r>
    </w:p>
    <w:p w:rsidR="00903901" w:rsidRPr="00DA388E" w:rsidRDefault="00903901" w:rsidP="00903901"/>
    <w:p w:rsidR="00903901" w:rsidRDefault="00903901" w:rsidP="00903901">
      <w:pPr>
        <w:rPr>
          <w:color w:val="000000"/>
        </w:rPr>
      </w:pPr>
      <w:r>
        <w:t>No 2015. gada v</w:t>
      </w:r>
      <w:r w:rsidRPr="00DA388E">
        <w:t>alsts atbalstu </w:t>
      </w:r>
      <w:r w:rsidRPr="006F258D">
        <w:rPr>
          <w:b/>
        </w:rPr>
        <w:t>celiakijas slimniekiem</w:t>
      </w:r>
      <w:r w:rsidRPr="00DA388E">
        <w:t> </w:t>
      </w:r>
      <w:r>
        <w:t>sāka izmaksāt</w:t>
      </w:r>
      <w:r w:rsidRPr="00DA388E">
        <w:t xml:space="preserve"> arī </w:t>
      </w:r>
      <w:r w:rsidRPr="00C65CC9">
        <w:rPr>
          <w:b/>
        </w:rPr>
        <w:t>bērniem, kuriem ir noteikta invaliditāte</w:t>
      </w:r>
      <w:r w:rsidRPr="00DA388E">
        <w:t xml:space="preserve">. Tāpat atbalstu </w:t>
      </w:r>
      <w:r>
        <w:t>sāka izmaksāt</w:t>
      </w:r>
      <w:r w:rsidRPr="00DA388E">
        <w:t xml:space="preserve"> celiakijas slimniekiem, kas pēc 18 gadu vecuma sasniegšanas mācās vispārējās vai profesionālās izglītības iestādēs un nav vecāki par 20 gadiem vai studē augstskolā dienas nodaļā (pilna laika klātienē) un nav vecāki par 24 gadiem.</w:t>
      </w:r>
      <w:r w:rsidRPr="00751252">
        <w:rPr>
          <w:vertAlign w:val="superscript"/>
        </w:rPr>
        <w:footnoteReference w:id="53"/>
      </w:r>
      <w:r w:rsidRPr="00DA388E">
        <w:t xml:space="preserve"> </w:t>
      </w:r>
      <w:r>
        <w:t xml:space="preserve">Šīs izmaiņas ietekmēja ģimeņu, kurās aug bērni ar konkrēto invaliditāti, </w:t>
      </w:r>
      <w:r w:rsidRPr="001901C2">
        <w:rPr>
          <w:b/>
        </w:rPr>
        <w:t>tiešos ienākumus</w:t>
      </w:r>
      <w:r>
        <w:t>. Iepriekš</w:t>
      </w:r>
      <w:r w:rsidRPr="00A2164B">
        <w:t>, sākot no 2005.</w:t>
      </w:r>
      <w:r>
        <w:t xml:space="preserve"> </w:t>
      </w:r>
      <w:r w:rsidRPr="00A2164B">
        <w:t>gada, šādu pabalstu varēja saņemt tikai par bērniem vecumā līdz 18 gadiem un kurie</w:t>
      </w:r>
      <w:r>
        <w:t xml:space="preserve">m nebija noteikta invaliditāte. Līdz ar to tas ir vērtējams kā </w:t>
      </w:r>
      <w:r w:rsidRPr="003A1386">
        <w:rPr>
          <w:b/>
        </w:rPr>
        <w:t>tieši mērķēts atbalsts bērniem ar invaliditāti</w:t>
      </w:r>
      <w:r>
        <w:t>, kuri slimo ar celiakiju, kā arī pilngadību sasniegušiem jauniešiem, kuri slimo ar celiakiju un turpina mācīties, bet kuriem nav noteikta invaliditāte. Saskaņā ar LM statistikas datiem</w:t>
      </w:r>
      <w:r>
        <w:rPr>
          <w:rStyle w:val="FootnoteReference"/>
        </w:rPr>
        <w:footnoteReference w:id="54"/>
      </w:r>
      <w:r>
        <w:t xml:space="preserve"> v</w:t>
      </w:r>
      <w:r w:rsidRPr="003A1386">
        <w:t>alsts atbalsts ar celiakiju slimiem bērniem, k</w:t>
      </w:r>
      <w:r>
        <w:t>uriem nav noteikta invaliditāte,</w:t>
      </w:r>
      <w:r w:rsidRPr="003A1386">
        <w:t xml:space="preserve"> </w:t>
      </w:r>
      <w:r>
        <w:t xml:space="preserve">2014. gadā vidēji mēnesī tika sniegts 1398 bērniem. Tika prognozēts, ka 2015. gadā šī atbalsta saņēmēju (bērnu) skaits pieaugs par 18 personām vidēji mēnesī, savukārt </w:t>
      </w:r>
      <w:r>
        <w:rPr>
          <w:color w:val="000000"/>
        </w:rPr>
        <w:t xml:space="preserve">ar celiakiju slimojošo, kas pēc pilngadības sasniegšanas mācās un var pretendēt uz šo atbalstu, skaits vidēji mēnesī palielināsies par 75 personām. Vidēji mēnesī 2014., 2015., 2016. gadā valsts atbalsta apjoms vienai personai bija 106,72 EUR. Par šo summu palielinājās to mājsaimniecību </w:t>
      </w:r>
      <w:r w:rsidR="00153ADA">
        <w:rPr>
          <w:color w:val="000000"/>
        </w:rPr>
        <w:t>tiešie ienākumi</w:t>
      </w:r>
      <w:r>
        <w:rPr>
          <w:color w:val="000000"/>
        </w:rPr>
        <w:t xml:space="preserve">, kurās dzīvo ar celiakiju slimojoši bērni ar invaliditāti un/vai pilngadību sasnieguši jaunietis līdz 24 gadu vecumam, kas mācās. </w:t>
      </w:r>
    </w:p>
    <w:p w:rsidR="00903901" w:rsidRDefault="00903901" w:rsidP="00903901"/>
    <w:p w:rsidR="00903901" w:rsidRDefault="00903901" w:rsidP="00903901">
      <w:r>
        <w:t>2015. gadā notika izmaiņas v</w:t>
      </w:r>
      <w:r w:rsidRPr="00DA388E">
        <w:t>alsts sociāl</w:t>
      </w:r>
      <w:r>
        <w:t>ā</w:t>
      </w:r>
      <w:r w:rsidRPr="00DA388E">
        <w:t xml:space="preserve"> pabalst</w:t>
      </w:r>
      <w:r>
        <w:t>a apmērā</w:t>
      </w:r>
      <w:r w:rsidRPr="00DA388E">
        <w:t xml:space="preserve"> </w:t>
      </w:r>
      <w:r w:rsidRPr="006F258D">
        <w:rPr>
          <w:b/>
        </w:rPr>
        <w:t xml:space="preserve">Černobiļas atomelektrostacijas </w:t>
      </w:r>
      <w:r>
        <w:rPr>
          <w:b/>
        </w:rPr>
        <w:t xml:space="preserve">(ČAES) </w:t>
      </w:r>
      <w:r w:rsidRPr="006F258D">
        <w:rPr>
          <w:b/>
        </w:rPr>
        <w:t>avārijas seku likvidēšanas dalībniekiem</w:t>
      </w:r>
      <w:r w:rsidRPr="00DA388E">
        <w:t xml:space="preserve"> un mirušo </w:t>
      </w:r>
      <w:r>
        <w:t>ČAES</w:t>
      </w:r>
      <w:r w:rsidRPr="00DA388E">
        <w:t xml:space="preserve"> avārijas seku likvidēšanas dalībnieku ģimenēm</w:t>
      </w:r>
      <w:r>
        <w:t>. Tas</w:t>
      </w:r>
      <w:r w:rsidRPr="00DA388E">
        <w:t xml:space="preserve"> pieauga no 85,37 </w:t>
      </w:r>
      <w:r>
        <w:t xml:space="preserve">EUR </w:t>
      </w:r>
      <w:r w:rsidRPr="00DA388E">
        <w:t>līdz 100 EUR</w:t>
      </w:r>
      <w:r>
        <w:t xml:space="preserve">, </w:t>
      </w:r>
      <w:r w:rsidRPr="00C96E90">
        <w:rPr>
          <w:b/>
        </w:rPr>
        <w:t>palielinot šīs mērķa grupas tiešo</w:t>
      </w:r>
      <w:r w:rsidR="001A3B11">
        <w:rPr>
          <w:b/>
        </w:rPr>
        <w:t>s</w:t>
      </w:r>
      <w:r w:rsidRPr="00C96E90">
        <w:rPr>
          <w:b/>
        </w:rPr>
        <w:t xml:space="preserve"> ienākumus</w:t>
      </w:r>
      <w:r>
        <w:t xml:space="preserve"> par 14,63 EUR, kas gadā ir 175,56 EUR</w:t>
      </w:r>
      <w:r w:rsidRPr="00DA388E">
        <w:t>. Līdz 2015.</w:t>
      </w:r>
      <w:r>
        <w:t xml:space="preserve"> </w:t>
      </w:r>
      <w:r w:rsidRPr="00DA388E">
        <w:t>gada 31.</w:t>
      </w:r>
      <w:r>
        <w:t xml:space="preserve"> </w:t>
      </w:r>
      <w:r w:rsidRPr="00DA388E">
        <w:t>martam piešķirtos valsts sociālos pabalstus VSAA pārrēķināja un izmaksāja līdz 2015.</w:t>
      </w:r>
      <w:r>
        <w:t xml:space="preserve"> </w:t>
      </w:r>
      <w:r w:rsidRPr="00DA388E">
        <w:t>gada 30.</w:t>
      </w:r>
      <w:r>
        <w:t xml:space="preserve"> </w:t>
      </w:r>
      <w:r w:rsidRPr="00DA388E">
        <w:t>aprīlim</w:t>
      </w:r>
      <w:r>
        <w:t>.</w:t>
      </w:r>
      <w:r w:rsidRPr="00751252">
        <w:rPr>
          <w:vertAlign w:val="superscript"/>
        </w:rPr>
        <w:footnoteReference w:id="55"/>
      </w:r>
      <w:r w:rsidRPr="00DA388E">
        <w:t xml:space="preserve"> </w:t>
      </w:r>
      <w:r>
        <w:t xml:space="preserve">Kopumā 2014. gadā šo pabalstu saņēma vidēji mēnesī 3461 persona, 2015. gadā – 3434, 2016. gadā - 3395. Saskaņā ar </w:t>
      </w:r>
      <w:r>
        <w:lastRenderedPageBreak/>
        <w:t>VSAA statistiskas datiem par valsts pamatbudžeta izpildi</w:t>
      </w:r>
      <w:r>
        <w:rPr>
          <w:rStyle w:val="FootnoteReference"/>
        </w:rPr>
        <w:footnoteReference w:id="56"/>
      </w:r>
      <w:r>
        <w:t xml:space="preserve"> 2014. gadā v</w:t>
      </w:r>
      <w:r w:rsidRPr="00446F64">
        <w:t>alsts sociālais pabalsts ČAES avārijas seku likvidēšanas dalībniekiem un mirušo ČAES likvidēšanas dalībnieku ģimenēm</w:t>
      </w:r>
      <w:r>
        <w:t xml:space="preserve"> tika izmaksāts 402 425 EUR apmērā, 2015. gadā – 422 726 EUR apmērā (pieaugums par 5,0%), 2016. gadā – 438 682 EUR (pieaugums par 3,7%). Šī valsts sociālā pabalsta palielināšana ir bijusi </w:t>
      </w:r>
      <w:r w:rsidRPr="00C96E90">
        <w:rPr>
          <w:b/>
        </w:rPr>
        <w:t>tieši mērķēta</w:t>
      </w:r>
      <w:r>
        <w:t xml:space="preserve"> uz konkrēto mērķa grupu, daļa no kuras – Č</w:t>
      </w:r>
      <w:r w:rsidR="009152CA">
        <w:t>AE</w:t>
      </w:r>
      <w:r>
        <w:t xml:space="preserve">S avārijas seku likvidēšanas dalībnieki (personas ar invaliditāti, kas kopumā 2015. gadā veidoja 1,9% no visām personām ar invaliditāti) – ir viena no nabadzības un sociālās atstumtības riskam pakļautajām grupām. </w:t>
      </w:r>
    </w:p>
    <w:p w:rsidR="00903901" w:rsidRDefault="00903901" w:rsidP="00DE4D97">
      <w:pPr>
        <w:pStyle w:val="virsrakstslvl4"/>
      </w:pPr>
      <w:r>
        <w:t xml:space="preserve">Nodokļu politika </w:t>
      </w:r>
    </w:p>
    <w:p w:rsidR="00903901" w:rsidRDefault="00903901" w:rsidP="00903901">
      <w:pPr>
        <w:rPr>
          <w:rStyle w:val="Strong"/>
          <w:color w:val="1F1F1F"/>
        </w:rPr>
      </w:pPr>
      <w:r>
        <w:t xml:space="preserve">2015. gadā tika veiktas izmaiņas </w:t>
      </w:r>
      <w:r w:rsidRPr="0028322B">
        <w:t>nodokļu politikas</w:t>
      </w:r>
      <w:r>
        <w:t xml:space="preserve"> jomā ar tiešu pozitīvu ietekmi uz iedzīvotāju ienākumiem. </w:t>
      </w:r>
      <w:r>
        <w:rPr>
          <w:rStyle w:val="Strong"/>
          <w:color w:val="1F1F1F"/>
        </w:rPr>
        <w:t xml:space="preserve">Vairākas izmaiņas tika veiktas saistībā ar </w:t>
      </w:r>
      <w:r w:rsidRPr="00961706">
        <w:rPr>
          <w:rStyle w:val="Strong"/>
          <w:color w:val="1F1F1F"/>
        </w:rPr>
        <w:t>iedzīvotāju ienākuma nodokli</w:t>
      </w:r>
      <w:r w:rsidRPr="00FF2537">
        <w:rPr>
          <w:rStyle w:val="FootnoteReference"/>
          <w:color w:val="1F1F1F"/>
        </w:rPr>
        <w:footnoteReference w:id="57"/>
      </w:r>
      <w:r>
        <w:rPr>
          <w:rStyle w:val="Strong"/>
          <w:color w:val="1F1F1F"/>
        </w:rPr>
        <w:t xml:space="preserve"> (IIN), kas vērstas uz iedzīvotāju tiešo ienākumu palielināšanos. </w:t>
      </w:r>
    </w:p>
    <w:p w:rsidR="00903901" w:rsidRDefault="00903901" w:rsidP="00903901">
      <w:pPr>
        <w:rPr>
          <w:rStyle w:val="Strong"/>
          <w:color w:val="1F1F1F"/>
        </w:rPr>
      </w:pPr>
    </w:p>
    <w:p w:rsidR="00903901" w:rsidRDefault="00903901" w:rsidP="00903901">
      <w:r w:rsidRPr="001901C2">
        <w:rPr>
          <w:rStyle w:val="Strong"/>
          <w:b w:val="0"/>
          <w:color w:val="1F1F1F"/>
        </w:rPr>
        <w:t>Pirmkārt, t</w:t>
      </w:r>
      <w:r w:rsidRPr="001901C2">
        <w:t xml:space="preserve">ika </w:t>
      </w:r>
      <w:r w:rsidRPr="003A233F">
        <w:rPr>
          <w:b/>
        </w:rPr>
        <w:t>samazināta IIN likme no darba algas</w:t>
      </w:r>
      <w:r w:rsidRPr="001901C2">
        <w:t xml:space="preserve"> 24% (201</w:t>
      </w:r>
      <w:r>
        <w:t>4</w:t>
      </w:r>
      <w:r w:rsidRPr="001901C2">
        <w:t>. gadā) uz 23% 201</w:t>
      </w:r>
      <w:r>
        <w:t>5</w:t>
      </w:r>
      <w:r w:rsidRPr="001901C2">
        <w:t>. gadā</w:t>
      </w:r>
      <w:r w:rsidRPr="001901C2">
        <w:rPr>
          <w:rStyle w:val="FootnoteReference"/>
        </w:rPr>
        <w:footnoteReference w:id="58"/>
      </w:r>
      <w:r w:rsidRPr="001901C2">
        <w:t xml:space="preserve">. Šīs izmaiņas skāra </w:t>
      </w:r>
      <w:r w:rsidR="00795B48">
        <w:t>lielāko daļu</w:t>
      </w:r>
      <w:r w:rsidRPr="001901C2">
        <w:t xml:space="preserve"> strādājošo iedzīvotāju neatkarīgi no viņu ienākumu līmeņa</w:t>
      </w:r>
      <w:r w:rsidR="00795B48">
        <w:t xml:space="preserve">, izņemot </w:t>
      </w:r>
      <w:r w:rsidR="00795B48">
        <w:rPr>
          <w:noProof/>
        </w:rPr>
        <w:t>tos strādājošos, kuriem neapliekamais ienākums pārsniedza atalgojuma apmēru pēc VSAOI darba ņē</w:t>
      </w:r>
      <w:r w:rsidR="009152CA">
        <w:rPr>
          <w:noProof/>
        </w:rPr>
        <w:t>m</w:t>
      </w:r>
      <w:r w:rsidR="00795B48">
        <w:rPr>
          <w:noProof/>
        </w:rPr>
        <w:t>ēja daļas nomaksas</w:t>
      </w:r>
      <w:r w:rsidRPr="001901C2">
        <w:t>.</w:t>
      </w:r>
      <w:r>
        <w:t xml:space="preserve"> Šo pasākumu nevar vērtēt kā tieši mērķētu uz nabadzības un sociālās atstumtības riskam pakļautām konkrētām mērķa grupām, jo tas ir pasākums, kas kopumā vērsts uz iedzīvotāju rīcībā esošā ienākuma palielināšanos. Turklāt tas atšķirīgi ietekmē arī mājsaimniecības ar bērniem atkarībā no ienākumu guvēja darba algas apmēra un reģistrēto apgādājamo skaita. Piemēram, vidējā bruto alga 2014. gadā bija 818 EUR, personai ar vienu apgādājamo neto ienākumi veidoja 653,60</w:t>
      </w:r>
      <w:r w:rsidR="009152CA">
        <w:t xml:space="preserve"> </w:t>
      </w:r>
      <w:r>
        <w:t>EUR, saglabājoties šim algas līmenim 2015. g</w:t>
      </w:r>
      <w:r w:rsidR="009152CA">
        <w:t>adā, neto ienākumi veidoja 656,</w:t>
      </w:r>
      <w:r>
        <w:t>87 EUR (pieaugums 3,27 EUR). Ja ienākumi palielinājās līdz vidējai bruto algai 2015. gadā, tad neto ienākumi sasniedza 685,13 EUR (pieaugums par 31,53 EUR jeb par 3,8% ar nosacījumu, ka arī darba alga palielinājās par 41 EUR jeb par 5%). Otrs piemērs ar 400 EUR lielu bruto algu personai ar diviem apgādājamiem – 2014. gadā neto ienākumi veidoja 358,00 EUR un arī 2015. gadā tie bija 358,00 EUR, jo atvieglojumi par apgādājamiem veidoja mīnuss 5 EUR un attiecīgi negatīvu IIN. Tas nozīmē, ka ģimenēm ar bērniem IIN likmju izmaiņas ir jāvērtē kontekstā ar citām nodokļu izmaiņām. Nodokļu reformas neapliekamā minimuma, atvieglojumu attaisnoto izdevumu piemērošanas izvērtējumā secināts, ka 2015. gadā 18% no nodarbinātajiem ar apgādājamajiem nevarēja pilnā mērā izmantot tiem pienākušos atvieglojumus (2016. gadā – arī 18%)</w:t>
      </w:r>
      <w:r>
        <w:rPr>
          <w:rStyle w:val="FootnoteReference"/>
        </w:rPr>
        <w:footnoteReference w:id="59"/>
      </w:r>
      <w:r>
        <w:t xml:space="preserve">. </w:t>
      </w:r>
    </w:p>
    <w:p w:rsidR="00903901" w:rsidRDefault="00903901" w:rsidP="00903901"/>
    <w:p w:rsidR="00903901" w:rsidRDefault="00903901" w:rsidP="00903901">
      <w:r>
        <w:rPr>
          <w:rStyle w:val="Strong"/>
          <w:b w:val="0"/>
          <w:color w:val="1F1F1F"/>
        </w:rPr>
        <w:t>Otrkārt, tika noteikts</w:t>
      </w:r>
      <w:r w:rsidRPr="001901C2">
        <w:rPr>
          <w:rStyle w:val="Strong"/>
          <w:b w:val="0"/>
          <w:color w:val="1F1F1F"/>
        </w:rPr>
        <w:t>, ka nodokļu maksātājs saglabā tiesības attiecībā uz saviem ienākumiem piemērot</w:t>
      </w:r>
      <w:r>
        <w:rPr>
          <w:rStyle w:val="Strong"/>
          <w:color w:val="1F1F1F"/>
        </w:rPr>
        <w:t xml:space="preserve"> </w:t>
      </w:r>
      <w:r w:rsidRPr="007331E4">
        <w:rPr>
          <w:b/>
        </w:rPr>
        <w:t>IIN atvieglojumu par apgādībā esošu personu</w:t>
      </w:r>
      <w:r>
        <w:t xml:space="preserve">, kura vasaras brīvlaikā saņem ar nodokli apliekamus ienākumus un ir vecumā līdz 19 gadu vecumam, un mācās vispārējās, profesionālās, augstākās vai speciālās izglītības iestādē. Vērtējot IIN atvieglojumus par apgādībā esošām personām, </w:t>
      </w:r>
      <w:r>
        <w:lastRenderedPageBreak/>
        <w:t>jāņem vērā to ietekmējošie faktori – darba algas apmērs un apgādājamo skaits. LU pētnieku veiktajā nodokļu reformas izvērtējumā skaidrots, ka, piemērojot atvieglojumus vidējam bruto atalgojumam, pie noteikta apgādājamo skaita aprēķinātais IIN paliek negatīvs. 2015. un 2016. gadā šāda situācija ir veidojusies personām ar četriem un vairāk apgādājamajiem. No 2016. gada IIN negatīvais rezultāts samazinās, taču aprēķini rāda, ka nodokļu maksātājam katrā gadījumā nav iespējas pilnībā piemērot pienākošos atvieglojumus, kas ir vērtējams negatīvi.</w:t>
      </w:r>
      <w:r>
        <w:rPr>
          <w:rStyle w:val="FootnoteReference"/>
        </w:rPr>
        <w:footnoteReference w:id="60"/>
      </w:r>
    </w:p>
    <w:p w:rsidR="00903901" w:rsidRDefault="00903901" w:rsidP="00903901"/>
    <w:p w:rsidR="00903901" w:rsidRPr="00C240B8" w:rsidRDefault="00903901" w:rsidP="00903901">
      <w:pPr>
        <w:rPr>
          <w:color w:val="FF0000"/>
        </w:rPr>
      </w:pPr>
      <w:r>
        <w:t xml:space="preserve">Treškārt, izmaiņas paredzēja arī nepiemērot minimālo IIN maksājumu 50 EUR apmērā arī proporcionāli par taksācijas gada periodu, kurā maksātājs ir atradies bērna kopšanas atvaļinājumā, kā arī pārejošas darbnespējas, grūtniecības un dzemdību atvaļinājuma kalendāra dienām, par kurām maksātājam – fiziskajai personai ir izsniegta darbnespējas lapa “B”. Ceturtkārt, tika noteikts neaplikt ar IIN ienākumus bezdarbniekiem un darba meklētājiem no ESF darbības programmas "Cilvēkresursi un nodarbinātība" vai valsts budžeta līdzekļiem par aktīvajiem nodarbinātības pasākumiem izmaksātos ienākumus, kurus Nodarbinātības valsts aģentūra kvalificējusi par stipendijām vai atlīdzībām, lai nepasliktinātu nabadzīgākās iedzīvotāju daļas situāciju. Pēdējās divas minētās izmaiņas ietekmēja konkrēto mērķa grupu tiešos ienākumus un vērtējams kā mērķēts atbalsts jaunajām māmiņām un bezdarbniekiem. Abu šo grupu pārstāvji ar zemiem ienākumiem atbilst nabadzības un sociālās atstumtības riskam pakļautajām grupām. </w:t>
      </w:r>
    </w:p>
    <w:p w:rsidR="00903901" w:rsidRDefault="00903901" w:rsidP="00903901"/>
    <w:p w:rsidR="00903901" w:rsidRDefault="00903901" w:rsidP="00903901">
      <w:pPr>
        <w:rPr>
          <w:rStyle w:val="Strong"/>
          <w:b w:val="0"/>
          <w:color w:val="1F1F1F"/>
        </w:rPr>
      </w:pPr>
      <w:r>
        <w:t xml:space="preserve">2015. gadā notika vairākas, kaut arī likmju ziņā nelielas, </w:t>
      </w:r>
      <w:r w:rsidRPr="003645EA">
        <w:t>izmaiņas</w:t>
      </w:r>
      <w:r w:rsidRPr="003645EA">
        <w:rPr>
          <w:b/>
        </w:rPr>
        <w:t xml:space="preserve"> </w:t>
      </w:r>
      <w:r w:rsidRPr="00872D27">
        <w:rPr>
          <w:rStyle w:val="Strong"/>
          <w:color w:val="1F1F1F"/>
        </w:rPr>
        <w:t>valsts sociālās apdrošināšanas obligāto iemaksu likmēs</w:t>
      </w:r>
      <w:r w:rsidRPr="003645EA">
        <w:rPr>
          <w:rStyle w:val="Strong"/>
          <w:b w:val="0"/>
          <w:color w:val="1F1F1F"/>
        </w:rPr>
        <w:t>, t.sk. darba ņēmēja – pensionāra darba devēja likme (no 20,16% 2014.gadā uz 19,86% 2015.gadā), darba ņēmēja – pensionāra darba ņēmēja likme (no 8,96% 2014.gadā uz 8,84% 2015.gadā), darba ņēmēja (arī pensionāra) likme brīvības atņemšanas vietā (no 9,23% (7,74%) 2014.gadā uz 9,13% (7,51%) 2015.gadā), brīvprātīgā likme pensijai (no 25,16% 2014.gadā uz 24,39% 2015.gadā), brīvprātīgā likme invaliditātes pensijai, maternitātes pabalsta, slimības apdrošināšanai (no 32% 2014.gadā uz 31,46% 2015.gadā), pašnodarbinātā (arī pensionāra) likme (no 31,06% (28,66%) 2014.gadā uz 30,58% (28,17) 2015.gadā)</w:t>
      </w:r>
      <w:r w:rsidRPr="00872D27">
        <w:rPr>
          <w:rStyle w:val="FootnoteReference"/>
          <w:color w:val="1F1F1F"/>
        </w:rPr>
        <w:footnoteReference w:id="61"/>
      </w:r>
      <w:r w:rsidRPr="003645EA">
        <w:rPr>
          <w:rStyle w:val="Strong"/>
          <w:b w:val="0"/>
          <w:color w:val="1F1F1F"/>
        </w:rPr>
        <w:t>. Šīs izmaiņas ietekmēja lielāko tiesu iedzīvotājus ar zemiem ienākumiem</w:t>
      </w:r>
      <w:r>
        <w:rPr>
          <w:rStyle w:val="Strong"/>
          <w:b w:val="0"/>
          <w:color w:val="1F1F1F"/>
        </w:rPr>
        <w:t xml:space="preserve"> – pensijas vecuma cilvēk</w:t>
      </w:r>
      <w:r w:rsidR="001A3B11">
        <w:rPr>
          <w:rStyle w:val="Strong"/>
          <w:b w:val="0"/>
          <w:color w:val="1F1F1F"/>
        </w:rPr>
        <w:t>us</w:t>
      </w:r>
      <w:r w:rsidRPr="003645EA">
        <w:rPr>
          <w:rStyle w:val="Strong"/>
          <w:b w:val="0"/>
          <w:color w:val="1F1F1F"/>
        </w:rPr>
        <w:t xml:space="preserve">, taču ietekmes apmērs, ņemot vērā likmju izmaiņas, </w:t>
      </w:r>
      <w:r>
        <w:rPr>
          <w:rStyle w:val="Strong"/>
          <w:b w:val="0"/>
          <w:color w:val="1F1F1F"/>
        </w:rPr>
        <w:t>bija</w:t>
      </w:r>
      <w:r w:rsidRPr="003645EA">
        <w:rPr>
          <w:rStyle w:val="Strong"/>
          <w:b w:val="0"/>
          <w:color w:val="1F1F1F"/>
        </w:rPr>
        <w:t xml:space="preserve"> minimāls. </w:t>
      </w:r>
    </w:p>
    <w:p w:rsidR="00903901" w:rsidRDefault="00903901" w:rsidP="00903901">
      <w:pPr>
        <w:rPr>
          <w:rStyle w:val="Strong"/>
          <w:b w:val="0"/>
          <w:color w:val="1F1F1F"/>
        </w:rPr>
      </w:pPr>
    </w:p>
    <w:p w:rsidR="00903901" w:rsidRPr="00CD5C02" w:rsidRDefault="009925FD" w:rsidP="00903901">
      <w:r w:rsidRPr="001B0A19">
        <w:t>2014. gadā tika atjaunota VSAOI objekta maksimālā apmēra noteikšana</w:t>
      </w:r>
      <w:r w:rsidR="0036026A" w:rsidRPr="001B0A19">
        <w:t>.</w:t>
      </w:r>
      <w:r w:rsidR="00903901" w:rsidRPr="001B0A19">
        <w:t xml:space="preserve"> 2015. gadā </w:t>
      </w:r>
      <w:r w:rsidR="00903901" w:rsidRPr="001B0A19">
        <w:rPr>
          <w:b/>
        </w:rPr>
        <w:t>VSAOI objekta</w:t>
      </w:r>
      <w:r w:rsidR="00903901" w:rsidRPr="00751252">
        <w:rPr>
          <w:b/>
        </w:rPr>
        <w:t xml:space="preserve"> maksimālais apmērs</w:t>
      </w:r>
      <w:r w:rsidR="00903901">
        <w:rPr>
          <w:b/>
        </w:rPr>
        <w:t xml:space="preserve"> gadā</w:t>
      </w:r>
      <w:r w:rsidR="00903901" w:rsidRPr="00DA388E">
        <w:t xml:space="preserve"> </w:t>
      </w:r>
      <w:r w:rsidR="00903901">
        <w:t xml:space="preserve">tika </w:t>
      </w:r>
      <w:r w:rsidR="00903901" w:rsidRPr="00DA388E">
        <w:t>noteikts 48 600 EUR</w:t>
      </w:r>
      <w:r w:rsidR="00903901" w:rsidRPr="00751252">
        <w:rPr>
          <w:vertAlign w:val="superscript"/>
        </w:rPr>
        <w:footnoteReference w:id="62"/>
      </w:r>
      <w:r w:rsidR="00903901">
        <w:t xml:space="preserve"> (2014. gadā tādas bija 4649 personas), kas vidēji mēnesī ir 4050 EUR bruto alga</w:t>
      </w:r>
      <w:r w:rsidR="00903901" w:rsidRPr="00DA388E">
        <w:t xml:space="preserve">. </w:t>
      </w:r>
      <w:r w:rsidR="00903901">
        <w:t xml:space="preserve">Attiecinot šīs izmaiņas uz individuālām personām kā ienākumu guvējiem, tās </w:t>
      </w:r>
      <w:r w:rsidR="00903901" w:rsidRPr="00DA388E">
        <w:t>attiecas uz iedzīvotājiem ar augstiem ienākumiem</w:t>
      </w:r>
      <w:r w:rsidR="00903901">
        <w:t>, ņemot vērā vidējo bruto algas līmeni 2015. gadā, kas bija 818 EUR</w:t>
      </w:r>
      <w:r w:rsidR="00903901" w:rsidRPr="00DA388E">
        <w:t xml:space="preserve">. </w:t>
      </w:r>
      <w:r w:rsidR="00903901" w:rsidRPr="00CD5C02">
        <w:t xml:space="preserve">Izmaiņu ietekmi uz šīs iedzīvotāju grupas ienākumiem objektīvi ir grūtības noteikt, jo to ietekmē vairāki mainīgi faktori – darba algas apmērs, mājsaimniecības locekļu skaits, to vecums un nodarbinātība, veselības stāvoklis. </w:t>
      </w:r>
      <w:r w:rsidR="00903901">
        <w:t xml:space="preserve">Taču izmaiņām </w:t>
      </w:r>
      <w:r w:rsidR="00903901">
        <w:lastRenderedPageBreak/>
        <w:t xml:space="preserve">kopumā nav tiešas ietekmes uz iedzīvotāju ienākumu nevienlīdzības mazināšanu, tāpat tas nav vērtējams kā mērķēts atbalsts Izvērtējumā noteiktajām nabadzības un sociālās atstumtības riska grupām. </w:t>
      </w:r>
      <w:r w:rsidR="00903901" w:rsidRPr="00CD5C02">
        <w:t xml:space="preserve">Šīm izmaiņām ir nozīme kontekstā ar solidaritātes nodokļa ieviešanu 2016. gadā (sk. 1.1.2. sadaļu).  </w:t>
      </w:r>
    </w:p>
    <w:p w:rsidR="00903901" w:rsidRPr="004049FE" w:rsidRDefault="00903901" w:rsidP="00DE4D97">
      <w:pPr>
        <w:pStyle w:val="virsrakstslvl4"/>
      </w:pPr>
      <w:bookmarkStart w:id="159" w:name="_Toc6841523"/>
      <w:r w:rsidRPr="004049FE">
        <w:t>Ekonomikas un finanšu politika</w:t>
      </w:r>
      <w:bookmarkEnd w:id="159"/>
    </w:p>
    <w:p w:rsidR="00903901" w:rsidRDefault="00903901" w:rsidP="00903901">
      <w:r>
        <w:t xml:space="preserve">2015. gadā netiešu ietekmi uz iedzīvotāju ienākumu nevienlīdzības mazināšanu atstāja izmaiņas </w:t>
      </w:r>
      <w:r w:rsidRPr="0028322B">
        <w:t>ekonomikas un finanšu politikas</w:t>
      </w:r>
      <w:r>
        <w:t xml:space="preserve"> jomās. </w:t>
      </w:r>
    </w:p>
    <w:p w:rsidR="00903901" w:rsidRDefault="00903901" w:rsidP="00903901"/>
    <w:p w:rsidR="00903901" w:rsidRPr="00CD5C02" w:rsidRDefault="00903901" w:rsidP="00903901">
      <w:r>
        <w:t xml:space="preserve">No 2015. gada 1. janvāra spēkā </w:t>
      </w:r>
      <w:r w:rsidRPr="0028322B">
        <w:rPr>
          <w:b/>
        </w:rPr>
        <w:t>ir Kredītinformācijas biroju likums</w:t>
      </w:r>
      <w:r>
        <w:rPr>
          <w:rStyle w:val="FootnoteReference"/>
        </w:rPr>
        <w:footnoteReference w:id="63"/>
      </w:r>
      <w:r>
        <w:t xml:space="preserve">. Tā mērķi bija, pirmkārt, mazināt kredītrisku un veicināt ar kredītrisku saistīta pakalpojuma plašāku pieejamību; otrkārt, veicināt atbildīgu un godprātīgu saistību uzņemšanos; treškārt, nodrošināt efektīvāku kredītinformācijas pieejamību un uzlabot kredītriska pārvaldību. Kā skaidrots tiesību akta anotācijā, tas sekmē šādu problēmu risināšanu: kredītspējas vērtēšanai nepieciešamās kedītinformācijas plašāku pieejamību par klientu vai iespējamo klientu komersantiem, tādējādi samazinot kredītrisku un veicinot kredītresursu plašāku pieejamību, no vienas puses, un ierobežo pārmērīgas aizņemšanās risku, uzlabo vispārējo maksāšanas disciplīnu un samazina nenokārtoto saistību apjomu, no otras puses. Šim tiesību aktam </w:t>
      </w:r>
      <w:r w:rsidRPr="00CD5C02">
        <w:t xml:space="preserve">ir būtiska ietekme uz fiziskām personām, kas Izvērtējuma kontekstā ir iedzīvotāji ar visa veida ienākumu līmeņiem, t.sk. tāda līmeņa, kas nosaka personu piederību trūcīgām, maznodrošinātām personām, iedzīvotāju grupai ar zemiem ienākumiem (zem minimālās algas, kas vienai personai bez apgādājamiem 2015. gadā bija 256 EUR neto). </w:t>
      </w:r>
      <w:r>
        <w:t xml:space="preserve">Šīs izmaiņas nevar vērtēt kā tiešu mērķētu atbalstu nabadzības un sociālās atstumtības riskam pakļautajām grupām, jo tas ir vērsts uz iedzīvotājiem (fiziskām personām) kopumā, t.sk. aptverot arī Izvērtējuma mērķa grupas. Šim rīcībpolitikas pasākumam ir saikne ar Izvērtējuma autoru secinājumu par to, ka iedzīvotāju vidū, īpaši grupās ar zemiem ienākumiem (zem minimālās algas) un zemu izglītības līmeni, ir jāattīsta finanšu pratības kompetence (sk. 1.4. sadaļas ieteikumus).  </w:t>
      </w:r>
    </w:p>
    <w:p w:rsidR="00903901" w:rsidRDefault="00903901" w:rsidP="00903901"/>
    <w:p w:rsidR="00903901" w:rsidRDefault="00903901" w:rsidP="00903901">
      <w:r>
        <w:t xml:space="preserve">Grozījumi tika veikti arī </w:t>
      </w:r>
      <w:r w:rsidRPr="007D5B73">
        <w:rPr>
          <w:b/>
        </w:rPr>
        <w:t>Maksātnespējas likumā</w:t>
      </w:r>
      <w:r>
        <w:t>, lai sekmētu</w:t>
      </w:r>
      <w:r w:rsidRPr="00EF7656">
        <w:t xml:space="preserve"> nepieciešamo līdzsvaru starp kreditoru un parādnieku interesēm.</w:t>
      </w:r>
      <w:r>
        <w:t xml:space="preserve"> 2015. gadā likums tika grozīts divas reizes. Izmaiņu mērķi bija, pirmkārt, </w:t>
      </w:r>
      <w:r w:rsidRPr="00134D26">
        <w:t>atvieglot maksātnespējas procesa uzsākšanu un</w:t>
      </w:r>
      <w:r>
        <w:t xml:space="preserve"> būtiski samazināt procesa termiņu</w:t>
      </w:r>
      <w:r>
        <w:rPr>
          <w:rStyle w:val="FootnoteReference"/>
        </w:rPr>
        <w:footnoteReference w:id="64"/>
      </w:r>
      <w:r>
        <w:t xml:space="preserve">; otrkārt, </w:t>
      </w:r>
      <w:r w:rsidRPr="00134D26">
        <w:t xml:space="preserve">lai fiziskās personas maksātnespējas procesa ietvaros netiktu piemērots „nolikto atslēgu princips” </w:t>
      </w:r>
      <w:r>
        <w:t>(</w:t>
      </w:r>
      <w:r w:rsidRPr="00134D26">
        <w:t>tas nozīmē, ka parādniekam pēc nodrošinājuma mantas pārdošanas nav nekādu saistību pret kreditoru) un tiktu precizēti saistību dzēšanas plāna termiņi</w:t>
      </w:r>
      <w:r>
        <w:t xml:space="preserve"> </w:t>
      </w:r>
      <w:r w:rsidRPr="00EF7656">
        <w:t>gadījumos, kad kreditoru prasījumu segšanai tiek novirzīti parādnieka līdzekļi vienas trešdaļas apmērā no parādnieka minimālās mēnešalgas.</w:t>
      </w:r>
      <w:r>
        <w:rPr>
          <w:rStyle w:val="FootnoteReference"/>
        </w:rPr>
        <w:footnoteReference w:id="65"/>
      </w:r>
      <w:r>
        <w:t xml:space="preserve"> </w:t>
      </w:r>
      <w:r w:rsidRPr="007D5B73">
        <w:t>Gadījumos, kad kreditoru prasījumu segšanai tiek novirzīti parādnieka līdzekļi vienas trešdaļas apmērā no minimālās mēnešalgas, saistību dzēšanas termiņš diferencējams atkarībā no kopējā parādnieka saistību apjoma pēc bankrota procedūras pabeigšanas.</w:t>
      </w:r>
      <w:r>
        <w:t xml:space="preserve"> </w:t>
      </w:r>
      <w:r w:rsidRPr="00EF7656">
        <w:t>Saistību dzēšanas plāna termiņiem</w:t>
      </w:r>
      <w:r>
        <w:t>, kā paredzēja likuma jaunā redakcija,</w:t>
      </w:r>
      <w:r w:rsidRPr="00EF7656">
        <w:t xml:space="preserve"> ir jābūt samērīgiem un jānodrošina taisnīgs līdzsvars starp kreditoru tiesību ierobežojumu un nepieciešamību ātri atjaunot parādnieku maksātspēju. </w:t>
      </w:r>
      <w:r>
        <w:t>Likuma grozījumi paredzēja p</w:t>
      </w:r>
      <w:r w:rsidRPr="007D5B73">
        <w:t>arādniekam iespēj</w:t>
      </w:r>
      <w:r>
        <w:t>u</w:t>
      </w:r>
      <w:r w:rsidRPr="007D5B73">
        <w:t xml:space="preserve"> atlikt īpašuma pārdošanu uz sešiem mēnešiem, ja ar viņu kopā dzīvo apgādībā esošas personas, lai, piemēram, pārceļoties, sameklētu bērniem </w:t>
      </w:r>
      <w:r w:rsidRPr="007D5B73">
        <w:lastRenderedPageBreak/>
        <w:t xml:space="preserve">bērnudārzu, skolu. </w:t>
      </w:r>
      <w:r>
        <w:t xml:space="preserve">Balstoties uz tiesību akta anotācijā sniegto informāciju, secināms, ka grozījumi Maksātnespējas likumā ietekmēja iedzīvotājus, kuriem ir kredītsaistības, t.sk. nabadzības un sociālās </w:t>
      </w:r>
      <w:r w:rsidRPr="00F13A30">
        <w:t>atstumtības riskam pakļautās grupas, radot labvēlīgāku situāciju personu maksātspējas atjaunošanai.</w:t>
      </w:r>
      <w:r>
        <w:t xml:space="preserve"> Tiesību akta anotācijā pieejamā informācija liedz veikt detalizētāku novērtējumu, kuras tieši no visām nabadzības un sociālās atstumtības riskam pakļautajām grupām šīs izmaiņas ietekmēja visvairāk un kādā apmērā. Šim mērķim būtu jāveic specifiska analīze. Tomēr iespējams secināt, ka šīs izmaiņas pēc būtības </w:t>
      </w:r>
      <w:r w:rsidRPr="009F4E2D">
        <w:rPr>
          <w:b/>
        </w:rPr>
        <w:t>neietekmēja nabadzības un sociālās atstumtības riskam pakļauto mērķa grupu tiešos ienākumus</w:t>
      </w:r>
      <w:r>
        <w:t xml:space="preserve"> un nesekmēja ienākumu nevienlīdzības mazināšanos.</w:t>
      </w:r>
    </w:p>
    <w:p w:rsidR="00903901" w:rsidRDefault="00903901" w:rsidP="00903901"/>
    <w:p w:rsidR="00903901" w:rsidRDefault="00903901" w:rsidP="00903901">
      <w:pPr>
        <w:rPr>
          <w:rStyle w:val="Strong"/>
          <w:b w:val="0"/>
        </w:rPr>
      </w:pPr>
      <w:r w:rsidRPr="003645EA">
        <w:rPr>
          <w:rStyle w:val="Strong"/>
          <w:b w:val="0"/>
          <w:color w:val="1F1F1F"/>
        </w:rPr>
        <w:t>2015.</w:t>
      </w:r>
      <w:r>
        <w:rPr>
          <w:rStyle w:val="Strong"/>
          <w:b w:val="0"/>
          <w:color w:val="1F1F1F"/>
        </w:rPr>
        <w:t xml:space="preserve"> </w:t>
      </w:r>
      <w:r w:rsidRPr="003645EA">
        <w:rPr>
          <w:rStyle w:val="Strong"/>
          <w:b w:val="0"/>
          <w:color w:val="1F1F1F"/>
        </w:rPr>
        <w:t xml:space="preserve">gadā tika veikti </w:t>
      </w:r>
      <w:r w:rsidRPr="0098640C">
        <w:rPr>
          <w:rStyle w:val="Strong"/>
          <w:color w:val="1F1F1F"/>
        </w:rPr>
        <w:t>nozīmīgi grozījumi Darba likumā</w:t>
      </w:r>
      <w:r w:rsidRPr="003645EA">
        <w:rPr>
          <w:rStyle w:val="FootnoteReference"/>
          <w:color w:val="1F1F1F"/>
        </w:rPr>
        <w:footnoteReference w:id="66"/>
      </w:r>
      <w:r w:rsidRPr="003645EA">
        <w:rPr>
          <w:rStyle w:val="Strong"/>
          <w:b w:val="0"/>
          <w:color w:val="1F1F1F"/>
        </w:rPr>
        <w:t xml:space="preserve"> ar mērķi pilnveidot darba tiesisko attiecību regulējumu. Pasākumu jomas, kurās veiktas izmaiņas, ir šādas: darba sludinājumi; imigrantu darba tiesības;  darba līgumā iekļaujamā informācija par darbinieku (personas kods); maksimālā terminētā darba līguma termiņu no trim uz pieciem gadiem; darbinieku tiesības - darba devēja pienākumu izsniegt darbiniekam rakstveida dokumentu, ar kuru darbinieks ir atstādināts no darba; MK tiek dots deleģējums noteikt minimālās mēneša darba algas apmēru normāla darba laika ietvaros un minimālās stundas tarifa likmes aprēķināšanas noteikumu; īpaša aizsardzība darbiniecei, kura baro bērnu ar krūti tiktu ierobežota laikā, proti, līdz bērna divu gadu vecumam; noteikt elastīgāku samaksas par atvaļinājuma laiku regulējumu; ierobežots apmaksāto atpūtas dienu skaits darbiniekam, kurš ir asins donors; vidējās izpeļņas aprēķina kārtība; ieturējumu (t.sk. uzturlīdzekļu) izdarīšanu no darbinieka darba samaksas; precizēt esošo regulējumu attiecībā uz pārejošu darbnespēju; kolektīvās atlaišanas normu precizēšana; darba tiesisko attiecību izbeigšanas pamati; virsstundu uzskaites kārtība un pieļaujamais skaits; nakts darbs; summētā darba laika nosacījumi; minimālā nedēļas atpūtas laika nosacījumi; noteikums, ka darba attiecību izbeigšanas gadījumā darbiniekam ir izmaksājama atlīdzība par visu periodu, kad darbiniek</w:t>
      </w:r>
      <w:r w:rsidR="001A3B11">
        <w:rPr>
          <w:rStyle w:val="Strong"/>
          <w:b w:val="0"/>
          <w:color w:val="1F1F1F"/>
        </w:rPr>
        <w:t>s</w:t>
      </w:r>
      <w:r w:rsidRPr="003645EA">
        <w:rPr>
          <w:rStyle w:val="Strong"/>
          <w:b w:val="0"/>
          <w:color w:val="1F1F1F"/>
        </w:rPr>
        <w:t xml:space="preserve"> nav izmantojis ikgadējo apmaksāto atvaļinājumu; papildatvaļinājuma piešķiršanas kārtība un nosacījumi u.c. </w:t>
      </w:r>
      <w:r w:rsidRPr="00F13A30">
        <w:rPr>
          <w:rStyle w:val="Strong"/>
          <w:b w:val="0"/>
        </w:rPr>
        <w:t xml:space="preserve">Veiktajiem grozījumiem bija ietekme uz visiem darba ņēmējiem (strādājošām personām), taču to </w:t>
      </w:r>
      <w:r w:rsidRPr="00C240B8">
        <w:rPr>
          <w:rStyle w:val="Strong"/>
        </w:rPr>
        <w:t>ietekme uz dažādu iedzīvotāju ienākumiem, attiecīgi uz ienākumu nevienlīdzības mazināšanu, ir vērtējama kā drīzāk netieša</w:t>
      </w:r>
      <w:r w:rsidRPr="00F13A30">
        <w:rPr>
          <w:rStyle w:val="Strong"/>
          <w:b w:val="0"/>
        </w:rPr>
        <w:t xml:space="preserve">. </w:t>
      </w:r>
    </w:p>
    <w:p w:rsidR="00903901" w:rsidRDefault="00903901" w:rsidP="00903901">
      <w:pPr>
        <w:rPr>
          <w:rStyle w:val="Strong"/>
          <w:b w:val="0"/>
        </w:rPr>
      </w:pPr>
    </w:p>
    <w:p w:rsidR="00E258AC" w:rsidRDefault="00E258AC" w:rsidP="003945E0">
      <w:pPr>
        <w:pStyle w:val="Heading3"/>
      </w:pPr>
      <w:bookmarkStart w:id="160" w:name="_Toc2949217"/>
      <w:bookmarkStart w:id="161" w:name="_Toc6841524"/>
      <w:r w:rsidRPr="00A661B6">
        <w:t xml:space="preserve">Galvenās tiesību aktu izmaiņas un  rīcībpolitikas pasākumi 2016. </w:t>
      </w:r>
      <w:r w:rsidR="006D1607">
        <w:t>g</w:t>
      </w:r>
      <w:r w:rsidRPr="00A661B6">
        <w:t>adā</w:t>
      </w:r>
      <w:bookmarkEnd w:id="160"/>
      <w:bookmarkEnd w:id="161"/>
    </w:p>
    <w:p w:rsidR="00903901" w:rsidRDefault="00903901" w:rsidP="00903901">
      <w:r>
        <w:t>Šajā sadaļā ir apkopotas g</w:t>
      </w:r>
      <w:r w:rsidRPr="00500563">
        <w:t>alvenās</w:t>
      </w:r>
      <w:r>
        <w:t xml:space="preserve"> </w:t>
      </w:r>
      <w:r w:rsidRPr="00500563">
        <w:t xml:space="preserve">izmaiņas </w:t>
      </w:r>
      <w:r>
        <w:t>spēkā stājušos tiesību aktos 2016</w:t>
      </w:r>
      <w:r w:rsidRPr="00500563">
        <w:t>.</w:t>
      </w:r>
      <w:r w:rsidR="00EC19AA">
        <w:t xml:space="preserve"> </w:t>
      </w:r>
      <w:r>
        <w:t>g</w:t>
      </w:r>
      <w:r w:rsidRPr="00500563">
        <w:t>adā</w:t>
      </w:r>
      <w:r>
        <w:t xml:space="preserve">, kuras vērstas uz  </w:t>
      </w:r>
      <w:r w:rsidRPr="00500563">
        <w:t>nabadzības, sociālās atstumtības un ienākumu nevienlīdzības samazināšanu, palielinot iedzīvotāju rīcībā esošos tiešos un/vai netiešos ienākumus</w:t>
      </w:r>
      <w:r>
        <w:t xml:space="preserve"> (galvenokārt ir apkopotas tās izmaiņas, kuras jau stājās spēkā 2015.</w:t>
      </w:r>
      <w:r w:rsidR="00EC19AA">
        <w:t xml:space="preserve"> </w:t>
      </w:r>
      <w:r>
        <w:t xml:space="preserve">gadā, nevis tika plānotas šajā gadā uz tālākajiem periodiem). </w:t>
      </w:r>
    </w:p>
    <w:p w:rsidR="00903901" w:rsidRPr="00917E78" w:rsidRDefault="00903901" w:rsidP="00DE4D97">
      <w:pPr>
        <w:pStyle w:val="virsrakstslvl4"/>
      </w:pPr>
      <w:bookmarkStart w:id="162" w:name="_Toc6841525"/>
      <w:r w:rsidRPr="00917E78">
        <w:t>Materiālais atbalsts un pakalpojumi</w:t>
      </w:r>
      <w:bookmarkEnd w:id="162"/>
    </w:p>
    <w:p w:rsidR="00903901" w:rsidRDefault="00903901" w:rsidP="00903901">
      <w:r>
        <w:t xml:space="preserve">2016. gadā turpināja augt vidējā bruto darba samaksa. Salīdzinot ar 2015. gadu, tā palielinājās par 5%, un bija 859 EUR. Straujāk darba samaksa pieauga privātajā sektorā – par 5,8%, savukārt sabiedriskajā sektorā – par 3,7%. 2016. gadā vidējā neto darba samaksa pieauga par 4,7%. Savukārt </w:t>
      </w:r>
      <w:r>
        <w:lastRenderedPageBreak/>
        <w:t>reālā neto darba samaksa– par 4,6 procentiem</w:t>
      </w:r>
      <w:r>
        <w:rPr>
          <w:rStyle w:val="FootnoteReference"/>
        </w:rPr>
        <w:footnoteReference w:id="67"/>
      </w:r>
      <w:r>
        <w:t xml:space="preserve">. </w:t>
      </w:r>
      <w:r w:rsidRPr="00751252">
        <w:rPr>
          <w:b/>
        </w:rPr>
        <w:t>Minimālā mēneša darba alga</w:t>
      </w:r>
      <w:r w:rsidRPr="00DA388E">
        <w:t xml:space="preserve"> normāla darba laika ietvaros </w:t>
      </w:r>
      <w:r>
        <w:t xml:space="preserve">2016. gadā </w:t>
      </w:r>
      <w:r w:rsidRPr="00DA388E">
        <w:t xml:space="preserve">tika palielināta </w:t>
      </w:r>
      <w:r w:rsidRPr="00A108AC">
        <w:rPr>
          <w:b/>
        </w:rPr>
        <w:t>no 360 EUR uz 370 EUR</w:t>
      </w:r>
      <w:r w:rsidRPr="00751252">
        <w:rPr>
          <w:vertAlign w:val="superscript"/>
        </w:rPr>
        <w:footnoteReference w:id="68"/>
      </w:r>
      <w:r w:rsidRPr="00DA388E">
        <w:t xml:space="preserve">. </w:t>
      </w:r>
      <w:r>
        <w:t xml:space="preserve">Tas nozīmē, ka 2016. gadā minimālā darba alga veidoja 43% no vidējās bruto darba algas. </w:t>
      </w:r>
      <w:r w:rsidRPr="00DA388E">
        <w:t xml:space="preserve">Minimālās stundas tarifa likmes aprēķināšana </w:t>
      </w:r>
      <w:r>
        <w:t>tika</w:t>
      </w:r>
      <w:r w:rsidRPr="00DA388E">
        <w:t xml:space="preserve"> veikta atbilstoši normāla darba laika ietvaros mēnesī noteiktām darba dienu stundām un apmaksātām svētku dienu stundām, ja darbinieks neveica darbu šajās svētku dienās, kas iekrīt darba dienās (saskaņā ar Darba likuma 74.panta pirmās daļas 8.punktu), un apmaksātām pirms svētku dienu stundām, kas iekrīt darba dienās (saskaņā ar Darba likuma 135.pantu), ja darbinieks neveica darbu šajās stundās. No 2016. gada LM katru gadu aprēķina četru veidu normālā darba laika stundu skaitu mēnesī un atbilstošās minimālās stundas tarifa likmes pa mēnešiem par nākamo periodu, un publicē to apmērus LM mājas lapā</w:t>
      </w:r>
      <w:r w:rsidRPr="00751252">
        <w:rPr>
          <w:vertAlign w:val="superscript"/>
        </w:rPr>
        <w:footnoteReference w:id="69"/>
      </w:r>
      <w:r w:rsidRPr="00DA388E">
        <w:t xml:space="preserve">. </w:t>
      </w:r>
    </w:p>
    <w:p w:rsidR="00903901" w:rsidRDefault="00903901" w:rsidP="00903901"/>
    <w:p w:rsidR="00903901" w:rsidRDefault="00903901" w:rsidP="00903901">
      <w:r>
        <w:t>Kā jau iepriekš norādīt</w:t>
      </w:r>
      <w:r w:rsidR="001A3B11">
        <w:t>s</w:t>
      </w:r>
      <w:r>
        <w:t xml:space="preserve">, raksturojot 2015. gada rīcībpolitikas pasākumus, minimālās algas palielināšana ir pasākums, kas sniedz mērķētu atbalstu iedzīvotāju grupām ar augstākiem nabadzības riskiem un rada tiešu ietekmi uz ienākumu nevienlīdzības samazināšanu. Primāri tas ietekmē strādājošos ar zemu atalgojumu (tos, kuru alga ir noteikta minimālās algas līmenī vai kuru alga ir atkarīga no minimālās darba algas likmes), samazinot šīs grupas īpatsvaru. Sekundārā līmenī tas ietekmē mājsaimniecības, kurās vismaz kāds no tās locekļiem ir strādājošais, palielinot mājsaimniecības rīcībā esošos kopējos ienākumus. </w:t>
      </w:r>
    </w:p>
    <w:p w:rsidR="00872C9C" w:rsidRDefault="00872C9C" w:rsidP="00903901"/>
    <w:p w:rsidR="00903901" w:rsidRDefault="00903901" w:rsidP="00903901">
      <w:r>
        <w:t>2016. gadā minimālas algas apmērs pēc nodokļu nomaksas personai bez apgādājamiem bija 272 EUR, kas pat nesasniedza vienas personas mājsaimniecības nabadzības riska slieksni un veidoja 82% no tā (330 EUR). Tas nozīmē, ka minimālās algas saņēmēji, ja darba atalgojums bija to vienīgais ienākums, joprojām tika pakļauti nabadzības riskam. Salīdzinot ar 2015. gadu, minimālās algas apmērs pie tādiem pašiem nosacījumiem bija palielinājies par 7 EUR jeb par 2,6%. Modelējot šo situāciju mājsaimniecībai ar diviem pieaugušajiem (pieņemot, ka abiem ir minimālā alga un uz katram pieaugušajam ir norādīts viens apgādājamais) un diviem bērniem vecumā līdz 14 gadiem, tās neto ienākumi 2016. gadā būtu 624 EUR mēnesī (2015. gadā – 606 EUR), kas bija 90,0% no nabadzības riska sliekšņa ilustratīvās vērtības šāda tipa mājsaimniecībām, piemērojot OECD modificēto ekvivalences skalu (2015. gadā – 90,7%). Tas nozīmē, ka šīm ģimenēm ienākumi no strādājošo mājsaimniecības locekļu atalgojuma palielinājās par 18 EUR jeb par 3,0%. Šo aprēķinu interpretācijā jāņem vērā, ka 2016. gadā mainījās arī atvieglojuma apmērs par apgādībā esošām personām no 165 EUR uz 175 EUR. Salīdzinot ienākumus no minimālās algas vienai personai bez apgādājamiem un ar vienu apgādājamo, aprēķini rāda, ka pirmajā gadījumā neto ienākumi ir 272 EUR, otrajā gadījumā – 312 EUR. Salīdzinājumā ar 2</w:t>
      </w:r>
      <w:r w:rsidR="001A3B11">
        <w:t>015</w:t>
      </w:r>
      <w:r>
        <w:t xml:space="preserve">. </w:t>
      </w:r>
      <w:r w:rsidR="00917A17">
        <w:t>g</w:t>
      </w:r>
      <w:r>
        <w:t>adu</w:t>
      </w:r>
      <w:r w:rsidR="00917A17">
        <w:t>, 2016. gadā</w:t>
      </w:r>
      <w:r>
        <w:t xml:space="preserve"> personai bez apgādājamiem ienākumu pieaugums ir 7 EUR, personai ar vienu apgādājamo 9 EUR. Modelējot šo situāciju tālāk uz mājsaimniecību tipiem – vienas personas mājsaimniecība un vienas personas </w:t>
      </w:r>
      <w:r>
        <w:lastRenderedPageBreak/>
        <w:t xml:space="preserve">mājsaimniecība ar vienu bērnu vecumā līdz 14 gadiem, var secināt, ka viena </w:t>
      </w:r>
      <w:r w:rsidR="000B2AA7">
        <w:t>vecāka mājsaimniecības</w:t>
      </w:r>
      <w:r>
        <w:t xml:space="preserve"> gadījumā ienākumi, ņemot vērā tikai ienākumus no minimālās algas, uz vienu ekvivalento patērētāju ir būtiski mazāki nekā vienas personas mājsaimniecības gadījumā. Proti, piemērojot OECD modificēto ekvivalences skalu, kurā bērnam līdz 14 gadiem tiek piemērots koeficients 0,3, viena </w:t>
      </w:r>
      <w:r w:rsidR="000B2AA7">
        <w:t>vecāka mājsaimniecības</w:t>
      </w:r>
      <w:r>
        <w:t xml:space="preserve"> gadījumā ienākumi uz vienu ekvivalento patērētāju ir  240 EUR (tātad uz pieaugušo 240 EUR, uz bērnu 72 EUR); piemērojot OECD nemodificēto ekvivalences skalu (bērnam piemērotais koeficients ir 0,5), viena </w:t>
      </w:r>
      <w:r w:rsidR="000B2AA7">
        <w:t xml:space="preserve">vecāka mājsaimniecības </w:t>
      </w:r>
      <w:r>
        <w:t xml:space="preserve">gadījumā ienākumi uz vienu ekvivalento patērētāju ir 208 EUR (tātad uz pieaugušo 208 EUR, uz bērnu 104 EUR). Šie aprēķini parāda, ka pēc būtības izmaiņas minimālās algas likmēs pamatā palielina vienas personas – ienākuma guvējas – ienākumus. Ietekme uz mājsaimniecību var būtiski variēties atkarībā no mājsaimniecības locekļu skaita, vecuma un darbspējas. </w:t>
      </w:r>
    </w:p>
    <w:p w:rsidR="00903901" w:rsidRDefault="00903901" w:rsidP="00903901"/>
    <w:p w:rsidR="00903901" w:rsidRDefault="00903901" w:rsidP="00903901">
      <w:r>
        <w:t xml:space="preserve">Minimālās darba algas palielināšanas rezultātā, līdzīgi kā 2015. gadā, 2016. gadā tika palielināts minimālais </w:t>
      </w:r>
      <w:r w:rsidRPr="00D110FF">
        <w:rPr>
          <w:b/>
        </w:rPr>
        <w:t>uzturlīdzekļu apmērs</w:t>
      </w:r>
      <w:r>
        <w:t>, nosakot to 92,5 EUR apmērā par bērnu 0-7 gadu vecumā (2015. gadā tie bija 90 EUR)  un 111 EUR apmērā par bērnu 7-18 gadu vecumā (2015. gadā tie bija 108 EUR)</w:t>
      </w:r>
      <w:r>
        <w:rPr>
          <w:rStyle w:val="FootnoteReference"/>
        </w:rPr>
        <w:footnoteReference w:id="70"/>
      </w:r>
      <w:r>
        <w:t>. Tas nozīmē, ka bērniem vecumā no 0-7 gadiem minimālais valsts noteiktais uzturlīdzekļu apmērs palielinājās par 2,5 EUR (jeb par 2,2%) un bērniem vecumā no 7 līdz 18 gadiem – par 3 EUR (jeb par 0,9%). Balstoties uz Civillikuma 177. panta ceturtajā daļā noteikto</w:t>
      </w:r>
      <w:r>
        <w:rPr>
          <w:rStyle w:val="FootnoteReference"/>
        </w:rPr>
        <w:footnoteReference w:id="71"/>
      </w:r>
      <w:r>
        <w:t>, bērna uzturēšana ir „</w:t>
      </w:r>
      <w:r w:rsidRPr="00DE4739">
        <w:t>ir ēdiena, apģērba, mājokļa, veselības aprūpes nodrošināšana, bērna kopšana un viņa izglītošana un audzināšana, garīgās un fiziskās attīstības nodrošināšana, pēc iespējas ievērojot bērna individualitāti, spējas un intereses, sagatavojot bērnu sabiedriski derīgam darbam</w:t>
      </w:r>
      <w:r>
        <w:t xml:space="preserve">”. Ņemot vērā izmaksas katrā no likumā nosauktajām pozīcijām, minimālie uzturlīdzekļi ir paredzēti tikai minimālo bērna pamatvajadzību nodrošināšanai. Turpinot modelēt viena </w:t>
      </w:r>
      <w:r w:rsidR="000B2AA7">
        <w:t xml:space="preserve">vecāka mājsaimniecības </w:t>
      </w:r>
      <w:r>
        <w:t xml:space="preserve">situāciju un pieskaitot tās ienākumiem no minimālās algas (312 EUR) minimālos uzturlīdzekļus 92,5 EUR apmērā, kopējie ienākumi sasniedz 404,5 EUR. Piemērojot OECD modificēto ekvivalences skalu, ienākumi uz vienu ekvivalento patērētāju ir 311 EUR (attiecīgi 311 EUR uz pieaugušo un 93,30 EUR uz bērnu); savukārt pēc OECD nemodificētās ekvivalences skalas ienākumi uz vienu ekvivalento patērētāju ir 269 EUR (attiecīgi 269 EUR uz pieaugušo, 134,5 EUR uz bērnu). Abos gadījumos ienākumi uz vienu ekvivalento patērētāju ir zem nabadzības riska sliekšņa vērtības, kas noteikta 2016. gadā vienas personas mājsaimniecībai (330 EUR). </w:t>
      </w:r>
    </w:p>
    <w:p w:rsidR="00903901" w:rsidRDefault="00903901" w:rsidP="00903901"/>
    <w:p w:rsidR="00903901" w:rsidRDefault="00903901" w:rsidP="00903901">
      <w:r>
        <w:t>I</w:t>
      </w:r>
      <w:r w:rsidRPr="00810D77">
        <w:t xml:space="preserve">zmaiņas </w:t>
      </w:r>
      <w:r>
        <w:t xml:space="preserve">minimālajā uzturlīdzekļu apmērā </w:t>
      </w:r>
      <w:r w:rsidRPr="00810D77">
        <w:t xml:space="preserve">vērtējamas kā </w:t>
      </w:r>
      <w:r w:rsidRPr="00716212">
        <w:rPr>
          <w:b/>
        </w:rPr>
        <w:t xml:space="preserve">mērķēts atbalsts </w:t>
      </w:r>
      <w:r w:rsidR="00716212" w:rsidRPr="00716212">
        <w:rPr>
          <w:b/>
        </w:rPr>
        <w:t xml:space="preserve">bērniem, kuru ikdienas aizgādību īsteno viens no vecākiem, bet plašākā izpratnē </w:t>
      </w:r>
      <w:r w:rsidRPr="00716212">
        <w:rPr>
          <w:b/>
        </w:rPr>
        <w:t xml:space="preserve">viena </w:t>
      </w:r>
      <w:r w:rsidR="000B2AA7" w:rsidRPr="000B2AA7">
        <w:rPr>
          <w:b/>
        </w:rPr>
        <w:t>vecāka mājsaimniecīb</w:t>
      </w:r>
      <w:r w:rsidR="00CE5642">
        <w:rPr>
          <w:b/>
        </w:rPr>
        <w:t>ām</w:t>
      </w:r>
      <w:r w:rsidRPr="00810D77">
        <w:t>, kas ir viena no nabadzības un sociālās atstumtības riskam pakļautajām grupām, ko apstiprina arī Izvērtējumā veiktā statistikas datu analīze</w:t>
      </w:r>
      <w:r>
        <w:t xml:space="preserve"> (jāprecizē gan, ka EU-SILC datu agregācijas līmenis liedz atsevišķi analizēt tās nepilnās ģimenes, kuras saņem uzturlīdzekļus un kuras tos nesaņem, tāpēc secinājums attiecināts vispārīgi uz viena </w:t>
      </w:r>
      <w:r w:rsidR="00BA1727">
        <w:t>vecāka mājsaimniecības</w:t>
      </w:r>
      <w:r>
        <w:t>, pieņemot, ka lielākā daļa no tām šos ienākumus saņem)</w:t>
      </w:r>
      <w:r w:rsidRPr="00810D77">
        <w:t xml:space="preserve">. </w:t>
      </w:r>
      <w:r>
        <w:t xml:space="preserve">2016. gadā 13,2% (jeb 29 814) no visām mājsaimniecībām ar bērniem bija viena </w:t>
      </w:r>
      <w:r w:rsidR="00BA1727">
        <w:t>vecāka mājsaimniecības</w:t>
      </w:r>
      <w:r w:rsidR="00530974">
        <w:t>.</w:t>
      </w:r>
      <w:r>
        <w:t xml:space="preserve"> </w:t>
      </w:r>
      <w:r w:rsidRPr="00810D77">
        <w:t xml:space="preserve">Valsts uzturlīdzekļu palielināšana ietekmēja tiešos šīs mērķa grupas ienākumus. </w:t>
      </w:r>
      <w:r>
        <w:t xml:space="preserve">Kaut arī šis pasākums attiecas uz tām ģimenēm, kurās augošajiem bērniem ir tiesības uz uzturlīdzekļiem no otra vecāka, ikvienam vecākam būtu jāgūst ienākumi tādā apmērā, lai katram </w:t>
      </w:r>
      <w:r>
        <w:lastRenderedPageBreak/>
        <w:t>savam bērnam varētu nodrošināt vismaz šos minimālos līdzekļus neatkarīgi no jebkāda veida grūtībām</w:t>
      </w:r>
      <w:r w:rsidR="000F0A29">
        <w:t xml:space="preserve"> (saskaņā ar Civillikuma </w:t>
      </w:r>
      <w:r w:rsidR="00EA10DE">
        <w:t xml:space="preserve">pirmās daļas </w:t>
      </w:r>
      <w:r w:rsidR="000F0A29">
        <w:t>179. pantu)</w:t>
      </w:r>
      <w:r>
        <w:t>.</w:t>
      </w:r>
    </w:p>
    <w:p w:rsidR="00903901" w:rsidRDefault="00903901" w:rsidP="00903901"/>
    <w:p w:rsidR="00903901" w:rsidRPr="00B25B39" w:rsidRDefault="00903901" w:rsidP="00903901">
      <w:r w:rsidRPr="00B25B39">
        <w:t>Veiktie aprēķini un modelētās situācijas ir pamats atkār</w:t>
      </w:r>
      <w:r w:rsidR="001A3B11">
        <w:t>t</w:t>
      </w:r>
      <w:r w:rsidRPr="00B25B39">
        <w:t xml:space="preserve">otam secinājumam, ka, pirmkārt, minimālās algas palielināšanas kā rīcībpolitikas pasākuma ar mērķi mazināt ienākumu nevienlīdzību un sociālo nevienlīdzību ietekme ir atšķirīga dažādās sociāli demogrāfiskās grupās un mājsaimniecību tipos, otrkārt, tas palielina personas – ienākumu guvēja – tiešos ienākumus, taču ne visos gadījumos tas paredz arī ienākumu atšķirību mazināšanos sociālās nevienlīdzības izpratnē.  </w:t>
      </w:r>
    </w:p>
    <w:p w:rsidR="00903901" w:rsidRDefault="00903901" w:rsidP="00903901"/>
    <w:p w:rsidR="00903901" w:rsidRPr="004472AB" w:rsidRDefault="00903901" w:rsidP="00903901">
      <w:pPr>
        <w:shd w:val="clear" w:color="auto" w:fill="FFFFFF"/>
      </w:pPr>
      <w:r>
        <w:t xml:space="preserve">2016. gada izmaiņas Elektroenerģijas likumā paredzēja </w:t>
      </w:r>
      <w:r w:rsidRPr="003032AD">
        <w:rPr>
          <w:b/>
        </w:rPr>
        <w:t xml:space="preserve">paplašināt aizsargātā lietotāja statusa grupas </w:t>
      </w:r>
      <w:r>
        <w:t xml:space="preserve">(no 2015. gada šajā grupā tika iekļautas trūcīgas, maznodrošinātas ģimenes un daudzbērnu ģimenes) </w:t>
      </w:r>
      <w:r w:rsidRPr="003032AD">
        <w:rPr>
          <w:b/>
        </w:rPr>
        <w:t xml:space="preserve">ar ģimenēm (personām), kuru apgādībā ir bērns </w:t>
      </w:r>
      <w:r w:rsidR="00917A17">
        <w:rPr>
          <w:b/>
        </w:rPr>
        <w:t>ar invaliditāti</w:t>
      </w:r>
      <w:r>
        <w:t>, nodrošināt tiesības saņemt aizsargātā lietotāja statusu elektroenerģijas tirdzniecības pakalpojuma saņemšanai – iegādāties noteiktu elektroenerģijas daudzumu mājsaimniecībai par samazinātu cenu</w:t>
      </w:r>
      <w:r>
        <w:rPr>
          <w:rStyle w:val="FootnoteReference"/>
        </w:rPr>
        <w:footnoteReference w:id="72"/>
      </w:r>
      <w:r>
        <w:t xml:space="preserve">. </w:t>
      </w:r>
      <w:r w:rsidRPr="004472AB">
        <w:t xml:space="preserve">Līdz ar to konkrētās izmaiņas, samazinot izdevumus par elektroenerģiju, ir pozitīvi ietekmējušas mājsaimniecību, kurās ir bērni ar invaliditāti, netiešos ienākumus. </w:t>
      </w:r>
      <w:r>
        <w:t xml:space="preserve">Šāda veida rīcībpolitika ir vērtējama kā tieši mērķēts atbalsts ģimenēm, kurās ir bērni ar invaliditāti. </w:t>
      </w:r>
    </w:p>
    <w:p w:rsidR="00903901" w:rsidRPr="00DA388E" w:rsidRDefault="00903901" w:rsidP="00903901">
      <w:pPr>
        <w:shd w:val="clear" w:color="auto" w:fill="FFFFFF"/>
      </w:pPr>
    </w:p>
    <w:p w:rsidR="00903901" w:rsidRDefault="00903901" w:rsidP="00903901">
      <w:r w:rsidRPr="00DA388E">
        <w:t>2016.</w:t>
      </w:r>
      <w:r>
        <w:t xml:space="preserve"> </w:t>
      </w:r>
      <w:r w:rsidRPr="00DA388E">
        <w:t xml:space="preserve">gadā </w:t>
      </w:r>
      <w:r w:rsidRPr="00751252">
        <w:rPr>
          <w:b/>
        </w:rPr>
        <w:t>palielinājās Eiropas Atbalsta fonda vistrūcīgākajām personām (EAFVP) atbalsts</w:t>
      </w:r>
      <w:r>
        <w:t>, kas aizsākās jau 2015. gadā</w:t>
      </w:r>
      <w:r w:rsidRPr="00DA388E">
        <w:t>. Cilvēkiem, kas ieguvuši trūcīgā statusu vai nonākuši krīzes situācijā, pārtikas komplektos papildus līdz tam sniegtajiem pārtikas produktiem tika plānots ievietot arī sautētās liellopu gaļas konservus, olu pulveri un kartupeļu biezputras pārslas. Tāpat tika paredzēts jauns komplekta veids gatavās maltītes pagatavošanai, kuru tika plānots nodot partnerorganizācijām, kas nodrošina gatavās maltītes izsniegšanu (t.s. zupas virtuvēs). Jaunā satura komplektus tika plānots izsniegt pēc jaunā pārtikas palīdzības piegādes publiskā iepirkuma noslēgšanās, sākot no 2016. gada 1.</w:t>
      </w:r>
      <w:r>
        <w:t xml:space="preserve"> </w:t>
      </w:r>
      <w:r w:rsidRPr="00DA388E">
        <w:t>jūnija. 2015.</w:t>
      </w:r>
      <w:r>
        <w:t xml:space="preserve"> </w:t>
      </w:r>
      <w:r w:rsidRPr="00DA388E">
        <w:t>gadā neizdalītos mācību piederumu komplektus trūcīgas vai krīzes situācijā esošās ģimenes ar skolas vecuma bērniem no pieciem līdz 16 gadiem varēja saņemt līdz 2015./2016.</w:t>
      </w:r>
      <w:r>
        <w:t xml:space="preserve"> </w:t>
      </w:r>
      <w:r w:rsidRPr="00DA388E">
        <w:t xml:space="preserve">mācību gada beigām, tas ir, līdz 2016. gada 10. jūnijam. 2016. gada un turpmāko gadu mācību piederumu komplektus turpmāk </w:t>
      </w:r>
      <w:r>
        <w:t xml:space="preserve">tika </w:t>
      </w:r>
      <w:r w:rsidRPr="00DA388E">
        <w:t xml:space="preserve">plānots izsniegt vienu reizi konkrētā kalendārā gada laikā. </w:t>
      </w:r>
      <w:r w:rsidRPr="00581548">
        <w:t>Ar EAFVP atbalstu 2016.</w:t>
      </w:r>
      <w:r>
        <w:t xml:space="preserve"> </w:t>
      </w:r>
      <w:r w:rsidRPr="00581548">
        <w:t>gadā 66,4 tūkst. trūcīgu cilvēku saņēm</w:t>
      </w:r>
      <w:r>
        <w:t>a</w:t>
      </w:r>
      <w:r w:rsidRPr="00581548">
        <w:t xml:space="preserve"> pārtikas preču komplektus, 20,4 tūkst. ģimenēm ar bērniem izdalītas higiēnas un saimniecības preces, 12 tūkst. skolēnu trūcīgās ģimenēs saņēmuši mācību piederumu komplektus, savukārt 2,4 tūkst. trūcīgu cilvēku nodrošinātas gatavas maltītes</w:t>
      </w:r>
      <w:r w:rsidRPr="00491EFF">
        <w:rPr>
          <w:vertAlign w:val="superscript"/>
        </w:rPr>
        <w:footnoteReference w:id="73"/>
      </w:r>
      <w:r>
        <w:t xml:space="preserve">. </w:t>
      </w:r>
    </w:p>
    <w:p w:rsidR="00903901" w:rsidRDefault="00903901" w:rsidP="00DE4D97">
      <w:pPr>
        <w:pStyle w:val="virsrakstslvl4"/>
      </w:pPr>
      <w:bookmarkStart w:id="163" w:name="_Toc6841526"/>
      <w:r>
        <w:t>Sociālā drošība</w:t>
      </w:r>
      <w:bookmarkEnd w:id="163"/>
    </w:p>
    <w:p w:rsidR="00903901" w:rsidRDefault="00903901" w:rsidP="00903901">
      <w:r>
        <w:t xml:space="preserve">Lai </w:t>
      </w:r>
      <w:r w:rsidRPr="00491EFF">
        <w:rPr>
          <w:b/>
        </w:rPr>
        <w:t>mazinātu nabadzības risku pensijas vecuma cilvēkiem</w:t>
      </w:r>
      <w:r>
        <w:t>, uz likuma „Par valsts pensijām”</w:t>
      </w:r>
      <w:r w:rsidR="007C7D5F">
        <w:t xml:space="preserve"> pamata </w:t>
      </w:r>
      <w:r>
        <w:t xml:space="preserve">izdotie </w:t>
      </w:r>
      <w:r w:rsidR="007C7D5F">
        <w:t>27.03.2007. MK noteikumi Nr. 205 „</w:t>
      </w:r>
      <w:r w:rsidR="007C7D5F" w:rsidRPr="007C7D5F">
        <w:t>Apdrošināšanas iemaksu algas indeksa aprēķināšanas un vecuma pensijas kapitāla aktualizācijas kārtība</w:t>
      </w:r>
      <w:r w:rsidR="007C7D5F">
        <w:t xml:space="preserve">” </w:t>
      </w:r>
      <w:r>
        <w:t xml:space="preserve">regulē kārtību, kādā tiek aprēķināta valsts pensiju pārskatīšanā </w:t>
      </w:r>
      <w:r w:rsidRPr="001D19B4">
        <w:t>piemērojamo faktiskā patēriņa cenu indeks</w:t>
      </w:r>
      <w:r>
        <w:t>a</w:t>
      </w:r>
      <w:r w:rsidRPr="001D19B4">
        <w:t xml:space="preserve"> un apdrošināšanas </w:t>
      </w:r>
      <w:r w:rsidRPr="001D19B4">
        <w:lastRenderedPageBreak/>
        <w:t>iemaksu algas reālā pieauguma daļ</w:t>
      </w:r>
      <w:r>
        <w:t>a</w:t>
      </w:r>
      <w:r w:rsidRPr="001D19B4">
        <w:t xml:space="preserve"> (</w:t>
      </w:r>
      <w:r>
        <w:t xml:space="preserve">sauktu </w:t>
      </w:r>
      <w:r w:rsidRPr="001D19B4">
        <w:t xml:space="preserve">arī </w:t>
      </w:r>
      <w:r>
        <w:t>par iemaksu algas indeksu</w:t>
      </w:r>
      <w:r w:rsidRPr="001D19B4">
        <w:t>)</w:t>
      </w:r>
      <w:r>
        <w:rPr>
          <w:rStyle w:val="FootnoteReference"/>
        </w:rPr>
        <w:footnoteReference w:id="74"/>
      </w:r>
      <w:r>
        <w:t xml:space="preserve">. Pēdējais rādītājs ir atkarīgs no valsts sociālās apdrošināšanas iemaksu veicēju skaita un apdrošināšanas iemaksu algas. Tādējādi </w:t>
      </w:r>
      <w:r w:rsidRPr="001370A7">
        <w:t>valsts ekonomiskās un finanšu krīzes izraisītais sociālo iemaksu veicēju skaita un algu samazinājums attiecīgajos gados negatīvi</w:t>
      </w:r>
      <w:r w:rsidR="003F409D">
        <w:t xml:space="preserve"> ietekmēja kapitāla indeksu</w:t>
      </w:r>
      <w:r>
        <w:rPr>
          <w:rStyle w:val="FootnoteReference"/>
        </w:rPr>
        <w:footnoteReference w:id="75"/>
      </w:r>
      <w:r w:rsidRPr="001370A7">
        <w:t>.</w:t>
      </w:r>
      <w:r>
        <w:t xml:space="preserve"> Tāpēc, lai mazinātu šo negatīvo ietekmi, </w:t>
      </w:r>
      <w:r w:rsidRPr="00581548">
        <w:t>2015.</w:t>
      </w:r>
      <w:r>
        <w:t xml:space="preserve"> </w:t>
      </w:r>
      <w:r w:rsidRPr="00581548">
        <w:t xml:space="preserve">gadā tika veiktas izmaiņas likumā </w:t>
      </w:r>
      <w:r>
        <w:t>„</w:t>
      </w:r>
      <w:r w:rsidRPr="00581548">
        <w:t>Par valsts pensijām</w:t>
      </w:r>
      <w:r>
        <w:t>”</w:t>
      </w:r>
      <w:r w:rsidRPr="00581548">
        <w:t>. Šie likuma grozījumi</w:t>
      </w:r>
      <w:r w:rsidRPr="00751252">
        <w:rPr>
          <w:vertAlign w:val="superscript"/>
        </w:rPr>
        <w:footnoteReference w:id="76"/>
      </w:r>
      <w:r w:rsidRPr="00581548">
        <w:t xml:space="preserve"> </w:t>
      </w:r>
      <w:r>
        <w:t>noteica</w:t>
      </w:r>
      <w:r w:rsidRPr="00581548">
        <w:t>, ka personām, kurām no 2010.</w:t>
      </w:r>
      <w:r>
        <w:t xml:space="preserve"> </w:t>
      </w:r>
      <w:r w:rsidRPr="00581548">
        <w:t>gada 1.</w:t>
      </w:r>
      <w:r>
        <w:t xml:space="preserve"> </w:t>
      </w:r>
      <w:r w:rsidRPr="00581548">
        <w:t>janvāra līdz 2015.</w:t>
      </w:r>
      <w:r>
        <w:t xml:space="preserve"> </w:t>
      </w:r>
      <w:r w:rsidRPr="00581548">
        <w:t>gada 31.</w:t>
      </w:r>
      <w:r>
        <w:t xml:space="preserve"> </w:t>
      </w:r>
      <w:r w:rsidRPr="00581548">
        <w:t xml:space="preserve">decembrim </w:t>
      </w:r>
      <w:r>
        <w:t xml:space="preserve">tika </w:t>
      </w:r>
      <w:r w:rsidRPr="00581548">
        <w:t>piešķirta vai pārrēķināta vecuma, izdienas vai apgādnieka zaudējuma pensija un kuras aprēķinā ir ņemti vērā negatīvie pensijas kapitāla indeksi, pensijas tik</w:t>
      </w:r>
      <w:r>
        <w:t xml:space="preserve">a pārskatītas, </w:t>
      </w:r>
      <w:r w:rsidRPr="00DA388E">
        <w:t xml:space="preserve">2016. gadā tika </w:t>
      </w:r>
      <w:r w:rsidRPr="00DA388E">
        <w:rPr>
          <w:b/>
          <w:bCs/>
        </w:rPr>
        <w:t>pārrēķinātas pensijas</w:t>
      </w:r>
      <w:r w:rsidRPr="00DA388E">
        <w:t> (vecuma un apgādnieka zaudējuma pensijas, kā arī saskaņā ar Nolikumu „Par izdienas pensijām”</w:t>
      </w:r>
      <w:r w:rsidRPr="00751252">
        <w:rPr>
          <w:vertAlign w:val="superscript"/>
        </w:rPr>
        <w:footnoteReference w:id="77"/>
      </w:r>
      <w:r w:rsidRPr="00DA388E">
        <w:t xml:space="preserve"> piešķirtās izdienas pensijas</w:t>
      </w:r>
      <w:r>
        <w:t>)</w:t>
      </w:r>
      <w:r w:rsidRPr="00DA388E">
        <w:t xml:space="preserve">. </w:t>
      </w:r>
      <w:r>
        <w:t>Kā skaidrots NRP progresa ziņojumā: „</w:t>
      </w:r>
      <w:r w:rsidRPr="00581548">
        <w:t>Līdztekus likuma grozījumi paredz nākotnē novērst gadījumus, kad ekonomikas lejupslīdes ietekmē būtiski samazinās piešķiramo pensiju apmērs. Likumā iestrādāts arī mehānisms, lai novērstu pārāk strauju pensiju kapitāla pieaugumu ekonomiskās izaugsmes gados</w:t>
      </w:r>
      <w:r>
        <w:t>.”</w:t>
      </w:r>
      <w:r w:rsidRPr="00751252">
        <w:rPr>
          <w:vertAlign w:val="superscript"/>
        </w:rPr>
        <w:footnoteReference w:id="78"/>
      </w:r>
      <w:r>
        <w:t xml:space="preserve"> Šie grozījumi stājās spēkā 2016. gada 1. janvārī. </w:t>
      </w:r>
      <w:r w:rsidRPr="00DA388E">
        <w:t xml:space="preserve">Pārrēķinot pensijas, tās palielinājās cilvēkiem, kuri pensijas sāka saņemt ekonomiskās krīzes laikā, piemērojot negatīvu kapitāla indeksu. </w:t>
      </w:r>
      <w:r w:rsidRPr="00342961">
        <w:t>No 2016. gada tika noteikts, ka indekss būs neitrāls (saskaņā ar konkrēto likuma normu</w:t>
      </w:r>
      <w:r w:rsidRPr="00342961">
        <w:rPr>
          <w:rStyle w:val="FootnoteReference"/>
        </w:rPr>
        <w:footnoteReference w:id="79"/>
      </w:r>
      <w:r w:rsidRPr="00342961">
        <w:t xml:space="preserve"> gadījumos, kad pensijas kapitāla aktualizācijai aprēķinātais ikgadējais apdrošināšanas iemaksu algas indekss ir mazāks par skaitli "1", pensijas kapitāla aktualizācijai piemēro indeksu "1", kas pēc būtības ir neitrāls) vai pozitīvs. Pārskatītais pensijas apmērs tika noteikts no 2016. gada 1. janvāra, savukārt par periodu no 1.</w:t>
      </w:r>
      <w:r>
        <w:t xml:space="preserve"> </w:t>
      </w:r>
      <w:r w:rsidRPr="00342961">
        <w:t>janvāra tas tika izmaksāts līdz 2016. gada augustam. Piešķirot pensijas (vecuma un</w:t>
      </w:r>
      <w:r w:rsidRPr="00491EFF">
        <w:t xml:space="preserve"> apgādnieka zaudējuma pensijas, izdienas pensijas) no 2016.</w:t>
      </w:r>
      <w:r>
        <w:t xml:space="preserve"> </w:t>
      </w:r>
      <w:r w:rsidRPr="00491EFF">
        <w:t>gada, pensijas kapitāla aprēķināšanai tiek piemērota izlīdzināto pensijas kapitāla aktualizācijas kārtība</w:t>
      </w:r>
      <w:r w:rsidRPr="00491EFF">
        <w:rPr>
          <w:vertAlign w:val="superscript"/>
        </w:rPr>
        <w:footnoteReference w:id="80"/>
      </w:r>
      <w:r w:rsidRPr="00491EFF">
        <w:t>.</w:t>
      </w:r>
      <w:r>
        <w:t xml:space="preserve"> </w:t>
      </w:r>
    </w:p>
    <w:p w:rsidR="00903901" w:rsidRPr="00342961" w:rsidRDefault="00903901" w:rsidP="00903901"/>
    <w:p w:rsidR="00903901" w:rsidRPr="00342961" w:rsidRDefault="00903901" w:rsidP="00903901">
      <w:r>
        <w:t>Kopumā i</w:t>
      </w:r>
      <w:r w:rsidRPr="00342961">
        <w:t>zmaiņām pensiju aprēķinā ir pozitīva ietekme uz pensionāru tiešajiem ienākumiem, kas lielā daļā gadījumu ir iedzīvotāji ar zemiem ienākumiem (sk. 1.</w:t>
      </w:r>
      <w:r w:rsidR="000A7157">
        <w:t>3</w:t>
      </w:r>
      <w:r w:rsidRPr="00342961">
        <w:t xml:space="preserve">. tabulu). </w:t>
      </w:r>
      <w:r w:rsidRPr="001370A7">
        <w:t xml:space="preserve">Vienlaikus </w:t>
      </w:r>
      <w:r w:rsidR="00B36DA2">
        <w:t>jānorāda</w:t>
      </w:r>
      <w:r w:rsidRPr="001370A7">
        <w:t>, ka šādas rīcībpolitikas ietekme uz pensionāru tiešajiem ienākumiem ir neliela, ņemot vērā datus par vidējās vecuma pensijas pieaugumu</w:t>
      </w:r>
      <w:r>
        <w:t xml:space="preserve"> (tādējādi visdrīzāk noturot šo iedzīvotāju grupu 2. ienākumu kvintiļu grupā)</w:t>
      </w:r>
      <w:r w:rsidR="00CE5642">
        <w:t>. L</w:t>
      </w:r>
      <w:r w:rsidRPr="001370A7">
        <w:t xml:space="preserve">ielāka nozīme, kā atzina atsevišķi Izvērtējumā iesaistītie sociālās jomas eksperti, ir </w:t>
      </w:r>
      <w:r w:rsidR="00CE5642">
        <w:t>šo izmaiņu</w:t>
      </w:r>
      <w:r w:rsidRPr="001370A7">
        <w:t xml:space="preserve"> psiholoģiskajai ietekmei.</w:t>
      </w:r>
      <w:r w:rsidRPr="00342961">
        <w:t xml:space="preserve"> </w:t>
      </w:r>
      <w:r w:rsidR="003C5EF1">
        <w:t>R</w:t>
      </w:r>
      <w:r w:rsidR="00D865C0">
        <w:t xml:space="preserve">augoties uz vecuma pensijas apmēru attiecībā pret nabadzības riska sliekšņa vērtību, kas 2016. gadā </w:t>
      </w:r>
      <w:r w:rsidR="00D865C0" w:rsidRPr="003C5EF1">
        <w:rPr>
          <w:u w:val="single"/>
        </w:rPr>
        <w:t>vienas personas mājsaimniecībai</w:t>
      </w:r>
      <w:r w:rsidR="00D865C0">
        <w:t xml:space="preserve"> tika noteikts 330 EUR </w:t>
      </w:r>
      <w:r w:rsidR="00D865C0">
        <w:lastRenderedPageBreak/>
        <w:t xml:space="preserve">apmērā, 2016. gadā 353 775 no 460 726 vecuma pensijas saņēmējiem jeb 76,7% vecuma pensijas apmērs bija līdz 330 EUR (atbilstoši VSAA datiem par vecuma pensijas saņēmēju skaitu un vecuma pensijas apmēru 2016. gada decembrī). </w:t>
      </w:r>
      <w:r w:rsidR="003C5EF1">
        <w:t xml:space="preserve">Jāņem vērā, ka šāds salīdzinājums ir drīzāk indikatīvs un nav pilnībā korekts, jo ne visi zemo vecuma pensiju saņēmēji dzīvo vieni paši, proti, atbilst vienas personas mājsaimniecības statusam. </w:t>
      </w:r>
    </w:p>
    <w:p w:rsidR="00903901" w:rsidRPr="00044A54" w:rsidRDefault="00965160" w:rsidP="00965160">
      <w:pPr>
        <w:pStyle w:val="Caption"/>
        <w:spacing w:before="120"/>
      </w:pPr>
      <w:r>
        <w:t>1.</w:t>
      </w:r>
      <w:r w:rsidR="000A7157">
        <w:t>3</w:t>
      </w:r>
      <w:r>
        <w:t xml:space="preserve">. </w:t>
      </w:r>
      <w:r w:rsidR="00903901" w:rsidRPr="00044A54">
        <w:t xml:space="preserve">tabula. </w:t>
      </w:r>
      <w:r w:rsidR="00903901">
        <w:t xml:space="preserve">Vecuma pensiju </w:t>
      </w:r>
      <w:r w:rsidR="00903901" w:rsidRPr="00044A54">
        <w:t>sadalījums pēc piešķirtā apmēra (ar piemaksu) </w:t>
      </w:r>
      <w:r w:rsidR="00903901">
        <w:t xml:space="preserve">periodā no 2014.gada līdz 2016.gadam </w:t>
      </w:r>
    </w:p>
    <w:tbl>
      <w:tblPr>
        <w:tblStyle w:val="TableGrid"/>
        <w:tblW w:w="9889" w:type="dxa"/>
        <w:tblLayout w:type="fixed"/>
        <w:tblLook w:val="04A0"/>
      </w:tblPr>
      <w:tblGrid>
        <w:gridCol w:w="817"/>
        <w:gridCol w:w="992"/>
        <w:gridCol w:w="993"/>
        <w:gridCol w:w="992"/>
        <w:gridCol w:w="1134"/>
        <w:gridCol w:w="1134"/>
        <w:gridCol w:w="992"/>
        <w:gridCol w:w="1418"/>
        <w:gridCol w:w="1417"/>
      </w:tblGrid>
      <w:tr w:rsidR="00903901" w:rsidRPr="00BC22F8" w:rsidTr="00BC22F8">
        <w:tc>
          <w:tcPr>
            <w:tcW w:w="817" w:type="dxa"/>
            <w:shd w:val="clear" w:color="auto" w:fill="B8CCE4" w:themeFill="accent1" w:themeFillTint="66"/>
            <w:vAlign w:val="center"/>
          </w:tcPr>
          <w:p w:rsidR="00903901" w:rsidRPr="00BC22F8" w:rsidRDefault="00903901" w:rsidP="00965160">
            <w:pPr>
              <w:rPr>
                <w:b/>
                <w:color w:val="002060"/>
                <w:sz w:val="22"/>
                <w:szCs w:val="22"/>
              </w:rPr>
            </w:pPr>
            <w:r w:rsidRPr="00BC22F8">
              <w:rPr>
                <w:b/>
                <w:color w:val="002060"/>
                <w:sz w:val="22"/>
                <w:szCs w:val="22"/>
              </w:rPr>
              <w:t>Gads</w:t>
            </w:r>
          </w:p>
        </w:tc>
        <w:tc>
          <w:tcPr>
            <w:tcW w:w="992" w:type="dxa"/>
            <w:shd w:val="clear" w:color="auto" w:fill="B8CCE4" w:themeFill="accent1" w:themeFillTint="66"/>
            <w:vAlign w:val="center"/>
          </w:tcPr>
          <w:p w:rsidR="00903901" w:rsidRPr="00BC22F8" w:rsidRDefault="00903901" w:rsidP="00965160">
            <w:pPr>
              <w:rPr>
                <w:b/>
                <w:color w:val="002060"/>
                <w:sz w:val="22"/>
                <w:szCs w:val="22"/>
              </w:rPr>
            </w:pPr>
            <w:r w:rsidRPr="00BC22F8">
              <w:rPr>
                <w:b/>
                <w:color w:val="002060"/>
                <w:sz w:val="22"/>
                <w:szCs w:val="22"/>
              </w:rPr>
              <w:t>Vidējā vecuma pensija mēnesī EUR</w:t>
            </w:r>
          </w:p>
        </w:tc>
        <w:tc>
          <w:tcPr>
            <w:tcW w:w="993" w:type="dxa"/>
            <w:shd w:val="clear" w:color="auto" w:fill="B8CCE4" w:themeFill="accent1" w:themeFillTint="66"/>
            <w:vAlign w:val="center"/>
          </w:tcPr>
          <w:p w:rsidR="00903901" w:rsidRPr="00BC22F8" w:rsidRDefault="00903901" w:rsidP="00965160">
            <w:pPr>
              <w:jc w:val="center"/>
              <w:rPr>
                <w:b/>
                <w:color w:val="002060"/>
                <w:sz w:val="22"/>
                <w:szCs w:val="22"/>
              </w:rPr>
            </w:pPr>
            <w:r w:rsidRPr="00BC22F8">
              <w:rPr>
                <w:b/>
                <w:color w:val="002060"/>
                <w:sz w:val="22"/>
                <w:szCs w:val="22"/>
              </w:rPr>
              <w:t>≤  200 EUR</w:t>
            </w:r>
          </w:p>
          <w:p w:rsidR="00903901" w:rsidRPr="00BC22F8" w:rsidRDefault="00903901" w:rsidP="00965160">
            <w:pPr>
              <w:jc w:val="center"/>
              <w:rPr>
                <w:b/>
                <w:color w:val="002060"/>
                <w:sz w:val="22"/>
                <w:szCs w:val="22"/>
              </w:rPr>
            </w:pPr>
          </w:p>
        </w:tc>
        <w:tc>
          <w:tcPr>
            <w:tcW w:w="992" w:type="dxa"/>
            <w:shd w:val="clear" w:color="auto" w:fill="B8CCE4" w:themeFill="accent1" w:themeFillTint="66"/>
            <w:vAlign w:val="center"/>
          </w:tcPr>
          <w:p w:rsidR="00903901" w:rsidRPr="00BC22F8" w:rsidRDefault="00903901" w:rsidP="00965160">
            <w:pPr>
              <w:jc w:val="center"/>
              <w:rPr>
                <w:b/>
                <w:color w:val="002060"/>
                <w:sz w:val="22"/>
                <w:szCs w:val="22"/>
              </w:rPr>
            </w:pPr>
            <w:r w:rsidRPr="00BC22F8">
              <w:rPr>
                <w:b/>
                <w:color w:val="002060"/>
                <w:sz w:val="22"/>
                <w:szCs w:val="22"/>
              </w:rPr>
              <w:t>200,01 – 300,00 EUR</w:t>
            </w:r>
          </w:p>
        </w:tc>
        <w:tc>
          <w:tcPr>
            <w:tcW w:w="1134" w:type="dxa"/>
            <w:shd w:val="clear" w:color="auto" w:fill="B8CCE4" w:themeFill="accent1" w:themeFillTint="66"/>
            <w:vAlign w:val="center"/>
          </w:tcPr>
          <w:p w:rsidR="00903901" w:rsidRPr="00BC22F8" w:rsidRDefault="00903901" w:rsidP="00965160">
            <w:pPr>
              <w:jc w:val="center"/>
              <w:rPr>
                <w:b/>
                <w:color w:val="002060"/>
                <w:sz w:val="22"/>
                <w:szCs w:val="22"/>
              </w:rPr>
            </w:pPr>
            <w:r w:rsidRPr="00BC22F8">
              <w:rPr>
                <w:b/>
                <w:color w:val="002060"/>
                <w:sz w:val="22"/>
                <w:szCs w:val="22"/>
              </w:rPr>
              <w:t>300,01 – 400,00 EUR</w:t>
            </w:r>
          </w:p>
        </w:tc>
        <w:tc>
          <w:tcPr>
            <w:tcW w:w="1134" w:type="dxa"/>
            <w:shd w:val="clear" w:color="auto" w:fill="B8CCE4" w:themeFill="accent1" w:themeFillTint="66"/>
            <w:vAlign w:val="center"/>
          </w:tcPr>
          <w:p w:rsidR="00903901" w:rsidRPr="00BC22F8" w:rsidRDefault="00903901" w:rsidP="00965160">
            <w:pPr>
              <w:jc w:val="center"/>
              <w:rPr>
                <w:b/>
                <w:color w:val="002060"/>
                <w:sz w:val="22"/>
                <w:szCs w:val="22"/>
              </w:rPr>
            </w:pPr>
            <w:r w:rsidRPr="00BC22F8">
              <w:rPr>
                <w:b/>
                <w:color w:val="002060"/>
                <w:sz w:val="22"/>
                <w:szCs w:val="22"/>
              </w:rPr>
              <w:t>400,01 – 500,00 EUR</w:t>
            </w:r>
          </w:p>
        </w:tc>
        <w:tc>
          <w:tcPr>
            <w:tcW w:w="992" w:type="dxa"/>
            <w:shd w:val="clear" w:color="auto" w:fill="B8CCE4" w:themeFill="accent1" w:themeFillTint="66"/>
            <w:vAlign w:val="center"/>
          </w:tcPr>
          <w:p w:rsidR="00903901" w:rsidRPr="00BC22F8" w:rsidRDefault="00903901" w:rsidP="00965160">
            <w:pPr>
              <w:jc w:val="center"/>
              <w:rPr>
                <w:b/>
                <w:color w:val="002060"/>
                <w:sz w:val="22"/>
                <w:szCs w:val="22"/>
              </w:rPr>
            </w:pPr>
            <w:r w:rsidRPr="00BC22F8">
              <w:rPr>
                <w:b/>
                <w:color w:val="002060"/>
                <w:sz w:val="22"/>
                <w:szCs w:val="22"/>
              </w:rPr>
              <w:t>≥  500 EUR</w:t>
            </w:r>
          </w:p>
        </w:tc>
        <w:tc>
          <w:tcPr>
            <w:tcW w:w="1418" w:type="dxa"/>
            <w:shd w:val="clear" w:color="auto" w:fill="B8CCE4" w:themeFill="accent1" w:themeFillTint="66"/>
            <w:vAlign w:val="center"/>
          </w:tcPr>
          <w:p w:rsidR="00903901" w:rsidRPr="00BC22F8" w:rsidRDefault="00903901" w:rsidP="00965160">
            <w:pPr>
              <w:jc w:val="left"/>
              <w:rPr>
                <w:b/>
                <w:color w:val="002060"/>
                <w:sz w:val="22"/>
                <w:szCs w:val="22"/>
              </w:rPr>
            </w:pPr>
            <w:r w:rsidRPr="00BC22F8">
              <w:rPr>
                <w:b/>
                <w:color w:val="002060"/>
                <w:sz w:val="22"/>
                <w:szCs w:val="22"/>
              </w:rPr>
              <w:t>≤ minimālā alga EUR</w:t>
            </w:r>
          </w:p>
        </w:tc>
        <w:tc>
          <w:tcPr>
            <w:tcW w:w="1417" w:type="dxa"/>
            <w:shd w:val="clear" w:color="auto" w:fill="B8CCE4" w:themeFill="accent1" w:themeFillTint="66"/>
            <w:vAlign w:val="center"/>
          </w:tcPr>
          <w:p w:rsidR="00903901" w:rsidRPr="00BC22F8" w:rsidRDefault="00903901" w:rsidP="00965160">
            <w:pPr>
              <w:jc w:val="left"/>
              <w:rPr>
                <w:b/>
                <w:color w:val="002060"/>
                <w:sz w:val="22"/>
                <w:szCs w:val="22"/>
              </w:rPr>
            </w:pPr>
            <w:r w:rsidRPr="00BC22F8">
              <w:rPr>
                <w:b/>
                <w:color w:val="002060"/>
                <w:sz w:val="22"/>
                <w:szCs w:val="22"/>
              </w:rPr>
              <w:t>≥ minimālā alga EUR</w:t>
            </w:r>
          </w:p>
        </w:tc>
      </w:tr>
      <w:tr w:rsidR="00903901" w:rsidRPr="00342961" w:rsidTr="00965160">
        <w:tc>
          <w:tcPr>
            <w:tcW w:w="817" w:type="dxa"/>
          </w:tcPr>
          <w:p w:rsidR="00903901" w:rsidRPr="00342961" w:rsidRDefault="00903901" w:rsidP="00965160">
            <w:pPr>
              <w:rPr>
                <w:b/>
                <w:sz w:val="22"/>
                <w:szCs w:val="22"/>
              </w:rPr>
            </w:pPr>
            <w:r w:rsidRPr="00342961">
              <w:rPr>
                <w:b/>
                <w:sz w:val="22"/>
                <w:szCs w:val="22"/>
              </w:rPr>
              <w:t>2014</w:t>
            </w:r>
          </w:p>
        </w:tc>
        <w:tc>
          <w:tcPr>
            <w:tcW w:w="992" w:type="dxa"/>
          </w:tcPr>
          <w:p w:rsidR="00903901" w:rsidRPr="00342961" w:rsidRDefault="00903901" w:rsidP="00965160">
            <w:pPr>
              <w:rPr>
                <w:sz w:val="22"/>
                <w:szCs w:val="22"/>
              </w:rPr>
            </w:pPr>
            <w:r w:rsidRPr="00342961">
              <w:rPr>
                <w:sz w:val="22"/>
                <w:szCs w:val="22"/>
              </w:rPr>
              <w:t>286,07</w:t>
            </w:r>
          </w:p>
        </w:tc>
        <w:tc>
          <w:tcPr>
            <w:tcW w:w="993" w:type="dxa"/>
          </w:tcPr>
          <w:p w:rsidR="00903901" w:rsidRPr="00342961" w:rsidRDefault="00903901" w:rsidP="00965160">
            <w:pPr>
              <w:jc w:val="center"/>
              <w:rPr>
                <w:sz w:val="22"/>
                <w:szCs w:val="22"/>
              </w:rPr>
            </w:pPr>
            <w:r w:rsidRPr="00342961">
              <w:rPr>
                <w:sz w:val="22"/>
                <w:szCs w:val="22"/>
              </w:rPr>
              <w:t>11,8%</w:t>
            </w:r>
          </w:p>
        </w:tc>
        <w:tc>
          <w:tcPr>
            <w:tcW w:w="992" w:type="dxa"/>
          </w:tcPr>
          <w:p w:rsidR="00903901" w:rsidRPr="00342961" w:rsidRDefault="00903901" w:rsidP="00965160">
            <w:pPr>
              <w:jc w:val="center"/>
              <w:rPr>
                <w:sz w:val="22"/>
                <w:szCs w:val="22"/>
              </w:rPr>
            </w:pPr>
            <w:r w:rsidRPr="00342961">
              <w:rPr>
                <w:sz w:val="22"/>
                <w:szCs w:val="22"/>
              </w:rPr>
              <w:t>61,4%</w:t>
            </w:r>
          </w:p>
        </w:tc>
        <w:tc>
          <w:tcPr>
            <w:tcW w:w="1134" w:type="dxa"/>
          </w:tcPr>
          <w:p w:rsidR="00903901" w:rsidRPr="00342961" w:rsidRDefault="00903901" w:rsidP="00965160">
            <w:pPr>
              <w:jc w:val="center"/>
              <w:rPr>
                <w:sz w:val="22"/>
                <w:szCs w:val="22"/>
              </w:rPr>
            </w:pPr>
            <w:r w:rsidRPr="00342961">
              <w:rPr>
                <w:sz w:val="22"/>
                <w:szCs w:val="22"/>
              </w:rPr>
              <w:t>21,6%</w:t>
            </w:r>
          </w:p>
        </w:tc>
        <w:tc>
          <w:tcPr>
            <w:tcW w:w="1134" w:type="dxa"/>
          </w:tcPr>
          <w:p w:rsidR="00903901" w:rsidRPr="00342961" w:rsidRDefault="00903901" w:rsidP="00965160">
            <w:pPr>
              <w:jc w:val="center"/>
              <w:rPr>
                <w:sz w:val="22"/>
                <w:szCs w:val="22"/>
              </w:rPr>
            </w:pPr>
            <w:r w:rsidRPr="00342961">
              <w:rPr>
                <w:sz w:val="22"/>
                <w:szCs w:val="22"/>
              </w:rPr>
              <w:t>4,5%</w:t>
            </w:r>
          </w:p>
        </w:tc>
        <w:tc>
          <w:tcPr>
            <w:tcW w:w="992" w:type="dxa"/>
          </w:tcPr>
          <w:p w:rsidR="00903901" w:rsidRPr="00342961" w:rsidRDefault="00903901" w:rsidP="00965160">
            <w:pPr>
              <w:jc w:val="center"/>
              <w:rPr>
                <w:sz w:val="22"/>
                <w:szCs w:val="22"/>
              </w:rPr>
            </w:pPr>
            <w:r w:rsidRPr="00342961">
              <w:rPr>
                <w:sz w:val="22"/>
                <w:szCs w:val="22"/>
              </w:rPr>
              <w:t>5,1%</w:t>
            </w:r>
          </w:p>
        </w:tc>
        <w:tc>
          <w:tcPr>
            <w:tcW w:w="1418" w:type="dxa"/>
          </w:tcPr>
          <w:p w:rsidR="00903901" w:rsidRPr="00342961" w:rsidRDefault="00903901" w:rsidP="00965160">
            <w:pPr>
              <w:jc w:val="center"/>
              <w:rPr>
                <w:sz w:val="22"/>
                <w:szCs w:val="22"/>
              </w:rPr>
            </w:pPr>
            <w:r w:rsidRPr="00342961">
              <w:rPr>
                <w:sz w:val="22"/>
                <w:szCs w:val="22"/>
              </w:rPr>
              <w:t>79,3%</w:t>
            </w:r>
          </w:p>
        </w:tc>
        <w:tc>
          <w:tcPr>
            <w:tcW w:w="1417" w:type="dxa"/>
          </w:tcPr>
          <w:p w:rsidR="00903901" w:rsidRPr="00342961" w:rsidRDefault="00903901" w:rsidP="00965160">
            <w:pPr>
              <w:jc w:val="center"/>
              <w:rPr>
                <w:sz w:val="22"/>
                <w:szCs w:val="22"/>
              </w:rPr>
            </w:pPr>
            <w:r w:rsidRPr="00342961">
              <w:rPr>
                <w:sz w:val="22"/>
                <w:szCs w:val="22"/>
              </w:rPr>
              <w:t>20,7%</w:t>
            </w:r>
          </w:p>
        </w:tc>
      </w:tr>
      <w:tr w:rsidR="00903901" w:rsidRPr="00342961" w:rsidTr="00965160">
        <w:tc>
          <w:tcPr>
            <w:tcW w:w="817" w:type="dxa"/>
          </w:tcPr>
          <w:p w:rsidR="00903901" w:rsidRPr="00342961" w:rsidRDefault="00903901" w:rsidP="00965160">
            <w:pPr>
              <w:rPr>
                <w:b/>
                <w:sz w:val="22"/>
                <w:szCs w:val="22"/>
              </w:rPr>
            </w:pPr>
            <w:r w:rsidRPr="00342961">
              <w:rPr>
                <w:b/>
                <w:sz w:val="22"/>
                <w:szCs w:val="22"/>
              </w:rPr>
              <w:t>2015</w:t>
            </w:r>
          </w:p>
        </w:tc>
        <w:tc>
          <w:tcPr>
            <w:tcW w:w="992" w:type="dxa"/>
          </w:tcPr>
          <w:p w:rsidR="00903901" w:rsidRPr="00342961" w:rsidRDefault="00903901" w:rsidP="00965160">
            <w:pPr>
              <w:rPr>
                <w:sz w:val="22"/>
                <w:szCs w:val="22"/>
              </w:rPr>
            </w:pPr>
            <w:r w:rsidRPr="00342961">
              <w:rPr>
                <w:sz w:val="22"/>
                <w:szCs w:val="22"/>
              </w:rPr>
              <w:t>292,76</w:t>
            </w:r>
          </w:p>
        </w:tc>
        <w:tc>
          <w:tcPr>
            <w:tcW w:w="993" w:type="dxa"/>
          </w:tcPr>
          <w:p w:rsidR="00903901" w:rsidRPr="00342961" w:rsidRDefault="00903901" w:rsidP="00965160">
            <w:pPr>
              <w:jc w:val="center"/>
              <w:rPr>
                <w:sz w:val="22"/>
                <w:szCs w:val="22"/>
              </w:rPr>
            </w:pPr>
            <w:r w:rsidRPr="00342961">
              <w:rPr>
                <w:sz w:val="22"/>
                <w:szCs w:val="22"/>
              </w:rPr>
              <w:t>12</w:t>
            </w:r>
            <w:r>
              <w:rPr>
                <w:sz w:val="22"/>
                <w:szCs w:val="22"/>
              </w:rPr>
              <w:t>,0</w:t>
            </w:r>
            <w:r w:rsidRPr="00342961">
              <w:rPr>
                <w:sz w:val="22"/>
                <w:szCs w:val="22"/>
              </w:rPr>
              <w:t>%</w:t>
            </w:r>
          </w:p>
        </w:tc>
        <w:tc>
          <w:tcPr>
            <w:tcW w:w="992" w:type="dxa"/>
          </w:tcPr>
          <w:p w:rsidR="00903901" w:rsidRPr="00342961" w:rsidRDefault="00903901" w:rsidP="00965160">
            <w:pPr>
              <w:jc w:val="center"/>
              <w:rPr>
                <w:sz w:val="22"/>
                <w:szCs w:val="22"/>
              </w:rPr>
            </w:pPr>
            <w:r w:rsidRPr="00342961">
              <w:rPr>
                <w:sz w:val="22"/>
                <w:szCs w:val="22"/>
              </w:rPr>
              <w:t>58,5%</w:t>
            </w:r>
          </w:p>
        </w:tc>
        <w:tc>
          <w:tcPr>
            <w:tcW w:w="1134" w:type="dxa"/>
          </w:tcPr>
          <w:p w:rsidR="00903901" w:rsidRPr="00342961" w:rsidRDefault="00903901" w:rsidP="00965160">
            <w:pPr>
              <w:jc w:val="center"/>
              <w:rPr>
                <w:sz w:val="22"/>
                <w:szCs w:val="22"/>
              </w:rPr>
            </w:pPr>
            <w:r w:rsidRPr="00342961">
              <w:rPr>
                <w:sz w:val="22"/>
                <w:szCs w:val="22"/>
              </w:rPr>
              <w:t>18,6%</w:t>
            </w:r>
          </w:p>
        </w:tc>
        <w:tc>
          <w:tcPr>
            <w:tcW w:w="1134" w:type="dxa"/>
          </w:tcPr>
          <w:p w:rsidR="00903901" w:rsidRPr="00342961" w:rsidRDefault="00903901" w:rsidP="00965160">
            <w:pPr>
              <w:jc w:val="center"/>
              <w:rPr>
                <w:sz w:val="22"/>
                <w:szCs w:val="22"/>
              </w:rPr>
            </w:pPr>
            <w:r w:rsidRPr="00342961">
              <w:rPr>
                <w:sz w:val="22"/>
                <w:szCs w:val="22"/>
              </w:rPr>
              <w:t>5,1%</w:t>
            </w:r>
          </w:p>
        </w:tc>
        <w:tc>
          <w:tcPr>
            <w:tcW w:w="992" w:type="dxa"/>
          </w:tcPr>
          <w:p w:rsidR="00903901" w:rsidRPr="00342961" w:rsidRDefault="00903901" w:rsidP="00965160">
            <w:pPr>
              <w:jc w:val="center"/>
              <w:rPr>
                <w:sz w:val="22"/>
                <w:szCs w:val="22"/>
              </w:rPr>
            </w:pPr>
            <w:r w:rsidRPr="00342961">
              <w:rPr>
                <w:sz w:val="22"/>
                <w:szCs w:val="22"/>
              </w:rPr>
              <w:t>5,8%</w:t>
            </w:r>
          </w:p>
        </w:tc>
        <w:tc>
          <w:tcPr>
            <w:tcW w:w="1418" w:type="dxa"/>
          </w:tcPr>
          <w:p w:rsidR="00903901" w:rsidRPr="00342961" w:rsidRDefault="00903901" w:rsidP="00965160">
            <w:pPr>
              <w:jc w:val="center"/>
              <w:rPr>
                <w:sz w:val="22"/>
                <w:szCs w:val="22"/>
              </w:rPr>
            </w:pPr>
            <w:r w:rsidRPr="00342961">
              <w:rPr>
                <w:sz w:val="22"/>
                <w:szCs w:val="22"/>
              </w:rPr>
              <w:t>84,9%</w:t>
            </w:r>
          </w:p>
        </w:tc>
        <w:tc>
          <w:tcPr>
            <w:tcW w:w="1417" w:type="dxa"/>
          </w:tcPr>
          <w:p w:rsidR="00903901" w:rsidRPr="00342961" w:rsidRDefault="00903901" w:rsidP="00965160">
            <w:pPr>
              <w:jc w:val="center"/>
              <w:rPr>
                <w:sz w:val="22"/>
                <w:szCs w:val="22"/>
              </w:rPr>
            </w:pPr>
            <w:r w:rsidRPr="00342961">
              <w:rPr>
                <w:sz w:val="22"/>
                <w:szCs w:val="22"/>
              </w:rPr>
              <w:t>15,1%</w:t>
            </w:r>
          </w:p>
        </w:tc>
      </w:tr>
      <w:tr w:rsidR="00903901" w:rsidRPr="00342961" w:rsidTr="00965160">
        <w:tc>
          <w:tcPr>
            <w:tcW w:w="817" w:type="dxa"/>
          </w:tcPr>
          <w:p w:rsidR="00903901" w:rsidRPr="00342961" w:rsidRDefault="00903901" w:rsidP="00965160">
            <w:pPr>
              <w:rPr>
                <w:b/>
                <w:sz w:val="22"/>
                <w:szCs w:val="22"/>
              </w:rPr>
            </w:pPr>
            <w:r w:rsidRPr="00342961">
              <w:rPr>
                <w:b/>
                <w:sz w:val="22"/>
                <w:szCs w:val="22"/>
              </w:rPr>
              <w:t>2016</w:t>
            </w:r>
          </w:p>
        </w:tc>
        <w:tc>
          <w:tcPr>
            <w:tcW w:w="992" w:type="dxa"/>
          </w:tcPr>
          <w:p w:rsidR="00903901" w:rsidRPr="00342961" w:rsidRDefault="00903901" w:rsidP="00965160">
            <w:pPr>
              <w:rPr>
                <w:sz w:val="22"/>
                <w:szCs w:val="22"/>
              </w:rPr>
            </w:pPr>
            <w:r w:rsidRPr="00342961">
              <w:rPr>
                <w:sz w:val="22"/>
                <w:szCs w:val="22"/>
              </w:rPr>
              <w:t>301,34</w:t>
            </w:r>
          </w:p>
        </w:tc>
        <w:tc>
          <w:tcPr>
            <w:tcW w:w="993" w:type="dxa"/>
          </w:tcPr>
          <w:p w:rsidR="00903901" w:rsidRPr="00342961" w:rsidRDefault="00903901" w:rsidP="00965160">
            <w:pPr>
              <w:jc w:val="center"/>
              <w:rPr>
                <w:sz w:val="22"/>
                <w:szCs w:val="22"/>
              </w:rPr>
            </w:pPr>
            <w:r w:rsidRPr="00342961">
              <w:rPr>
                <w:sz w:val="22"/>
                <w:szCs w:val="22"/>
              </w:rPr>
              <w:t>12,1%</w:t>
            </w:r>
          </w:p>
        </w:tc>
        <w:tc>
          <w:tcPr>
            <w:tcW w:w="992" w:type="dxa"/>
          </w:tcPr>
          <w:p w:rsidR="00903901" w:rsidRPr="00342961" w:rsidRDefault="00903901" w:rsidP="00965160">
            <w:pPr>
              <w:jc w:val="center"/>
              <w:rPr>
                <w:sz w:val="22"/>
                <w:szCs w:val="22"/>
              </w:rPr>
            </w:pPr>
            <w:r w:rsidRPr="00342961">
              <w:rPr>
                <w:sz w:val="22"/>
                <w:szCs w:val="22"/>
              </w:rPr>
              <w:t>54,8%</w:t>
            </w:r>
          </w:p>
        </w:tc>
        <w:tc>
          <w:tcPr>
            <w:tcW w:w="1134" w:type="dxa"/>
          </w:tcPr>
          <w:p w:rsidR="00903901" w:rsidRPr="00342961" w:rsidRDefault="00903901" w:rsidP="00965160">
            <w:pPr>
              <w:jc w:val="center"/>
              <w:rPr>
                <w:sz w:val="22"/>
                <w:szCs w:val="22"/>
              </w:rPr>
            </w:pPr>
            <w:r w:rsidRPr="00342961">
              <w:rPr>
                <w:sz w:val="22"/>
                <w:szCs w:val="22"/>
              </w:rPr>
              <w:t>20,5%</w:t>
            </w:r>
          </w:p>
        </w:tc>
        <w:tc>
          <w:tcPr>
            <w:tcW w:w="1134" w:type="dxa"/>
          </w:tcPr>
          <w:p w:rsidR="00903901" w:rsidRPr="00342961" w:rsidRDefault="00903901" w:rsidP="00965160">
            <w:pPr>
              <w:jc w:val="center"/>
              <w:rPr>
                <w:sz w:val="22"/>
                <w:szCs w:val="22"/>
              </w:rPr>
            </w:pPr>
            <w:r w:rsidRPr="00342961">
              <w:rPr>
                <w:sz w:val="22"/>
                <w:szCs w:val="22"/>
              </w:rPr>
              <w:t>5,9%</w:t>
            </w:r>
          </w:p>
        </w:tc>
        <w:tc>
          <w:tcPr>
            <w:tcW w:w="992" w:type="dxa"/>
          </w:tcPr>
          <w:p w:rsidR="00903901" w:rsidRPr="00342961" w:rsidRDefault="00903901" w:rsidP="00965160">
            <w:pPr>
              <w:jc w:val="center"/>
              <w:rPr>
                <w:sz w:val="22"/>
                <w:szCs w:val="22"/>
              </w:rPr>
            </w:pPr>
            <w:r w:rsidRPr="00342961">
              <w:rPr>
                <w:sz w:val="22"/>
                <w:szCs w:val="22"/>
              </w:rPr>
              <w:t>6,7%</w:t>
            </w:r>
          </w:p>
        </w:tc>
        <w:tc>
          <w:tcPr>
            <w:tcW w:w="1418" w:type="dxa"/>
          </w:tcPr>
          <w:p w:rsidR="00903901" w:rsidRPr="00342961" w:rsidRDefault="00903901" w:rsidP="00965160">
            <w:pPr>
              <w:jc w:val="center"/>
              <w:rPr>
                <w:sz w:val="22"/>
                <w:szCs w:val="22"/>
              </w:rPr>
            </w:pPr>
            <w:r w:rsidRPr="00342961">
              <w:rPr>
                <w:sz w:val="22"/>
                <w:szCs w:val="22"/>
              </w:rPr>
              <w:t>84,1%</w:t>
            </w:r>
          </w:p>
        </w:tc>
        <w:tc>
          <w:tcPr>
            <w:tcW w:w="1417" w:type="dxa"/>
          </w:tcPr>
          <w:p w:rsidR="00903901" w:rsidRPr="00342961" w:rsidRDefault="00903901" w:rsidP="00965160">
            <w:pPr>
              <w:jc w:val="center"/>
              <w:rPr>
                <w:sz w:val="22"/>
                <w:szCs w:val="22"/>
              </w:rPr>
            </w:pPr>
            <w:r w:rsidRPr="00342961">
              <w:rPr>
                <w:sz w:val="22"/>
                <w:szCs w:val="22"/>
              </w:rPr>
              <w:t>15,9%</w:t>
            </w:r>
          </w:p>
        </w:tc>
      </w:tr>
    </w:tbl>
    <w:p w:rsidR="00903901" w:rsidRPr="00154D99" w:rsidRDefault="00903901" w:rsidP="00903901">
      <w:pPr>
        <w:rPr>
          <w:sz w:val="20"/>
          <w:szCs w:val="20"/>
        </w:rPr>
      </w:pPr>
      <w:r w:rsidRPr="00154D99">
        <w:rPr>
          <w:sz w:val="20"/>
          <w:szCs w:val="20"/>
        </w:rPr>
        <w:t xml:space="preserve">Avots: VSAA oficiālā statistika. </w:t>
      </w:r>
    </w:p>
    <w:p w:rsidR="00903901" w:rsidRDefault="00903901" w:rsidP="00903901"/>
    <w:p w:rsidR="00903901" w:rsidRPr="00EE5422" w:rsidRDefault="00903901" w:rsidP="00903901">
      <w:r w:rsidRPr="00EE5422">
        <w:t>Izvērtējumā intervēto ekspertu viedokli apstiprina arī ekonomistu A. P</w:t>
      </w:r>
      <w:r w:rsidR="00E8603F">
        <w:t>ļ</w:t>
      </w:r>
      <w:r w:rsidRPr="00EE5422">
        <w:t>utas un A. Zasovas veiktie aprēķini</w:t>
      </w:r>
      <w:r>
        <w:t xml:space="preserve"> par sagaidāmo ietekmi uz ienākumu pārdali nākamajām pensijas aprēķināšanas reformām</w:t>
      </w:r>
      <w:r w:rsidRPr="00EE5422">
        <w:t>, izmantojot mikrosimulācijas modeļa EUROMOD un EU-SILC-2015 gada datus.</w:t>
      </w:r>
      <w:r>
        <w:t xml:space="preserve"> Šajos aprēķinos ir ņemta vērā 2015. – 2016. gadā spēkā esošā pensiju indeksācijas kārtība, gan kārtība, kas stājās spēkā 2018. gada 1. janvārī, proti, iedzīvotājiem ar ilgāku sociālās apdrošināšanas ilgumu (stāžu) indeksa aprēķināšanā piemēro augstākus reālā pieauguma procentus. Autoru veiktie aprēķini rāda, ka maksimālais iespējamais mēneša bruto pensijas pieaugums, salīdzinot ar situāciju, ja šī reforma netiktu īstenota, ir 2,54 EUR 2018. gadā un 2,29 EUR – 2019. gadā, kas rezultātā varētu samazināt Džini koeficientu par 0,05 procentpunktiem</w:t>
      </w:r>
      <w:r>
        <w:rPr>
          <w:rStyle w:val="FootnoteReference"/>
        </w:rPr>
        <w:footnoteReference w:id="81"/>
      </w:r>
      <w:r>
        <w:t xml:space="preserve">. Lai gan sagaidāmais efekts ir uzskatāms par relatīvi mazu, </w:t>
      </w:r>
      <w:r w:rsidR="00113982">
        <w:t>reformas</w:t>
      </w:r>
      <w:r>
        <w:t xml:space="preserve"> turpmākā īstenošana ir atbalstāma kā viens no soļiem, kas ļauj atbalstīt </w:t>
      </w:r>
      <w:r w:rsidR="007C0591">
        <w:t>vecuma pensijas saņēmējus</w:t>
      </w:r>
      <w:r>
        <w:t>.</w:t>
      </w:r>
    </w:p>
    <w:p w:rsidR="00903901" w:rsidRDefault="00903901" w:rsidP="00903901"/>
    <w:p w:rsidR="00903901" w:rsidRDefault="00903901" w:rsidP="00903901">
      <w:pPr>
        <w:shd w:val="clear" w:color="auto" w:fill="FFFFFF"/>
        <w:rPr>
          <w:color w:val="000000"/>
        </w:rPr>
      </w:pPr>
      <w:r>
        <w:t xml:space="preserve">Būtiska ietekme iedzīvotāju nevienlīdzības mazināšanas jomā, kā rāda arī turpinājumā veiktā statistikas analīze, ir bijusi </w:t>
      </w:r>
      <w:r w:rsidRPr="00751252">
        <w:rPr>
          <w:b/>
        </w:rPr>
        <w:t>daudzbērnu ģimeņu definīcija</w:t>
      </w:r>
      <w:r>
        <w:rPr>
          <w:b/>
        </w:rPr>
        <w:t>s paplašināšanai</w:t>
      </w:r>
      <w:r w:rsidRPr="00DA388E">
        <w:t xml:space="preserve">, nosakot, ka daudzbērnu ģimene ir ģimene, kuras aprūpē ir </w:t>
      </w:r>
      <w:r w:rsidRPr="000B63A2">
        <w:rPr>
          <w:b/>
        </w:rPr>
        <w:t>trīs vai vairāki bērni līdz 24 gadiem</w:t>
      </w:r>
      <w:r>
        <w:rPr>
          <w:b/>
        </w:rPr>
        <w:t xml:space="preserve"> </w:t>
      </w:r>
      <w:r>
        <w:t>(iepriekš līdz 18 gadiem)</w:t>
      </w:r>
      <w:r w:rsidRPr="00DA388E">
        <w:t>, tai skaitā audžuģimenē ievietoti un aizbildnībā esoši bērni, kamēr viņi iegūst vispārējo, profesionālo, augstāko vai speciālo izglītību</w:t>
      </w:r>
      <w:r>
        <w:t>,</w:t>
      </w:r>
      <w:r>
        <w:rPr>
          <w:rStyle w:val="FootnoteReference"/>
        </w:rPr>
        <w:footnoteReference w:id="82"/>
      </w:r>
      <w:r w:rsidRPr="00DA388E">
        <w:t xml:space="preserve"> </w:t>
      </w:r>
      <w:r>
        <w:t xml:space="preserve">kas vērtējams kā  </w:t>
      </w:r>
      <w:r>
        <w:rPr>
          <w:color w:val="000000"/>
        </w:rPr>
        <w:t xml:space="preserve">papildu atbalsta pasākumus tieši daudzbērnu ģimenēm, lai mazinātu to nabadzības risku un palielinātu to </w:t>
      </w:r>
      <w:r w:rsidR="006A6F14">
        <w:rPr>
          <w:color w:val="000000"/>
        </w:rPr>
        <w:t>ne</w:t>
      </w:r>
      <w:r>
        <w:rPr>
          <w:color w:val="000000"/>
        </w:rPr>
        <w:t>tiešos ienākumus</w:t>
      </w:r>
      <w:r w:rsidR="006A6F14">
        <w:rPr>
          <w:color w:val="000000"/>
        </w:rPr>
        <w:t>, kas veidotos no tā, ka ģimene saņemtu papildu atvieglojumus dažādiem pakalpojumiem un nodokļiem, kuri iepriekš tām nepienācās</w:t>
      </w:r>
      <w:r>
        <w:rPr>
          <w:color w:val="000000"/>
        </w:rPr>
        <w:t xml:space="preserve">. 2015. gadā no visām Latvijas mājsaimniecībām bija 1,4% mājsaimniecības ar trīs un vairāk bērniem (11 253 ģimenes), 2016. gadā šis rādītājs ir 1,5% (12 087 ģimenes). </w:t>
      </w:r>
    </w:p>
    <w:p w:rsidR="00903901" w:rsidRPr="00DA388E" w:rsidRDefault="00903901" w:rsidP="00903901">
      <w:pPr>
        <w:shd w:val="clear" w:color="auto" w:fill="FFFFFF"/>
      </w:pPr>
      <w:r>
        <w:rPr>
          <w:color w:val="000000"/>
        </w:rPr>
        <w:lastRenderedPageBreak/>
        <w:t xml:space="preserve">2016. gadā tika veiktas vairākas izmaiņas tiesību aktos, kas tiešā veidā neietekmēja nabadzības un sociālās atstumtības riskam pakļauto mērķa grupu ienākumus, bet kas vērtējamas kā vairāk tehniska rakstura izmaiņas, kuras atviegloja dažādu administratīvo procedūru īstenošanu </w:t>
      </w:r>
      <w:r w:rsidRPr="00574D51">
        <w:rPr>
          <w:b/>
          <w:color w:val="000000"/>
        </w:rPr>
        <w:t>ģimenēm ar bērniem</w:t>
      </w:r>
      <w:r>
        <w:rPr>
          <w:color w:val="000000"/>
        </w:rPr>
        <w:t>. Pirmkārt, tika veiktas izmaiņas dzīves vietas deklarācijas regulējumā</w:t>
      </w:r>
      <w:r>
        <w:rPr>
          <w:rStyle w:val="FootnoteReference"/>
          <w:color w:val="000000"/>
        </w:rPr>
        <w:footnoteReference w:id="83"/>
      </w:r>
      <w:r>
        <w:rPr>
          <w:color w:val="000000"/>
        </w:rPr>
        <w:t xml:space="preserve">, nosakot, ka </w:t>
      </w:r>
      <w:r w:rsidRPr="00864225">
        <w:rPr>
          <w:color w:val="000000"/>
        </w:rPr>
        <w:t xml:space="preserve"> pašvaldību darbiniekiem ir tiesības vienas valsts informācijas sistēmas ietvaros (Vienotais civilstāvokļa aktu reģistrs) veikt jaundzimuša bērna dzimšanas fakta reģistrāciju un dzīvesvietas adreses deklarēšanu.</w:t>
      </w:r>
      <w:r>
        <w:rPr>
          <w:color w:val="000000"/>
        </w:rPr>
        <w:t xml:space="preserve"> </w:t>
      </w:r>
      <w:r w:rsidRPr="00864225">
        <w:rPr>
          <w:color w:val="000000"/>
        </w:rPr>
        <w:t>Atvieglota administratīvā procedūra ļauj ietaupīt t.sk. finanšu resursus un atvieglo attiecīgajai mērķa grupai paredzēto pabalstu pieejamību</w:t>
      </w:r>
      <w:r w:rsidRPr="009F4E2D">
        <w:t xml:space="preserve">. Līdz ar to uzskatāms, ka šīs izmaiņas radīja, kaut arī nelielu, tomēr tiešu ietekmi uz ģimenes ienākumiem konkrētajā mēnesī, kad tika veikta bērna dzīvesvietas deklarācija. </w:t>
      </w:r>
      <w:r>
        <w:t xml:space="preserve">Otrkārt, 2016. gadā izmaiņas skāra arī </w:t>
      </w:r>
      <w:r w:rsidRPr="00534207">
        <w:rPr>
          <w:b/>
        </w:rPr>
        <w:t>s</w:t>
      </w:r>
      <w:r w:rsidRPr="00751252">
        <w:rPr>
          <w:b/>
        </w:rPr>
        <w:t>limības, maternitātes, paternitātes un vecāku pabalstu</w:t>
      </w:r>
      <w:r>
        <w:rPr>
          <w:b/>
        </w:rPr>
        <w:t xml:space="preserve"> saņēmējus</w:t>
      </w:r>
      <w:r>
        <w:t>, paredzot, ka no 2016. gada šo pabalstu</w:t>
      </w:r>
      <w:r w:rsidR="00366CBC">
        <w:t xml:space="preserve"> var </w:t>
      </w:r>
      <w:r w:rsidRPr="00DA388E">
        <w:t>pieprasīt sešu mēnešu (iepriekš 12 mēnešu) laikā no apdrošināšanas gadījuma iestāšanās dienas.</w:t>
      </w:r>
      <w:r>
        <w:rPr>
          <w:rStyle w:val="FootnoteReference"/>
        </w:rPr>
        <w:footnoteReference w:id="84"/>
      </w:r>
      <w:r w:rsidRPr="00DA388E">
        <w:t xml:space="preserve"> </w:t>
      </w:r>
      <w:r>
        <w:t xml:space="preserve">Šīs ir vērtējamas kā pamatā tehniskas izmaiņas, kurām nav tiešas ietekmes uz iedzīvotāju (vecāku) tiešajiem ienākumiem. Tiesību akta anotācijā skaidrots, ka </w:t>
      </w:r>
      <w:r w:rsidRPr="00534207">
        <w:t>6 mēnešu periods ir pietiekoši ilgs laiks, lai persona varētu pieprasīt likumā noteiktos pabalstus, kuri galvenokārt tiek piešķirti laikā, kad persona zaudējusi ienākumus</w:t>
      </w:r>
      <w:r>
        <w:t xml:space="preserve">. </w:t>
      </w:r>
    </w:p>
    <w:p w:rsidR="00903901" w:rsidRPr="00DA388E" w:rsidRDefault="00903901" w:rsidP="00903901">
      <w:pPr>
        <w:shd w:val="clear" w:color="auto" w:fill="FFFFFF"/>
        <w:rPr>
          <w:b/>
          <w:bCs/>
        </w:rPr>
      </w:pPr>
    </w:p>
    <w:p w:rsidR="00903901" w:rsidRDefault="00903901" w:rsidP="00DE4D97">
      <w:pPr>
        <w:pStyle w:val="virsrakstslvl4"/>
      </w:pPr>
      <w:bookmarkStart w:id="164" w:name="_Toc6841527"/>
      <w:r>
        <w:t>Nodokļu politika</w:t>
      </w:r>
      <w:bookmarkEnd w:id="164"/>
    </w:p>
    <w:p w:rsidR="00903901" w:rsidRDefault="00903901" w:rsidP="00903901">
      <w:pPr>
        <w:shd w:val="clear" w:color="auto" w:fill="FFFFFF"/>
      </w:pPr>
      <w:r>
        <w:t>Sākot no 2016. gada p</w:t>
      </w:r>
      <w:r w:rsidRPr="00581548">
        <w:t>akāpeniski līdz 2020.</w:t>
      </w:r>
      <w:r>
        <w:t xml:space="preserve"> </w:t>
      </w:r>
      <w:r w:rsidRPr="00581548">
        <w:t xml:space="preserve">gadam tiek ieviests </w:t>
      </w:r>
      <w:r w:rsidRPr="00751252">
        <w:rPr>
          <w:b/>
        </w:rPr>
        <w:t>diferencētais neapliekamais minimums</w:t>
      </w:r>
      <w:r>
        <w:rPr>
          <w:b/>
        </w:rPr>
        <w:t xml:space="preserve"> </w:t>
      </w:r>
      <w:r w:rsidRPr="000B63A2">
        <w:t>(grozījumiem likumā „Par iedzīvotāju ienākuma nodokli”)</w:t>
      </w:r>
      <w:r>
        <w:rPr>
          <w:rStyle w:val="FootnoteReference"/>
        </w:rPr>
        <w:footnoteReference w:id="85"/>
      </w:r>
      <w:r>
        <w:t>, kas tiek</w:t>
      </w:r>
      <w:r w:rsidRPr="00581548">
        <w:t xml:space="preserve"> piemērots atkarībā no </w:t>
      </w:r>
      <w:r>
        <w:t xml:space="preserve">personas </w:t>
      </w:r>
      <w:r w:rsidRPr="00581548">
        <w:t>gūto ienākumu apmēra</w:t>
      </w:r>
      <w:r>
        <w:t xml:space="preserve"> (d</w:t>
      </w:r>
      <w:r w:rsidRPr="00581548">
        <w:t>iferencētā neapliekamā minimuma ieviešanas pārejas periodā no 2016.</w:t>
      </w:r>
      <w:r>
        <w:t xml:space="preserve"> </w:t>
      </w:r>
      <w:r w:rsidRPr="00581548">
        <w:t>gada līdz 2019.</w:t>
      </w:r>
      <w:r>
        <w:t xml:space="preserve"> </w:t>
      </w:r>
      <w:r w:rsidRPr="00581548">
        <w:t xml:space="preserve">gadam paralēli </w:t>
      </w:r>
      <w:r>
        <w:t>tika plānots</w:t>
      </w:r>
      <w:r w:rsidRPr="00581548">
        <w:t xml:space="preserve"> piemērot div</w:t>
      </w:r>
      <w:r>
        <w:t>us</w:t>
      </w:r>
      <w:r w:rsidRPr="00581548">
        <w:t xml:space="preserve"> neapliekam</w:t>
      </w:r>
      <w:r>
        <w:t>os</w:t>
      </w:r>
      <w:r w:rsidRPr="00581548">
        <w:t xml:space="preserve"> minimum</w:t>
      </w:r>
      <w:r>
        <w:t>us</w:t>
      </w:r>
      <w:r w:rsidRPr="00581548">
        <w:t xml:space="preserve"> – mēneša un gada</w:t>
      </w:r>
      <w:r>
        <w:t xml:space="preserve">). Tiesību akta anotācijā skaidrots, ka </w:t>
      </w:r>
      <w:r w:rsidRPr="00F01176">
        <w:t>diferencēt</w:t>
      </w:r>
      <w:r>
        <w:t>ā</w:t>
      </w:r>
      <w:r w:rsidRPr="00F01176">
        <w:t xml:space="preserve"> neapliekam</w:t>
      </w:r>
      <w:r>
        <w:t>ā</w:t>
      </w:r>
      <w:r w:rsidRPr="00F01176">
        <w:t xml:space="preserve"> minimum</w:t>
      </w:r>
      <w:r>
        <w:t xml:space="preserve">a </w:t>
      </w:r>
      <w:r w:rsidRPr="00F01176">
        <w:t xml:space="preserve">apmērs atšķirsies atkarībā no maksātāja gūto ar nodokli apliekamo ienākumu apmēra (apliekamo ienākumu kopsummā </w:t>
      </w:r>
      <w:r>
        <w:t>turpmāk tiek</w:t>
      </w:r>
      <w:r w:rsidRPr="00F01176">
        <w:t xml:space="preserve"> ieskaitīti gan ar vispārējo likmi apliekamie ienākumi, gan arī ienākumi, kurus ar nodokli apliek pēc samazinātas likmes). </w:t>
      </w:r>
      <w:r w:rsidRPr="00C9467C">
        <w:t>Personām, kuru gada apliekamā ienākuma apmērs nepārsniedz MK noteiktu slieksni, tiek piemērots maksimālais ar nodokli neapliekamais minimums, savukārt gada apliekamajam ienākumam pārsniedzot maksimālo MK noteikto slieksni, maksātājam tiek piemērots tikai minimālais ar nodokli neapliekamais minimums. Maksātājiem</w:t>
      </w:r>
      <w:r w:rsidRPr="00F01176">
        <w:t>, kuru gada apliekamie ienākumi iekļau</w:t>
      </w:r>
      <w:r>
        <w:t>jas</w:t>
      </w:r>
      <w:r w:rsidRPr="00F01176">
        <w:t xml:space="preserve"> intervālā starp abiem </w:t>
      </w:r>
      <w:r>
        <w:t>MK</w:t>
      </w:r>
      <w:r w:rsidRPr="00F01176">
        <w:t xml:space="preserve"> noteiktajiem gada apliekamā ienākuma sliekšņiem, </w:t>
      </w:r>
      <w:r>
        <w:t>turpmāk ir</w:t>
      </w:r>
      <w:r w:rsidRPr="00F01176">
        <w:t xml:space="preserve"> piemērots gada diferencētais neapliekamais minimums. Gada diferencētais neapliekamais minimums </w:t>
      </w:r>
      <w:r>
        <w:t>tiek</w:t>
      </w:r>
      <w:r w:rsidRPr="00F01176">
        <w:t xml:space="preserve"> aprēķināts un piemērots rezumējošā kārtībā, maksātājam iesniedzot taksācijas gada ienākumu deklarāciju.</w:t>
      </w:r>
      <w:r>
        <w:t xml:space="preserve"> </w:t>
      </w:r>
    </w:p>
    <w:p w:rsidR="00903901" w:rsidRDefault="00903901" w:rsidP="00903901">
      <w:pPr>
        <w:shd w:val="clear" w:color="auto" w:fill="FFFFFF"/>
      </w:pPr>
    </w:p>
    <w:p w:rsidR="00903901" w:rsidRPr="00F611D0" w:rsidRDefault="00903901" w:rsidP="00903901">
      <w:pPr>
        <w:shd w:val="clear" w:color="auto" w:fill="FFFFFF"/>
        <w:rPr>
          <w:color w:val="FF0000"/>
        </w:rPr>
      </w:pPr>
      <w:r>
        <w:lastRenderedPageBreak/>
        <w:t>Izvērtējuma period</w:t>
      </w:r>
      <w:r w:rsidR="00615EA0">
        <w:t>s</w:t>
      </w:r>
      <w:r>
        <w:t xml:space="preserve"> – 2016. gads – iekļaujas šīs nodokļa reformas pārejas periodā, kurā tika piemērota iepriekšējā mēneša neapliekamā minimuma likme 75 EUR apmērā (mainījās kopējā gada neapliekamā likme – 1200 EUR gada ienākumam līdz 4560 EUR), tāpēc </w:t>
      </w:r>
      <w:r w:rsidRPr="00150C34">
        <w:rPr>
          <w:b/>
        </w:rPr>
        <w:t>konkrētajā periodā šim pasākumam nebija ietekmes uz nabadzības un sociālās atstumtības riskam pakļauto grupu tiešajiem ienākumiem</w:t>
      </w:r>
      <w:r>
        <w:t xml:space="preserve">. Pārmaksāto IIN varēja atgūt 2017. gadā, iesniedzot gada ienākumu deklarāciju. </w:t>
      </w:r>
      <w:r w:rsidR="002026FB">
        <w:t xml:space="preserve">Šāda rīcībpolitika pēc būtības ir nepilnīga attiecībā pret tiem ienākumu guvējiem, t.sk. pensionāriem, kuru ienākumi ir zemāki par noteikto neapliekamo minimumu, jo tas liedz saņemt IIN atvieglojumus. </w:t>
      </w:r>
      <w:r>
        <w:t>Turklāt jāņem vērā, ka, nosakot gada neapliekamo minimumu, tiek summēti visi personas gūtie ienākumi, izņemot likuma „Par iedzīvotāju ienākuma nodok</w:t>
      </w:r>
      <w:r w:rsidR="00B5114A">
        <w:t>li” 9. pantā norādītos ienākumu veidus</w:t>
      </w:r>
      <w:r>
        <w:t>. Lai gan diferencētā nepaliekamā minimuma ietekmes izvērtējumam uz iedzīvotāju ienākumiem būtu nepieciešams laiks, ekonomistu A. P</w:t>
      </w:r>
      <w:r w:rsidR="00E8603F">
        <w:t>ļ</w:t>
      </w:r>
      <w:r>
        <w:t xml:space="preserve">utas un A. Zasovas veiktie aprēķini par nodokļu politikas reformu ietekmi uz iedzīvotāju ienākumiem rāda, ka </w:t>
      </w:r>
      <w:r w:rsidRPr="00635E5C">
        <w:rPr>
          <w:b/>
        </w:rPr>
        <w:t>vislielāko ieguvumu no tās varētu gūt mājsaimniecības ar vidējiem ienākumiem</w:t>
      </w:r>
      <w:r>
        <w:t xml:space="preserve"> (t.i., 4. un 5. ienākumu decile, kas atbilst aptuveni 3. ienākumu kvintilei), kamēr visnabadzīgākās mājsaimniecības (1. ienākumu kvintile) gūtu </w:t>
      </w:r>
      <w:r w:rsidRPr="00DF3D81">
        <w:t>proporcionāli mazāku ieguvumu, jo to sastāvā biežāk ir nestrādājošas personas</w:t>
      </w:r>
      <w:r w:rsidRPr="00DF3D81">
        <w:rPr>
          <w:rStyle w:val="FootnoteReference"/>
        </w:rPr>
        <w:footnoteReference w:id="86"/>
      </w:r>
      <w:r w:rsidRPr="00DF3D81">
        <w:t xml:space="preserve">. </w:t>
      </w:r>
      <w:r w:rsidR="00DF3D81" w:rsidRPr="00DF3D81">
        <w:t xml:space="preserve">Tādējādi </w:t>
      </w:r>
      <w:r w:rsidR="000F646A" w:rsidRPr="00DF3D81">
        <w:t>secinā</w:t>
      </w:r>
      <w:r w:rsidR="00DF3D81">
        <w:t>ms</w:t>
      </w:r>
      <w:r w:rsidR="000F646A" w:rsidRPr="00DF3D81">
        <w:t xml:space="preserve">, ka nevienlīdzība starp visnabadzīgākajām </w:t>
      </w:r>
      <w:r w:rsidR="00DF3D81" w:rsidRPr="00DF3D81">
        <w:t>mājsaimniecībām</w:t>
      </w:r>
      <w:r w:rsidR="000F646A" w:rsidRPr="00DF3D81">
        <w:t xml:space="preserve"> un pārējām </w:t>
      </w:r>
      <w:r w:rsidR="00DF3D81" w:rsidRPr="00DF3D81">
        <w:t>mājsaimniecībām</w:t>
      </w:r>
      <w:r w:rsidR="000F646A" w:rsidRPr="00DF3D81">
        <w:t xml:space="preserve"> </w:t>
      </w:r>
      <w:r w:rsidR="00DF3D81" w:rsidRPr="00DF3D81">
        <w:t>varētu pieaugt</w:t>
      </w:r>
      <w:r w:rsidR="000F646A" w:rsidRPr="00DF3D81">
        <w:t>.</w:t>
      </w:r>
    </w:p>
    <w:p w:rsidR="00903901" w:rsidRDefault="00903901" w:rsidP="00903901"/>
    <w:p w:rsidR="00903901" w:rsidRPr="009F1A16" w:rsidRDefault="00903901" w:rsidP="00903901">
      <w:pPr>
        <w:rPr>
          <w:rFonts w:eastAsia="Times New Roman"/>
        </w:rPr>
      </w:pPr>
      <w:r>
        <w:t xml:space="preserve">Līdz ar grozījumiem likumā „Par iedzīvotāju ienākuma nodokli” tika </w:t>
      </w:r>
      <w:r w:rsidRPr="00F01176">
        <w:rPr>
          <w:b/>
        </w:rPr>
        <w:t>sašaurināts personu loks, par kurām maksātājs ir tiesīgs piemērot atvieglojumu par apgādībā esošām personām</w:t>
      </w:r>
      <w:r>
        <w:rPr>
          <w:b/>
        </w:rPr>
        <w:t>.</w:t>
      </w:r>
      <w:r>
        <w:t xml:space="preserve"> Attiecībā uz nodokļa atvieglojumiem par apgādībā esošiem bērniem tiesību akta anotācijā skaidrots, ka n</w:t>
      </w:r>
      <w:r w:rsidRPr="00F01176">
        <w:t xml:space="preserve">odokļa atvieglojums </w:t>
      </w:r>
      <w:r>
        <w:t>tiek</w:t>
      </w:r>
      <w:r w:rsidRPr="00F01176">
        <w:t xml:space="preserve"> attiecināts tikai uz nepilngadīgu bērnu un uz bērnu, kamēr viņš turpina vispārējās, profesionālās, augstākās vai speciālās izglītības iegūšanu, bet ne ilgāk kā līdz 24 gadu vecuma sasniegšanai, aizbildnībā vai aizgādībā esošām personām, kā arī laulāto vecākiem</w:t>
      </w:r>
      <w:r>
        <w:t>,</w:t>
      </w:r>
      <w:r w:rsidRPr="00F01176">
        <w:t xml:space="preserve"> vecvecākiem, bērniem, kas sasnieguši 18 gadu vecumu, ja minētās personas nestrādā, tām saskaņā ar normatīvajiem aktiem ir noteikta invaliditāte, kā arī tās nesaņem ar nodokli apliekamus ienākumu vai valsts pensiju.</w:t>
      </w:r>
      <w:r>
        <w:t xml:space="preserve"> </w:t>
      </w:r>
      <w:r w:rsidRPr="004542AF">
        <w:t xml:space="preserve">Tiesību akta anotācijā skaidros, ka pēc VID datiem 2015. gada pirmajā ceturksnī apgādībā bija </w:t>
      </w:r>
      <w:r w:rsidRPr="004542AF">
        <w:rPr>
          <w:rFonts w:eastAsia="Times New Roman"/>
        </w:rPr>
        <w:t>3</w:t>
      </w:r>
      <w:r w:rsidRPr="009F1A16">
        <w:rPr>
          <w:rFonts w:eastAsia="Times New Roman"/>
        </w:rPr>
        <w:t>41,3 tūkst. personu, no kurām 262,6 tūkst. personu jeb 76,9% bija bērni</w:t>
      </w:r>
      <w:r>
        <w:rPr>
          <w:rFonts w:eastAsia="Times New Roman"/>
        </w:rPr>
        <w:t xml:space="preserve"> (nepilngadīgas personas atbilstoši augstāk minētajiem kritērijiem līdz 24 gadu vecumam)</w:t>
      </w:r>
      <w:r w:rsidRPr="009F1A16">
        <w:rPr>
          <w:rFonts w:eastAsia="Times New Roman"/>
        </w:rPr>
        <w:t xml:space="preserve"> un 78,8 tūkst. personu jeb 23,1% bija pieaugušie.</w:t>
      </w:r>
      <w:r>
        <w:rPr>
          <w:rFonts w:eastAsia="Times New Roman"/>
        </w:rPr>
        <w:t xml:space="preserve"> </w:t>
      </w:r>
      <w:r w:rsidRPr="009F1A16">
        <w:rPr>
          <w:rFonts w:eastAsia="Times New Roman"/>
        </w:rPr>
        <w:t>Apgādībā esošās personas – pieaugušie – pārsvarā ir nestrādājoši laulātie, kā arī nestrādājoši vecāki un vecvecāki</w:t>
      </w:r>
      <w:r>
        <w:rPr>
          <w:rFonts w:eastAsia="Times New Roman"/>
        </w:rPr>
        <w:t xml:space="preserve">. Tika konstatēts, ka praksē veidojās situācijas, ka pieaugušie apgādājamie jau saņēma cita veida valsts sociālo palīdzību, piemēram, </w:t>
      </w:r>
      <w:r w:rsidRPr="009F1A16">
        <w:rPr>
          <w:rFonts w:eastAsia="Times New Roman"/>
        </w:rPr>
        <w:t>maternitātes pabalstu vai vecāku un bērnu kopšanas pabalstu</w:t>
      </w:r>
      <w:r>
        <w:rPr>
          <w:rFonts w:eastAsia="Times New Roman"/>
        </w:rPr>
        <w:t>, bezdarbnieka pabalstu, tādā veidā valstij nodrošinot šo personu ienākumus. Pēc FM aprēķiniem, s</w:t>
      </w:r>
      <w:r w:rsidRPr="009F1A16">
        <w:rPr>
          <w:rFonts w:eastAsia="Times New Roman"/>
        </w:rPr>
        <w:t xml:space="preserve">ašaurinot personu loku, par kurām var piemērot iedzīvotāju ienākuma nodokļa atvieglojumu, šādu </w:t>
      </w:r>
      <w:r w:rsidR="00B671DE">
        <w:rPr>
          <w:rFonts w:eastAsia="Times New Roman"/>
        </w:rPr>
        <w:t xml:space="preserve">pieaugušu </w:t>
      </w:r>
      <w:r w:rsidRPr="009F1A16">
        <w:rPr>
          <w:rFonts w:eastAsia="Times New Roman"/>
        </w:rPr>
        <w:t>personu skaits nepārsnie</w:t>
      </w:r>
      <w:r>
        <w:rPr>
          <w:rFonts w:eastAsia="Times New Roman"/>
        </w:rPr>
        <w:t>gtu</w:t>
      </w:r>
      <w:r w:rsidRPr="009F1A16">
        <w:rPr>
          <w:rFonts w:eastAsia="Times New Roman"/>
        </w:rPr>
        <w:t xml:space="preserve"> 18 tūkst.</w:t>
      </w:r>
      <w:r>
        <w:rPr>
          <w:rFonts w:eastAsia="Times New Roman"/>
        </w:rPr>
        <w:t xml:space="preserve"> Ņemot vērā tiesību akta anotācijā sniegto skaidrojumu, pasākums nav vērtējams kā mērķēts atbalsts nabadzības un sociālās atstumtības riskam pakļautajām grupām, ienākumu nevienlīdzības mazināšanas pasākums, bet gan rīcībpolitikas pasākums dubultā atbalsta saņemšanas situāciju novēršanai, tādejādi palielinot valsts sociālo budžetu un sekmējot sociālo un ekonomisko taisnīgumu. </w:t>
      </w:r>
    </w:p>
    <w:p w:rsidR="00903901" w:rsidRDefault="00903901" w:rsidP="00903901"/>
    <w:p w:rsidR="008F70E6" w:rsidRDefault="00903901" w:rsidP="008F70E6">
      <w:pPr>
        <w:shd w:val="clear" w:color="auto" w:fill="FFFFFF"/>
      </w:pPr>
      <w:r w:rsidRPr="00F01176">
        <w:lastRenderedPageBreak/>
        <w:t>Fiskālās politikas jomā</w:t>
      </w:r>
      <w:r>
        <w:t xml:space="preserve">, bez jau augstāk minētajām izmaiņām attiecībā uz solidaritātes nodokli un diferencētā neapliekamā minimuma ieviešanu, </w:t>
      </w:r>
      <w:r w:rsidRPr="00F01176">
        <w:t>2016.</w:t>
      </w:r>
      <w:r>
        <w:t xml:space="preserve"> </w:t>
      </w:r>
      <w:r w:rsidRPr="00F01176">
        <w:t>gadā tika veiktas vairākas</w:t>
      </w:r>
      <w:r w:rsidRPr="008563BC">
        <w:rPr>
          <w:b/>
        </w:rPr>
        <w:t xml:space="preserve"> </w:t>
      </w:r>
      <w:r w:rsidRPr="00850696">
        <w:t>izmaiņas nodokļu likmēs, kas ietekmēja iedzīvotāju tiešos ienākumus.</w:t>
      </w:r>
      <w:r>
        <w:t xml:space="preserve"> Pirmkārt, tika </w:t>
      </w:r>
      <w:r w:rsidRPr="00850696">
        <w:rPr>
          <w:b/>
        </w:rPr>
        <w:t>palielināts nodokļa atvieglojuma apmērs par apgādājamajām personām</w:t>
      </w:r>
      <w:r w:rsidRPr="008563BC">
        <w:t xml:space="preserve"> mēnesī no 165 EUR, kā tas bija 2015.</w:t>
      </w:r>
      <w:r>
        <w:t xml:space="preserve"> </w:t>
      </w:r>
      <w:r w:rsidRPr="008563BC">
        <w:t>gadā, uz 175</w:t>
      </w:r>
      <w:r>
        <w:t xml:space="preserve"> </w:t>
      </w:r>
      <w:r w:rsidRPr="008563BC">
        <w:t>EUR 2016.</w:t>
      </w:r>
      <w:r>
        <w:t xml:space="preserve"> </w:t>
      </w:r>
      <w:r w:rsidRPr="008563BC">
        <w:t>gadā</w:t>
      </w:r>
      <w:r w:rsidRPr="008563BC">
        <w:rPr>
          <w:rStyle w:val="FootnoteReference"/>
        </w:rPr>
        <w:footnoteReference w:id="87"/>
      </w:r>
      <w:r w:rsidRPr="008563BC">
        <w:t>.</w:t>
      </w:r>
      <w:r>
        <w:t xml:space="preserve"> Pēc būtības šis pasākums ir tieši mērķēts atbalsta pasākums personām ar apgādājamajiem – tātad ģimenēm ar bērniem ar mērķi palielināt to tiešos ienākumus, samazināt nodokļu slogu, palielināt ienākumus atkarībā no bērnu skaita ģimenē. B</w:t>
      </w:r>
      <w:r w:rsidRPr="003E4B61">
        <w:t>ūtisks šī pasākuma efektivitāti</w:t>
      </w:r>
      <w:r>
        <w:t xml:space="preserve"> ietekmējošs faktors, kā rāda aprēķini, modelējot dažādu ģimeņu situāciju, ir</w:t>
      </w:r>
      <w:r w:rsidRPr="003E4B61">
        <w:t xml:space="preserve"> apgādājamo personu skaits. Proti, pie noteikta ienākumu apmēra un apgādājamo skaita, rodas situācija, ka nav iespējams  pilnībā izmantot neapliekamo minimumu, jo darba alga ir mazāka par atvieglojumiem. Piemēram, personai, kas 2016. gadā saņēma 400 EUR bruto algu ar diviem apgādājamiem, radās </w:t>
      </w:r>
      <w:r w:rsidR="00B671DE">
        <w:t>67</w:t>
      </w:r>
      <w:r w:rsidRPr="003E4B61">
        <w:t xml:space="preserve"> EUR neizmantotā atvieglojuma (400 </w:t>
      </w:r>
      <w:r>
        <w:t xml:space="preserve">EUR (alga) </w:t>
      </w:r>
      <w:r w:rsidRPr="003E4B61">
        <w:t xml:space="preserve">– </w:t>
      </w:r>
      <w:r w:rsidR="00B671DE">
        <w:t>42 EUR (</w:t>
      </w:r>
      <w:r w:rsidR="00B671DE" w:rsidRPr="003E4B61">
        <w:t>VSAOI darba ņēmēja daļa</w:t>
      </w:r>
      <w:r w:rsidR="00B671DE">
        <w:t xml:space="preserve">) - </w:t>
      </w:r>
      <w:r w:rsidRPr="003E4B61">
        <w:t xml:space="preserve">75 EUR (NM) – 350 EUR (atvieglojumi par apgādājamiem) = - </w:t>
      </w:r>
      <w:r w:rsidR="00B671DE">
        <w:t>67</w:t>
      </w:r>
      <w:r w:rsidRPr="003E4B61">
        <w:t xml:space="preserve"> EUR), saņemot neto atalgojumu 358 EUR. </w:t>
      </w:r>
      <w:r>
        <w:t xml:space="preserve">Lai varētu piemērot noteiktos atvieglojumus, ir </w:t>
      </w:r>
      <w:r w:rsidRPr="00185BF7">
        <w:rPr>
          <w:b/>
        </w:rPr>
        <w:t>nepieciešams arī noteikts algas apjoms</w:t>
      </w:r>
      <w:r>
        <w:t>. Personai ar vienu apgādājamo 2016. gadā bija nepieciešama vismaz 280 EUR liela bruto alga, ar diviem apgādājamiem – 470 EUR, ar trīs apgādājamiem – 680 EUR, ar četriem – 870, ar pieciem – 1070 EUR</w:t>
      </w:r>
      <w:r>
        <w:rPr>
          <w:rStyle w:val="FootnoteReference"/>
        </w:rPr>
        <w:footnoteReference w:id="88"/>
      </w:r>
      <w:r>
        <w:t xml:space="preserve">. </w:t>
      </w:r>
      <w:r w:rsidRPr="003E4B61">
        <w:t xml:space="preserve">Līdz ar to šī pasākuma ietekme uz strādājošo personu ar apgādājamiem (ģimenēm ar bērniem) tiešajiem ienākumiem </w:t>
      </w:r>
      <w:r w:rsidRPr="003A68F0">
        <w:rPr>
          <w:b/>
        </w:rPr>
        <w:t>kaut arī kopumā vērtējama kā pozitīva</w:t>
      </w:r>
      <w:r w:rsidR="00207516">
        <w:rPr>
          <w:b/>
        </w:rPr>
        <w:t xml:space="preserve">. Vienlaikus </w:t>
      </w:r>
      <w:r w:rsidRPr="003A68F0">
        <w:rPr>
          <w:b/>
        </w:rPr>
        <w:t xml:space="preserve"> darba ņēmēji ar zemākiem ienākumiem un lielāku apgādājamo skaitu </w:t>
      </w:r>
      <w:r w:rsidRPr="003A68F0">
        <w:t>(trīs un vairāk apgādājamie),</w:t>
      </w:r>
      <w:r w:rsidRPr="003A68F0">
        <w:rPr>
          <w:b/>
        </w:rPr>
        <w:t xml:space="preserve"> kā arī viena </w:t>
      </w:r>
      <w:r w:rsidR="000A5E3E">
        <w:rPr>
          <w:b/>
        </w:rPr>
        <w:t xml:space="preserve">strādājoša </w:t>
      </w:r>
      <w:r w:rsidR="00BA1727" w:rsidRPr="00BA1727">
        <w:rPr>
          <w:b/>
        </w:rPr>
        <w:t>vecāka mājsaimniecības</w:t>
      </w:r>
      <w:r w:rsidR="00BA1727">
        <w:t xml:space="preserve"> </w:t>
      </w:r>
      <w:r w:rsidR="00207516">
        <w:t>šādu atvieglojumu var izmantot</w:t>
      </w:r>
      <w:r w:rsidR="00B12311">
        <w:t xml:space="preserve"> tikai daļēji</w:t>
      </w:r>
      <w:r w:rsidRPr="003E4B61">
        <w:t xml:space="preserve">. </w:t>
      </w:r>
      <w:r w:rsidR="008F70E6" w:rsidRPr="008F70E6">
        <w:t>Nosakot šādus atvieglojumus, būtu jārada nosacījumi, lai tos varētu pilnībā piemērot pēc iespējas visi konkrētā atvieglojuma adresāti.</w:t>
      </w:r>
      <w:r w:rsidR="008F70E6">
        <w:t xml:space="preserve"> Kopumā šis pasākums vērtējams kā ienākumu nevienlī</w:t>
      </w:r>
      <w:r w:rsidR="00C548CE">
        <w:t>d</w:t>
      </w:r>
      <w:r w:rsidR="008F70E6">
        <w:t xml:space="preserve">zību mazinošs starp mājsaimniecībām ar un bez apgādājamajiem. </w:t>
      </w:r>
    </w:p>
    <w:p w:rsidR="00366CBC" w:rsidRPr="003E4B61" w:rsidRDefault="00366CBC" w:rsidP="00903901">
      <w:pPr>
        <w:shd w:val="clear" w:color="auto" w:fill="FFFFFF"/>
      </w:pPr>
    </w:p>
    <w:p w:rsidR="00903901" w:rsidRDefault="00903901" w:rsidP="00903901">
      <w:pPr>
        <w:shd w:val="clear" w:color="auto" w:fill="FFFFFF"/>
      </w:pPr>
      <w:r>
        <w:t xml:space="preserve">Otrkārt, grozījumi likumā „Par iedzīvotāju ienākuma nodokli” paredzēja no 2016. gada iespēju iedzīvotāju ienākuma nodokļa </w:t>
      </w:r>
      <w:r w:rsidRPr="00850696">
        <w:rPr>
          <w:b/>
        </w:rPr>
        <w:t>maksātāja attaisnotajos izdevumos iekļaut arī maksātāja izdevumus par interešu izglītības programmu apgūšanu bērniem</w:t>
      </w:r>
      <w:r w:rsidRPr="001B1FEC">
        <w:t>.</w:t>
      </w:r>
      <w:r w:rsidRPr="001B1FEC">
        <w:rPr>
          <w:rStyle w:val="FootnoteReference"/>
        </w:rPr>
        <w:footnoteReference w:id="89"/>
      </w:r>
      <w:r w:rsidRPr="001B1FEC">
        <w:t xml:space="preserve"> Attaisnoto izdevumu princips paredz, ka persona sākotnēji pati veic maksājumus par pakalpojumiem, par kuriem pēcāk, iesniedzot gada ienākumu deklarāciju un izpildoties noteiktiem nosacījumiem (piemēram, izglītības programmu licencēšana u.tml.), ir iespējams noteiktā apmērā atgūt finanšu līdzekļus, piemēram, par izglītības un veselības aprūpes pakalpojumu izdevumiem. Konkrēto izmaiņu kontekstā tas nozīmē, ka vecākiem ir jābūt tik lielā maksātspējīgiem, lai varētu sākotnēji paši segt bērnu interešu izglītības izdevumus, turklāt viņiem jābūt arī nepieciešamajām kompetencēm, lai varētu šos izdevumus atbilstoši noformēt un iekļaut gada ienākumu deklarācijā. Attaisnotajos izdevumos par visu veidu izglītību (tajā skaitā interešu izglītību) un ārstnieciskajiem pakalpojumiem ietveramo izdevumu kopējā summa par 1 bērnu 2016. gadā bija noteikta 215 EUR (modelējot situāciju, ka šī summa tiek </w:t>
      </w:r>
      <w:r w:rsidRPr="001B1FEC">
        <w:lastRenderedPageBreak/>
        <w:t>atvēlēta tikai interešu izglītībai un pieņemot, ka nodarbība notiek deviņus mēnešus gadā, tie ir 23,8 EUR mēnesī). No samaksātā 2017. gadā varēja saņemt nodokļa pārmaksu 23% apmērā. Ja gada laikā samaksātā summa par minētajiem izdevumiem pārsniedza  215 EUR, izdevumu pārsnieguma daļu varēja pārcelt uz nākamajiem pieciem gadiem. Saskaņā ar CSP datiem</w:t>
      </w:r>
      <w:r w:rsidRPr="001B1FEC">
        <w:rPr>
          <w:rStyle w:val="FootnoteReference"/>
        </w:rPr>
        <w:footnoteReference w:id="90"/>
      </w:r>
      <w:r w:rsidRPr="001B1FEC">
        <w:t>, 2016. gadā izglītībai tika atvēlēti 1,2% no mājsaimniecības kopējā budžeta.</w:t>
      </w:r>
    </w:p>
    <w:p w:rsidR="00903901" w:rsidRPr="001B1FEC" w:rsidRDefault="00903901" w:rsidP="00903901">
      <w:pPr>
        <w:shd w:val="clear" w:color="auto" w:fill="FFFFFF"/>
      </w:pPr>
    </w:p>
    <w:p w:rsidR="00903901" w:rsidRPr="00AB0FD9" w:rsidRDefault="00903901" w:rsidP="00903901">
      <w:pPr>
        <w:shd w:val="clear" w:color="auto" w:fill="FFFFFF"/>
        <w:rPr>
          <w:color w:val="FF0000"/>
        </w:rPr>
      </w:pPr>
      <w:r w:rsidRPr="001B1FEC">
        <w:t xml:space="preserve">Kopumā iespēja iekļaut attaisnotajos izdevumos maksājumus par bērnu interešu izglītību ir atbalsta pasākums </w:t>
      </w:r>
      <w:r w:rsidR="009568E0">
        <w:t xml:space="preserve">ģimenēm </w:t>
      </w:r>
      <w:r w:rsidRPr="001B1FEC">
        <w:t xml:space="preserve">ar bērniem, kuras spēj nodrošināt gan savas pamatvajadzības, gan jau papildu izdevumus par citiem pakalpojumiem. Balstoties uz pieejamajiem datiem, var izdarīt pieņēmumu, ka ģimenes ar bērniem, kuras ir pakļautas materiālai nenodrošinātībai un ekonomiskajai spriedzei (piemēram, 2016. gadā materiālai nenodrošinātībai bija pakļautas 32,8% daudzbērnu ģimenes un 40,5% viena </w:t>
      </w:r>
      <w:r w:rsidR="001E77B5">
        <w:t>pieaugušā ar bērniem</w:t>
      </w:r>
      <w:r w:rsidRPr="001B1FEC">
        <w:t xml:space="preserve"> ģimenes, plašāk sk. 1.2. sadaļā statistikas datu analīzi), kā arī trūcīgas un maznodrošinātas ģimenes</w:t>
      </w:r>
      <w:r>
        <w:t xml:space="preserve"> šo atbalsta pasākumu nevarēja izmantot, jo sākotnēji nav maksātspējīgas par maksas interešu izglītību bērniem. Tāpēc secināms, ka šis pasākums </w:t>
      </w:r>
      <w:r w:rsidRPr="001B1FEC">
        <w:rPr>
          <w:b/>
        </w:rPr>
        <w:t xml:space="preserve">nav tieši mērķēts atbalsta pasākums uz nabadzības un sociālās atstumtības riskam pakļautajām </w:t>
      </w:r>
      <w:r w:rsidRPr="004D160C">
        <w:rPr>
          <w:b/>
        </w:rPr>
        <w:t>grupām</w:t>
      </w:r>
      <w:r w:rsidR="00E76FDA" w:rsidRPr="004D160C">
        <w:rPr>
          <w:b/>
        </w:rPr>
        <w:t>, lai gan mazina ienākumu nevienlīdzību starp mājsaimniecībām ar un bez apgādībā esošiem bērniem</w:t>
      </w:r>
      <w:r w:rsidR="00E76FDA">
        <w:t>.</w:t>
      </w:r>
      <w:r>
        <w:t xml:space="preserve"> Vienlaikus tas nenozīmē, ka </w:t>
      </w:r>
      <w:r w:rsidR="00E76FDA">
        <w:t>trūcīgu un maznodrošinātu, kā arī vecāku ar zemiem ienākumiem</w:t>
      </w:r>
      <w:r>
        <w:t xml:space="preserve"> </w:t>
      </w:r>
      <w:r w:rsidR="00E76FDA">
        <w:t xml:space="preserve">(zem minimālās algas) </w:t>
      </w:r>
      <w:r>
        <w:t xml:space="preserve">bērniem </w:t>
      </w:r>
      <w:r w:rsidR="00E76FDA">
        <w:t>interešu izglītība</w:t>
      </w:r>
      <w:r>
        <w:t xml:space="preserve"> nav pieejama. </w:t>
      </w:r>
      <w:r w:rsidRPr="00AB0FD9">
        <w:t>Lai novērtētu interešu izglītības pieejamību, ir nepieciešama padziļināta analīze, taču Latvijai ir raksturīgas bezmaksas interešu izglītības tradīcijas (t.s. pulciņi skolās)</w:t>
      </w:r>
      <w:r w:rsidR="00E81506" w:rsidRPr="00AB0FD9">
        <w:t xml:space="preserve"> vispārizglītojošajās skolās</w:t>
      </w:r>
      <w:r w:rsidRPr="00AB0FD9">
        <w:t xml:space="preserve">, daļā pašvaldību ir paredzēti atvieglojumi interešu izglītības </w:t>
      </w:r>
      <w:r w:rsidR="00E81506" w:rsidRPr="00AB0FD9">
        <w:t>līdzmaksājumiem</w:t>
      </w:r>
      <w:r w:rsidRPr="00AB0FD9">
        <w:t xml:space="preserve"> (piemēram, mūzikas un mākslas skolās</w:t>
      </w:r>
      <w:r w:rsidR="00E81506" w:rsidRPr="00AB0FD9">
        <w:t>, bērnu un jauniešu centros) daudzbērnu ģimenēm, maznod</w:t>
      </w:r>
      <w:r w:rsidR="00AB0FD9">
        <w:t>ro</w:t>
      </w:r>
      <w:r w:rsidR="00E81506" w:rsidRPr="00AB0FD9">
        <w:t xml:space="preserve">šinātām un </w:t>
      </w:r>
      <w:r w:rsidRPr="00AB0FD9">
        <w:t xml:space="preserve">trūcīgām ģimenēm, </w:t>
      </w:r>
      <w:r w:rsidR="00E81506" w:rsidRPr="00AB0FD9">
        <w:t xml:space="preserve">izglītojamiem ar invaliditāti, kā arī atvieglojumi konkrētajā pašvaldībā deklarētajiem izglītojamiem. Tāpat </w:t>
      </w:r>
      <w:r w:rsidRPr="00AB0FD9">
        <w:t xml:space="preserve">ir pieejami interešu izglītības pakalpojumi par samazinātu maksu, dažādos ES fondu un pašvaldību atbalstītos projektos ir pieejamas interešu izglītības aktivitātes. </w:t>
      </w:r>
      <w:r w:rsidR="00E81506" w:rsidRPr="00AB0FD9">
        <w:t xml:space="preserve">Kā ierobežojoši faktori jānorāda tas, ka interešu izglītības iestāžu </w:t>
      </w:r>
      <w:r w:rsidR="00AB0FD9" w:rsidRPr="00AB0FD9">
        <w:t xml:space="preserve">ģeogrāfiskais pārklājums ir nevienmērīgs (tas gan neattiecas uz interešu izglītības piedāvājumu vispārizglītojošās skolās, proti, šo iestāžu piedāvātā interešu izglītība ir pieejama tādā pat tvērumā kā ir pieejamas vispārējās izglītības iestādes, t.sk. pirmsskolas), daļā programmu to pieejamību ietekmē arī vecāku materiālais stāvoklis – līdzmaksājumu vai pilna maksājuma veikšanas iespējas. </w:t>
      </w:r>
    </w:p>
    <w:p w:rsidR="00903901" w:rsidRDefault="00903901" w:rsidP="00903901">
      <w:pPr>
        <w:shd w:val="clear" w:color="auto" w:fill="FFFFFF"/>
      </w:pPr>
    </w:p>
    <w:p w:rsidR="00903901" w:rsidRDefault="00903901" w:rsidP="00903901">
      <w:pPr>
        <w:shd w:val="clear" w:color="auto" w:fill="FFFFFF"/>
        <w:rPr>
          <w:rStyle w:val="Strong"/>
          <w:b w:val="0"/>
          <w:color w:val="1F1F1F"/>
        </w:rPr>
      </w:pPr>
      <w:r>
        <w:t>Treškārt</w:t>
      </w:r>
      <w:r w:rsidRPr="008563BC">
        <w:t>, no 2016.</w:t>
      </w:r>
      <w:r>
        <w:t xml:space="preserve"> </w:t>
      </w:r>
      <w:r w:rsidRPr="008563BC">
        <w:t xml:space="preserve">gada tika </w:t>
      </w:r>
      <w:r w:rsidRPr="00850696">
        <w:rPr>
          <w:b/>
        </w:rPr>
        <w:t xml:space="preserve">atcelts fiksētais </w:t>
      </w:r>
      <w:r w:rsidR="00366CBC">
        <w:rPr>
          <w:b/>
        </w:rPr>
        <w:t>IIN</w:t>
      </w:r>
      <w:r w:rsidRPr="008563BC">
        <w:t xml:space="preserve"> 5% un 7% ieņēmumiem, kas pārsniedza 14 299 EUR</w:t>
      </w:r>
      <w:r w:rsidRPr="008563BC">
        <w:rPr>
          <w:rStyle w:val="FootnoteReference"/>
        </w:rPr>
        <w:footnoteReference w:id="91"/>
      </w:r>
      <w:r w:rsidRPr="008563BC">
        <w:t xml:space="preserve">. </w:t>
      </w:r>
      <w:r>
        <w:t xml:space="preserve">Šīs izmaiņas </w:t>
      </w:r>
      <w:r w:rsidRPr="00850696">
        <w:t>neietekmēja iedzīvotāju tiešos ienākumus</w:t>
      </w:r>
      <w:r>
        <w:t xml:space="preserve"> un attiecīgi nesniedza ieguldījumu ienākumu nevienlīdzības mazināšanā. Ceturtkārt, notika vairākas, kaut arī nelielas, </w:t>
      </w:r>
      <w:r w:rsidRPr="003A68F0">
        <w:rPr>
          <w:b/>
        </w:rPr>
        <w:t xml:space="preserve">izmaiņas </w:t>
      </w:r>
      <w:r w:rsidRPr="003A68F0">
        <w:rPr>
          <w:rStyle w:val="Strong"/>
          <w:color w:val="1F1F1F"/>
        </w:rPr>
        <w:t>valsts sociālās apdrošināšanas obligāto iemaksu likmēs</w:t>
      </w:r>
      <w:r w:rsidRPr="003645EA">
        <w:rPr>
          <w:rStyle w:val="Strong"/>
          <w:b w:val="0"/>
          <w:color w:val="1F1F1F"/>
        </w:rPr>
        <w:t xml:space="preserve"> (piemēram, samazināta darba ņēmēja un pensionāra-darba ņēmēja likme brīvības atņemšanas laikā – attiecīgi no 9,13% 2015.gadā uz 8,95% 2016.gadā un no 7,51% 2015.gadā uz 7,35% 2016.gadā; samazināta brīvprātīgā likme pensijai no 24,39% 2015.gadā uz 23,86% 2016.gadā). Citas VSAOI likmju izmaiņas ir bijušas vēl nenozīmīgākas pēc sava apmēra, tāpēc tās </w:t>
      </w:r>
      <w:r w:rsidRPr="003A68F0">
        <w:rPr>
          <w:rStyle w:val="Strong"/>
          <w:b w:val="0"/>
          <w:color w:val="1F1F1F"/>
        </w:rPr>
        <w:t xml:space="preserve">būtisku ietekmi uz iedzīvotāju tiešajiem ienākumiem netika sniegušas. </w:t>
      </w:r>
    </w:p>
    <w:p w:rsidR="001C29AD" w:rsidRPr="003A68F0" w:rsidRDefault="001C29AD" w:rsidP="00903901">
      <w:pPr>
        <w:shd w:val="clear" w:color="auto" w:fill="FFFFFF"/>
        <w:rPr>
          <w:rStyle w:val="Strong"/>
          <w:b w:val="0"/>
          <w:color w:val="1F1F1F"/>
        </w:rPr>
      </w:pPr>
    </w:p>
    <w:p w:rsidR="00B25B39" w:rsidRDefault="00903901" w:rsidP="006D1607">
      <w:r>
        <w:lastRenderedPageBreak/>
        <w:t xml:space="preserve">Nodokļu jomā tika veiktas izmaiņas, kas paredzēja ar 2016. gada 1. janvāri samazināt </w:t>
      </w:r>
      <w:r w:rsidRPr="007D5B73">
        <w:rPr>
          <w:b/>
        </w:rPr>
        <w:t>transportlīdzekļa ekspluatācijas nodoklis daudzbērnu ģimenēm</w:t>
      </w:r>
      <w:r>
        <w:t xml:space="preserve"> – personai, kurai pašai vai kopā ar laulāto vai kuras laulātajam apgādībā ir trīs vai vairāk nepilngadīgi bērni, par vienu no tās īpašumā, turējumā vai valdījumā reģistrētu transportlīdzekli transportlīdzekļa ekspluatācijas nodoklis par attiecīgo kalendāro gadu tika noteikts 50% apmērā (pirms tam transportlīdzekļa ekspluatācijas nodoklis bija jāmaksā 80% apmērā)</w:t>
      </w:r>
      <w:r>
        <w:rPr>
          <w:rStyle w:val="FootnoteReference"/>
        </w:rPr>
        <w:footnoteReference w:id="92"/>
      </w:r>
      <w:r>
        <w:t xml:space="preserve">. Šāds pasākums vērtējams kā </w:t>
      </w:r>
      <w:r w:rsidRPr="009715B8">
        <w:rPr>
          <w:b/>
        </w:rPr>
        <w:t>mērķēts atbalsts</w:t>
      </w:r>
      <w:r>
        <w:t xml:space="preserve"> ģimenēm ar trīs un vairāk bērniem ar ietekmi uz šo ģimeņu </w:t>
      </w:r>
      <w:r w:rsidRPr="00496FE4">
        <w:rPr>
          <w:b/>
        </w:rPr>
        <w:t>netiešajiem ienākumiem</w:t>
      </w:r>
      <w:r w:rsidR="006B4CD4">
        <w:t xml:space="preserve"> ar nosacījumu, ka ģimenei ir automašīna</w:t>
      </w:r>
      <w:r>
        <w:t xml:space="preserve">. </w:t>
      </w:r>
    </w:p>
    <w:p w:rsidR="00B25B39" w:rsidRDefault="00B25B39" w:rsidP="006D1607"/>
    <w:p w:rsidR="00903901" w:rsidRDefault="00903901" w:rsidP="006D1607">
      <w:pPr>
        <w:rPr>
          <w:rStyle w:val="Strong"/>
          <w:b w:val="0"/>
          <w:color w:val="1F1F1F"/>
        </w:rPr>
      </w:pPr>
      <w:r w:rsidRPr="003645EA">
        <w:rPr>
          <w:rStyle w:val="Strong"/>
          <w:b w:val="0"/>
          <w:color w:val="1F1F1F"/>
        </w:rPr>
        <w:t xml:space="preserve">Izmaiņas </w:t>
      </w:r>
      <w:r w:rsidR="006D51A6">
        <w:rPr>
          <w:rStyle w:val="Strong"/>
          <w:b w:val="0"/>
          <w:color w:val="1F1F1F"/>
        </w:rPr>
        <w:t xml:space="preserve">aplūkotajā periodā </w:t>
      </w:r>
      <w:r w:rsidRPr="003645EA">
        <w:rPr>
          <w:rStyle w:val="Strong"/>
          <w:b w:val="0"/>
          <w:color w:val="1F1F1F"/>
        </w:rPr>
        <w:t>skāra arī citus nodokļus, piemēram, tika veikti grozījumi</w:t>
      </w:r>
      <w:r w:rsidRPr="00126C5C">
        <w:rPr>
          <w:rStyle w:val="FootnoteReference"/>
          <w:color w:val="1F1F1F"/>
        </w:rPr>
        <w:footnoteReference w:id="93"/>
      </w:r>
      <w:r w:rsidRPr="00126C5C">
        <w:rPr>
          <w:rStyle w:val="Strong"/>
          <w:color w:val="1F1F1F"/>
        </w:rPr>
        <w:t xml:space="preserve"> </w:t>
      </w:r>
      <w:r w:rsidRPr="003645EA">
        <w:rPr>
          <w:rStyle w:val="Strong"/>
          <w:b w:val="0"/>
          <w:color w:val="1F1F1F"/>
        </w:rPr>
        <w:t xml:space="preserve">attiecībā uz nekustamo īpašumu nodokli (NĪN), konkrēti tā aprēķina metodiku, lai nodrošinātu samērīgu NĪN sloga pieaugumu, ņemot vērā tirgus vērtību un attiecīgi arī kadastrālo vērtību pieaugumu, taču šīm izmaiņām nebija ietekmes uz iedzīvotāju ienākumu līmeni. </w:t>
      </w:r>
    </w:p>
    <w:p w:rsidR="00903901" w:rsidRPr="003645EA" w:rsidRDefault="00903901" w:rsidP="00903901">
      <w:pPr>
        <w:shd w:val="clear" w:color="auto" w:fill="FFFFFF"/>
        <w:rPr>
          <w:rStyle w:val="Strong"/>
          <w:b w:val="0"/>
          <w:bCs w:val="0"/>
          <w:color w:val="1F1F1F"/>
        </w:rPr>
      </w:pPr>
    </w:p>
    <w:p w:rsidR="00120E06" w:rsidRDefault="00120E06" w:rsidP="003945E0">
      <w:pPr>
        <w:pStyle w:val="Heading2"/>
        <w:numPr>
          <w:ilvl w:val="1"/>
          <w:numId w:val="168"/>
        </w:numPr>
        <w:ind w:left="567" w:hanging="567"/>
      </w:pPr>
      <w:bookmarkStart w:id="165" w:name="_Toc6841528"/>
      <w:r w:rsidRPr="008D2645">
        <w:t>Statistikas datu analīze ienākumu palielināšanas, nabadzības, sociālās atstumtības un ienākumu nevienlīdzības jomā</w:t>
      </w:r>
      <w:bookmarkEnd w:id="165"/>
    </w:p>
    <w:p w:rsidR="00255CC4" w:rsidRPr="00A661B6" w:rsidRDefault="00255CC4" w:rsidP="00F23726">
      <w:pPr>
        <w:pStyle w:val="Heading3"/>
      </w:pPr>
      <w:bookmarkStart w:id="166" w:name="_Toc2949219"/>
      <w:bookmarkStart w:id="167" w:name="_Toc6841529"/>
      <w:r w:rsidRPr="00A661B6">
        <w:t>Ienākumu nevienlīdzību raksturojošie rādītāji dinamikā</w:t>
      </w:r>
      <w:bookmarkEnd w:id="166"/>
      <w:bookmarkEnd w:id="167"/>
    </w:p>
    <w:p w:rsidR="00255CC4" w:rsidRDefault="00255CC4" w:rsidP="00255CC4">
      <w:r w:rsidRPr="001C2D02">
        <w:t xml:space="preserve">Analizējot ienākumu nevienlīdzību, ir svarīgi ņemt vērā konceptuālās atšķirības starp ienākumu nevienlīdzību un ienākumu atšķirībām sociālās nevienlīdzības izpratnē. Ienākumu nevienlīdzība </w:t>
      </w:r>
      <w:r w:rsidR="00716212">
        <w:t xml:space="preserve">nozīmē </w:t>
      </w:r>
      <w:r w:rsidR="00716212" w:rsidRPr="003F3B10">
        <w:t>ienākumu nevienlīdzīgu pārdali starp iedzīvotājiem</w:t>
      </w:r>
      <w:r w:rsidR="00716212">
        <w:t>.</w:t>
      </w:r>
      <w:r w:rsidR="00716212" w:rsidRPr="001C2D02">
        <w:t xml:space="preserve"> </w:t>
      </w:r>
      <w:r w:rsidRPr="001C2D02">
        <w:t>Savukārt ienākumu atšķirības sociālās nevienlīdzības izpratnē raksturo, pirmkārt, mājsaimniecību ienākumu, t.sk. sociālo transfertu, atšķirības uz vienu mājsaimniecības locekli</w:t>
      </w:r>
      <w:r w:rsidR="00CD7303">
        <w:t xml:space="preserve"> un ekvivalento patērētāju</w:t>
      </w:r>
      <w:r w:rsidRPr="001C2D02">
        <w:t>, ņemot vērā, ka mājsaimniecības kopējie ienākumi ir piekrītoši visai mājsaimniecībai, ne tikai tiešo ienākumu guvējiem, izņemot gadījumus, kad tā ir vienas personas mājsaimniecība. Otrkārt</w:t>
      </w:r>
      <w:r>
        <w:t xml:space="preserve">, ienākumu atšķirības sociālās nevienlīdzības izpratnē ir tieši saistītas ar konkrētām sociāli demogrāfiskām pazīmēm – vecumu, dzimumu, nodarbinātības statusu, izglītības līmeni, dzīves vietu, veselības stāvokli u.c., kas nosaka personas piederību noteiktai sociālajai grupai un attiecīgi šīs grupas objektīvās iespējas gūt savām vajadzībām atbilstošus ienākumus un saņemt valsts vai pašvaldības atbalstu ienākumu nevienlīdzības mazināšanai. </w:t>
      </w:r>
    </w:p>
    <w:p w:rsidR="0027704D" w:rsidRDefault="0027704D" w:rsidP="00255CC4"/>
    <w:p w:rsidR="00255CC4" w:rsidRDefault="00255CC4" w:rsidP="00255CC4">
      <w:r w:rsidRPr="00EA0927">
        <w:t>Ienākumu nevienlīdzības rādītāju raksturošanai izmantoti divi rādītāji</w:t>
      </w:r>
      <w:r>
        <w:t>, kas</w:t>
      </w:r>
      <w:r w:rsidRPr="00EA0927">
        <w:t xml:space="preserve"> aprēķināti</w:t>
      </w:r>
      <w:r>
        <w:t>,</w:t>
      </w:r>
      <w:r w:rsidRPr="00EA0927">
        <w:t xml:space="preserve"> izmantojot </w:t>
      </w:r>
      <w:r>
        <w:t>CSP</w:t>
      </w:r>
      <w:r w:rsidRPr="00EA0927">
        <w:t xml:space="preserve"> datus.</w:t>
      </w:r>
      <w:r>
        <w:t xml:space="preserve"> Pirmais rādītājs ir </w:t>
      </w:r>
      <w:r w:rsidRPr="00EA0927">
        <w:t>S80/S20 kvintiļu attiecību indekss, kas nosaka</w:t>
      </w:r>
      <w:r>
        <w:t>,</w:t>
      </w:r>
      <w:r w:rsidRPr="00EA0927">
        <w:t xml:space="preserve"> kāda ir attiecība starp rīcībā esošo ienākumu summu, ko saņem 20% valsts iedzīvotāju ar augstākajiem ienākumiem (</w:t>
      </w:r>
      <w:r>
        <w:t>visturīgākā</w:t>
      </w:r>
      <w:r w:rsidRPr="00EA0927">
        <w:t xml:space="preserve"> kvintile), pret ienākumu summu, ko saņem 20% valsts iedzīvotāju ar zemākajiem ienākumiem (</w:t>
      </w:r>
      <w:r>
        <w:t>vistrūcīgākā</w:t>
      </w:r>
      <w:r w:rsidRPr="00EA0927">
        <w:t xml:space="preserve"> kvintile).</w:t>
      </w:r>
      <w:r w:rsidRPr="00EA0927">
        <w:rPr>
          <w:rStyle w:val="FootnoteReference"/>
        </w:rPr>
        <w:footnoteReference w:id="94"/>
      </w:r>
      <w:r>
        <w:t xml:space="preserve"> Otrs izmantotais rādītājs ir </w:t>
      </w:r>
      <w:r w:rsidRPr="00EA0927">
        <w:t>Dž</w:t>
      </w:r>
      <w:r>
        <w:t>i</w:t>
      </w:r>
      <w:r w:rsidRPr="00EA0927">
        <w:t>n</w:t>
      </w:r>
      <w:r>
        <w:t>i</w:t>
      </w:r>
      <w:r w:rsidRPr="00EA0927">
        <w:t xml:space="preserve"> koeficients, kas raksturo </w:t>
      </w:r>
      <w:r>
        <w:t xml:space="preserve">ienākumu </w:t>
      </w:r>
      <w:r w:rsidRPr="00EA0927">
        <w:t>nevienlīdzību</w:t>
      </w:r>
      <w:r>
        <w:t xml:space="preserve"> skalā</w:t>
      </w:r>
      <w:r w:rsidRPr="00EA0927">
        <w:t xml:space="preserve"> no 0 līdz 100. Džini koeficients ir 0, ja pastāv absolūta ienākumu vienlīdzība (t. i., visiem iedzīvotājiem ir vienādi ienākumi), bet, jo vairāk tas tuvojas 100, jo lielāka ir </w:t>
      </w:r>
      <w:r w:rsidRPr="00EA0927">
        <w:lastRenderedPageBreak/>
        <w:t>ienākumu nevienlīdzība.</w:t>
      </w:r>
      <w:r w:rsidRPr="00EA0927">
        <w:rPr>
          <w:rStyle w:val="FootnoteReference"/>
        </w:rPr>
        <w:footnoteReference w:id="95"/>
      </w:r>
      <w:r w:rsidR="00373D88">
        <w:t xml:space="preserve"> </w:t>
      </w:r>
      <w:r w:rsidRPr="00EA0927">
        <w:t>Abi šie rādītāji ietilpst CSP Monetārās nabadzības, ienākumu nevienlīdzības indikator</w:t>
      </w:r>
      <w:r>
        <w:t>u grupā</w:t>
      </w:r>
      <w:r w:rsidRPr="00EA0927">
        <w:t>.</w:t>
      </w:r>
      <w:r>
        <w:t xml:space="preserve"> </w:t>
      </w:r>
      <w:r w:rsidRPr="00EA0927">
        <w:t xml:space="preserve">Monetārās nabadzības un ienākumu nevienlīdzības indikatorus Lākenas Eiropadome pieņēma 2001. gada decembrī, lai varētu izvērtēt un novērot Eiropas Savienības (ES) dalībvalstu progresu sociālās </w:t>
      </w:r>
      <w:r w:rsidRPr="00FE4F60">
        <w:t>atstumtības mazināšanā. Šie indikatori ir relatīvi, un tie ir atvasināti no vidējā ienākumu līmeņa. T</w:t>
      </w:r>
      <w:r>
        <w:t xml:space="preserve">as nozīmē, ka tie </w:t>
      </w:r>
      <w:r w:rsidRPr="00EA0927">
        <w:t>raksturo relatīvo, nevis absolūto nabadzības risku valsts iedzīvotāju vidū.</w:t>
      </w:r>
      <w:r>
        <w:t xml:space="preserve"> </w:t>
      </w:r>
      <w:r w:rsidRPr="00EA0927">
        <w:t>Monetārās nabadzības un ienākumu nevienlīdzības indikator</w:t>
      </w:r>
      <w:r>
        <w:t>u mērījumi</w:t>
      </w:r>
      <w:r w:rsidRPr="00EA0927">
        <w:t xml:space="preserve"> tiek iegūti apsekojumā </w:t>
      </w:r>
      <w:r>
        <w:t>„</w:t>
      </w:r>
      <w:r w:rsidRPr="00EA0927">
        <w:t>Eiropas Savienības statistika par ienākumiem un dzīves apstākļiem” (</w:t>
      </w:r>
      <w:r w:rsidRPr="005A1125">
        <w:t>EU-SILC</w:t>
      </w:r>
      <w:r w:rsidRPr="00EA0927">
        <w:t>)</w:t>
      </w:r>
      <w:r w:rsidR="007A7E41">
        <w:t xml:space="preserve"> un ir galvenais avots arī šajā Izvērtējumā</w:t>
      </w:r>
      <w:r w:rsidRPr="00EA0927">
        <w:t>.</w:t>
      </w:r>
      <w:r>
        <w:t xml:space="preserve"> Šie rādītāji kopumā uzskatāmi par makro līmeņa nevienlīdzību raksturojošiem rādītājiem.</w:t>
      </w:r>
    </w:p>
    <w:p w:rsidR="00255CC4" w:rsidRPr="00315872" w:rsidRDefault="00255CC4" w:rsidP="00DE4D97">
      <w:pPr>
        <w:pStyle w:val="virsrakstslvl4"/>
      </w:pPr>
      <w:bookmarkStart w:id="168" w:name="_Toc2761047"/>
      <w:bookmarkStart w:id="169" w:name="_Toc2848146"/>
      <w:bookmarkStart w:id="170" w:name="_Toc6220070"/>
      <w:bookmarkStart w:id="171" w:name="_Toc6841530"/>
      <w:r w:rsidRPr="00315872">
        <w:t xml:space="preserve">S80/S20 </w:t>
      </w:r>
      <w:r w:rsidRPr="00AB7A9E">
        <w:t>kvintiļu</w:t>
      </w:r>
      <w:r w:rsidRPr="00315872">
        <w:t xml:space="preserve"> </w:t>
      </w:r>
      <w:r w:rsidRPr="00DA49DB">
        <w:t>attiecību</w:t>
      </w:r>
      <w:r w:rsidRPr="00315872">
        <w:t xml:space="preserve"> indekss</w:t>
      </w:r>
      <w:bookmarkEnd w:id="168"/>
      <w:bookmarkEnd w:id="169"/>
      <w:bookmarkEnd w:id="170"/>
      <w:bookmarkEnd w:id="171"/>
    </w:p>
    <w:p w:rsidR="00336976" w:rsidRDefault="00255CC4" w:rsidP="00336976">
      <w:r w:rsidRPr="00EA0927">
        <w:t xml:space="preserve">S80/S20 ienākumu kvintiļu attiecības indekss </w:t>
      </w:r>
      <w:r>
        <w:t xml:space="preserve">iedzīvotāju vidū kopumā </w:t>
      </w:r>
      <w:r w:rsidRPr="00EA0927">
        <w:t>laik</w:t>
      </w:r>
      <w:r>
        <w:t>ā</w:t>
      </w:r>
      <w:r w:rsidRPr="00EA0927">
        <w:t xml:space="preserve"> no 2014.</w:t>
      </w:r>
      <w:r>
        <w:t xml:space="preserve"> gada</w:t>
      </w:r>
      <w:r w:rsidRPr="00EA0927">
        <w:t xml:space="preserve"> līdz 2016. gadam </w:t>
      </w:r>
      <w:r>
        <w:t>ir svārstījies</w:t>
      </w:r>
      <w:r w:rsidRPr="00EA0927">
        <w:t xml:space="preserve"> robežās no 6,5 līdz 6,2</w:t>
      </w:r>
      <w:r>
        <w:t xml:space="preserve">, 2016. gadā sasniedzot 6,3 (sk. </w:t>
      </w:r>
      <w:r w:rsidR="006E1579">
        <w:t>1.4</w:t>
      </w:r>
      <w:r>
        <w:t>. tabulu)</w:t>
      </w:r>
      <w:r w:rsidRPr="00EA0927">
        <w:t xml:space="preserve">. </w:t>
      </w:r>
      <w:r>
        <w:t xml:space="preserve">Tas nozīmē, ka šajā periodā nabadzīgāko iedzīvotāju ienākumi ir 6,5 līdz 6,3 reizes zemāki nekā turīgākajai iedzīvotāju daļai. </w:t>
      </w:r>
    </w:p>
    <w:p w:rsidR="00255CC4" w:rsidRPr="00653271" w:rsidRDefault="00AD3EDD" w:rsidP="008C6B83">
      <w:pPr>
        <w:pStyle w:val="Caption"/>
      </w:pPr>
      <w:r>
        <w:fldChar w:fldCharType="begin"/>
      </w:r>
      <w:r w:rsidR="00696156">
        <w:instrText xml:space="preserve"> STYLEREF 1 \s </w:instrText>
      </w:r>
      <w:r>
        <w:fldChar w:fldCharType="separate"/>
      </w:r>
      <w:r w:rsidR="00224B50">
        <w:rPr>
          <w:noProof/>
        </w:rPr>
        <w:t>1</w:t>
      </w:r>
      <w:r>
        <w:fldChar w:fldCharType="end"/>
      </w:r>
      <w:r w:rsidR="00A46B54">
        <w:t>.</w:t>
      </w:r>
      <w:r w:rsidR="000A7157">
        <w:t>4</w:t>
      </w:r>
      <w:r w:rsidR="009B613D">
        <w:t xml:space="preserve">. tabula. </w:t>
      </w:r>
      <w:r w:rsidR="00255CC4" w:rsidRPr="00653271">
        <w:t>S80/S20 ienākumu kvintiļu attiecības indekss pēc vecuma</w:t>
      </w:r>
      <w:r w:rsidR="00255CC4">
        <w:t xml:space="preserve"> (2014-2017)</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026"/>
        <w:gridCol w:w="993"/>
        <w:gridCol w:w="992"/>
        <w:gridCol w:w="992"/>
      </w:tblGrid>
      <w:tr w:rsidR="00255CC4" w:rsidRPr="00BC22F8" w:rsidTr="00BC22F8">
        <w:trPr>
          <w:trHeight w:val="330"/>
        </w:trPr>
        <w:tc>
          <w:tcPr>
            <w:tcW w:w="2943" w:type="dxa"/>
            <w:shd w:val="clear" w:color="auto" w:fill="B8CCE4" w:themeFill="accent1" w:themeFillTint="66"/>
            <w:noWrap/>
            <w:hideMark/>
          </w:tcPr>
          <w:p w:rsidR="00255CC4" w:rsidRPr="00BC22F8" w:rsidRDefault="00255CC4" w:rsidP="00255CC4">
            <w:pPr>
              <w:rPr>
                <w:b/>
                <w:bCs/>
                <w:color w:val="002060"/>
                <w:sz w:val="22"/>
                <w:szCs w:val="22"/>
              </w:rPr>
            </w:pPr>
            <w:r w:rsidRPr="00BC22F8">
              <w:rPr>
                <w:b/>
                <w:bCs/>
                <w:color w:val="002060"/>
                <w:sz w:val="22"/>
                <w:szCs w:val="22"/>
              </w:rPr>
              <w:t>Vecuma grupas</w:t>
            </w:r>
          </w:p>
        </w:tc>
        <w:tc>
          <w:tcPr>
            <w:tcW w:w="1026" w:type="dxa"/>
            <w:shd w:val="clear" w:color="auto" w:fill="B8CCE4" w:themeFill="accent1" w:themeFillTint="66"/>
            <w:noWrap/>
            <w:hideMark/>
          </w:tcPr>
          <w:p w:rsidR="00255CC4" w:rsidRPr="00BC22F8" w:rsidRDefault="00255CC4" w:rsidP="00255CC4">
            <w:pPr>
              <w:rPr>
                <w:b/>
                <w:bCs/>
                <w:color w:val="002060"/>
                <w:sz w:val="22"/>
                <w:szCs w:val="22"/>
              </w:rPr>
            </w:pPr>
            <w:r w:rsidRPr="00BC22F8">
              <w:rPr>
                <w:b/>
                <w:bCs/>
                <w:color w:val="002060"/>
                <w:sz w:val="22"/>
                <w:szCs w:val="22"/>
              </w:rPr>
              <w:t>2014</w:t>
            </w:r>
          </w:p>
        </w:tc>
        <w:tc>
          <w:tcPr>
            <w:tcW w:w="993" w:type="dxa"/>
            <w:shd w:val="clear" w:color="auto" w:fill="B8CCE4" w:themeFill="accent1" w:themeFillTint="66"/>
            <w:noWrap/>
            <w:hideMark/>
          </w:tcPr>
          <w:p w:rsidR="00255CC4" w:rsidRPr="00BC22F8" w:rsidRDefault="00255CC4" w:rsidP="00255CC4">
            <w:pPr>
              <w:rPr>
                <w:b/>
                <w:bCs/>
                <w:color w:val="002060"/>
                <w:sz w:val="22"/>
                <w:szCs w:val="22"/>
              </w:rPr>
            </w:pPr>
            <w:r w:rsidRPr="00BC22F8">
              <w:rPr>
                <w:b/>
                <w:bCs/>
                <w:color w:val="002060"/>
                <w:sz w:val="22"/>
                <w:szCs w:val="22"/>
              </w:rPr>
              <w:t>2015</w:t>
            </w:r>
          </w:p>
        </w:tc>
        <w:tc>
          <w:tcPr>
            <w:tcW w:w="992" w:type="dxa"/>
            <w:shd w:val="clear" w:color="auto" w:fill="B8CCE4" w:themeFill="accent1" w:themeFillTint="66"/>
            <w:noWrap/>
            <w:hideMark/>
          </w:tcPr>
          <w:p w:rsidR="00255CC4" w:rsidRPr="00BC22F8" w:rsidRDefault="00255CC4" w:rsidP="00255CC4">
            <w:pPr>
              <w:rPr>
                <w:b/>
                <w:bCs/>
                <w:color w:val="002060"/>
                <w:sz w:val="22"/>
                <w:szCs w:val="22"/>
              </w:rPr>
            </w:pPr>
            <w:r w:rsidRPr="00BC22F8">
              <w:rPr>
                <w:b/>
                <w:bCs/>
                <w:color w:val="002060"/>
                <w:sz w:val="22"/>
                <w:szCs w:val="22"/>
              </w:rPr>
              <w:t>2016</w:t>
            </w:r>
          </w:p>
        </w:tc>
        <w:tc>
          <w:tcPr>
            <w:tcW w:w="992" w:type="dxa"/>
            <w:shd w:val="clear" w:color="auto" w:fill="B8CCE4" w:themeFill="accent1" w:themeFillTint="66"/>
          </w:tcPr>
          <w:p w:rsidR="00255CC4" w:rsidRPr="00BC22F8" w:rsidRDefault="00255CC4" w:rsidP="00255CC4">
            <w:pPr>
              <w:rPr>
                <w:b/>
                <w:bCs/>
                <w:color w:val="002060"/>
                <w:sz w:val="22"/>
                <w:szCs w:val="22"/>
              </w:rPr>
            </w:pPr>
            <w:r w:rsidRPr="00BC22F8">
              <w:rPr>
                <w:b/>
                <w:bCs/>
                <w:color w:val="002060"/>
                <w:sz w:val="22"/>
                <w:szCs w:val="22"/>
              </w:rPr>
              <w:t>2017</w:t>
            </w:r>
          </w:p>
        </w:tc>
      </w:tr>
      <w:tr w:rsidR="00255CC4" w:rsidRPr="00126C5C" w:rsidTr="00255CC4">
        <w:trPr>
          <w:trHeight w:val="330"/>
        </w:trPr>
        <w:tc>
          <w:tcPr>
            <w:tcW w:w="2943" w:type="dxa"/>
            <w:noWrap/>
            <w:hideMark/>
          </w:tcPr>
          <w:p w:rsidR="00255CC4" w:rsidRPr="00126C5C" w:rsidRDefault="00255CC4" w:rsidP="00255CC4">
            <w:pPr>
              <w:jc w:val="left"/>
              <w:rPr>
                <w:b/>
                <w:bCs/>
                <w:sz w:val="22"/>
                <w:szCs w:val="22"/>
              </w:rPr>
            </w:pPr>
            <w:r w:rsidRPr="00126C5C">
              <w:rPr>
                <w:b/>
                <w:bCs/>
                <w:sz w:val="22"/>
                <w:szCs w:val="22"/>
              </w:rPr>
              <w:t>Visi iedzīvotāji</w:t>
            </w:r>
          </w:p>
        </w:tc>
        <w:tc>
          <w:tcPr>
            <w:tcW w:w="1026" w:type="dxa"/>
            <w:noWrap/>
            <w:hideMark/>
          </w:tcPr>
          <w:p w:rsidR="00255CC4" w:rsidRPr="00126C5C" w:rsidRDefault="00255CC4" w:rsidP="00255CC4">
            <w:pPr>
              <w:jc w:val="center"/>
              <w:rPr>
                <w:b/>
                <w:bCs/>
                <w:sz w:val="22"/>
                <w:szCs w:val="22"/>
              </w:rPr>
            </w:pPr>
            <w:r w:rsidRPr="00126C5C">
              <w:rPr>
                <w:b/>
                <w:bCs/>
                <w:sz w:val="22"/>
                <w:szCs w:val="22"/>
              </w:rPr>
              <w:t>6,5</w:t>
            </w:r>
          </w:p>
        </w:tc>
        <w:tc>
          <w:tcPr>
            <w:tcW w:w="993" w:type="dxa"/>
            <w:noWrap/>
            <w:hideMark/>
          </w:tcPr>
          <w:p w:rsidR="00255CC4" w:rsidRPr="00126C5C" w:rsidRDefault="00255CC4" w:rsidP="00255CC4">
            <w:pPr>
              <w:jc w:val="center"/>
              <w:rPr>
                <w:b/>
                <w:bCs/>
                <w:sz w:val="22"/>
                <w:szCs w:val="22"/>
              </w:rPr>
            </w:pPr>
            <w:r w:rsidRPr="00126C5C">
              <w:rPr>
                <w:b/>
                <w:bCs/>
                <w:sz w:val="22"/>
                <w:szCs w:val="22"/>
              </w:rPr>
              <w:t>6,2</w:t>
            </w:r>
          </w:p>
        </w:tc>
        <w:tc>
          <w:tcPr>
            <w:tcW w:w="992" w:type="dxa"/>
            <w:noWrap/>
            <w:hideMark/>
          </w:tcPr>
          <w:p w:rsidR="00255CC4" w:rsidRPr="00126C5C" w:rsidRDefault="00255CC4" w:rsidP="00255CC4">
            <w:pPr>
              <w:jc w:val="center"/>
              <w:rPr>
                <w:b/>
                <w:bCs/>
                <w:sz w:val="22"/>
                <w:szCs w:val="22"/>
              </w:rPr>
            </w:pPr>
            <w:r w:rsidRPr="00126C5C">
              <w:rPr>
                <w:b/>
                <w:bCs/>
                <w:sz w:val="22"/>
                <w:szCs w:val="22"/>
              </w:rPr>
              <w:t>6,3</w:t>
            </w:r>
          </w:p>
        </w:tc>
        <w:tc>
          <w:tcPr>
            <w:tcW w:w="992" w:type="dxa"/>
          </w:tcPr>
          <w:p w:rsidR="00255CC4" w:rsidRPr="00126C5C" w:rsidRDefault="00255CC4" w:rsidP="00255CC4">
            <w:pPr>
              <w:jc w:val="center"/>
              <w:rPr>
                <w:b/>
                <w:bCs/>
                <w:sz w:val="22"/>
                <w:szCs w:val="22"/>
              </w:rPr>
            </w:pPr>
            <w:r w:rsidRPr="00126C5C">
              <w:rPr>
                <w:b/>
                <w:bCs/>
                <w:sz w:val="22"/>
                <w:szCs w:val="22"/>
              </w:rPr>
              <w:t>6,8</w:t>
            </w:r>
          </w:p>
        </w:tc>
      </w:tr>
      <w:tr w:rsidR="00255CC4" w:rsidRPr="00126C5C" w:rsidTr="00255CC4">
        <w:trPr>
          <w:trHeight w:val="330"/>
        </w:trPr>
        <w:tc>
          <w:tcPr>
            <w:tcW w:w="2943" w:type="dxa"/>
            <w:noWrap/>
          </w:tcPr>
          <w:p w:rsidR="00255CC4" w:rsidRPr="00126C5C" w:rsidRDefault="00255CC4" w:rsidP="00255CC4">
            <w:pPr>
              <w:jc w:val="left"/>
              <w:rPr>
                <w:bCs/>
                <w:i/>
                <w:sz w:val="22"/>
                <w:szCs w:val="22"/>
              </w:rPr>
            </w:pPr>
            <w:r w:rsidRPr="00126C5C">
              <w:rPr>
                <w:bCs/>
                <w:i/>
                <w:sz w:val="22"/>
                <w:szCs w:val="22"/>
              </w:rPr>
              <w:t>no tiem:</w:t>
            </w:r>
          </w:p>
        </w:tc>
        <w:tc>
          <w:tcPr>
            <w:tcW w:w="3011" w:type="dxa"/>
            <w:gridSpan w:val="3"/>
            <w:noWrap/>
          </w:tcPr>
          <w:p w:rsidR="00255CC4" w:rsidRPr="00126C5C" w:rsidRDefault="00255CC4" w:rsidP="00255CC4">
            <w:pPr>
              <w:jc w:val="center"/>
              <w:rPr>
                <w:b/>
                <w:bCs/>
                <w:sz w:val="22"/>
                <w:szCs w:val="22"/>
              </w:rPr>
            </w:pPr>
          </w:p>
        </w:tc>
        <w:tc>
          <w:tcPr>
            <w:tcW w:w="992" w:type="dxa"/>
          </w:tcPr>
          <w:p w:rsidR="00255CC4" w:rsidRPr="00126C5C" w:rsidRDefault="00255CC4" w:rsidP="00255CC4">
            <w:pPr>
              <w:jc w:val="center"/>
              <w:rPr>
                <w:b/>
                <w:bCs/>
                <w:sz w:val="22"/>
                <w:szCs w:val="22"/>
              </w:rPr>
            </w:pPr>
          </w:p>
        </w:tc>
      </w:tr>
      <w:tr w:rsidR="00255CC4" w:rsidRPr="00126C5C" w:rsidTr="00255CC4">
        <w:trPr>
          <w:trHeight w:val="330"/>
        </w:trPr>
        <w:tc>
          <w:tcPr>
            <w:tcW w:w="2943" w:type="dxa"/>
            <w:noWrap/>
            <w:hideMark/>
          </w:tcPr>
          <w:p w:rsidR="00255CC4" w:rsidRPr="00126C5C" w:rsidRDefault="00255CC4" w:rsidP="00255CC4">
            <w:pPr>
              <w:rPr>
                <w:sz w:val="22"/>
                <w:szCs w:val="22"/>
              </w:rPr>
            </w:pPr>
            <w:r w:rsidRPr="00126C5C">
              <w:rPr>
                <w:sz w:val="22"/>
                <w:szCs w:val="22"/>
              </w:rPr>
              <w:t>Iedzīvotāji vecumā 0-64</w:t>
            </w:r>
            <w:r>
              <w:rPr>
                <w:sz w:val="22"/>
                <w:szCs w:val="22"/>
              </w:rPr>
              <w:t xml:space="preserve"> gadi</w:t>
            </w:r>
          </w:p>
        </w:tc>
        <w:tc>
          <w:tcPr>
            <w:tcW w:w="1026" w:type="dxa"/>
            <w:noWrap/>
            <w:hideMark/>
          </w:tcPr>
          <w:p w:rsidR="00255CC4" w:rsidRPr="00126C5C" w:rsidRDefault="00255CC4" w:rsidP="00255CC4">
            <w:pPr>
              <w:jc w:val="center"/>
              <w:rPr>
                <w:sz w:val="22"/>
                <w:szCs w:val="22"/>
              </w:rPr>
            </w:pPr>
            <w:r w:rsidRPr="00126C5C">
              <w:rPr>
                <w:sz w:val="22"/>
                <w:szCs w:val="22"/>
              </w:rPr>
              <w:t>6,9</w:t>
            </w:r>
          </w:p>
        </w:tc>
        <w:tc>
          <w:tcPr>
            <w:tcW w:w="993" w:type="dxa"/>
            <w:noWrap/>
            <w:hideMark/>
          </w:tcPr>
          <w:p w:rsidR="00255CC4" w:rsidRPr="00126C5C" w:rsidRDefault="00255CC4" w:rsidP="00255CC4">
            <w:pPr>
              <w:jc w:val="center"/>
              <w:rPr>
                <w:sz w:val="22"/>
                <w:szCs w:val="22"/>
              </w:rPr>
            </w:pPr>
            <w:r w:rsidRPr="00126C5C">
              <w:rPr>
                <w:sz w:val="22"/>
                <w:szCs w:val="22"/>
              </w:rPr>
              <w:t>6,2</w:t>
            </w:r>
          </w:p>
        </w:tc>
        <w:tc>
          <w:tcPr>
            <w:tcW w:w="992" w:type="dxa"/>
            <w:noWrap/>
            <w:hideMark/>
          </w:tcPr>
          <w:p w:rsidR="00255CC4" w:rsidRPr="00126C5C" w:rsidRDefault="00255CC4" w:rsidP="00255CC4">
            <w:pPr>
              <w:jc w:val="center"/>
              <w:rPr>
                <w:sz w:val="22"/>
                <w:szCs w:val="22"/>
              </w:rPr>
            </w:pPr>
            <w:r w:rsidRPr="00126C5C">
              <w:rPr>
                <w:sz w:val="22"/>
                <w:szCs w:val="22"/>
              </w:rPr>
              <w:t>6,3</w:t>
            </w:r>
          </w:p>
        </w:tc>
        <w:tc>
          <w:tcPr>
            <w:tcW w:w="992" w:type="dxa"/>
          </w:tcPr>
          <w:p w:rsidR="00255CC4" w:rsidRPr="00126C5C" w:rsidRDefault="00255CC4" w:rsidP="00255CC4">
            <w:pPr>
              <w:jc w:val="center"/>
              <w:rPr>
                <w:sz w:val="22"/>
                <w:szCs w:val="22"/>
              </w:rPr>
            </w:pPr>
            <w:r w:rsidRPr="00126C5C">
              <w:rPr>
                <w:sz w:val="22"/>
                <w:szCs w:val="22"/>
              </w:rPr>
              <w:t>6,7</w:t>
            </w:r>
          </w:p>
        </w:tc>
      </w:tr>
      <w:tr w:rsidR="00255CC4" w:rsidRPr="00126C5C" w:rsidTr="00255CC4">
        <w:trPr>
          <w:trHeight w:val="330"/>
        </w:trPr>
        <w:tc>
          <w:tcPr>
            <w:tcW w:w="2943" w:type="dxa"/>
            <w:noWrap/>
            <w:hideMark/>
          </w:tcPr>
          <w:p w:rsidR="00255CC4" w:rsidRPr="00126C5C" w:rsidRDefault="00255CC4" w:rsidP="00255CC4">
            <w:pPr>
              <w:rPr>
                <w:sz w:val="22"/>
                <w:szCs w:val="22"/>
              </w:rPr>
            </w:pPr>
            <w:r w:rsidRPr="00126C5C">
              <w:rPr>
                <w:sz w:val="22"/>
                <w:szCs w:val="22"/>
              </w:rPr>
              <w:t>Iedzīvotāji vecumā 65+</w:t>
            </w:r>
            <w:r>
              <w:rPr>
                <w:sz w:val="22"/>
                <w:szCs w:val="22"/>
              </w:rPr>
              <w:t xml:space="preserve"> gadi</w:t>
            </w:r>
          </w:p>
        </w:tc>
        <w:tc>
          <w:tcPr>
            <w:tcW w:w="1026" w:type="dxa"/>
            <w:noWrap/>
            <w:hideMark/>
          </w:tcPr>
          <w:p w:rsidR="00255CC4" w:rsidRPr="00126C5C" w:rsidRDefault="00255CC4" w:rsidP="00255CC4">
            <w:pPr>
              <w:jc w:val="center"/>
              <w:rPr>
                <w:sz w:val="22"/>
                <w:szCs w:val="22"/>
              </w:rPr>
            </w:pPr>
            <w:r w:rsidRPr="00126C5C">
              <w:rPr>
                <w:sz w:val="22"/>
                <w:szCs w:val="22"/>
              </w:rPr>
              <w:t>4,2</w:t>
            </w:r>
          </w:p>
        </w:tc>
        <w:tc>
          <w:tcPr>
            <w:tcW w:w="993" w:type="dxa"/>
            <w:noWrap/>
            <w:hideMark/>
          </w:tcPr>
          <w:p w:rsidR="00255CC4" w:rsidRPr="00126C5C" w:rsidRDefault="00255CC4" w:rsidP="00255CC4">
            <w:pPr>
              <w:jc w:val="center"/>
              <w:rPr>
                <w:sz w:val="22"/>
                <w:szCs w:val="22"/>
              </w:rPr>
            </w:pPr>
            <w:r w:rsidRPr="00126C5C">
              <w:rPr>
                <w:sz w:val="22"/>
                <w:szCs w:val="22"/>
              </w:rPr>
              <w:t>4,6</w:t>
            </w:r>
          </w:p>
        </w:tc>
        <w:tc>
          <w:tcPr>
            <w:tcW w:w="992" w:type="dxa"/>
            <w:noWrap/>
            <w:hideMark/>
          </w:tcPr>
          <w:p w:rsidR="00255CC4" w:rsidRPr="00126C5C" w:rsidRDefault="00255CC4" w:rsidP="00255CC4">
            <w:pPr>
              <w:jc w:val="center"/>
              <w:rPr>
                <w:sz w:val="22"/>
                <w:szCs w:val="22"/>
              </w:rPr>
            </w:pPr>
            <w:r w:rsidRPr="00126C5C">
              <w:rPr>
                <w:sz w:val="22"/>
                <w:szCs w:val="22"/>
              </w:rPr>
              <w:t>4,8</w:t>
            </w:r>
          </w:p>
        </w:tc>
        <w:tc>
          <w:tcPr>
            <w:tcW w:w="992" w:type="dxa"/>
          </w:tcPr>
          <w:p w:rsidR="00255CC4" w:rsidRPr="00126C5C" w:rsidRDefault="00255CC4" w:rsidP="00255CC4">
            <w:pPr>
              <w:jc w:val="center"/>
              <w:rPr>
                <w:sz w:val="22"/>
                <w:szCs w:val="22"/>
              </w:rPr>
            </w:pPr>
            <w:r w:rsidRPr="00126C5C">
              <w:rPr>
                <w:sz w:val="22"/>
                <w:szCs w:val="22"/>
              </w:rPr>
              <w:t>5,1</w:t>
            </w:r>
          </w:p>
        </w:tc>
      </w:tr>
    </w:tbl>
    <w:p w:rsidR="00255CC4" w:rsidRPr="0053365E" w:rsidRDefault="00255CC4" w:rsidP="00255CC4">
      <w:pPr>
        <w:rPr>
          <w:sz w:val="20"/>
          <w:szCs w:val="20"/>
        </w:rPr>
      </w:pPr>
      <w:r w:rsidRPr="0053365E">
        <w:rPr>
          <w:sz w:val="20"/>
          <w:szCs w:val="20"/>
        </w:rPr>
        <w:t>Avots: CSP, “NIG110. S80/S20 ienākumu kvintiļu attiecības indekss pēc vecuma”.</w:t>
      </w:r>
    </w:p>
    <w:p w:rsidR="00255CC4" w:rsidRDefault="00255CC4" w:rsidP="00255CC4">
      <w:pPr>
        <w:pStyle w:val="ListParagraph"/>
        <w:ind w:left="0"/>
      </w:pPr>
    </w:p>
    <w:p w:rsidR="00373D88" w:rsidRDefault="00373D88" w:rsidP="00255CC4">
      <w:r>
        <w:t>Kopējās izmaiņas šajā rādītājā Izvērtējuma periodā ir salīdzinoši nelielas – par 0,2 punktiem. Taču 2017. gadā rādītājs atkal palielinās, sasniedzot 6,8 punktus, kas liecina par ienākumu nevienlīdzības pieaugumu.</w:t>
      </w:r>
      <w:r w:rsidRPr="00336976">
        <w:t xml:space="preserve"> </w:t>
      </w:r>
      <w:r>
        <w:t xml:space="preserve">Jāņem vērā, ka rādītāja aprēķināšanas metodika pati par sevi nosaka to, ka rādītājs var mainīties ļoti minimālā amplitūdā. Turklāt Latvijas gadījumā nozīme ir arī augstajam vecuma pensijas saņēmēju īpatsvaram, kuru ienākumi ir relatīvi zemi. </w:t>
      </w:r>
    </w:p>
    <w:p w:rsidR="00373D88" w:rsidRDefault="00373D88" w:rsidP="00255CC4"/>
    <w:p w:rsidR="00255CC4" w:rsidRDefault="00255CC4" w:rsidP="00255CC4">
      <w:r>
        <w:t xml:space="preserve">Citāda ir aina, ja dati tiek skatīti divās lielās vecuma grupās, kas, pieņemot, ka pensionēšanās vecums ir 65 gadi, indikatīvi atbilst arī iedzīvotāju sadalījumam atbilstoši darbspējas vecumam, attiecīgi ir saistīts ar pamata ienākumu avotu – no algota darba vai vecuma pensijas. Iedzīvotāju vidū </w:t>
      </w:r>
      <w:r w:rsidRPr="00DA77DC">
        <w:rPr>
          <w:b/>
        </w:rPr>
        <w:t>vecumā no 16 līdz 65 gadiem</w:t>
      </w:r>
      <w:r>
        <w:t xml:space="preserve"> </w:t>
      </w:r>
      <w:r w:rsidRPr="00EA0927">
        <w:t xml:space="preserve">S80/S20 ienākumu kvintiļu attiecības indekss 2016. gadā </w:t>
      </w:r>
      <w:r>
        <w:t>bija 6,3 (tāpat kā vidēji valstī)</w:t>
      </w:r>
      <w:r w:rsidRPr="00DA77DC">
        <w:t>.</w:t>
      </w:r>
      <w:r>
        <w:t xml:space="preserve"> Šajā grupā periodā no 2014. gada līdz 2016. gadam indekss </w:t>
      </w:r>
      <w:r w:rsidRPr="00DA77DC">
        <w:rPr>
          <w:b/>
        </w:rPr>
        <w:t>ir samazinājies par 0,6</w:t>
      </w:r>
      <w:r>
        <w:t xml:space="preserve"> punktiem, kas Izvērtējuma periodā iezīmē, kaut arī nelielu, bet pozitīvu tendenci nevienlīdzības mazināšanas virzienā starp turīgākajiem un nabadzīgākajiem iedzīvotājiem šajā vecuma grupā, kam seko tendences izmaiņas 2017. gadā, kad rādītājs atkal pieaug līdz 6,7 punktiem. Iedzīvotājiem </w:t>
      </w:r>
      <w:r w:rsidRPr="00DA77DC">
        <w:rPr>
          <w:b/>
        </w:rPr>
        <w:t>vecumā virs 65 gadiem</w:t>
      </w:r>
      <w:r w:rsidRPr="00EA0927">
        <w:t xml:space="preserve"> šis rādītājs</w:t>
      </w:r>
      <w:r>
        <w:t xml:space="preserve"> laikā no 2014. gada, kad tas bija 4,2, līdz</w:t>
      </w:r>
      <w:r w:rsidRPr="00EA0927">
        <w:t xml:space="preserve"> </w:t>
      </w:r>
      <w:r>
        <w:t xml:space="preserve">2016. gadam, kad tas bija 4,8, </w:t>
      </w:r>
      <w:r w:rsidRPr="00DA77DC">
        <w:rPr>
          <w:b/>
        </w:rPr>
        <w:t>ir pieaudzis par 0,6</w:t>
      </w:r>
      <w:r>
        <w:t xml:space="preserve"> punktiem, turklāt tas turpina pieaugt arī 2017. gadā, sasniedzot jau 5,1 punktus. </w:t>
      </w:r>
    </w:p>
    <w:p w:rsidR="00255CC4" w:rsidRDefault="00255CC4" w:rsidP="00255CC4"/>
    <w:p w:rsidR="00255CC4" w:rsidRDefault="00255CC4" w:rsidP="00255CC4">
      <w:r>
        <w:lastRenderedPageBreak/>
        <w:t xml:space="preserve">Abu grupu salīdzinājums attiecībā uz Izvērtējuma periodu rāda, ka </w:t>
      </w:r>
      <w:r w:rsidRPr="00E57103">
        <w:t>iedzīvotāju grupā vecumā līdz 65 gadiem ir vērojama augstāka ienākumu nevienlīdzība, nekā tas ir vecum</w:t>
      </w:r>
      <w:r>
        <w:t>a</w:t>
      </w:r>
      <w:r w:rsidRPr="00E57103">
        <w:t xml:space="preserve"> grupā virs 65 gadiem. </w:t>
      </w:r>
      <w:r>
        <w:t>Taču tendences ir atšķirīgas - i</w:t>
      </w:r>
      <w:r w:rsidRPr="00E57103">
        <w:t>edzīvotāju grupā, kuru ienākumus pamatā veido ienākumi no algota darba, nevienlīdzība</w:t>
      </w:r>
      <w:r>
        <w:t xml:space="preserve"> Izvērtējuma periodā (2014.g.-2016.g.)</w:t>
      </w:r>
      <w:r w:rsidRPr="00E57103">
        <w:t xml:space="preserve"> samazinās, kamēr vecākajā grupā, kuras ienākumus pamatā veido vecuma pensijas, </w:t>
      </w:r>
      <w:r>
        <w:t>ne</w:t>
      </w:r>
      <w:r w:rsidRPr="00E57103">
        <w:t xml:space="preserve">vienlīdzības </w:t>
      </w:r>
      <w:r w:rsidRPr="005E7D7F">
        <w:t>līmenim ir tendence pieaugt</w:t>
      </w:r>
      <w:r>
        <w:t>, turklāt tendence saglabājas arī 2017. gadā</w:t>
      </w:r>
      <w:r w:rsidRPr="005E7D7F">
        <w:t>.</w:t>
      </w:r>
    </w:p>
    <w:p w:rsidR="00255CC4" w:rsidRDefault="00255CC4" w:rsidP="00255CC4"/>
    <w:p w:rsidR="00255CC4" w:rsidRDefault="00255CC4" w:rsidP="00255CC4">
      <w:r w:rsidRPr="00B72A14">
        <w:t xml:space="preserve">S80/S20 ienākumu kvintiļu indeksa </w:t>
      </w:r>
      <w:r w:rsidRPr="00B72A14">
        <w:rPr>
          <w:b/>
        </w:rPr>
        <w:t>rādītāji dzimuma un vecuma griezumā</w:t>
      </w:r>
      <w:r w:rsidRPr="00B72A14">
        <w:t xml:space="preserve"> ir apkopoti </w:t>
      </w:r>
      <w:r w:rsidR="006E1579">
        <w:t>1.5</w:t>
      </w:r>
      <w:r w:rsidRPr="00B72A14">
        <w:t>. tabulā. Tie atklāj, ka kopumā pēc dzimuma pazīmes ienākumu nevienlīdzība vīriešu un sieviešu grupās ir vienādā līmenī, lai gan līdz 2016.</w:t>
      </w:r>
      <w:r>
        <w:t xml:space="preserve"> </w:t>
      </w:r>
      <w:r w:rsidRPr="00B72A14">
        <w:t>gadam augstāka ienākumu nevienlīdzība bija vērojama vīriešu grupā.</w:t>
      </w:r>
      <w:r>
        <w:t xml:space="preserve"> Kombinējot </w:t>
      </w:r>
      <w:r w:rsidRPr="00B72A14">
        <w:t>dzimuma un vecuma pazīmes</w:t>
      </w:r>
      <w:r>
        <w:t xml:space="preserve">, novērojams, ka vīriešu vidū abās vecuma grupās S80/S20 ienākumu kvintiļu attiecību indeksa vērtības ir augstākas nekā sievietēm, kas liecina arī par augstāku ienākumu nevienlīdzību abās vecuma grupās starp turīgākajiem un nabadzīgākajiem vīriešiem. </w:t>
      </w:r>
    </w:p>
    <w:p w:rsidR="00255CC4" w:rsidRDefault="00AD3EDD" w:rsidP="008C6B83">
      <w:pPr>
        <w:pStyle w:val="Caption"/>
      </w:pPr>
      <w:r>
        <w:fldChar w:fldCharType="begin"/>
      </w:r>
      <w:r w:rsidR="00696156">
        <w:instrText xml:space="preserve"> STYLEREF 1 \s </w:instrText>
      </w:r>
      <w:r>
        <w:fldChar w:fldCharType="separate"/>
      </w:r>
      <w:r w:rsidR="00224B50">
        <w:rPr>
          <w:noProof/>
        </w:rPr>
        <w:t>1</w:t>
      </w:r>
      <w:r>
        <w:fldChar w:fldCharType="end"/>
      </w:r>
      <w:r w:rsidR="00A46B54">
        <w:t>.</w:t>
      </w:r>
      <w:r w:rsidR="000A7157">
        <w:t>5</w:t>
      </w:r>
      <w:r w:rsidR="00255CC4">
        <w:t>.</w:t>
      </w:r>
      <w:r w:rsidR="00255CC4" w:rsidRPr="008D2645">
        <w:t xml:space="preserve"> </w:t>
      </w:r>
      <w:r w:rsidR="00255CC4" w:rsidRPr="00E44507">
        <w:t>tabula</w:t>
      </w:r>
      <w:r w:rsidR="00255CC4" w:rsidRPr="008D2645">
        <w:t xml:space="preserve">. S80/S20 ienākumu kvintiļu attiecības indekss </w:t>
      </w:r>
      <w:r w:rsidR="00255CC4">
        <w:t>sociāli demogrāfiskajās grupās</w:t>
      </w:r>
    </w:p>
    <w:tbl>
      <w:tblPr>
        <w:tblStyle w:val="TableGrid"/>
        <w:tblW w:w="0" w:type="auto"/>
        <w:tblLook w:val="04A0"/>
      </w:tblPr>
      <w:tblGrid>
        <w:gridCol w:w="2660"/>
        <w:gridCol w:w="1701"/>
        <w:gridCol w:w="1701"/>
        <w:gridCol w:w="1701"/>
        <w:gridCol w:w="1701"/>
      </w:tblGrid>
      <w:tr w:rsidR="00255CC4" w:rsidRPr="00BC22F8" w:rsidTr="00BC22F8">
        <w:tc>
          <w:tcPr>
            <w:tcW w:w="2660" w:type="dxa"/>
            <w:shd w:val="clear" w:color="auto" w:fill="B8CCE4" w:themeFill="accent1" w:themeFillTint="66"/>
          </w:tcPr>
          <w:p w:rsidR="00255CC4" w:rsidRPr="00BC22F8" w:rsidRDefault="00255CC4" w:rsidP="00255CC4">
            <w:pPr>
              <w:jc w:val="left"/>
              <w:rPr>
                <w:b/>
                <w:color w:val="002060"/>
                <w:sz w:val="22"/>
                <w:szCs w:val="22"/>
              </w:rPr>
            </w:pPr>
            <w:r w:rsidRPr="00BC22F8">
              <w:rPr>
                <w:b/>
                <w:color w:val="002060"/>
                <w:sz w:val="22"/>
                <w:szCs w:val="22"/>
              </w:rPr>
              <w:t>Sociāli demogrāfiskās grupas/ Gads</w:t>
            </w:r>
          </w:p>
        </w:tc>
        <w:tc>
          <w:tcPr>
            <w:tcW w:w="1701" w:type="dxa"/>
            <w:shd w:val="clear" w:color="auto" w:fill="B8CCE4" w:themeFill="accent1" w:themeFillTint="66"/>
            <w:vAlign w:val="center"/>
          </w:tcPr>
          <w:p w:rsidR="00255CC4" w:rsidRPr="00BC22F8" w:rsidRDefault="00255CC4" w:rsidP="00255CC4">
            <w:pPr>
              <w:jc w:val="center"/>
              <w:rPr>
                <w:b/>
                <w:color w:val="002060"/>
                <w:sz w:val="22"/>
                <w:szCs w:val="22"/>
              </w:rPr>
            </w:pPr>
            <w:r w:rsidRPr="00BC22F8">
              <w:rPr>
                <w:b/>
                <w:color w:val="002060"/>
                <w:sz w:val="22"/>
                <w:szCs w:val="22"/>
              </w:rPr>
              <w:t>2014</w:t>
            </w:r>
          </w:p>
        </w:tc>
        <w:tc>
          <w:tcPr>
            <w:tcW w:w="1701" w:type="dxa"/>
            <w:shd w:val="clear" w:color="auto" w:fill="B8CCE4" w:themeFill="accent1" w:themeFillTint="66"/>
            <w:vAlign w:val="center"/>
          </w:tcPr>
          <w:p w:rsidR="00255CC4" w:rsidRPr="00BC22F8" w:rsidRDefault="00255CC4" w:rsidP="00255CC4">
            <w:pPr>
              <w:jc w:val="center"/>
              <w:rPr>
                <w:b/>
                <w:color w:val="002060"/>
                <w:sz w:val="22"/>
                <w:szCs w:val="22"/>
              </w:rPr>
            </w:pPr>
            <w:r w:rsidRPr="00BC22F8">
              <w:rPr>
                <w:b/>
                <w:color w:val="002060"/>
                <w:sz w:val="22"/>
                <w:szCs w:val="22"/>
              </w:rPr>
              <w:t>2015</w:t>
            </w:r>
          </w:p>
        </w:tc>
        <w:tc>
          <w:tcPr>
            <w:tcW w:w="1701" w:type="dxa"/>
            <w:shd w:val="clear" w:color="auto" w:fill="B8CCE4" w:themeFill="accent1" w:themeFillTint="66"/>
            <w:vAlign w:val="center"/>
          </w:tcPr>
          <w:p w:rsidR="00255CC4" w:rsidRPr="00BC22F8" w:rsidRDefault="00255CC4" w:rsidP="00255CC4">
            <w:pPr>
              <w:jc w:val="center"/>
              <w:rPr>
                <w:b/>
                <w:color w:val="002060"/>
                <w:sz w:val="22"/>
                <w:szCs w:val="22"/>
              </w:rPr>
            </w:pPr>
            <w:r w:rsidRPr="00BC22F8">
              <w:rPr>
                <w:b/>
                <w:color w:val="002060"/>
                <w:sz w:val="22"/>
                <w:szCs w:val="22"/>
              </w:rPr>
              <w:t>2016</w:t>
            </w:r>
          </w:p>
        </w:tc>
        <w:tc>
          <w:tcPr>
            <w:tcW w:w="1701" w:type="dxa"/>
            <w:shd w:val="clear" w:color="auto" w:fill="B8CCE4" w:themeFill="accent1" w:themeFillTint="66"/>
            <w:vAlign w:val="center"/>
          </w:tcPr>
          <w:p w:rsidR="00255CC4" w:rsidRPr="00BC22F8" w:rsidRDefault="00255CC4" w:rsidP="00255CC4">
            <w:pPr>
              <w:jc w:val="center"/>
              <w:rPr>
                <w:b/>
                <w:color w:val="002060"/>
                <w:sz w:val="22"/>
                <w:szCs w:val="22"/>
              </w:rPr>
            </w:pPr>
            <w:r w:rsidRPr="00BC22F8">
              <w:rPr>
                <w:b/>
                <w:color w:val="002060"/>
                <w:sz w:val="22"/>
                <w:szCs w:val="22"/>
              </w:rPr>
              <w:t>2017</w:t>
            </w:r>
          </w:p>
        </w:tc>
      </w:tr>
      <w:tr w:rsidR="00255CC4" w:rsidRPr="00710DCB" w:rsidTr="00255CC4">
        <w:tc>
          <w:tcPr>
            <w:tcW w:w="2660" w:type="dxa"/>
          </w:tcPr>
          <w:p w:rsidR="00255CC4" w:rsidRPr="00710DCB" w:rsidRDefault="00255CC4" w:rsidP="00255CC4">
            <w:pPr>
              <w:jc w:val="left"/>
              <w:rPr>
                <w:b/>
                <w:sz w:val="22"/>
                <w:szCs w:val="22"/>
              </w:rPr>
            </w:pPr>
            <w:r>
              <w:rPr>
                <w:b/>
                <w:sz w:val="22"/>
                <w:szCs w:val="22"/>
              </w:rPr>
              <w:t>Visi iedzīvotāji</w:t>
            </w:r>
          </w:p>
        </w:tc>
        <w:tc>
          <w:tcPr>
            <w:tcW w:w="1701" w:type="dxa"/>
          </w:tcPr>
          <w:p w:rsidR="00255CC4" w:rsidRPr="008E102C" w:rsidRDefault="00255CC4" w:rsidP="00255CC4">
            <w:pPr>
              <w:jc w:val="center"/>
              <w:rPr>
                <w:b/>
                <w:sz w:val="22"/>
                <w:szCs w:val="22"/>
              </w:rPr>
            </w:pPr>
            <w:r w:rsidRPr="008E102C">
              <w:rPr>
                <w:b/>
                <w:sz w:val="22"/>
                <w:szCs w:val="22"/>
              </w:rPr>
              <w:t>6,5</w:t>
            </w:r>
          </w:p>
        </w:tc>
        <w:tc>
          <w:tcPr>
            <w:tcW w:w="1701" w:type="dxa"/>
          </w:tcPr>
          <w:p w:rsidR="00255CC4" w:rsidRPr="008E102C" w:rsidRDefault="00255CC4" w:rsidP="00255CC4">
            <w:pPr>
              <w:jc w:val="center"/>
              <w:rPr>
                <w:b/>
                <w:sz w:val="22"/>
                <w:szCs w:val="22"/>
              </w:rPr>
            </w:pPr>
            <w:r w:rsidRPr="008E102C">
              <w:rPr>
                <w:b/>
                <w:sz w:val="22"/>
                <w:szCs w:val="22"/>
              </w:rPr>
              <w:t>6,2</w:t>
            </w:r>
          </w:p>
        </w:tc>
        <w:tc>
          <w:tcPr>
            <w:tcW w:w="1701" w:type="dxa"/>
          </w:tcPr>
          <w:p w:rsidR="00255CC4" w:rsidRPr="008E102C" w:rsidRDefault="00255CC4" w:rsidP="00255CC4">
            <w:pPr>
              <w:jc w:val="center"/>
              <w:rPr>
                <w:b/>
                <w:sz w:val="22"/>
                <w:szCs w:val="22"/>
              </w:rPr>
            </w:pPr>
            <w:r w:rsidRPr="008E102C">
              <w:rPr>
                <w:b/>
                <w:sz w:val="22"/>
                <w:szCs w:val="22"/>
              </w:rPr>
              <w:t>6,3</w:t>
            </w:r>
          </w:p>
        </w:tc>
        <w:tc>
          <w:tcPr>
            <w:tcW w:w="1701" w:type="dxa"/>
          </w:tcPr>
          <w:p w:rsidR="00255CC4" w:rsidRPr="008E102C" w:rsidRDefault="00255CC4" w:rsidP="00255CC4">
            <w:pPr>
              <w:jc w:val="center"/>
              <w:rPr>
                <w:b/>
                <w:sz w:val="22"/>
                <w:szCs w:val="22"/>
              </w:rPr>
            </w:pPr>
            <w:r w:rsidRPr="008E102C">
              <w:rPr>
                <w:b/>
                <w:sz w:val="22"/>
                <w:szCs w:val="22"/>
              </w:rPr>
              <w:t>6,8</w:t>
            </w:r>
          </w:p>
        </w:tc>
      </w:tr>
      <w:tr w:rsidR="00255CC4" w:rsidRPr="00710DCB" w:rsidTr="00255CC4">
        <w:tc>
          <w:tcPr>
            <w:tcW w:w="2660" w:type="dxa"/>
          </w:tcPr>
          <w:p w:rsidR="00255CC4" w:rsidRPr="00710DCB" w:rsidRDefault="00255CC4" w:rsidP="00255CC4">
            <w:pPr>
              <w:jc w:val="left"/>
              <w:rPr>
                <w:sz w:val="22"/>
                <w:szCs w:val="22"/>
              </w:rPr>
            </w:pPr>
            <w:r>
              <w:rPr>
                <w:sz w:val="22"/>
                <w:szCs w:val="22"/>
              </w:rPr>
              <w:t>Vīrieši</w:t>
            </w:r>
          </w:p>
        </w:tc>
        <w:tc>
          <w:tcPr>
            <w:tcW w:w="1701" w:type="dxa"/>
          </w:tcPr>
          <w:p w:rsidR="00255CC4" w:rsidRPr="00710DCB" w:rsidRDefault="00255CC4" w:rsidP="00255CC4">
            <w:pPr>
              <w:jc w:val="center"/>
              <w:rPr>
                <w:sz w:val="22"/>
                <w:szCs w:val="22"/>
              </w:rPr>
            </w:pPr>
            <w:r>
              <w:rPr>
                <w:sz w:val="22"/>
                <w:szCs w:val="22"/>
              </w:rPr>
              <w:t>6,6</w:t>
            </w:r>
          </w:p>
        </w:tc>
        <w:tc>
          <w:tcPr>
            <w:tcW w:w="1701" w:type="dxa"/>
          </w:tcPr>
          <w:p w:rsidR="00255CC4" w:rsidRPr="00710DCB" w:rsidRDefault="00255CC4" w:rsidP="00255CC4">
            <w:pPr>
              <w:jc w:val="center"/>
              <w:rPr>
                <w:sz w:val="22"/>
                <w:szCs w:val="22"/>
              </w:rPr>
            </w:pPr>
            <w:r>
              <w:rPr>
                <w:sz w:val="22"/>
                <w:szCs w:val="22"/>
              </w:rPr>
              <w:t>6,3</w:t>
            </w:r>
          </w:p>
        </w:tc>
        <w:tc>
          <w:tcPr>
            <w:tcW w:w="1701" w:type="dxa"/>
          </w:tcPr>
          <w:p w:rsidR="00255CC4" w:rsidRPr="00710DCB" w:rsidRDefault="00255CC4" w:rsidP="00255CC4">
            <w:pPr>
              <w:jc w:val="center"/>
              <w:rPr>
                <w:sz w:val="22"/>
                <w:szCs w:val="22"/>
              </w:rPr>
            </w:pPr>
            <w:r>
              <w:rPr>
                <w:sz w:val="22"/>
                <w:szCs w:val="22"/>
              </w:rPr>
              <w:t>6,4</w:t>
            </w:r>
          </w:p>
        </w:tc>
        <w:tc>
          <w:tcPr>
            <w:tcW w:w="1701" w:type="dxa"/>
          </w:tcPr>
          <w:p w:rsidR="00255CC4" w:rsidRPr="00710DCB" w:rsidRDefault="00255CC4" w:rsidP="00255CC4">
            <w:pPr>
              <w:jc w:val="center"/>
              <w:rPr>
                <w:sz w:val="22"/>
                <w:szCs w:val="22"/>
              </w:rPr>
            </w:pPr>
            <w:r>
              <w:rPr>
                <w:sz w:val="22"/>
                <w:szCs w:val="22"/>
              </w:rPr>
              <w:t>6,7</w:t>
            </w:r>
          </w:p>
        </w:tc>
      </w:tr>
      <w:tr w:rsidR="00255CC4" w:rsidRPr="00710DCB" w:rsidTr="00255CC4">
        <w:tc>
          <w:tcPr>
            <w:tcW w:w="2660" w:type="dxa"/>
          </w:tcPr>
          <w:p w:rsidR="00255CC4" w:rsidRPr="00710DCB" w:rsidRDefault="00255CC4" w:rsidP="00255CC4">
            <w:pPr>
              <w:jc w:val="left"/>
              <w:rPr>
                <w:sz w:val="22"/>
                <w:szCs w:val="22"/>
              </w:rPr>
            </w:pPr>
            <w:r>
              <w:rPr>
                <w:sz w:val="22"/>
                <w:szCs w:val="22"/>
              </w:rPr>
              <w:t>Sievietes</w:t>
            </w:r>
          </w:p>
        </w:tc>
        <w:tc>
          <w:tcPr>
            <w:tcW w:w="1701" w:type="dxa"/>
          </w:tcPr>
          <w:p w:rsidR="00255CC4" w:rsidRPr="00710DCB" w:rsidRDefault="00255CC4" w:rsidP="00255CC4">
            <w:pPr>
              <w:jc w:val="center"/>
              <w:rPr>
                <w:sz w:val="22"/>
                <w:szCs w:val="22"/>
              </w:rPr>
            </w:pPr>
            <w:r>
              <w:rPr>
                <w:sz w:val="22"/>
                <w:szCs w:val="22"/>
              </w:rPr>
              <w:t>6,3</w:t>
            </w:r>
          </w:p>
        </w:tc>
        <w:tc>
          <w:tcPr>
            <w:tcW w:w="1701" w:type="dxa"/>
          </w:tcPr>
          <w:p w:rsidR="00255CC4" w:rsidRPr="00710DCB" w:rsidRDefault="00255CC4" w:rsidP="00255CC4">
            <w:pPr>
              <w:jc w:val="center"/>
              <w:rPr>
                <w:sz w:val="22"/>
                <w:szCs w:val="22"/>
              </w:rPr>
            </w:pPr>
            <w:r>
              <w:rPr>
                <w:sz w:val="22"/>
                <w:szCs w:val="22"/>
              </w:rPr>
              <w:t>6,1</w:t>
            </w:r>
          </w:p>
        </w:tc>
        <w:tc>
          <w:tcPr>
            <w:tcW w:w="1701" w:type="dxa"/>
          </w:tcPr>
          <w:p w:rsidR="00255CC4" w:rsidRPr="00710DCB" w:rsidRDefault="00255CC4" w:rsidP="00255CC4">
            <w:pPr>
              <w:jc w:val="center"/>
              <w:rPr>
                <w:sz w:val="22"/>
                <w:szCs w:val="22"/>
              </w:rPr>
            </w:pPr>
            <w:r>
              <w:rPr>
                <w:sz w:val="22"/>
                <w:szCs w:val="22"/>
              </w:rPr>
              <w:t>6,1</w:t>
            </w:r>
          </w:p>
        </w:tc>
        <w:tc>
          <w:tcPr>
            <w:tcW w:w="1701" w:type="dxa"/>
          </w:tcPr>
          <w:p w:rsidR="00255CC4" w:rsidRPr="00710DCB" w:rsidRDefault="00255CC4" w:rsidP="00255CC4">
            <w:pPr>
              <w:jc w:val="center"/>
              <w:rPr>
                <w:sz w:val="22"/>
                <w:szCs w:val="22"/>
              </w:rPr>
            </w:pPr>
            <w:r>
              <w:rPr>
                <w:sz w:val="22"/>
                <w:szCs w:val="22"/>
              </w:rPr>
              <w:t>6,7</w:t>
            </w:r>
          </w:p>
        </w:tc>
      </w:tr>
      <w:tr w:rsidR="00255CC4" w:rsidRPr="00710DCB" w:rsidTr="00255CC4">
        <w:tc>
          <w:tcPr>
            <w:tcW w:w="2660" w:type="dxa"/>
          </w:tcPr>
          <w:p w:rsidR="00255CC4" w:rsidRPr="00710DCB" w:rsidRDefault="00255CC4" w:rsidP="00255CC4">
            <w:pPr>
              <w:jc w:val="left"/>
              <w:rPr>
                <w:b/>
                <w:sz w:val="22"/>
                <w:szCs w:val="22"/>
              </w:rPr>
            </w:pPr>
            <w:r>
              <w:rPr>
                <w:b/>
                <w:sz w:val="22"/>
                <w:szCs w:val="22"/>
              </w:rPr>
              <w:t>Iedzīvotāji vecumā &lt;65</w:t>
            </w:r>
          </w:p>
        </w:tc>
        <w:tc>
          <w:tcPr>
            <w:tcW w:w="1701" w:type="dxa"/>
          </w:tcPr>
          <w:p w:rsidR="00255CC4" w:rsidRPr="00686592" w:rsidRDefault="00255CC4" w:rsidP="00255CC4">
            <w:pPr>
              <w:jc w:val="center"/>
              <w:rPr>
                <w:b/>
                <w:color w:val="FF0000"/>
                <w:sz w:val="22"/>
                <w:szCs w:val="22"/>
              </w:rPr>
            </w:pPr>
            <w:r w:rsidRPr="00686592">
              <w:rPr>
                <w:b/>
                <w:color w:val="FF0000"/>
                <w:sz w:val="22"/>
                <w:szCs w:val="22"/>
              </w:rPr>
              <w:t>6,9</w:t>
            </w:r>
          </w:p>
        </w:tc>
        <w:tc>
          <w:tcPr>
            <w:tcW w:w="1701" w:type="dxa"/>
          </w:tcPr>
          <w:p w:rsidR="00255CC4" w:rsidRPr="00686592" w:rsidRDefault="00255CC4" w:rsidP="00255CC4">
            <w:pPr>
              <w:jc w:val="center"/>
              <w:rPr>
                <w:b/>
                <w:color w:val="FF0000"/>
                <w:sz w:val="22"/>
                <w:szCs w:val="22"/>
              </w:rPr>
            </w:pPr>
            <w:r w:rsidRPr="00686592">
              <w:rPr>
                <w:b/>
                <w:color w:val="FF0000"/>
                <w:sz w:val="22"/>
                <w:szCs w:val="22"/>
              </w:rPr>
              <w:t>6,2</w:t>
            </w:r>
          </w:p>
        </w:tc>
        <w:tc>
          <w:tcPr>
            <w:tcW w:w="1701" w:type="dxa"/>
          </w:tcPr>
          <w:p w:rsidR="00255CC4" w:rsidRPr="00686592" w:rsidRDefault="00255CC4" w:rsidP="00255CC4">
            <w:pPr>
              <w:jc w:val="center"/>
              <w:rPr>
                <w:b/>
                <w:color w:val="FF0000"/>
                <w:sz w:val="22"/>
                <w:szCs w:val="22"/>
              </w:rPr>
            </w:pPr>
            <w:r w:rsidRPr="00686592">
              <w:rPr>
                <w:b/>
                <w:color w:val="FF0000"/>
                <w:sz w:val="22"/>
                <w:szCs w:val="22"/>
              </w:rPr>
              <w:t>6,3</w:t>
            </w:r>
          </w:p>
        </w:tc>
        <w:tc>
          <w:tcPr>
            <w:tcW w:w="1701" w:type="dxa"/>
          </w:tcPr>
          <w:p w:rsidR="00255CC4" w:rsidRPr="00686592" w:rsidRDefault="00255CC4" w:rsidP="00255CC4">
            <w:pPr>
              <w:jc w:val="center"/>
              <w:rPr>
                <w:b/>
                <w:color w:val="FF0000"/>
                <w:sz w:val="22"/>
                <w:szCs w:val="22"/>
              </w:rPr>
            </w:pPr>
            <w:r w:rsidRPr="00686592">
              <w:rPr>
                <w:b/>
                <w:color w:val="FF0000"/>
                <w:sz w:val="22"/>
                <w:szCs w:val="22"/>
              </w:rPr>
              <w:t>6,7</w:t>
            </w:r>
          </w:p>
        </w:tc>
      </w:tr>
      <w:tr w:rsidR="00255CC4" w:rsidRPr="00710DCB" w:rsidTr="00255CC4">
        <w:tc>
          <w:tcPr>
            <w:tcW w:w="2660" w:type="dxa"/>
          </w:tcPr>
          <w:p w:rsidR="00255CC4" w:rsidRPr="00710DCB" w:rsidRDefault="00255CC4" w:rsidP="00255CC4">
            <w:pPr>
              <w:jc w:val="left"/>
              <w:rPr>
                <w:sz w:val="22"/>
                <w:szCs w:val="22"/>
              </w:rPr>
            </w:pPr>
            <w:r>
              <w:rPr>
                <w:sz w:val="22"/>
                <w:szCs w:val="22"/>
              </w:rPr>
              <w:t>Vīrieši vecumā &lt;65</w:t>
            </w:r>
          </w:p>
        </w:tc>
        <w:tc>
          <w:tcPr>
            <w:tcW w:w="1701" w:type="dxa"/>
          </w:tcPr>
          <w:p w:rsidR="00255CC4" w:rsidRPr="00710DCB" w:rsidRDefault="00255CC4" w:rsidP="00255CC4">
            <w:pPr>
              <w:jc w:val="center"/>
              <w:rPr>
                <w:sz w:val="22"/>
                <w:szCs w:val="22"/>
              </w:rPr>
            </w:pPr>
            <w:r>
              <w:rPr>
                <w:sz w:val="22"/>
                <w:szCs w:val="22"/>
              </w:rPr>
              <w:t>7,0</w:t>
            </w:r>
          </w:p>
        </w:tc>
        <w:tc>
          <w:tcPr>
            <w:tcW w:w="1701" w:type="dxa"/>
          </w:tcPr>
          <w:p w:rsidR="00255CC4" w:rsidRPr="00710DCB" w:rsidRDefault="00255CC4" w:rsidP="00255CC4">
            <w:pPr>
              <w:jc w:val="center"/>
              <w:rPr>
                <w:sz w:val="22"/>
                <w:szCs w:val="22"/>
              </w:rPr>
            </w:pPr>
            <w:r>
              <w:rPr>
                <w:sz w:val="22"/>
                <w:szCs w:val="22"/>
              </w:rPr>
              <w:t>6,4</w:t>
            </w:r>
          </w:p>
        </w:tc>
        <w:tc>
          <w:tcPr>
            <w:tcW w:w="1701" w:type="dxa"/>
          </w:tcPr>
          <w:p w:rsidR="00255CC4" w:rsidRPr="00710DCB" w:rsidRDefault="00255CC4" w:rsidP="00255CC4">
            <w:pPr>
              <w:jc w:val="center"/>
              <w:rPr>
                <w:sz w:val="22"/>
                <w:szCs w:val="22"/>
              </w:rPr>
            </w:pPr>
            <w:r>
              <w:rPr>
                <w:sz w:val="22"/>
                <w:szCs w:val="22"/>
              </w:rPr>
              <w:t>6,5</w:t>
            </w:r>
          </w:p>
        </w:tc>
        <w:tc>
          <w:tcPr>
            <w:tcW w:w="1701" w:type="dxa"/>
          </w:tcPr>
          <w:p w:rsidR="00255CC4" w:rsidRPr="00710DCB" w:rsidRDefault="00255CC4" w:rsidP="00255CC4">
            <w:pPr>
              <w:jc w:val="center"/>
              <w:rPr>
                <w:sz w:val="22"/>
                <w:szCs w:val="22"/>
              </w:rPr>
            </w:pPr>
            <w:r>
              <w:rPr>
                <w:sz w:val="22"/>
                <w:szCs w:val="22"/>
              </w:rPr>
              <w:t>6,7</w:t>
            </w:r>
          </w:p>
        </w:tc>
      </w:tr>
      <w:tr w:rsidR="00255CC4" w:rsidRPr="00710DCB" w:rsidTr="00255CC4">
        <w:tc>
          <w:tcPr>
            <w:tcW w:w="2660" w:type="dxa"/>
          </w:tcPr>
          <w:p w:rsidR="00255CC4" w:rsidRPr="00710DCB" w:rsidRDefault="00255CC4" w:rsidP="00255CC4">
            <w:pPr>
              <w:jc w:val="left"/>
              <w:rPr>
                <w:sz w:val="22"/>
                <w:szCs w:val="22"/>
              </w:rPr>
            </w:pPr>
            <w:r>
              <w:rPr>
                <w:sz w:val="22"/>
                <w:szCs w:val="22"/>
              </w:rPr>
              <w:t>Sievietes vecumā &lt;65</w:t>
            </w:r>
          </w:p>
        </w:tc>
        <w:tc>
          <w:tcPr>
            <w:tcW w:w="1701" w:type="dxa"/>
          </w:tcPr>
          <w:p w:rsidR="00255CC4" w:rsidRPr="00710DCB" w:rsidRDefault="00255CC4" w:rsidP="00255CC4">
            <w:pPr>
              <w:jc w:val="center"/>
              <w:rPr>
                <w:sz w:val="22"/>
                <w:szCs w:val="22"/>
              </w:rPr>
            </w:pPr>
            <w:r>
              <w:rPr>
                <w:sz w:val="22"/>
                <w:szCs w:val="22"/>
              </w:rPr>
              <w:t>6,8</w:t>
            </w:r>
          </w:p>
        </w:tc>
        <w:tc>
          <w:tcPr>
            <w:tcW w:w="1701" w:type="dxa"/>
          </w:tcPr>
          <w:p w:rsidR="00255CC4" w:rsidRPr="00710DCB" w:rsidRDefault="00255CC4" w:rsidP="00255CC4">
            <w:pPr>
              <w:jc w:val="center"/>
              <w:rPr>
                <w:sz w:val="22"/>
                <w:szCs w:val="22"/>
              </w:rPr>
            </w:pPr>
            <w:r>
              <w:rPr>
                <w:sz w:val="22"/>
                <w:szCs w:val="22"/>
              </w:rPr>
              <w:t>6,1</w:t>
            </w:r>
          </w:p>
        </w:tc>
        <w:tc>
          <w:tcPr>
            <w:tcW w:w="1701" w:type="dxa"/>
          </w:tcPr>
          <w:p w:rsidR="00255CC4" w:rsidRPr="00710DCB" w:rsidRDefault="00255CC4" w:rsidP="00255CC4">
            <w:pPr>
              <w:jc w:val="center"/>
              <w:rPr>
                <w:sz w:val="22"/>
                <w:szCs w:val="22"/>
              </w:rPr>
            </w:pPr>
            <w:r>
              <w:rPr>
                <w:sz w:val="22"/>
                <w:szCs w:val="22"/>
              </w:rPr>
              <w:t>6,1</w:t>
            </w:r>
          </w:p>
        </w:tc>
        <w:tc>
          <w:tcPr>
            <w:tcW w:w="1701" w:type="dxa"/>
          </w:tcPr>
          <w:p w:rsidR="00255CC4" w:rsidRPr="00710DCB" w:rsidRDefault="00255CC4" w:rsidP="00255CC4">
            <w:pPr>
              <w:jc w:val="center"/>
              <w:rPr>
                <w:sz w:val="22"/>
                <w:szCs w:val="22"/>
              </w:rPr>
            </w:pPr>
            <w:r>
              <w:rPr>
                <w:sz w:val="22"/>
                <w:szCs w:val="22"/>
              </w:rPr>
              <w:t>6,6</w:t>
            </w:r>
          </w:p>
        </w:tc>
      </w:tr>
      <w:tr w:rsidR="00255CC4" w:rsidRPr="00710DCB" w:rsidTr="00255CC4">
        <w:tc>
          <w:tcPr>
            <w:tcW w:w="2660" w:type="dxa"/>
          </w:tcPr>
          <w:p w:rsidR="00255CC4" w:rsidRPr="00710DCB" w:rsidRDefault="00255CC4" w:rsidP="00255CC4">
            <w:pPr>
              <w:jc w:val="left"/>
              <w:rPr>
                <w:b/>
                <w:sz w:val="22"/>
                <w:szCs w:val="22"/>
              </w:rPr>
            </w:pPr>
            <w:r>
              <w:rPr>
                <w:b/>
                <w:sz w:val="22"/>
                <w:szCs w:val="22"/>
              </w:rPr>
              <w:t>Iedzīvotāji vecumā &gt;65</w:t>
            </w:r>
          </w:p>
        </w:tc>
        <w:tc>
          <w:tcPr>
            <w:tcW w:w="1701" w:type="dxa"/>
          </w:tcPr>
          <w:p w:rsidR="00255CC4" w:rsidRPr="008E102C" w:rsidRDefault="00255CC4" w:rsidP="00255CC4">
            <w:pPr>
              <w:jc w:val="center"/>
              <w:rPr>
                <w:b/>
                <w:sz w:val="22"/>
                <w:szCs w:val="22"/>
              </w:rPr>
            </w:pPr>
            <w:r w:rsidRPr="008E102C">
              <w:rPr>
                <w:b/>
                <w:sz w:val="22"/>
                <w:szCs w:val="22"/>
              </w:rPr>
              <w:t>4,2</w:t>
            </w:r>
          </w:p>
        </w:tc>
        <w:tc>
          <w:tcPr>
            <w:tcW w:w="1701" w:type="dxa"/>
          </w:tcPr>
          <w:p w:rsidR="00255CC4" w:rsidRPr="008E102C" w:rsidRDefault="00255CC4" w:rsidP="00255CC4">
            <w:pPr>
              <w:jc w:val="center"/>
              <w:rPr>
                <w:b/>
                <w:sz w:val="22"/>
                <w:szCs w:val="22"/>
              </w:rPr>
            </w:pPr>
            <w:r w:rsidRPr="008E102C">
              <w:rPr>
                <w:b/>
                <w:sz w:val="22"/>
                <w:szCs w:val="22"/>
              </w:rPr>
              <w:t>4,6</w:t>
            </w:r>
          </w:p>
        </w:tc>
        <w:tc>
          <w:tcPr>
            <w:tcW w:w="1701" w:type="dxa"/>
          </w:tcPr>
          <w:p w:rsidR="00255CC4" w:rsidRPr="008E102C" w:rsidRDefault="00255CC4" w:rsidP="00255CC4">
            <w:pPr>
              <w:jc w:val="center"/>
              <w:rPr>
                <w:b/>
                <w:sz w:val="22"/>
                <w:szCs w:val="22"/>
              </w:rPr>
            </w:pPr>
            <w:r w:rsidRPr="008E102C">
              <w:rPr>
                <w:b/>
                <w:sz w:val="22"/>
                <w:szCs w:val="22"/>
              </w:rPr>
              <w:t>4,8</w:t>
            </w:r>
          </w:p>
        </w:tc>
        <w:tc>
          <w:tcPr>
            <w:tcW w:w="1701" w:type="dxa"/>
          </w:tcPr>
          <w:p w:rsidR="00255CC4" w:rsidRPr="008E102C" w:rsidRDefault="00255CC4" w:rsidP="00255CC4">
            <w:pPr>
              <w:jc w:val="center"/>
              <w:rPr>
                <w:b/>
                <w:sz w:val="22"/>
                <w:szCs w:val="22"/>
              </w:rPr>
            </w:pPr>
            <w:r w:rsidRPr="008E102C">
              <w:rPr>
                <w:b/>
                <w:sz w:val="22"/>
                <w:szCs w:val="22"/>
              </w:rPr>
              <w:t>5,1</w:t>
            </w:r>
          </w:p>
        </w:tc>
      </w:tr>
      <w:tr w:rsidR="00255CC4" w:rsidRPr="00710DCB" w:rsidTr="00255CC4">
        <w:tc>
          <w:tcPr>
            <w:tcW w:w="2660" w:type="dxa"/>
          </w:tcPr>
          <w:p w:rsidR="00255CC4" w:rsidRPr="00710DCB" w:rsidRDefault="00255CC4" w:rsidP="00255CC4">
            <w:pPr>
              <w:jc w:val="left"/>
              <w:rPr>
                <w:sz w:val="22"/>
                <w:szCs w:val="22"/>
              </w:rPr>
            </w:pPr>
            <w:r>
              <w:rPr>
                <w:sz w:val="22"/>
                <w:szCs w:val="22"/>
              </w:rPr>
              <w:t>Vīrieši vecumā &gt;65</w:t>
            </w:r>
          </w:p>
        </w:tc>
        <w:tc>
          <w:tcPr>
            <w:tcW w:w="1701" w:type="dxa"/>
          </w:tcPr>
          <w:p w:rsidR="00255CC4" w:rsidRPr="00710DCB" w:rsidRDefault="00255CC4" w:rsidP="00255CC4">
            <w:pPr>
              <w:jc w:val="center"/>
              <w:rPr>
                <w:sz w:val="22"/>
                <w:szCs w:val="22"/>
              </w:rPr>
            </w:pPr>
            <w:r>
              <w:rPr>
                <w:sz w:val="22"/>
                <w:szCs w:val="22"/>
              </w:rPr>
              <w:t>4,3</w:t>
            </w:r>
          </w:p>
        </w:tc>
        <w:tc>
          <w:tcPr>
            <w:tcW w:w="1701" w:type="dxa"/>
          </w:tcPr>
          <w:p w:rsidR="00255CC4" w:rsidRPr="00710DCB" w:rsidRDefault="00255CC4" w:rsidP="00255CC4">
            <w:pPr>
              <w:jc w:val="center"/>
              <w:rPr>
                <w:sz w:val="22"/>
                <w:szCs w:val="22"/>
              </w:rPr>
            </w:pPr>
            <w:r>
              <w:rPr>
                <w:sz w:val="22"/>
                <w:szCs w:val="22"/>
              </w:rPr>
              <w:t>4,9</w:t>
            </w:r>
          </w:p>
        </w:tc>
        <w:tc>
          <w:tcPr>
            <w:tcW w:w="1701" w:type="dxa"/>
          </w:tcPr>
          <w:p w:rsidR="00255CC4" w:rsidRPr="00710DCB" w:rsidRDefault="00255CC4" w:rsidP="00255CC4">
            <w:pPr>
              <w:jc w:val="center"/>
              <w:rPr>
                <w:sz w:val="22"/>
                <w:szCs w:val="22"/>
              </w:rPr>
            </w:pPr>
            <w:r>
              <w:rPr>
                <w:sz w:val="22"/>
                <w:szCs w:val="22"/>
              </w:rPr>
              <w:t>5,2</w:t>
            </w:r>
          </w:p>
        </w:tc>
        <w:tc>
          <w:tcPr>
            <w:tcW w:w="1701" w:type="dxa"/>
          </w:tcPr>
          <w:p w:rsidR="00255CC4" w:rsidRPr="00710DCB" w:rsidRDefault="00255CC4" w:rsidP="00255CC4">
            <w:pPr>
              <w:jc w:val="center"/>
              <w:rPr>
                <w:sz w:val="22"/>
                <w:szCs w:val="22"/>
              </w:rPr>
            </w:pPr>
            <w:r>
              <w:rPr>
                <w:sz w:val="22"/>
                <w:szCs w:val="22"/>
              </w:rPr>
              <w:t>5,5</w:t>
            </w:r>
          </w:p>
        </w:tc>
      </w:tr>
      <w:tr w:rsidR="00255CC4" w:rsidRPr="00710DCB" w:rsidTr="00255CC4">
        <w:tc>
          <w:tcPr>
            <w:tcW w:w="2660" w:type="dxa"/>
          </w:tcPr>
          <w:p w:rsidR="00255CC4" w:rsidRPr="00710DCB" w:rsidRDefault="00255CC4" w:rsidP="00255CC4">
            <w:pPr>
              <w:jc w:val="left"/>
              <w:rPr>
                <w:sz w:val="22"/>
                <w:szCs w:val="22"/>
              </w:rPr>
            </w:pPr>
            <w:r>
              <w:rPr>
                <w:sz w:val="22"/>
                <w:szCs w:val="22"/>
              </w:rPr>
              <w:t>Sievietes vecumā &gt;65</w:t>
            </w:r>
          </w:p>
        </w:tc>
        <w:tc>
          <w:tcPr>
            <w:tcW w:w="1701" w:type="dxa"/>
          </w:tcPr>
          <w:p w:rsidR="00255CC4" w:rsidRPr="00710DCB" w:rsidRDefault="00255CC4" w:rsidP="00255CC4">
            <w:pPr>
              <w:jc w:val="center"/>
              <w:rPr>
                <w:sz w:val="22"/>
                <w:szCs w:val="22"/>
              </w:rPr>
            </w:pPr>
            <w:r>
              <w:rPr>
                <w:sz w:val="22"/>
                <w:szCs w:val="22"/>
              </w:rPr>
              <w:t>4,1</w:t>
            </w:r>
          </w:p>
        </w:tc>
        <w:tc>
          <w:tcPr>
            <w:tcW w:w="1701" w:type="dxa"/>
          </w:tcPr>
          <w:p w:rsidR="00255CC4" w:rsidRPr="00710DCB" w:rsidRDefault="00255CC4" w:rsidP="00255CC4">
            <w:pPr>
              <w:jc w:val="center"/>
              <w:rPr>
                <w:sz w:val="22"/>
                <w:szCs w:val="22"/>
              </w:rPr>
            </w:pPr>
            <w:r>
              <w:rPr>
                <w:sz w:val="22"/>
                <w:szCs w:val="22"/>
              </w:rPr>
              <w:t>4,5</w:t>
            </w:r>
          </w:p>
        </w:tc>
        <w:tc>
          <w:tcPr>
            <w:tcW w:w="1701" w:type="dxa"/>
          </w:tcPr>
          <w:p w:rsidR="00255CC4" w:rsidRPr="00710DCB" w:rsidRDefault="00255CC4" w:rsidP="00255CC4">
            <w:pPr>
              <w:jc w:val="center"/>
              <w:rPr>
                <w:sz w:val="22"/>
                <w:szCs w:val="22"/>
              </w:rPr>
            </w:pPr>
            <w:r>
              <w:rPr>
                <w:sz w:val="22"/>
                <w:szCs w:val="22"/>
              </w:rPr>
              <w:t>4,6</w:t>
            </w:r>
          </w:p>
        </w:tc>
        <w:tc>
          <w:tcPr>
            <w:tcW w:w="1701" w:type="dxa"/>
          </w:tcPr>
          <w:p w:rsidR="00255CC4" w:rsidRPr="00710DCB" w:rsidRDefault="00255CC4" w:rsidP="00255CC4">
            <w:pPr>
              <w:jc w:val="center"/>
              <w:rPr>
                <w:sz w:val="22"/>
                <w:szCs w:val="22"/>
              </w:rPr>
            </w:pPr>
            <w:r>
              <w:rPr>
                <w:sz w:val="22"/>
                <w:szCs w:val="22"/>
              </w:rPr>
              <w:t>4,7</w:t>
            </w:r>
          </w:p>
        </w:tc>
      </w:tr>
    </w:tbl>
    <w:p w:rsidR="00255CC4" w:rsidRDefault="00255CC4" w:rsidP="00255CC4">
      <w:pPr>
        <w:spacing w:line="240" w:lineRule="auto"/>
        <w:rPr>
          <w:sz w:val="20"/>
          <w:szCs w:val="20"/>
        </w:rPr>
      </w:pPr>
      <w:r w:rsidRPr="00825A8B">
        <w:rPr>
          <w:sz w:val="20"/>
          <w:szCs w:val="20"/>
        </w:rPr>
        <w:t xml:space="preserve">Avots: </w:t>
      </w:r>
      <w:r>
        <w:rPr>
          <w:sz w:val="20"/>
          <w:szCs w:val="20"/>
        </w:rPr>
        <w:t xml:space="preserve">Eurostat [ilc_di 11]. Ņemti vērā Eurostat datu publicēšanas nosacījumi, atspoguļojot gadu, par kuru apsekojumā vērtēti iedzīvotāju ienākumi. </w:t>
      </w:r>
    </w:p>
    <w:p w:rsidR="00CD7303" w:rsidRDefault="00CD7303" w:rsidP="00336976"/>
    <w:p w:rsidR="00336976" w:rsidRPr="0008156E" w:rsidRDefault="00336976" w:rsidP="00336976">
      <w:r>
        <w:t>Sieviešu vecumā līdz 65 gadiem grupā periodā no 2014. gada līdz 2016. gadam bija vērojama tendence samazināties ienākumu atšķirību līmenim starp augstāko un zemāko kvintili. Taču 2017. gada rādītāja vērtība norāda uz izmaiņām tendencē, jo kopējais indekss ir atkal pieaudzis par 0,5 punktiem. Tas rāda, ka 2</w:t>
      </w:r>
      <w:r w:rsidRPr="00EA0927">
        <w:t xml:space="preserve">0% </w:t>
      </w:r>
      <w:r>
        <w:t>sieviešu vecumā līdz 65 gadiem</w:t>
      </w:r>
      <w:r w:rsidRPr="00EA0927">
        <w:t xml:space="preserve"> ar augstākajiem ienākumiem (augstākā kvintile)</w:t>
      </w:r>
      <w:r>
        <w:t xml:space="preserve"> 2016. gadā guvušas 6,1 reizi augstākus </w:t>
      </w:r>
      <w:r w:rsidRPr="00EA0927">
        <w:t>ienākumu</w:t>
      </w:r>
      <w:r>
        <w:t>s</w:t>
      </w:r>
      <w:r w:rsidRPr="00EA0927">
        <w:t xml:space="preserve">, </w:t>
      </w:r>
      <w:r>
        <w:t>nekā</w:t>
      </w:r>
      <w:r w:rsidRPr="00EA0927">
        <w:t xml:space="preserve"> </w:t>
      </w:r>
      <w:r>
        <w:t>saņēmušas</w:t>
      </w:r>
      <w:r w:rsidRPr="00EA0927">
        <w:t xml:space="preserve"> 20% </w:t>
      </w:r>
      <w:r>
        <w:t>šīs vecuma grupas sieviešu</w:t>
      </w:r>
      <w:r w:rsidRPr="00EA0927">
        <w:t xml:space="preserve"> ar zemākajiem ienākumiem (zemākā kvintile)</w:t>
      </w:r>
      <w:r>
        <w:t xml:space="preserve">. Savukārt vecuma grupā virs 65 gadiem sieviešu vidū situācija 2016. gadā attiecībā pret 2014. gadu rāda, ka nevienlīdzība starp augstāko un zemāko kvintili ir pieaugusi (laikā no 2014. gada līdz 2016. gadam par 0,5 punktiem) un turpina pieaugt arī 2017. gadā. </w:t>
      </w:r>
    </w:p>
    <w:p w:rsidR="00255CC4" w:rsidRPr="00825A8B" w:rsidRDefault="00255CC4" w:rsidP="00255CC4"/>
    <w:p w:rsidR="00255CC4" w:rsidRDefault="00255CC4" w:rsidP="00255CC4">
      <w:r w:rsidRPr="00EA0927">
        <w:t>Atšķirības S80/S20 ienākumu kvintiļu attiecīb</w:t>
      </w:r>
      <w:r>
        <w:t>u</w:t>
      </w:r>
      <w:r w:rsidRPr="00EA0927">
        <w:t xml:space="preserve"> indeks</w:t>
      </w:r>
      <w:r>
        <w:t>ā</w:t>
      </w:r>
      <w:r w:rsidRPr="00EA0927">
        <w:t xml:space="preserve"> redzamas </w:t>
      </w:r>
      <w:r w:rsidRPr="00C42564">
        <w:rPr>
          <w:b/>
        </w:rPr>
        <w:t>reģionu līmenī</w:t>
      </w:r>
      <w:r>
        <w:t xml:space="preserve"> (sk. </w:t>
      </w:r>
      <w:r w:rsidR="006E1579">
        <w:t>1.6</w:t>
      </w:r>
      <w:r>
        <w:t>. tabulu)</w:t>
      </w:r>
      <w:r w:rsidRPr="00EA0927">
        <w:t xml:space="preserve">, īpaši </w:t>
      </w:r>
      <w:r w:rsidRPr="00106165">
        <w:rPr>
          <w:b/>
        </w:rPr>
        <w:t>Pierīgas reģionā</w:t>
      </w:r>
      <w:r w:rsidRPr="00EA0927">
        <w:t xml:space="preserve">, kur </w:t>
      </w:r>
      <w:r>
        <w:t>turīgākā</w:t>
      </w:r>
      <w:r w:rsidRPr="00EA0927">
        <w:t xml:space="preserve"> iedzīvotāju daļa </w:t>
      </w:r>
      <w:r>
        <w:t>2016. gadā saņēma</w:t>
      </w:r>
      <w:r w:rsidRPr="00EA0927">
        <w:t xml:space="preserve"> 6,4 reizes vairāk nekā nabadzīgā sabiedrības daļa. Vis</w:t>
      </w:r>
      <w:r>
        <w:t>zemākais</w:t>
      </w:r>
      <w:r w:rsidRPr="00EA0927">
        <w:t xml:space="preserve"> rādītājs </w:t>
      </w:r>
      <w:r>
        <w:t>ir</w:t>
      </w:r>
      <w:r w:rsidRPr="00EA0927">
        <w:t xml:space="preserve"> </w:t>
      </w:r>
      <w:r>
        <w:t>Vidzemes</w:t>
      </w:r>
      <w:r w:rsidRPr="00EA0927">
        <w:t xml:space="preserve"> reģionā – 5,</w:t>
      </w:r>
      <w:r>
        <w:t xml:space="preserve">5 (2016.g.), kas nozīmē, ka reģionā iedzīvotāju ienākumu apmērs ir </w:t>
      </w:r>
      <w:r w:rsidR="00336976">
        <w:t xml:space="preserve">salīdzinoši </w:t>
      </w:r>
      <w:r>
        <w:t>vislīdzīgākais visu reģionu starpā</w:t>
      </w:r>
      <w:r w:rsidRPr="00EA0927">
        <w:t>.</w:t>
      </w:r>
      <w:r>
        <w:t xml:space="preserve"> </w:t>
      </w:r>
    </w:p>
    <w:p w:rsidR="00255CC4" w:rsidRPr="008D2645" w:rsidRDefault="00AD3EDD" w:rsidP="008C6B83">
      <w:pPr>
        <w:pStyle w:val="Caption"/>
      </w:pPr>
      <w:r>
        <w:lastRenderedPageBreak/>
        <w:fldChar w:fldCharType="begin"/>
      </w:r>
      <w:r w:rsidR="00696156">
        <w:instrText xml:space="preserve"> STYLEREF 1 \s </w:instrText>
      </w:r>
      <w:r>
        <w:fldChar w:fldCharType="separate"/>
      </w:r>
      <w:r w:rsidR="00224B50">
        <w:rPr>
          <w:noProof/>
        </w:rPr>
        <w:t>1</w:t>
      </w:r>
      <w:r>
        <w:fldChar w:fldCharType="end"/>
      </w:r>
      <w:r w:rsidR="00A46B54">
        <w:t>.</w:t>
      </w:r>
      <w:r w:rsidR="000A7157">
        <w:t>6</w:t>
      </w:r>
      <w:r w:rsidR="00255CC4">
        <w:t>.</w:t>
      </w:r>
      <w:r w:rsidR="00255CC4" w:rsidRPr="008D2645">
        <w:t xml:space="preserve"> </w:t>
      </w:r>
      <w:r w:rsidR="00255CC4" w:rsidRPr="00E44507">
        <w:t>tabula</w:t>
      </w:r>
      <w:r w:rsidR="00255CC4" w:rsidRPr="008D2645">
        <w:t>. S80/S20 ienākumu kvintiļu attiecības indekss Latvijas reģionos</w:t>
      </w:r>
      <w:r w:rsidR="00255CC4">
        <w:t xml:space="preserve"> (2014-2016)</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6"/>
        <w:gridCol w:w="1138"/>
        <w:gridCol w:w="1134"/>
        <w:gridCol w:w="1134"/>
        <w:gridCol w:w="1134"/>
      </w:tblGrid>
      <w:tr w:rsidR="00255CC4" w:rsidRPr="00BC22F8" w:rsidTr="00BC22F8">
        <w:trPr>
          <w:trHeight w:val="330"/>
        </w:trPr>
        <w:tc>
          <w:tcPr>
            <w:tcW w:w="1556" w:type="dxa"/>
            <w:shd w:val="clear" w:color="auto" w:fill="B8CCE4" w:themeFill="accent1" w:themeFillTint="66"/>
            <w:noWrap/>
            <w:hideMark/>
          </w:tcPr>
          <w:p w:rsidR="00255CC4" w:rsidRPr="00BC22F8" w:rsidRDefault="00255CC4" w:rsidP="00255CC4">
            <w:pPr>
              <w:rPr>
                <w:b/>
                <w:bCs/>
                <w:color w:val="002060"/>
                <w:sz w:val="22"/>
                <w:szCs w:val="22"/>
              </w:rPr>
            </w:pPr>
            <w:r w:rsidRPr="00BC22F8">
              <w:rPr>
                <w:b/>
                <w:bCs/>
                <w:color w:val="002060"/>
                <w:sz w:val="22"/>
                <w:szCs w:val="22"/>
              </w:rPr>
              <w:t>Reģions</w:t>
            </w:r>
          </w:p>
        </w:tc>
        <w:tc>
          <w:tcPr>
            <w:tcW w:w="1138" w:type="dxa"/>
            <w:shd w:val="clear" w:color="auto" w:fill="B8CCE4" w:themeFill="accent1" w:themeFillTint="66"/>
            <w:noWrap/>
            <w:hideMark/>
          </w:tcPr>
          <w:p w:rsidR="00255CC4" w:rsidRPr="00BC22F8" w:rsidRDefault="00255CC4" w:rsidP="00255CC4">
            <w:pPr>
              <w:jc w:val="center"/>
              <w:rPr>
                <w:b/>
                <w:bCs/>
                <w:color w:val="002060"/>
                <w:sz w:val="22"/>
                <w:szCs w:val="22"/>
              </w:rPr>
            </w:pPr>
            <w:r w:rsidRPr="00BC22F8">
              <w:rPr>
                <w:b/>
                <w:bCs/>
                <w:color w:val="002060"/>
                <w:sz w:val="22"/>
                <w:szCs w:val="22"/>
              </w:rPr>
              <w:t>2014</w:t>
            </w:r>
          </w:p>
        </w:tc>
        <w:tc>
          <w:tcPr>
            <w:tcW w:w="1134" w:type="dxa"/>
            <w:shd w:val="clear" w:color="auto" w:fill="B8CCE4" w:themeFill="accent1" w:themeFillTint="66"/>
            <w:noWrap/>
            <w:hideMark/>
          </w:tcPr>
          <w:p w:rsidR="00255CC4" w:rsidRPr="00BC22F8" w:rsidRDefault="00255CC4" w:rsidP="00255CC4">
            <w:pPr>
              <w:jc w:val="center"/>
              <w:rPr>
                <w:b/>
                <w:bCs/>
                <w:color w:val="002060"/>
                <w:sz w:val="22"/>
                <w:szCs w:val="22"/>
              </w:rPr>
            </w:pPr>
            <w:r w:rsidRPr="00BC22F8">
              <w:rPr>
                <w:b/>
                <w:bCs/>
                <w:color w:val="002060"/>
                <w:sz w:val="22"/>
                <w:szCs w:val="22"/>
              </w:rPr>
              <w:t>2015</w:t>
            </w:r>
          </w:p>
        </w:tc>
        <w:tc>
          <w:tcPr>
            <w:tcW w:w="1134" w:type="dxa"/>
            <w:shd w:val="clear" w:color="auto" w:fill="B8CCE4" w:themeFill="accent1" w:themeFillTint="66"/>
            <w:noWrap/>
            <w:hideMark/>
          </w:tcPr>
          <w:p w:rsidR="00255CC4" w:rsidRPr="00BC22F8" w:rsidRDefault="00255CC4" w:rsidP="00255CC4">
            <w:pPr>
              <w:jc w:val="center"/>
              <w:rPr>
                <w:b/>
                <w:bCs/>
                <w:color w:val="002060"/>
                <w:sz w:val="22"/>
                <w:szCs w:val="22"/>
              </w:rPr>
            </w:pPr>
            <w:r w:rsidRPr="00BC22F8">
              <w:rPr>
                <w:b/>
                <w:bCs/>
                <w:color w:val="002060"/>
                <w:sz w:val="22"/>
                <w:szCs w:val="22"/>
              </w:rPr>
              <w:t>2016</w:t>
            </w:r>
          </w:p>
        </w:tc>
        <w:tc>
          <w:tcPr>
            <w:tcW w:w="1134" w:type="dxa"/>
            <w:shd w:val="clear" w:color="auto" w:fill="B8CCE4" w:themeFill="accent1" w:themeFillTint="66"/>
          </w:tcPr>
          <w:p w:rsidR="00255CC4" w:rsidRPr="00BC22F8" w:rsidRDefault="00255CC4" w:rsidP="00255CC4">
            <w:pPr>
              <w:jc w:val="center"/>
              <w:rPr>
                <w:b/>
                <w:bCs/>
                <w:color w:val="002060"/>
                <w:sz w:val="22"/>
                <w:szCs w:val="22"/>
              </w:rPr>
            </w:pPr>
            <w:r w:rsidRPr="00BC22F8">
              <w:rPr>
                <w:b/>
                <w:bCs/>
                <w:color w:val="002060"/>
                <w:sz w:val="22"/>
                <w:szCs w:val="22"/>
              </w:rPr>
              <w:t>2017</w:t>
            </w:r>
          </w:p>
        </w:tc>
      </w:tr>
      <w:tr w:rsidR="00255CC4" w:rsidRPr="005367E0" w:rsidTr="00255CC4">
        <w:trPr>
          <w:trHeight w:val="330"/>
        </w:trPr>
        <w:tc>
          <w:tcPr>
            <w:tcW w:w="1556" w:type="dxa"/>
            <w:noWrap/>
            <w:hideMark/>
          </w:tcPr>
          <w:p w:rsidR="00255CC4" w:rsidRPr="005367E0" w:rsidRDefault="00255CC4" w:rsidP="00255CC4">
            <w:pPr>
              <w:rPr>
                <w:sz w:val="22"/>
                <w:szCs w:val="22"/>
              </w:rPr>
            </w:pPr>
            <w:r w:rsidRPr="005367E0">
              <w:rPr>
                <w:sz w:val="22"/>
                <w:szCs w:val="22"/>
              </w:rPr>
              <w:t>Rīga</w:t>
            </w:r>
          </w:p>
        </w:tc>
        <w:tc>
          <w:tcPr>
            <w:tcW w:w="1138" w:type="dxa"/>
            <w:noWrap/>
            <w:hideMark/>
          </w:tcPr>
          <w:p w:rsidR="00255CC4" w:rsidRPr="005367E0" w:rsidRDefault="00255CC4" w:rsidP="00255CC4">
            <w:pPr>
              <w:jc w:val="center"/>
              <w:rPr>
                <w:sz w:val="22"/>
                <w:szCs w:val="22"/>
              </w:rPr>
            </w:pPr>
            <w:r w:rsidRPr="005367E0">
              <w:rPr>
                <w:sz w:val="22"/>
                <w:szCs w:val="22"/>
              </w:rPr>
              <w:t>5,9</w:t>
            </w:r>
          </w:p>
        </w:tc>
        <w:tc>
          <w:tcPr>
            <w:tcW w:w="1134" w:type="dxa"/>
            <w:noWrap/>
            <w:hideMark/>
          </w:tcPr>
          <w:p w:rsidR="00255CC4" w:rsidRPr="005367E0" w:rsidRDefault="00255CC4" w:rsidP="00255CC4">
            <w:pPr>
              <w:jc w:val="center"/>
              <w:rPr>
                <w:sz w:val="22"/>
                <w:szCs w:val="22"/>
              </w:rPr>
            </w:pPr>
            <w:r w:rsidRPr="005367E0">
              <w:rPr>
                <w:sz w:val="22"/>
                <w:szCs w:val="22"/>
              </w:rPr>
              <w:t>5,8</w:t>
            </w:r>
          </w:p>
        </w:tc>
        <w:tc>
          <w:tcPr>
            <w:tcW w:w="1134" w:type="dxa"/>
            <w:noWrap/>
            <w:hideMark/>
          </w:tcPr>
          <w:p w:rsidR="00255CC4" w:rsidRPr="005367E0" w:rsidRDefault="00255CC4" w:rsidP="00255CC4">
            <w:pPr>
              <w:jc w:val="center"/>
              <w:rPr>
                <w:sz w:val="22"/>
                <w:szCs w:val="22"/>
              </w:rPr>
            </w:pPr>
            <w:r w:rsidRPr="005367E0">
              <w:rPr>
                <w:sz w:val="22"/>
                <w:szCs w:val="22"/>
              </w:rPr>
              <w:t>5,7</w:t>
            </w:r>
          </w:p>
        </w:tc>
        <w:tc>
          <w:tcPr>
            <w:tcW w:w="1134" w:type="dxa"/>
          </w:tcPr>
          <w:p w:rsidR="00255CC4" w:rsidRPr="005367E0" w:rsidRDefault="00255CC4" w:rsidP="00255CC4">
            <w:pPr>
              <w:jc w:val="center"/>
              <w:rPr>
                <w:sz w:val="22"/>
                <w:szCs w:val="22"/>
              </w:rPr>
            </w:pPr>
            <w:r w:rsidRPr="005367E0">
              <w:rPr>
                <w:sz w:val="22"/>
                <w:szCs w:val="22"/>
              </w:rPr>
              <w:t>6,3</w:t>
            </w:r>
          </w:p>
        </w:tc>
      </w:tr>
      <w:tr w:rsidR="00255CC4" w:rsidRPr="005367E0" w:rsidTr="00255CC4">
        <w:trPr>
          <w:trHeight w:val="330"/>
        </w:trPr>
        <w:tc>
          <w:tcPr>
            <w:tcW w:w="1556" w:type="dxa"/>
            <w:noWrap/>
            <w:hideMark/>
          </w:tcPr>
          <w:p w:rsidR="00255CC4" w:rsidRPr="005367E0" w:rsidRDefault="00255CC4" w:rsidP="00255CC4">
            <w:pPr>
              <w:rPr>
                <w:b/>
                <w:sz w:val="22"/>
                <w:szCs w:val="22"/>
              </w:rPr>
            </w:pPr>
            <w:r w:rsidRPr="005367E0">
              <w:rPr>
                <w:b/>
                <w:sz w:val="22"/>
                <w:szCs w:val="22"/>
              </w:rPr>
              <w:t>Pierīga</w:t>
            </w:r>
          </w:p>
        </w:tc>
        <w:tc>
          <w:tcPr>
            <w:tcW w:w="1138" w:type="dxa"/>
            <w:noWrap/>
            <w:hideMark/>
          </w:tcPr>
          <w:p w:rsidR="00255CC4" w:rsidRPr="005367E0" w:rsidRDefault="00255CC4" w:rsidP="00255CC4">
            <w:pPr>
              <w:jc w:val="center"/>
              <w:rPr>
                <w:b/>
                <w:sz w:val="22"/>
                <w:szCs w:val="22"/>
              </w:rPr>
            </w:pPr>
            <w:r w:rsidRPr="005367E0">
              <w:rPr>
                <w:b/>
                <w:sz w:val="22"/>
                <w:szCs w:val="22"/>
              </w:rPr>
              <w:t>6,6</w:t>
            </w:r>
          </w:p>
        </w:tc>
        <w:tc>
          <w:tcPr>
            <w:tcW w:w="1134" w:type="dxa"/>
            <w:noWrap/>
            <w:hideMark/>
          </w:tcPr>
          <w:p w:rsidR="00255CC4" w:rsidRPr="005367E0" w:rsidRDefault="00255CC4" w:rsidP="00255CC4">
            <w:pPr>
              <w:jc w:val="center"/>
              <w:rPr>
                <w:b/>
                <w:sz w:val="22"/>
                <w:szCs w:val="22"/>
              </w:rPr>
            </w:pPr>
            <w:r w:rsidRPr="005367E0">
              <w:rPr>
                <w:b/>
                <w:sz w:val="22"/>
                <w:szCs w:val="22"/>
              </w:rPr>
              <w:t>6,3</w:t>
            </w:r>
          </w:p>
        </w:tc>
        <w:tc>
          <w:tcPr>
            <w:tcW w:w="1134" w:type="dxa"/>
            <w:noWrap/>
            <w:hideMark/>
          </w:tcPr>
          <w:p w:rsidR="00255CC4" w:rsidRPr="005367E0" w:rsidRDefault="00255CC4" w:rsidP="00255CC4">
            <w:pPr>
              <w:jc w:val="center"/>
              <w:rPr>
                <w:b/>
                <w:sz w:val="22"/>
                <w:szCs w:val="22"/>
              </w:rPr>
            </w:pPr>
            <w:r w:rsidRPr="005367E0">
              <w:rPr>
                <w:b/>
                <w:sz w:val="22"/>
                <w:szCs w:val="22"/>
              </w:rPr>
              <w:t>6,4</w:t>
            </w:r>
          </w:p>
        </w:tc>
        <w:tc>
          <w:tcPr>
            <w:tcW w:w="1134" w:type="dxa"/>
          </w:tcPr>
          <w:p w:rsidR="00255CC4" w:rsidRPr="005367E0" w:rsidRDefault="00255CC4" w:rsidP="00255CC4">
            <w:pPr>
              <w:jc w:val="center"/>
              <w:rPr>
                <w:b/>
                <w:sz w:val="22"/>
                <w:szCs w:val="22"/>
              </w:rPr>
            </w:pPr>
            <w:r w:rsidRPr="005367E0">
              <w:rPr>
                <w:b/>
                <w:sz w:val="22"/>
                <w:szCs w:val="22"/>
              </w:rPr>
              <w:t>6,6</w:t>
            </w:r>
          </w:p>
        </w:tc>
      </w:tr>
      <w:tr w:rsidR="00255CC4" w:rsidRPr="005367E0" w:rsidTr="00255CC4">
        <w:trPr>
          <w:trHeight w:val="330"/>
        </w:trPr>
        <w:tc>
          <w:tcPr>
            <w:tcW w:w="1556" w:type="dxa"/>
            <w:noWrap/>
            <w:hideMark/>
          </w:tcPr>
          <w:p w:rsidR="00255CC4" w:rsidRPr="005367E0" w:rsidRDefault="00255CC4" w:rsidP="00255CC4">
            <w:pPr>
              <w:rPr>
                <w:sz w:val="22"/>
                <w:szCs w:val="22"/>
              </w:rPr>
            </w:pPr>
            <w:r w:rsidRPr="005367E0">
              <w:rPr>
                <w:sz w:val="22"/>
                <w:szCs w:val="22"/>
              </w:rPr>
              <w:t>Vidzeme</w:t>
            </w:r>
          </w:p>
        </w:tc>
        <w:tc>
          <w:tcPr>
            <w:tcW w:w="1138" w:type="dxa"/>
            <w:noWrap/>
            <w:hideMark/>
          </w:tcPr>
          <w:p w:rsidR="00255CC4" w:rsidRPr="005367E0" w:rsidRDefault="00255CC4" w:rsidP="00255CC4">
            <w:pPr>
              <w:jc w:val="center"/>
              <w:rPr>
                <w:sz w:val="22"/>
                <w:szCs w:val="22"/>
              </w:rPr>
            </w:pPr>
            <w:r w:rsidRPr="005367E0">
              <w:rPr>
                <w:sz w:val="22"/>
                <w:szCs w:val="22"/>
              </w:rPr>
              <w:t>6,3</w:t>
            </w:r>
          </w:p>
        </w:tc>
        <w:tc>
          <w:tcPr>
            <w:tcW w:w="1134" w:type="dxa"/>
            <w:noWrap/>
            <w:hideMark/>
          </w:tcPr>
          <w:p w:rsidR="00255CC4" w:rsidRPr="005367E0" w:rsidRDefault="00255CC4" w:rsidP="00255CC4">
            <w:pPr>
              <w:jc w:val="center"/>
              <w:rPr>
                <w:sz w:val="22"/>
                <w:szCs w:val="22"/>
              </w:rPr>
            </w:pPr>
            <w:r w:rsidRPr="005367E0">
              <w:rPr>
                <w:sz w:val="22"/>
                <w:szCs w:val="22"/>
              </w:rPr>
              <w:t>5,5</w:t>
            </w:r>
          </w:p>
        </w:tc>
        <w:tc>
          <w:tcPr>
            <w:tcW w:w="1134" w:type="dxa"/>
            <w:noWrap/>
            <w:hideMark/>
          </w:tcPr>
          <w:p w:rsidR="00255CC4" w:rsidRPr="005367E0" w:rsidRDefault="00255CC4" w:rsidP="00255CC4">
            <w:pPr>
              <w:jc w:val="center"/>
              <w:rPr>
                <w:sz w:val="22"/>
                <w:szCs w:val="22"/>
              </w:rPr>
            </w:pPr>
            <w:r w:rsidRPr="005367E0">
              <w:rPr>
                <w:sz w:val="22"/>
                <w:szCs w:val="22"/>
              </w:rPr>
              <w:t>5,5</w:t>
            </w:r>
          </w:p>
        </w:tc>
        <w:tc>
          <w:tcPr>
            <w:tcW w:w="1134" w:type="dxa"/>
          </w:tcPr>
          <w:p w:rsidR="00255CC4" w:rsidRPr="005367E0" w:rsidRDefault="00255CC4" w:rsidP="00255CC4">
            <w:pPr>
              <w:jc w:val="center"/>
              <w:rPr>
                <w:sz w:val="22"/>
                <w:szCs w:val="22"/>
              </w:rPr>
            </w:pPr>
            <w:r w:rsidRPr="005367E0">
              <w:rPr>
                <w:sz w:val="22"/>
                <w:szCs w:val="22"/>
              </w:rPr>
              <w:t>5,3</w:t>
            </w:r>
          </w:p>
        </w:tc>
      </w:tr>
      <w:tr w:rsidR="00255CC4" w:rsidRPr="005367E0" w:rsidTr="00255CC4">
        <w:trPr>
          <w:trHeight w:val="330"/>
        </w:trPr>
        <w:tc>
          <w:tcPr>
            <w:tcW w:w="1556" w:type="dxa"/>
            <w:noWrap/>
            <w:hideMark/>
          </w:tcPr>
          <w:p w:rsidR="00255CC4" w:rsidRPr="005367E0" w:rsidRDefault="00255CC4" w:rsidP="00255CC4">
            <w:pPr>
              <w:rPr>
                <w:sz w:val="22"/>
                <w:szCs w:val="22"/>
              </w:rPr>
            </w:pPr>
            <w:r w:rsidRPr="005367E0">
              <w:rPr>
                <w:sz w:val="22"/>
                <w:szCs w:val="22"/>
              </w:rPr>
              <w:t>Kurzeme</w:t>
            </w:r>
          </w:p>
        </w:tc>
        <w:tc>
          <w:tcPr>
            <w:tcW w:w="1138" w:type="dxa"/>
            <w:noWrap/>
            <w:hideMark/>
          </w:tcPr>
          <w:p w:rsidR="00255CC4" w:rsidRPr="005367E0" w:rsidRDefault="00255CC4" w:rsidP="00255CC4">
            <w:pPr>
              <w:jc w:val="center"/>
              <w:rPr>
                <w:sz w:val="22"/>
                <w:szCs w:val="22"/>
              </w:rPr>
            </w:pPr>
            <w:r w:rsidRPr="005367E0">
              <w:rPr>
                <w:sz w:val="22"/>
                <w:szCs w:val="22"/>
              </w:rPr>
              <w:t>5,5</w:t>
            </w:r>
          </w:p>
        </w:tc>
        <w:tc>
          <w:tcPr>
            <w:tcW w:w="1134" w:type="dxa"/>
            <w:noWrap/>
            <w:hideMark/>
          </w:tcPr>
          <w:p w:rsidR="00255CC4" w:rsidRPr="005367E0" w:rsidRDefault="00255CC4" w:rsidP="00255CC4">
            <w:pPr>
              <w:jc w:val="center"/>
              <w:rPr>
                <w:sz w:val="22"/>
                <w:szCs w:val="22"/>
              </w:rPr>
            </w:pPr>
            <w:r w:rsidRPr="005367E0">
              <w:rPr>
                <w:sz w:val="22"/>
                <w:szCs w:val="22"/>
              </w:rPr>
              <w:t>5,3</w:t>
            </w:r>
          </w:p>
        </w:tc>
        <w:tc>
          <w:tcPr>
            <w:tcW w:w="1134" w:type="dxa"/>
            <w:noWrap/>
            <w:hideMark/>
          </w:tcPr>
          <w:p w:rsidR="00255CC4" w:rsidRPr="005367E0" w:rsidRDefault="00255CC4" w:rsidP="00255CC4">
            <w:pPr>
              <w:jc w:val="center"/>
              <w:rPr>
                <w:sz w:val="22"/>
                <w:szCs w:val="22"/>
              </w:rPr>
            </w:pPr>
            <w:r w:rsidRPr="005367E0">
              <w:rPr>
                <w:sz w:val="22"/>
                <w:szCs w:val="22"/>
              </w:rPr>
              <w:t>5,7</w:t>
            </w:r>
          </w:p>
        </w:tc>
        <w:tc>
          <w:tcPr>
            <w:tcW w:w="1134" w:type="dxa"/>
          </w:tcPr>
          <w:p w:rsidR="00255CC4" w:rsidRPr="005367E0" w:rsidRDefault="00255CC4" w:rsidP="00255CC4">
            <w:pPr>
              <w:jc w:val="center"/>
              <w:rPr>
                <w:sz w:val="22"/>
                <w:szCs w:val="22"/>
              </w:rPr>
            </w:pPr>
            <w:r w:rsidRPr="005367E0">
              <w:rPr>
                <w:sz w:val="22"/>
                <w:szCs w:val="22"/>
              </w:rPr>
              <w:t>5,5</w:t>
            </w:r>
          </w:p>
        </w:tc>
      </w:tr>
      <w:tr w:rsidR="00255CC4" w:rsidRPr="005367E0" w:rsidTr="00255CC4">
        <w:trPr>
          <w:trHeight w:val="330"/>
        </w:trPr>
        <w:tc>
          <w:tcPr>
            <w:tcW w:w="1556" w:type="dxa"/>
            <w:noWrap/>
            <w:hideMark/>
          </w:tcPr>
          <w:p w:rsidR="00255CC4" w:rsidRPr="005367E0" w:rsidRDefault="00255CC4" w:rsidP="00255CC4">
            <w:pPr>
              <w:rPr>
                <w:sz w:val="22"/>
                <w:szCs w:val="22"/>
              </w:rPr>
            </w:pPr>
            <w:r w:rsidRPr="005367E0">
              <w:rPr>
                <w:sz w:val="22"/>
                <w:szCs w:val="22"/>
              </w:rPr>
              <w:t>Zemgale</w:t>
            </w:r>
          </w:p>
        </w:tc>
        <w:tc>
          <w:tcPr>
            <w:tcW w:w="1138" w:type="dxa"/>
            <w:noWrap/>
            <w:hideMark/>
          </w:tcPr>
          <w:p w:rsidR="00255CC4" w:rsidRPr="005367E0" w:rsidRDefault="00255CC4" w:rsidP="00255CC4">
            <w:pPr>
              <w:jc w:val="center"/>
              <w:rPr>
                <w:sz w:val="22"/>
                <w:szCs w:val="22"/>
              </w:rPr>
            </w:pPr>
            <w:r w:rsidRPr="005367E0">
              <w:rPr>
                <w:sz w:val="22"/>
                <w:szCs w:val="22"/>
              </w:rPr>
              <w:t>6,8</w:t>
            </w:r>
          </w:p>
        </w:tc>
        <w:tc>
          <w:tcPr>
            <w:tcW w:w="1134" w:type="dxa"/>
            <w:noWrap/>
            <w:hideMark/>
          </w:tcPr>
          <w:p w:rsidR="00255CC4" w:rsidRPr="005367E0" w:rsidRDefault="00255CC4" w:rsidP="00255CC4">
            <w:pPr>
              <w:jc w:val="center"/>
              <w:rPr>
                <w:sz w:val="22"/>
                <w:szCs w:val="22"/>
              </w:rPr>
            </w:pPr>
            <w:r w:rsidRPr="005367E0">
              <w:rPr>
                <w:sz w:val="22"/>
                <w:szCs w:val="22"/>
              </w:rPr>
              <w:t>5,6</w:t>
            </w:r>
          </w:p>
        </w:tc>
        <w:tc>
          <w:tcPr>
            <w:tcW w:w="1134" w:type="dxa"/>
            <w:noWrap/>
            <w:hideMark/>
          </w:tcPr>
          <w:p w:rsidR="00255CC4" w:rsidRPr="005367E0" w:rsidRDefault="00255CC4" w:rsidP="00255CC4">
            <w:pPr>
              <w:jc w:val="center"/>
              <w:rPr>
                <w:sz w:val="22"/>
                <w:szCs w:val="22"/>
              </w:rPr>
            </w:pPr>
            <w:r w:rsidRPr="005367E0">
              <w:rPr>
                <w:sz w:val="22"/>
                <w:szCs w:val="22"/>
              </w:rPr>
              <w:t>5,9</w:t>
            </w:r>
          </w:p>
        </w:tc>
        <w:tc>
          <w:tcPr>
            <w:tcW w:w="1134" w:type="dxa"/>
          </w:tcPr>
          <w:p w:rsidR="00255CC4" w:rsidRPr="005367E0" w:rsidRDefault="00255CC4" w:rsidP="00255CC4">
            <w:pPr>
              <w:jc w:val="center"/>
              <w:rPr>
                <w:sz w:val="22"/>
                <w:szCs w:val="22"/>
              </w:rPr>
            </w:pPr>
            <w:r w:rsidRPr="005367E0">
              <w:rPr>
                <w:sz w:val="22"/>
                <w:szCs w:val="22"/>
              </w:rPr>
              <w:t>6,2</w:t>
            </w:r>
          </w:p>
        </w:tc>
      </w:tr>
      <w:tr w:rsidR="00255CC4" w:rsidRPr="005367E0" w:rsidTr="00255CC4">
        <w:trPr>
          <w:trHeight w:val="330"/>
        </w:trPr>
        <w:tc>
          <w:tcPr>
            <w:tcW w:w="1556" w:type="dxa"/>
            <w:noWrap/>
            <w:hideMark/>
          </w:tcPr>
          <w:p w:rsidR="00255CC4" w:rsidRPr="005367E0" w:rsidRDefault="00255CC4" w:rsidP="00255CC4">
            <w:pPr>
              <w:rPr>
                <w:sz w:val="22"/>
                <w:szCs w:val="22"/>
              </w:rPr>
            </w:pPr>
            <w:r w:rsidRPr="005367E0">
              <w:rPr>
                <w:sz w:val="22"/>
                <w:szCs w:val="22"/>
              </w:rPr>
              <w:t>Latgale</w:t>
            </w:r>
          </w:p>
        </w:tc>
        <w:tc>
          <w:tcPr>
            <w:tcW w:w="1138" w:type="dxa"/>
            <w:noWrap/>
            <w:hideMark/>
          </w:tcPr>
          <w:p w:rsidR="00255CC4" w:rsidRPr="005367E0" w:rsidRDefault="00255CC4" w:rsidP="00255CC4">
            <w:pPr>
              <w:jc w:val="center"/>
              <w:rPr>
                <w:sz w:val="22"/>
                <w:szCs w:val="22"/>
              </w:rPr>
            </w:pPr>
            <w:r w:rsidRPr="005367E0">
              <w:rPr>
                <w:sz w:val="22"/>
                <w:szCs w:val="22"/>
              </w:rPr>
              <w:t>5,5</w:t>
            </w:r>
          </w:p>
        </w:tc>
        <w:tc>
          <w:tcPr>
            <w:tcW w:w="1134" w:type="dxa"/>
            <w:noWrap/>
            <w:hideMark/>
          </w:tcPr>
          <w:p w:rsidR="00255CC4" w:rsidRPr="005367E0" w:rsidRDefault="00255CC4" w:rsidP="00255CC4">
            <w:pPr>
              <w:jc w:val="center"/>
              <w:rPr>
                <w:sz w:val="22"/>
                <w:szCs w:val="22"/>
              </w:rPr>
            </w:pPr>
            <w:r w:rsidRPr="005367E0">
              <w:rPr>
                <w:sz w:val="22"/>
                <w:szCs w:val="22"/>
              </w:rPr>
              <w:t>5,6</w:t>
            </w:r>
          </w:p>
        </w:tc>
        <w:tc>
          <w:tcPr>
            <w:tcW w:w="1134" w:type="dxa"/>
            <w:noWrap/>
            <w:hideMark/>
          </w:tcPr>
          <w:p w:rsidR="00255CC4" w:rsidRPr="005367E0" w:rsidRDefault="00255CC4" w:rsidP="00255CC4">
            <w:pPr>
              <w:jc w:val="center"/>
              <w:rPr>
                <w:sz w:val="22"/>
                <w:szCs w:val="22"/>
              </w:rPr>
            </w:pPr>
            <w:r w:rsidRPr="005367E0">
              <w:rPr>
                <w:sz w:val="22"/>
                <w:szCs w:val="22"/>
              </w:rPr>
              <w:t>5,8</w:t>
            </w:r>
          </w:p>
        </w:tc>
        <w:tc>
          <w:tcPr>
            <w:tcW w:w="1134" w:type="dxa"/>
          </w:tcPr>
          <w:p w:rsidR="00255CC4" w:rsidRPr="005367E0" w:rsidRDefault="00255CC4" w:rsidP="00255CC4">
            <w:pPr>
              <w:jc w:val="center"/>
              <w:rPr>
                <w:sz w:val="22"/>
                <w:szCs w:val="22"/>
              </w:rPr>
            </w:pPr>
            <w:r w:rsidRPr="005367E0">
              <w:rPr>
                <w:sz w:val="22"/>
                <w:szCs w:val="22"/>
              </w:rPr>
              <w:t>7,6</w:t>
            </w:r>
          </w:p>
        </w:tc>
      </w:tr>
    </w:tbl>
    <w:p w:rsidR="00255CC4" w:rsidRPr="00825A8B" w:rsidRDefault="00255CC4" w:rsidP="00255CC4">
      <w:pPr>
        <w:rPr>
          <w:sz w:val="20"/>
          <w:szCs w:val="20"/>
        </w:rPr>
      </w:pPr>
      <w:bookmarkStart w:id="172" w:name="_Toc2761048"/>
      <w:bookmarkStart w:id="173" w:name="_Toc2848147"/>
      <w:r w:rsidRPr="00825A8B">
        <w:rPr>
          <w:sz w:val="20"/>
          <w:szCs w:val="20"/>
        </w:rPr>
        <w:t>Avots: CSP, “NIG170. S80/S20 ienākumu kvintiļu attiecības indekss Latvijas reģionos”.</w:t>
      </w:r>
    </w:p>
    <w:p w:rsidR="00255CC4" w:rsidRDefault="00255CC4" w:rsidP="00255CC4"/>
    <w:p w:rsidR="00255CC4" w:rsidRDefault="00255CC4" w:rsidP="00255CC4">
      <w:r w:rsidRPr="00B72A14">
        <w:rPr>
          <w:b/>
        </w:rPr>
        <w:t>No 2014. gada līdz 2016. gadam</w:t>
      </w:r>
      <w:r>
        <w:t xml:space="preserve"> tā</w:t>
      </w:r>
      <w:r w:rsidRPr="00EA0927">
        <w:t xml:space="preserve"> </w:t>
      </w:r>
      <w:r>
        <w:t xml:space="preserve">izmaiņas </w:t>
      </w:r>
      <w:r w:rsidRPr="00EA0927">
        <w:t>nav pārsniegušas indeksa vēr</w:t>
      </w:r>
      <w:r>
        <w:t>t</w:t>
      </w:r>
      <w:r w:rsidRPr="00EA0927">
        <w:t>ību 0,9.</w:t>
      </w:r>
      <w:r>
        <w:t xml:space="preserve"> Vismazākās rādītāja svārstības  novērojamas Rīgas, Pierīgas un Latgales reģionā. </w:t>
      </w:r>
      <w:r w:rsidR="00EB54AA">
        <w:t>Latgales reģionā, atšķirībā no Rīgas un Pierīgas reģioniem,</w:t>
      </w:r>
      <w:r w:rsidR="00C548CE">
        <w:t xml:space="preserve"> </w:t>
      </w:r>
      <w:r w:rsidR="00EB54AA">
        <w:t xml:space="preserve">šajā periodā bija rādītāja pieaugums, kas turpinājās arī 2017. gadā. </w:t>
      </w:r>
      <w:r w:rsidRPr="00F13BE5">
        <w:rPr>
          <w:b/>
        </w:rPr>
        <w:t xml:space="preserve">Straujākais kritums </w:t>
      </w:r>
      <w:r>
        <w:rPr>
          <w:b/>
        </w:rPr>
        <w:t xml:space="preserve">līdz 2016.gadam </w:t>
      </w:r>
      <w:r w:rsidRPr="00F13BE5">
        <w:rPr>
          <w:b/>
        </w:rPr>
        <w:t>bijis Zemgales reģionā – 0,9 un Vidzemes reģionā – 0,8, bet kāpums Kurzemes reģionā – 0,2.</w:t>
      </w:r>
      <w:r>
        <w:t xml:space="preserve"> Veicot šo reģionu iedzīvotāju nodarbinātības rādītāju un ienākumu rādītāju analīzi periodā no 2014. gada līdz 2016. gadam, nav konstatētas būtiskas atšķirības, kas sniegtu skaidrojumu S80/S20 rādītāja izmaiņām. Tā piemēram, strādājošo ienākumi ir pieauguši par 15% Vidzemē, par 14% Zemgalē un Kurzemē; bezdarba rādītāji ir samazinājušies par 2,6 procentpunktiem Vidzemē, 1,6 – Kurzemē un 0,2 – Zemgalē. Savukārt, kopējais iedzīvotāju rīcībā esošais ienākumu līmenis visvairāk ir pieaudzis tieši Zemgalē – par 16,6 procentpunktiem, Vidzemē – par 13,6 procentpunktiem, kamēr Kurzemē – par 10 procentpunktiem, kas zināmā mērā skaidro attiecību izmaiņas ienākumos starp turīgākajiem un nabadzīgākajiem attiecīgo reģionu iedzīvotājiem. Daļēju skaidrojumu sniedz arī datu analīze par mājsaimniecību īpatsvara izmaiņām 1. ienākumu kvintilē (trūcīgākās mājsaimniecības) un 5. ienākumu kvintilē (turīgākās mājsaimniecības). Zemgales reģionā laikā no 2014. gada līdz 2016. gadam par 2,8 procentpunktiem ir sarucis 1. kvintiles īpatsvars un par 1,7 procentpunktiem pieaudzis 5. kvintilē ietilpstošo mājsaimniecību īpatsvars. Vienlaikus Vidzemē izmaiņas nav tik izteiktas, jo 1. kvintiles īpatsvars ir nedaudz pieaudzis (par 0,5 procentpunktiem), bet 5. kvintiles īpatsvars ir sarucis par 2,2 procentpunktiem. Situācija pēc reģionu pazīmes mainās </w:t>
      </w:r>
      <w:r w:rsidRPr="00931F0D">
        <w:t>2017. gadā, kad vērojams būtisks atšķirību pieaugums ienākumos starp turīgākajiem un nabadzīgākajiem iedzīvotājiem Latgales reģionā</w:t>
      </w:r>
      <w:r>
        <w:t xml:space="preserve">, rādītājam sasniedzot 7,6 punktus. Rādītāja pieaugums ir vērojams arī Rīgā, Pierīgā un Zemgalē, savukārt, kritums – Vidzemē un Kurzemē. Reģionu savstarpējais izvietojums pēc </w:t>
      </w:r>
      <w:r w:rsidRPr="00EA0927">
        <w:t>S80/S20 ienākumu kvintiļu attiecīb</w:t>
      </w:r>
      <w:r>
        <w:t>u</w:t>
      </w:r>
      <w:r w:rsidRPr="00EA0927">
        <w:t xml:space="preserve"> indeks</w:t>
      </w:r>
      <w:r>
        <w:t xml:space="preserve">a ir kopumā nemainīgs ar augstākajām atšķirībām Pierīgā un Latgalē, zemākajām – Vidzemē un Kurzemē. </w:t>
      </w:r>
    </w:p>
    <w:p w:rsidR="00255CC4" w:rsidRPr="00315872" w:rsidRDefault="00255CC4" w:rsidP="00DE4D97">
      <w:pPr>
        <w:pStyle w:val="virsrakstslvl4"/>
      </w:pPr>
      <w:bookmarkStart w:id="174" w:name="_Toc6841531"/>
      <w:r w:rsidRPr="00AB7A9E">
        <w:t>Džini</w:t>
      </w:r>
      <w:r w:rsidRPr="00315872">
        <w:t xml:space="preserve"> koeficients</w:t>
      </w:r>
      <w:bookmarkEnd w:id="172"/>
      <w:bookmarkEnd w:id="173"/>
      <w:bookmarkEnd w:id="174"/>
    </w:p>
    <w:p w:rsidR="00255CC4" w:rsidRDefault="00255CC4" w:rsidP="00255CC4">
      <w:r>
        <w:t xml:space="preserve">Džini koeficients, kura lielumu nosaka ienākumu sadalījums visās mājsaimniecībās, </w:t>
      </w:r>
      <w:r w:rsidRPr="00EA0927">
        <w:t xml:space="preserve">rāda, ka Latvijā joprojām </w:t>
      </w:r>
      <w:r>
        <w:t>pastāv</w:t>
      </w:r>
      <w:r w:rsidRPr="00EA0927">
        <w:t xml:space="preserve"> </w:t>
      </w:r>
      <w:r>
        <w:t xml:space="preserve">salīdzinoši augsta ienākumu </w:t>
      </w:r>
      <w:r w:rsidRPr="00EA0927">
        <w:t>nevienlīdzība, kurai ir tendence palikt nemainīgai</w:t>
      </w:r>
      <w:r>
        <w:t>. J</w:t>
      </w:r>
      <w:r w:rsidRPr="00EA0927">
        <w:t xml:space="preserve">a laika posmā no 2014. </w:t>
      </w:r>
      <w:r>
        <w:t>gada līdz</w:t>
      </w:r>
      <w:r w:rsidRPr="00EA0927">
        <w:t xml:space="preserve"> 2015. gad</w:t>
      </w:r>
      <w:r>
        <w:t>am rādītāja vērtība nokritās par vienu procentpunktu</w:t>
      </w:r>
      <w:r w:rsidRPr="00EA0927">
        <w:t xml:space="preserve"> un sasniedz</w:t>
      </w:r>
      <w:r>
        <w:t>a</w:t>
      </w:r>
      <w:r w:rsidRPr="00EA0927">
        <w:t xml:space="preserve"> 34,5%, tad 2016. gadā tā nav mainījusies un palikusi 34,5% līmenī</w:t>
      </w:r>
      <w:r>
        <w:t xml:space="preserve"> (ES vidējais rādītājs </w:t>
      </w:r>
      <w:r>
        <w:lastRenderedPageBreak/>
        <w:t>2016. gadā bija 30,7%</w:t>
      </w:r>
      <w:r>
        <w:rPr>
          <w:rStyle w:val="FootnoteReference"/>
        </w:rPr>
        <w:footnoteReference w:id="96"/>
      </w:r>
      <w:r>
        <w:t>)</w:t>
      </w:r>
      <w:r w:rsidRPr="00EA0927">
        <w:t>.</w:t>
      </w:r>
      <w:r>
        <w:t xml:space="preserve"> </w:t>
      </w:r>
      <w:r w:rsidR="00EB54AA">
        <w:t xml:space="preserve">Kopumā secināms, ka Latvijā Džini koeficienta rādītājs (35,6%) ir stabils un saglabājas augstā līmenī, par ko liecina arī tā 2017. gada vērtība (sk. </w:t>
      </w:r>
      <w:r w:rsidR="006E1579">
        <w:t>1.7</w:t>
      </w:r>
      <w:r w:rsidR="00EB54AA">
        <w:t>. tabulu).</w:t>
      </w:r>
    </w:p>
    <w:p w:rsidR="00255CC4" w:rsidRPr="00EA0927" w:rsidRDefault="00AD3EDD" w:rsidP="008C6B83">
      <w:pPr>
        <w:pStyle w:val="Caption"/>
      </w:pPr>
      <w:r>
        <w:fldChar w:fldCharType="begin"/>
      </w:r>
      <w:r w:rsidR="00696156">
        <w:instrText xml:space="preserve"> STYLEREF 1 \s </w:instrText>
      </w:r>
      <w:r>
        <w:fldChar w:fldCharType="separate"/>
      </w:r>
      <w:r w:rsidR="00224B50">
        <w:rPr>
          <w:noProof/>
        </w:rPr>
        <w:t>1</w:t>
      </w:r>
      <w:r>
        <w:fldChar w:fldCharType="end"/>
      </w:r>
      <w:r w:rsidR="00A46B54">
        <w:t>.</w:t>
      </w:r>
      <w:r w:rsidR="000A7157">
        <w:t>7</w:t>
      </w:r>
      <w:r w:rsidR="00255CC4">
        <w:t xml:space="preserve">. tabula. </w:t>
      </w:r>
      <w:r w:rsidR="00255CC4" w:rsidRPr="00EA0927">
        <w:t xml:space="preserve">Džini koeficients </w:t>
      </w:r>
      <w:r w:rsidR="00255CC4">
        <w:t>Latvijas reģionos (2014-2017, %)</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6"/>
        <w:gridCol w:w="1138"/>
        <w:gridCol w:w="1134"/>
        <w:gridCol w:w="1134"/>
        <w:gridCol w:w="1134"/>
      </w:tblGrid>
      <w:tr w:rsidR="00255CC4" w:rsidRPr="00BC22F8" w:rsidTr="00BC22F8">
        <w:trPr>
          <w:trHeight w:val="330"/>
        </w:trPr>
        <w:tc>
          <w:tcPr>
            <w:tcW w:w="1556" w:type="dxa"/>
            <w:shd w:val="clear" w:color="auto" w:fill="B8CCE4" w:themeFill="accent1" w:themeFillTint="66"/>
            <w:noWrap/>
            <w:hideMark/>
          </w:tcPr>
          <w:p w:rsidR="00255CC4" w:rsidRPr="00BC22F8" w:rsidRDefault="00255CC4" w:rsidP="00255CC4">
            <w:pPr>
              <w:rPr>
                <w:b/>
                <w:bCs/>
                <w:color w:val="002060"/>
                <w:sz w:val="22"/>
                <w:szCs w:val="22"/>
              </w:rPr>
            </w:pPr>
            <w:r w:rsidRPr="00BC22F8">
              <w:rPr>
                <w:b/>
                <w:bCs/>
                <w:color w:val="002060"/>
                <w:sz w:val="22"/>
                <w:szCs w:val="22"/>
              </w:rPr>
              <w:t>Reģions</w:t>
            </w:r>
          </w:p>
        </w:tc>
        <w:tc>
          <w:tcPr>
            <w:tcW w:w="1138" w:type="dxa"/>
            <w:shd w:val="clear" w:color="auto" w:fill="B8CCE4" w:themeFill="accent1" w:themeFillTint="66"/>
            <w:noWrap/>
            <w:hideMark/>
          </w:tcPr>
          <w:p w:rsidR="00255CC4" w:rsidRPr="00BC22F8" w:rsidRDefault="00255CC4" w:rsidP="00255CC4">
            <w:pPr>
              <w:jc w:val="center"/>
              <w:rPr>
                <w:b/>
                <w:bCs/>
                <w:color w:val="002060"/>
                <w:sz w:val="22"/>
                <w:szCs w:val="22"/>
              </w:rPr>
            </w:pPr>
            <w:r w:rsidRPr="00BC22F8">
              <w:rPr>
                <w:b/>
                <w:bCs/>
                <w:color w:val="002060"/>
                <w:sz w:val="22"/>
                <w:szCs w:val="22"/>
              </w:rPr>
              <w:t>2014</w:t>
            </w:r>
          </w:p>
        </w:tc>
        <w:tc>
          <w:tcPr>
            <w:tcW w:w="1134" w:type="dxa"/>
            <w:shd w:val="clear" w:color="auto" w:fill="B8CCE4" w:themeFill="accent1" w:themeFillTint="66"/>
            <w:noWrap/>
            <w:hideMark/>
          </w:tcPr>
          <w:p w:rsidR="00255CC4" w:rsidRPr="00BC22F8" w:rsidRDefault="00255CC4" w:rsidP="00255CC4">
            <w:pPr>
              <w:jc w:val="center"/>
              <w:rPr>
                <w:b/>
                <w:bCs/>
                <w:color w:val="002060"/>
                <w:sz w:val="22"/>
                <w:szCs w:val="22"/>
              </w:rPr>
            </w:pPr>
            <w:r w:rsidRPr="00BC22F8">
              <w:rPr>
                <w:b/>
                <w:bCs/>
                <w:color w:val="002060"/>
                <w:sz w:val="22"/>
                <w:szCs w:val="22"/>
              </w:rPr>
              <w:t>2015</w:t>
            </w:r>
          </w:p>
        </w:tc>
        <w:tc>
          <w:tcPr>
            <w:tcW w:w="1134" w:type="dxa"/>
            <w:shd w:val="clear" w:color="auto" w:fill="B8CCE4" w:themeFill="accent1" w:themeFillTint="66"/>
            <w:noWrap/>
            <w:hideMark/>
          </w:tcPr>
          <w:p w:rsidR="00255CC4" w:rsidRPr="00BC22F8" w:rsidRDefault="00255CC4" w:rsidP="00255CC4">
            <w:pPr>
              <w:jc w:val="center"/>
              <w:rPr>
                <w:b/>
                <w:bCs/>
                <w:color w:val="002060"/>
                <w:sz w:val="22"/>
                <w:szCs w:val="22"/>
              </w:rPr>
            </w:pPr>
            <w:r w:rsidRPr="00BC22F8">
              <w:rPr>
                <w:b/>
                <w:bCs/>
                <w:color w:val="002060"/>
                <w:sz w:val="22"/>
                <w:szCs w:val="22"/>
              </w:rPr>
              <w:t>2016</w:t>
            </w:r>
          </w:p>
        </w:tc>
        <w:tc>
          <w:tcPr>
            <w:tcW w:w="1134" w:type="dxa"/>
            <w:shd w:val="clear" w:color="auto" w:fill="B8CCE4" w:themeFill="accent1" w:themeFillTint="66"/>
          </w:tcPr>
          <w:p w:rsidR="00255CC4" w:rsidRPr="00BC22F8" w:rsidRDefault="00255CC4" w:rsidP="00255CC4">
            <w:pPr>
              <w:jc w:val="center"/>
              <w:rPr>
                <w:b/>
                <w:bCs/>
                <w:color w:val="002060"/>
                <w:sz w:val="22"/>
                <w:szCs w:val="22"/>
              </w:rPr>
            </w:pPr>
            <w:r w:rsidRPr="00BC22F8">
              <w:rPr>
                <w:b/>
                <w:bCs/>
                <w:color w:val="002060"/>
                <w:sz w:val="22"/>
                <w:szCs w:val="22"/>
              </w:rPr>
              <w:t>2017</w:t>
            </w:r>
          </w:p>
        </w:tc>
      </w:tr>
      <w:tr w:rsidR="00255CC4" w:rsidRPr="00017B4E" w:rsidTr="00255CC4">
        <w:trPr>
          <w:trHeight w:val="330"/>
        </w:trPr>
        <w:tc>
          <w:tcPr>
            <w:tcW w:w="1556" w:type="dxa"/>
            <w:noWrap/>
            <w:hideMark/>
          </w:tcPr>
          <w:p w:rsidR="00255CC4" w:rsidRPr="00017B4E" w:rsidRDefault="00255CC4" w:rsidP="00255CC4">
            <w:pPr>
              <w:rPr>
                <w:b/>
                <w:bCs/>
                <w:sz w:val="22"/>
                <w:szCs w:val="22"/>
              </w:rPr>
            </w:pPr>
            <w:r w:rsidRPr="00017B4E">
              <w:rPr>
                <w:b/>
                <w:bCs/>
                <w:sz w:val="22"/>
                <w:szCs w:val="22"/>
              </w:rPr>
              <w:t>Latvija</w:t>
            </w:r>
          </w:p>
        </w:tc>
        <w:tc>
          <w:tcPr>
            <w:tcW w:w="1138" w:type="dxa"/>
            <w:noWrap/>
            <w:hideMark/>
          </w:tcPr>
          <w:p w:rsidR="00255CC4" w:rsidRPr="00017B4E" w:rsidRDefault="00255CC4" w:rsidP="00255CC4">
            <w:pPr>
              <w:jc w:val="center"/>
              <w:rPr>
                <w:b/>
                <w:bCs/>
                <w:sz w:val="22"/>
                <w:szCs w:val="22"/>
              </w:rPr>
            </w:pPr>
            <w:r w:rsidRPr="00017B4E">
              <w:rPr>
                <w:b/>
                <w:bCs/>
                <w:sz w:val="22"/>
                <w:szCs w:val="22"/>
              </w:rPr>
              <w:t>35,4</w:t>
            </w:r>
          </w:p>
        </w:tc>
        <w:tc>
          <w:tcPr>
            <w:tcW w:w="1134" w:type="dxa"/>
            <w:noWrap/>
            <w:hideMark/>
          </w:tcPr>
          <w:p w:rsidR="00255CC4" w:rsidRPr="00017B4E" w:rsidRDefault="00255CC4" w:rsidP="00255CC4">
            <w:pPr>
              <w:jc w:val="center"/>
              <w:rPr>
                <w:b/>
                <w:bCs/>
                <w:sz w:val="22"/>
                <w:szCs w:val="22"/>
              </w:rPr>
            </w:pPr>
            <w:r w:rsidRPr="00017B4E">
              <w:rPr>
                <w:b/>
                <w:bCs/>
                <w:sz w:val="22"/>
                <w:szCs w:val="22"/>
              </w:rPr>
              <w:t>34,5</w:t>
            </w:r>
          </w:p>
        </w:tc>
        <w:tc>
          <w:tcPr>
            <w:tcW w:w="1134" w:type="dxa"/>
            <w:noWrap/>
            <w:hideMark/>
          </w:tcPr>
          <w:p w:rsidR="00255CC4" w:rsidRPr="00017B4E" w:rsidRDefault="00255CC4" w:rsidP="00255CC4">
            <w:pPr>
              <w:jc w:val="center"/>
              <w:rPr>
                <w:b/>
                <w:bCs/>
                <w:sz w:val="22"/>
                <w:szCs w:val="22"/>
              </w:rPr>
            </w:pPr>
            <w:r w:rsidRPr="00017B4E">
              <w:rPr>
                <w:b/>
                <w:bCs/>
                <w:sz w:val="22"/>
                <w:szCs w:val="22"/>
              </w:rPr>
              <w:t>34,5</w:t>
            </w:r>
          </w:p>
        </w:tc>
        <w:tc>
          <w:tcPr>
            <w:tcW w:w="1134" w:type="dxa"/>
          </w:tcPr>
          <w:p w:rsidR="00255CC4" w:rsidRPr="00017B4E" w:rsidRDefault="00255CC4" w:rsidP="00255CC4">
            <w:pPr>
              <w:jc w:val="center"/>
              <w:rPr>
                <w:b/>
                <w:bCs/>
                <w:sz w:val="22"/>
                <w:szCs w:val="22"/>
              </w:rPr>
            </w:pPr>
            <w:r w:rsidRPr="00017B4E">
              <w:rPr>
                <w:b/>
                <w:bCs/>
                <w:sz w:val="22"/>
                <w:szCs w:val="22"/>
              </w:rPr>
              <w:t>35,6</w:t>
            </w:r>
          </w:p>
        </w:tc>
      </w:tr>
      <w:tr w:rsidR="00255CC4" w:rsidRPr="00017B4E" w:rsidTr="00255CC4">
        <w:trPr>
          <w:trHeight w:val="330"/>
        </w:trPr>
        <w:tc>
          <w:tcPr>
            <w:tcW w:w="1556" w:type="dxa"/>
            <w:noWrap/>
            <w:hideMark/>
          </w:tcPr>
          <w:p w:rsidR="00255CC4" w:rsidRPr="00017B4E" w:rsidRDefault="00255CC4" w:rsidP="00255CC4">
            <w:pPr>
              <w:rPr>
                <w:sz w:val="22"/>
                <w:szCs w:val="22"/>
              </w:rPr>
            </w:pPr>
            <w:r w:rsidRPr="00017B4E">
              <w:rPr>
                <w:sz w:val="22"/>
                <w:szCs w:val="22"/>
              </w:rPr>
              <w:t>Rīga</w:t>
            </w:r>
          </w:p>
        </w:tc>
        <w:tc>
          <w:tcPr>
            <w:tcW w:w="1138" w:type="dxa"/>
            <w:noWrap/>
            <w:hideMark/>
          </w:tcPr>
          <w:p w:rsidR="00255CC4" w:rsidRPr="00017B4E" w:rsidRDefault="00255CC4" w:rsidP="00255CC4">
            <w:pPr>
              <w:jc w:val="center"/>
              <w:rPr>
                <w:sz w:val="22"/>
                <w:szCs w:val="22"/>
              </w:rPr>
            </w:pPr>
            <w:r w:rsidRPr="00017B4E">
              <w:rPr>
                <w:sz w:val="22"/>
                <w:szCs w:val="22"/>
              </w:rPr>
              <w:t>33,7</w:t>
            </w:r>
          </w:p>
        </w:tc>
        <w:tc>
          <w:tcPr>
            <w:tcW w:w="1134" w:type="dxa"/>
            <w:noWrap/>
            <w:hideMark/>
          </w:tcPr>
          <w:p w:rsidR="00255CC4" w:rsidRPr="00017B4E" w:rsidRDefault="00255CC4" w:rsidP="00255CC4">
            <w:pPr>
              <w:jc w:val="center"/>
              <w:rPr>
                <w:sz w:val="22"/>
                <w:szCs w:val="22"/>
              </w:rPr>
            </w:pPr>
            <w:r w:rsidRPr="00017B4E">
              <w:rPr>
                <w:sz w:val="22"/>
                <w:szCs w:val="22"/>
              </w:rPr>
              <w:t>33,6</w:t>
            </w:r>
          </w:p>
        </w:tc>
        <w:tc>
          <w:tcPr>
            <w:tcW w:w="1134" w:type="dxa"/>
            <w:noWrap/>
            <w:hideMark/>
          </w:tcPr>
          <w:p w:rsidR="00255CC4" w:rsidRPr="00017B4E" w:rsidRDefault="00255CC4" w:rsidP="00255CC4">
            <w:pPr>
              <w:jc w:val="center"/>
              <w:rPr>
                <w:sz w:val="22"/>
                <w:szCs w:val="22"/>
              </w:rPr>
            </w:pPr>
            <w:r w:rsidRPr="00017B4E">
              <w:rPr>
                <w:sz w:val="22"/>
                <w:szCs w:val="22"/>
              </w:rPr>
              <w:t>32,2</w:t>
            </w:r>
          </w:p>
        </w:tc>
        <w:tc>
          <w:tcPr>
            <w:tcW w:w="1134" w:type="dxa"/>
          </w:tcPr>
          <w:p w:rsidR="00255CC4" w:rsidRPr="00017B4E" w:rsidRDefault="00255CC4" w:rsidP="00255CC4">
            <w:pPr>
              <w:jc w:val="center"/>
              <w:rPr>
                <w:sz w:val="22"/>
                <w:szCs w:val="22"/>
              </w:rPr>
            </w:pPr>
            <w:r w:rsidRPr="00017B4E">
              <w:rPr>
                <w:sz w:val="22"/>
                <w:szCs w:val="22"/>
              </w:rPr>
              <w:t>34,1</w:t>
            </w:r>
          </w:p>
        </w:tc>
      </w:tr>
      <w:tr w:rsidR="00255CC4" w:rsidRPr="00017B4E" w:rsidTr="00255CC4">
        <w:trPr>
          <w:trHeight w:val="330"/>
        </w:trPr>
        <w:tc>
          <w:tcPr>
            <w:tcW w:w="1556" w:type="dxa"/>
            <w:noWrap/>
            <w:hideMark/>
          </w:tcPr>
          <w:p w:rsidR="00255CC4" w:rsidRPr="00017B4E" w:rsidRDefault="00255CC4" w:rsidP="00255CC4">
            <w:pPr>
              <w:rPr>
                <w:sz w:val="22"/>
                <w:szCs w:val="22"/>
              </w:rPr>
            </w:pPr>
            <w:r w:rsidRPr="00017B4E">
              <w:rPr>
                <w:sz w:val="22"/>
                <w:szCs w:val="22"/>
              </w:rPr>
              <w:t>Pierīga</w:t>
            </w:r>
          </w:p>
        </w:tc>
        <w:tc>
          <w:tcPr>
            <w:tcW w:w="1138" w:type="dxa"/>
            <w:noWrap/>
            <w:hideMark/>
          </w:tcPr>
          <w:p w:rsidR="00255CC4" w:rsidRPr="00017B4E" w:rsidRDefault="00255CC4" w:rsidP="00255CC4">
            <w:pPr>
              <w:jc w:val="center"/>
              <w:rPr>
                <w:b/>
                <w:color w:val="FF0000"/>
                <w:sz w:val="22"/>
                <w:szCs w:val="22"/>
              </w:rPr>
            </w:pPr>
            <w:r w:rsidRPr="00017B4E">
              <w:rPr>
                <w:b/>
                <w:color w:val="FF0000"/>
                <w:sz w:val="22"/>
                <w:szCs w:val="22"/>
              </w:rPr>
              <w:t>35,9</w:t>
            </w:r>
          </w:p>
        </w:tc>
        <w:tc>
          <w:tcPr>
            <w:tcW w:w="1134" w:type="dxa"/>
            <w:noWrap/>
            <w:hideMark/>
          </w:tcPr>
          <w:p w:rsidR="00255CC4" w:rsidRPr="00017B4E" w:rsidRDefault="00255CC4" w:rsidP="00255CC4">
            <w:pPr>
              <w:jc w:val="center"/>
              <w:rPr>
                <w:b/>
                <w:color w:val="FF0000"/>
                <w:sz w:val="22"/>
                <w:szCs w:val="22"/>
              </w:rPr>
            </w:pPr>
            <w:r w:rsidRPr="00017B4E">
              <w:rPr>
                <w:b/>
                <w:color w:val="FF0000"/>
                <w:sz w:val="22"/>
                <w:szCs w:val="22"/>
              </w:rPr>
              <w:t>34,5</w:t>
            </w:r>
          </w:p>
        </w:tc>
        <w:tc>
          <w:tcPr>
            <w:tcW w:w="1134" w:type="dxa"/>
            <w:noWrap/>
            <w:hideMark/>
          </w:tcPr>
          <w:p w:rsidR="00255CC4" w:rsidRPr="00017B4E" w:rsidRDefault="00255CC4" w:rsidP="00255CC4">
            <w:pPr>
              <w:jc w:val="center"/>
              <w:rPr>
                <w:b/>
                <w:color w:val="FF0000"/>
                <w:sz w:val="22"/>
                <w:szCs w:val="22"/>
              </w:rPr>
            </w:pPr>
            <w:r w:rsidRPr="00017B4E">
              <w:rPr>
                <w:b/>
                <w:color w:val="FF0000"/>
                <w:sz w:val="22"/>
                <w:szCs w:val="22"/>
              </w:rPr>
              <w:t>34,8</w:t>
            </w:r>
          </w:p>
        </w:tc>
        <w:tc>
          <w:tcPr>
            <w:tcW w:w="1134" w:type="dxa"/>
          </w:tcPr>
          <w:p w:rsidR="00255CC4" w:rsidRPr="00017B4E" w:rsidRDefault="00255CC4" w:rsidP="00255CC4">
            <w:pPr>
              <w:jc w:val="center"/>
              <w:rPr>
                <w:b/>
                <w:color w:val="FF0000"/>
                <w:sz w:val="22"/>
                <w:szCs w:val="22"/>
              </w:rPr>
            </w:pPr>
            <w:r w:rsidRPr="00017B4E">
              <w:rPr>
                <w:b/>
                <w:color w:val="FF0000"/>
                <w:sz w:val="22"/>
                <w:szCs w:val="22"/>
              </w:rPr>
              <w:t>35,9</w:t>
            </w:r>
          </w:p>
        </w:tc>
      </w:tr>
      <w:tr w:rsidR="00255CC4" w:rsidRPr="00017B4E" w:rsidTr="00255CC4">
        <w:trPr>
          <w:trHeight w:val="330"/>
        </w:trPr>
        <w:tc>
          <w:tcPr>
            <w:tcW w:w="1556" w:type="dxa"/>
            <w:noWrap/>
            <w:hideMark/>
          </w:tcPr>
          <w:p w:rsidR="00255CC4" w:rsidRPr="00017B4E" w:rsidRDefault="00255CC4" w:rsidP="00255CC4">
            <w:pPr>
              <w:rPr>
                <w:sz w:val="22"/>
                <w:szCs w:val="22"/>
              </w:rPr>
            </w:pPr>
            <w:r w:rsidRPr="00017B4E">
              <w:rPr>
                <w:sz w:val="22"/>
                <w:szCs w:val="22"/>
              </w:rPr>
              <w:t>Vidzeme</w:t>
            </w:r>
          </w:p>
        </w:tc>
        <w:tc>
          <w:tcPr>
            <w:tcW w:w="1138" w:type="dxa"/>
            <w:noWrap/>
            <w:hideMark/>
          </w:tcPr>
          <w:p w:rsidR="00255CC4" w:rsidRPr="00017B4E" w:rsidRDefault="00255CC4" w:rsidP="00255CC4">
            <w:pPr>
              <w:jc w:val="center"/>
              <w:rPr>
                <w:sz w:val="22"/>
                <w:szCs w:val="22"/>
              </w:rPr>
            </w:pPr>
            <w:r w:rsidRPr="00017B4E">
              <w:rPr>
                <w:sz w:val="22"/>
                <w:szCs w:val="22"/>
              </w:rPr>
              <w:t>34,0</w:t>
            </w:r>
          </w:p>
        </w:tc>
        <w:tc>
          <w:tcPr>
            <w:tcW w:w="1134" w:type="dxa"/>
            <w:noWrap/>
            <w:hideMark/>
          </w:tcPr>
          <w:p w:rsidR="00255CC4" w:rsidRPr="00017B4E" w:rsidRDefault="00255CC4" w:rsidP="00255CC4">
            <w:pPr>
              <w:jc w:val="center"/>
              <w:rPr>
                <w:sz w:val="22"/>
                <w:szCs w:val="22"/>
              </w:rPr>
            </w:pPr>
            <w:r w:rsidRPr="00017B4E">
              <w:rPr>
                <w:sz w:val="22"/>
                <w:szCs w:val="22"/>
              </w:rPr>
              <w:t>32,4</w:t>
            </w:r>
          </w:p>
        </w:tc>
        <w:tc>
          <w:tcPr>
            <w:tcW w:w="1134" w:type="dxa"/>
            <w:noWrap/>
            <w:hideMark/>
          </w:tcPr>
          <w:p w:rsidR="00255CC4" w:rsidRPr="00017B4E" w:rsidRDefault="00255CC4" w:rsidP="00255CC4">
            <w:pPr>
              <w:jc w:val="center"/>
              <w:rPr>
                <w:sz w:val="22"/>
                <w:szCs w:val="22"/>
              </w:rPr>
            </w:pPr>
            <w:r w:rsidRPr="00017B4E">
              <w:rPr>
                <w:sz w:val="22"/>
                <w:szCs w:val="22"/>
              </w:rPr>
              <w:t>31,6</w:t>
            </w:r>
          </w:p>
        </w:tc>
        <w:tc>
          <w:tcPr>
            <w:tcW w:w="1134" w:type="dxa"/>
          </w:tcPr>
          <w:p w:rsidR="00255CC4" w:rsidRPr="00017B4E" w:rsidRDefault="00255CC4" w:rsidP="00255CC4">
            <w:pPr>
              <w:jc w:val="center"/>
              <w:rPr>
                <w:sz w:val="22"/>
                <w:szCs w:val="22"/>
              </w:rPr>
            </w:pPr>
            <w:r w:rsidRPr="00017B4E">
              <w:rPr>
                <w:sz w:val="22"/>
                <w:szCs w:val="22"/>
              </w:rPr>
              <w:t>31,8</w:t>
            </w:r>
          </w:p>
        </w:tc>
      </w:tr>
      <w:tr w:rsidR="00255CC4" w:rsidRPr="00017B4E" w:rsidTr="00255CC4">
        <w:trPr>
          <w:trHeight w:val="330"/>
        </w:trPr>
        <w:tc>
          <w:tcPr>
            <w:tcW w:w="1556" w:type="dxa"/>
            <w:noWrap/>
            <w:hideMark/>
          </w:tcPr>
          <w:p w:rsidR="00255CC4" w:rsidRPr="00017B4E" w:rsidRDefault="00255CC4" w:rsidP="00255CC4">
            <w:pPr>
              <w:rPr>
                <w:sz w:val="22"/>
                <w:szCs w:val="22"/>
              </w:rPr>
            </w:pPr>
            <w:r w:rsidRPr="00017B4E">
              <w:rPr>
                <w:sz w:val="22"/>
                <w:szCs w:val="22"/>
              </w:rPr>
              <w:t>Kurzeme</w:t>
            </w:r>
          </w:p>
        </w:tc>
        <w:tc>
          <w:tcPr>
            <w:tcW w:w="1138" w:type="dxa"/>
            <w:noWrap/>
            <w:hideMark/>
          </w:tcPr>
          <w:p w:rsidR="00255CC4" w:rsidRPr="00017B4E" w:rsidRDefault="00255CC4" w:rsidP="00255CC4">
            <w:pPr>
              <w:jc w:val="center"/>
              <w:rPr>
                <w:sz w:val="22"/>
                <w:szCs w:val="22"/>
              </w:rPr>
            </w:pPr>
            <w:r w:rsidRPr="00017B4E">
              <w:rPr>
                <w:sz w:val="22"/>
                <w:szCs w:val="22"/>
              </w:rPr>
              <w:t>32,6</w:t>
            </w:r>
          </w:p>
        </w:tc>
        <w:tc>
          <w:tcPr>
            <w:tcW w:w="1134" w:type="dxa"/>
            <w:noWrap/>
            <w:hideMark/>
          </w:tcPr>
          <w:p w:rsidR="00255CC4" w:rsidRPr="00017B4E" w:rsidRDefault="00255CC4" w:rsidP="00255CC4">
            <w:pPr>
              <w:jc w:val="center"/>
              <w:rPr>
                <w:sz w:val="22"/>
                <w:szCs w:val="22"/>
              </w:rPr>
            </w:pPr>
            <w:r w:rsidRPr="00017B4E">
              <w:rPr>
                <w:sz w:val="22"/>
                <w:szCs w:val="22"/>
              </w:rPr>
              <w:t>31,5</w:t>
            </w:r>
          </w:p>
        </w:tc>
        <w:tc>
          <w:tcPr>
            <w:tcW w:w="1134" w:type="dxa"/>
            <w:noWrap/>
            <w:hideMark/>
          </w:tcPr>
          <w:p w:rsidR="00255CC4" w:rsidRPr="00017B4E" w:rsidRDefault="00255CC4" w:rsidP="00255CC4">
            <w:pPr>
              <w:jc w:val="center"/>
              <w:rPr>
                <w:sz w:val="22"/>
                <w:szCs w:val="22"/>
              </w:rPr>
            </w:pPr>
            <w:r w:rsidRPr="00017B4E">
              <w:rPr>
                <w:sz w:val="22"/>
                <w:szCs w:val="22"/>
              </w:rPr>
              <w:t>32,7</w:t>
            </w:r>
          </w:p>
        </w:tc>
        <w:tc>
          <w:tcPr>
            <w:tcW w:w="1134" w:type="dxa"/>
          </w:tcPr>
          <w:p w:rsidR="00255CC4" w:rsidRPr="00017B4E" w:rsidRDefault="00255CC4" w:rsidP="00255CC4">
            <w:pPr>
              <w:jc w:val="center"/>
              <w:rPr>
                <w:sz w:val="22"/>
                <w:szCs w:val="22"/>
              </w:rPr>
            </w:pPr>
            <w:r w:rsidRPr="00017B4E">
              <w:rPr>
                <w:sz w:val="22"/>
                <w:szCs w:val="22"/>
              </w:rPr>
              <w:t>31,8</w:t>
            </w:r>
          </w:p>
        </w:tc>
      </w:tr>
      <w:tr w:rsidR="00255CC4" w:rsidRPr="00017B4E" w:rsidTr="00255CC4">
        <w:trPr>
          <w:trHeight w:val="330"/>
        </w:trPr>
        <w:tc>
          <w:tcPr>
            <w:tcW w:w="1556" w:type="dxa"/>
            <w:noWrap/>
            <w:hideMark/>
          </w:tcPr>
          <w:p w:rsidR="00255CC4" w:rsidRPr="00017B4E" w:rsidRDefault="00255CC4" w:rsidP="00255CC4">
            <w:pPr>
              <w:rPr>
                <w:sz w:val="22"/>
                <w:szCs w:val="22"/>
              </w:rPr>
            </w:pPr>
            <w:r w:rsidRPr="00017B4E">
              <w:rPr>
                <w:sz w:val="22"/>
                <w:szCs w:val="22"/>
              </w:rPr>
              <w:t>Zemgale</w:t>
            </w:r>
          </w:p>
        </w:tc>
        <w:tc>
          <w:tcPr>
            <w:tcW w:w="1138" w:type="dxa"/>
            <w:noWrap/>
            <w:hideMark/>
          </w:tcPr>
          <w:p w:rsidR="00255CC4" w:rsidRPr="00017B4E" w:rsidRDefault="00255CC4" w:rsidP="00255CC4">
            <w:pPr>
              <w:jc w:val="center"/>
              <w:rPr>
                <w:sz w:val="22"/>
                <w:szCs w:val="22"/>
              </w:rPr>
            </w:pPr>
            <w:r w:rsidRPr="00017B4E">
              <w:rPr>
                <w:sz w:val="22"/>
                <w:szCs w:val="22"/>
              </w:rPr>
              <w:t>34,2</w:t>
            </w:r>
          </w:p>
        </w:tc>
        <w:tc>
          <w:tcPr>
            <w:tcW w:w="1134" w:type="dxa"/>
            <w:noWrap/>
            <w:hideMark/>
          </w:tcPr>
          <w:p w:rsidR="00255CC4" w:rsidRPr="00017B4E" w:rsidRDefault="00255CC4" w:rsidP="00255CC4">
            <w:pPr>
              <w:jc w:val="center"/>
              <w:rPr>
                <w:sz w:val="22"/>
                <w:szCs w:val="22"/>
              </w:rPr>
            </w:pPr>
            <w:r w:rsidRPr="00017B4E">
              <w:rPr>
                <w:sz w:val="22"/>
                <w:szCs w:val="22"/>
              </w:rPr>
              <w:t>31,5</w:t>
            </w:r>
          </w:p>
        </w:tc>
        <w:tc>
          <w:tcPr>
            <w:tcW w:w="1134" w:type="dxa"/>
            <w:noWrap/>
            <w:hideMark/>
          </w:tcPr>
          <w:p w:rsidR="00255CC4" w:rsidRPr="00017B4E" w:rsidRDefault="00255CC4" w:rsidP="00255CC4">
            <w:pPr>
              <w:jc w:val="center"/>
              <w:rPr>
                <w:sz w:val="22"/>
                <w:szCs w:val="22"/>
              </w:rPr>
            </w:pPr>
            <w:r w:rsidRPr="00017B4E">
              <w:rPr>
                <w:sz w:val="22"/>
                <w:szCs w:val="22"/>
              </w:rPr>
              <w:t>33,2</w:t>
            </w:r>
          </w:p>
        </w:tc>
        <w:tc>
          <w:tcPr>
            <w:tcW w:w="1134" w:type="dxa"/>
          </w:tcPr>
          <w:p w:rsidR="00255CC4" w:rsidRPr="00017B4E" w:rsidRDefault="00255CC4" w:rsidP="00255CC4">
            <w:pPr>
              <w:jc w:val="center"/>
              <w:rPr>
                <w:sz w:val="22"/>
                <w:szCs w:val="22"/>
              </w:rPr>
            </w:pPr>
            <w:r w:rsidRPr="00017B4E">
              <w:rPr>
                <w:sz w:val="22"/>
                <w:szCs w:val="22"/>
              </w:rPr>
              <w:t>32,7</w:t>
            </w:r>
          </w:p>
        </w:tc>
      </w:tr>
      <w:tr w:rsidR="00255CC4" w:rsidRPr="00017B4E" w:rsidTr="00255CC4">
        <w:trPr>
          <w:trHeight w:val="330"/>
        </w:trPr>
        <w:tc>
          <w:tcPr>
            <w:tcW w:w="1556" w:type="dxa"/>
            <w:noWrap/>
            <w:hideMark/>
          </w:tcPr>
          <w:p w:rsidR="00255CC4" w:rsidRPr="00017B4E" w:rsidRDefault="00255CC4" w:rsidP="00255CC4">
            <w:pPr>
              <w:rPr>
                <w:sz w:val="22"/>
                <w:szCs w:val="22"/>
              </w:rPr>
            </w:pPr>
            <w:r w:rsidRPr="00017B4E">
              <w:rPr>
                <w:sz w:val="22"/>
                <w:szCs w:val="22"/>
              </w:rPr>
              <w:t>Latgale</w:t>
            </w:r>
          </w:p>
        </w:tc>
        <w:tc>
          <w:tcPr>
            <w:tcW w:w="1138" w:type="dxa"/>
            <w:noWrap/>
            <w:hideMark/>
          </w:tcPr>
          <w:p w:rsidR="00255CC4" w:rsidRPr="00017B4E" w:rsidRDefault="00255CC4" w:rsidP="00255CC4">
            <w:pPr>
              <w:jc w:val="center"/>
              <w:rPr>
                <w:sz w:val="22"/>
                <w:szCs w:val="22"/>
              </w:rPr>
            </w:pPr>
            <w:r w:rsidRPr="00017B4E">
              <w:rPr>
                <w:sz w:val="22"/>
                <w:szCs w:val="22"/>
              </w:rPr>
              <w:t>31,0</w:t>
            </w:r>
          </w:p>
        </w:tc>
        <w:tc>
          <w:tcPr>
            <w:tcW w:w="1134" w:type="dxa"/>
            <w:noWrap/>
            <w:hideMark/>
          </w:tcPr>
          <w:p w:rsidR="00255CC4" w:rsidRPr="00017B4E" w:rsidRDefault="00255CC4" w:rsidP="00255CC4">
            <w:pPr>
              <w:jc w:val="center"/>
              <w:rPr>
                <w:sz w:val="22"/>
                <w:szCs w:val="22"/>
              </w:rPr>
            </w:pPr>
            <w:r w:rsidRPr="00017B4E">
              <w:rPr>
                <w:sz w:val="22"/>
                <w:szCs w:val="22"/>
              </w:rPr>
              <w:t>31,5</w:t>
            </w:r>
          </w:p>
        </w:tc>
        <w:tc>
          <w:tcPr>
            <w:tcW w:w="1134" w:type="dxa"/>
            <w:noWrap/>
            <w:hideMark/>
          </w:tcPr>
          <w:p w:rsidR="00255CC4" w:rsidRPr="00017B4E" w:rsidRDefault="00255CC4" w:rsidP="00255CC4">
            <w:pPr>
              <w:jc w:val="center"/>
              <w:rPr>
                <w:sz w:val="22"/>
                <w:szCs w:val="22"/>
              </w:rPr>
            </w:pPr>
            <w:r w:rsidRPr="00017B4E">
              <w:rPr>
                <w:sz w:val="22"/>
                <w:szCs w:val="22"/>
              </w:rPr>
              <w:t>32,3</w:t>
            </w:r>
          </w:p>
        </w:tc>
        <w:tc>
          <w:tcPr>
            <w:tcW w:w="1134" w:type="dxa"/>
          </w:tcPr>
          <w:p w:rsidR="00255CC4" w:rsidRPr="00017B4E" w:rsidRDefault="00255CC4" w:rsidP="00255CC4">
            <w:pPr>
              <w:jc w:val="center"/>
              <w:rPr>
                <w:b/>
                <w:sz w:val="22"/>
                <w:szCs w:val="22"/>
              </w:rPr>
            </w:pPr>
            <w:r w:rsidRPr="00017B4E">
              <w:rPr>
                <w:b/>
                <w:sz w:val="22"/>
                <w:szCs w:val="22"/>
              </w:rPr>
              <w:t>36,4</w:t>
            </w:r>
          </w:p>
        </w:tc>
      </w:tr>
    </w:tbl>
    <w:p w:rsidR="00255CC4" w:rsidRDefault="00255CC4" w:rsidP="00255CC4">
      <w:pPr>
        <w:rPr>
          <w:sz w:val="20"/>
          <w:szCs w:val="20"/>
        </w:rPr>
      </w:pPr>
      <w:bookmarkStart w:id="175" w:name="_Toc2949220"/>
      <w:r w:rsidRPr="00B16C79">
        <w:rPr>
          <w:sz w:val="20"/>
          <w:szCs w:val="20"/>
        </w:rPr>
        <w:t>Avots: CSP, “NIG120. Džini koeficients (%)”</w:t>
      </w:r>
    </w:p>
    <w:p w:rsidR="00255CC4" w:rsidRPr="00B16C79" w:rsidRDefault="00255CC4" w:rsidP="00255CC4">
      <w:pPr>
        <w:rPr>
          <w:sz w:val="20"/>
          <w:szCs w:val="20"/>
        </w:rPr>
      </w:pPr>
    </w:p>
    <w:p w:rsidR="00255CC4" w:rsidRDefault="00255CC4" w:rsidP="00255CC4">
      <w:r w:rsidRPr="008F2F61">
        <w:rPr>
          <w:b/>
        </w:rPr>
        <w:t>Reģionu griezumā</w:t>
      </w:r>
      <w:r>
        <w:t xml:space="preserve"> l</w:t>
      </w:r>
      <w:r w:rsidRPr="00EA0927">
        <w:t xml:space="preserve">ielāka nevienlīdzība </w:t>
      </w:r>
      <w:r>
        <w:t xml:space="preserve">Izvērtējuma periodā (2014.g.-2016.g.) </w:t>
      </w:r>
      <w:r w:rsidRPr="00EA0927">
        <w:t>vērojama Pierīgas un Zemgales reģionos, kur Dž</w:t>
      </w:r>
      <w:r>
        <w:t>i</w:t>
      </w:r>
      <w:r w:rsidRPr="00EA0927">
        <w:t>n</w:t>
      </w:r>
      <w:r>
        <w:t>i</w:t>
      </w:r>
      <w:r w:rsidRPr="00EA0927">
        <w:t xml:space="preserve"> koeficients </w:t>
      </w:r>
      <w:r w:rsidR="00EB54AA">
        <w:t xml:space="preserve">2016. gadā </w:t>
      </w:r>
      <w:r>
        <w:t>sasniedzis</w:t>
      </w:r>
      <w:r w:rsidRPr="00EA0927">
        <w:t xml:space="preserve"> attiecīgi 34,8% un 33,2%. Ņemot vērā, ka Pierīgas reģionā bija </w:t>
      </w:r>
      <w:r>
        <w:t>vērojama</w:t>
      </w:r>
      <w:r w:rsidRPr="00EA0927">
        <w:t xml:space="preserve"> arī lielākā atšķirība ienākum</w:t>
      </w:r>
      <w:r>
        <w:t>os starp turīgākajiem un nabadzīgākajiem iedzīvotājiem</w:t>
      </w:r>
      <w:r w:rsidRPr="00EA0927">
        <w:t xml:space="preserve">, var secināt, ka šajā reģionā </w:t>
      </w:r>
      <w:r>
        <w:t>ir visaugstākā ienākumu nevienlīdzība</w:t>
      </w:r>
      <w:r w:rsidRPr="00EA0927">
        <w:t>.</w:t>
      </w:r>
      <w:r>
        <w:t xml:space="preserve"> Tas daļēji skaidrojams ar reģiona </w:t>
      </w:r>
      <w:r w:rsidR="006D51A6">
        <w:t xml:space="preserve">iedzīvotāju </w:t>
      </w:r>
      <w:r>
        <w:t xml:space="preserve">sastāvu, jo tas aptver gan Rīgas pilsētai tuvās pašvaldības, kurās dzīvo vidējā vecuma ekonomiski aktīvi iedzīvotāji, kā arī attālākas un iedzīvotāju un teritorijas ziņā mazākas pašvaldības, piemēram, Alojas, Limbažu, Salacgrīvas, Kandavas, Jaunpils un Tukuma novadi. Ienākumu nevienlīdzības pieauguma tendence Pierīgas reģionā turpinās arī 2017. gadā, šim rādītājam pieaugot vēl par 1,1 procentpunktu un sasniedzot 35,9%. </w:t>
      </w:r>
    </w:p>
    <w:p w:rsidR="00255CC4" w:rsidRDefault="00255CC4" w:rsidP="00255CC4"/>
    <w:p w:rsidR="00255CC4" w:rsidRDefault="00255CC4" w:rsidP="00255CC4">
      <w:r>
        <w:t>Raugoties uz Džini koeficientu raksturojošiem datiem dinamikā reģionu griezumā, secināms, ka l</w:t>
      </w:r>
      <w:r w:rsidRPr="00EA0927">
        <w:t xml:space="preserve">ielākais </w:t>
      </w:r>
      <w:r>
        <w:t xml:space="preserve">iedzīvotāju ienākumu </w:t>
      </w:r>
      <w:r w:rsidRPr="00EA0927">
        <w:t>nevienlīdzības kāpums vērojams Latgalē, kur no 2014.</w:t>
      </w:r>
      <w:r>
        <w:t xml:space="preserve"> gada</w:t>
      </w:r>
      <w:r w:rsidRPr="00EA0927">
        <w:t xml:space="preserve"> līdz 2016. gadam </w:t>
      </w:r>
      <w:r>
        <w:t xml:space="preserve">Džini koeficienta vērtība pieaugusi par </w:t>
      </w:r>
      <w:r w:rsidRPr="00EA0927">
        <w:t>1,3</w:t>
      </w:r>
      <w:r>
        <w:t xml:space="preserve"> procentpunktu</w:t>
      </w:r>
      <w:r w:rsidRPr="00EA0927">
        <w:t>, bet kritums – Vidzemes reģionā</w:t>
      </w:r>
      <w:r>
        <w:t xml:space="preserve">, attiecīgi </w:t>
      </w:r>
      <w:r w:rsidRPr="00EA0927">
        <w:t>par 2,4</w:t>
      </w:r>
      <w:r>
        <w:t xml:space="preserve"> procentpunktiem</w:t>
      </w:r>
      <w:r w:rsidRPr="00EA0927">
        <w:t>.</w:t>
      </w:r>
      <w:r>
        <w:t xml:space="preserve"> Ja Vidzemes reģionā 2017.gada dati liecina par zināmu stabilitāti (rādītājs ir pieaudzis par 0,2 procentpunktiem), tad Latgalē izmaiņas ir nozīmīgas – rādītāja vērtība ir pieaugusi par 4,1 procentpunktiem salīdzinājumā ar 2016. gadu un reģiona iedzīvotāju ienākumu nevienlīdzība ir sasniegusi augstāko līmeni starp visiem reģioniem (36,4%), pārsniedzot arī vidējo rādītāju valstī 2017. gadā (35,6%). </w:t>
      </w:r>
      <w:r w:rsidR="00EB54AA">
        <w:t>Kopumā abi nevienlīdzības rādītāji liecina par vislielāko ienākumu nevienlīdzību Latgales reģionā.</w:t>
      </w:r>
    </w:p>
    <w:p w:rsidR="00255CC4" w:rsidRPr="00315872" w:rsidRDefault="00255CC4" w:rsidP="00F23726">
      <w:pPr>
        <w:pStyle w:val="Heading3"/>
      </w:pPr>
      <w:bookmarkStart w:id="176" w:name="_Toc6841532"/>
      <w:bookmarkEnd w:id="175"/>
      <w:r w:rsidRPr="00315872">
        <w:t>Iedzīvotāju (mājsaimniecību) ienākumi</w:t>
      </w:r>
      <w:bookmarkEnd w:id="176"/>
    </w:p>
    <w:p w:rsidR="00255CC4" w:rsidRDefault="00255CC4" w:rsidP="00255CC4">
      <w:r w:rsidRPr="00EA0927">
        <w:t xml:space="preserve">Mājsaimniecības ienākumu raksturošanai </w:t>
      </w:r>
      <w:r>
        <w:t>ir</w:t>
      </w:r>
      <w:r w:rsidRPr="00EA0927">
        <w:t xml:space="preserve"> izmantoti CSP dati par mājsaimniecības ienākumiem, </w:t>
      </w:r>
      <w:r>
        <w:t>ņemot vērā</w:t>
      </w:r>
      <w:r w:rsidRPr="00EA0927">
        <w:t xml:space="preserve"> </w:t>
      </w:r>
      <w:r w:rsidRPr="00F83944">
        <w:rPr>
          <w:b/>
        </w:rPr>
        <w:t>visus mājsaimniecībā gūtos ienākumus</w:t>
      </w:r>
      <w:r w:rsidRPr="00EA0927">
        <w:t>: naudas ienākum</w:t>
      </w:r>
      <w:r>
        <w:t>us</w:t>
      </w:r>
      <w:r w:rsidRPr="00EA0927">
        <w:t xml:space="preserve"> no algota darba; naudas izteiksmē pārrēķināt</w:t>
      </w:r>
      <w:r>
        <w:t>os</w:t>
      </w:r>
      <w:r w:rsidRPr="00EA0927">
        <w:t xml:space="preserve"> darba ņēmēja natūrā gūt</w:t>
      </w:r>
      <w:r>
        <w:t>os</w:t>
      </w:r>
      <w:r w:rsidRPr="00EA0927">
        <w:t xml:space="preserve"> ienākum</w:t>
      </w:r>
      <w:r>
        <w:t>us</w:t>
      </w:r>
      <w:r w:rsidRPr="00EA0927">
        <w:t>, izmantojot uzņēmuma vai dienesta auto privātām vajadzībām; ienākum</w:t>
      </w:r>
      <w:r>
        <w:t>us</w:t>
      </w:r>
      <w:r w:rsidRPr="00EA0927">
        <w:t xml:space="preserve"> vai zaudējum</w:t>
      </w:r>
      <w:r>
        <w:t>us</w:t>
      </w:r>
      <w:r w:rsidRPr="00EA0927">
        <w:t>, kas gūti no pašnodarbinātības; saņemtās pensijas un pabalst</w:t>
      </w:r>
      <w:r>
        <w:t>us</w:t>
      </w:r>
      <w:r w:rsidRPr="00EA0927">
        <w:t>; regulāra naudas palīdzība</w:t>
      </w:r>
      <w:r>
        <w:t xml:space="preserve"> no citām mājsaimniecībām; peļņu</w:t>
      </w:r>
      <w:r w:rsidRPr="00EA0927">
        <w:t xml:space="preserve"> no noguldījumu </w:t>
      </w:r>
      <w:r w:rsidRPr="00EA0927">
        <w:lastRenderedPageBreak/>
        <w:t>procentiem, dividendēm, akcijām; ienākum</w:t>
      </w:r>
      <w:r>
        <w:t>us</w:t>
      </w:r>
      <w:r w:rsidRPr="00EA0927">
        <w:t>, ko saņēmuši bērni, jaunāki par 16 gadiem; ienākum</w:t>
      </w:r>
      <w:r>
        <w:t xml:space="preserve">us </w:t>
      </w:r>
      <w:r w:rsidRPr="00EA0927">
        <w:t>no īpašuma izīrēšanas; saņemtā</w:t>
      </w:r>
      <w:r>
        <w:t>s</w:t>
      </w:r>
      <w:r w:rsidRPr="00EA0927">
        <w:t xml:space="preserve"> summa</w:t>
      </w:r>
      <w:r>
        <w:t>s</w:t>
      </w:r>
      <w:r w:rsidRPr="00EA0927">
        <w:t xml:space="preserve"> no Valsts ieņēmumu dienesta ienākuma nodokļa pārmaksas dēļ (par saimnieciskās darbības veikšanu, attaisnotajiem izdevumiem – izglītību, ārstniecību u.tml.). Šis rādītājs raksturo mājsaimniecību finansiālās iespējas.</w:t>
      </w:r>
      <w:r w:rsidRPr="00EA0927">
        <w:rPr>
          <w:rStyle w:val="FootnoteReference"/>
        </w:rPr>
        <w:footnoteReference w:id="97"/>
      </w:r>
      <w:r>
        <w:t xml:space="preserve"> </w:t>
      </w:r>
    </w:p>
    <w:p w:rsidR="00255CC4" w:rsidRDefault="00255CC4" w:rsidP="00255CC4"/>
    <w:p w:rsidR="00255CC4" w:rsidRDefault="00255CC4" w:rsidP="00255CC4">
      <w:r>
        <w:t xml:space="preserve">Iedzīvotāju (mājsaimniecību) ienākumi ir apkopoti un analizēti aptverot Izvērtējuma periodu, t.i., no 2014. gada līdz 2016. gadam. Lai gūtu priekšstatu par rādītāju izmaiņu tālākajām tendencēm, ir norādīti arī 2017. gada rādītāji, kur tas ir būtiski, ņemot vērā vērtību izmaiņas. </w:t>
      </w:r>
    </w:p>
    <w:p w:rsidR="00A74EE8" w:rsidRDefault="00A74EE8" w:rsidP="00255CC4"/>
    <w:p w:rsidR="00255CC4" w:rsidRDefault="00255CC4" w:rsidP="00255CC4">
      <w:r>
        <w:t xml:space="preserve">Ienākumu </w:t>
      </w:r>
      <w:r w:rsidRPr="00FB62F8">
        <w:t xml:space="preserve">analīzē </w:t>
      </w:r>
      <w:r>
        <w:t>šajā I</w:t>
      </w:r>
      <w:r w:rsidRPr="00FB62F8">
        <w:t>zvērtējumā ir izmantoti atbils</w:t>
      </w:r>
      <w:r>
        <w:t>to</w:t>
      </w:r>
      <w:r w:rsidRPr="00FB62F8">
        <w:t xml:space="preserve">ši </w:t>
      </w:r>
      <w:r>
        <w:rPr>
          <w:i/>
        </w:rPr>
        <w:t>Eurostat</w:t>
      </w:r>
      <w:r w:rsidRPr="00FB62F8">
        <w:t xml:space="preserve"> metodoloģijai iegūtie un apstrādātie </w:t>
      </w:r>
      <w:r>
        <w:t>EU-</w:t>
      </w:r>
      <w:r w:rsidRPr="00FB62F8">
        <w:t xml:space="preserve">SILC apsekojuma dati, kuros ir izmantota </w:t>
      </w:r>
      <w:r w:rsidRPr="00FB62F8">
        <w:rPr>
          <w:b/>
        </w:rPr>
        <w:t>OECD modificētā ekvivalences skala</w:t>
      </w:r>
      <w:r w:rsidRPr="00FB62F8">
        <w:t xml:space="preserve">, </w:t>
      </w:r>
      <w:r>
        <w:t xml:space="preserve">kur </w:t>
      </w:r>
      <w:r w:rsidRPr="00FB62F8">
        <w:t>pirmajam pieaugušajam mājsaimniecībā ekvivalentais svars ir 1, otrajam un katram nākamajam mājsaimniecības l</w:t>
      </w:r>
      <w:r>
        <w:t>oceklim virs 14 gadu vecuma – 0,</w:t>
      </w:r>
      <w:r w:rsidRPr="00FB62F8">
        <w:t xml:space="preserve">5 </w:t>
      </w:r>
      <w:r>
        <w:t xml:space="preserve">(patēriņš 50% apmērā no pirmā mājsaimniecības locekļa) </w:t>
      </w:r>
      <w:r w:rsidRPr="00FB62F8">
        <w:t>un b</w:t>
      </w:r>
      <w:r>
        <w:t>ērniem līdz 14 gadu vecumam – 0,</w:t>
      </w:r>
      <w:r w:rsidRPr="00FB62F8">
        <w:t>3</w:t>
      </w:r>
      <w:r>
        <w:t xml:space="preserve"> (patēriņš 30% apmērā no pirmā mājsaimniecības locekļa)</w:t>
      </w:r>
      <w:r w:rsidRPr="00EA0927">
        <w:rPr>
          <w:rStyle w:val="FootnoteReference"/>
        </w:rPr>
        <w:footnoteReference w:id="98"/>
      </w:r>
      <w:r w:rsidRPr="00FB62F8">
        <w:t xml:space="preserve">. </w:t>
      </w:r>
      <w:r>
        <w:t xml:space="preserve">Otra praksē izmantota skala ir </w:t>
      </w:r>
      <w:r w:rsidRPr="00FB62F8">
        <w:rPr>
          <w:b/>
        </w:rPr>
        <w:t xml:space="preserve">OECD </w:t>
      </w:r>
      <w:r>
        <w:rPr>
          <w:b/>
        </w:rPr>
        <w:t xml:space="preserve">(nemodificētā) </w:t>
      </w:r>
      <w:r w:rsidRPr="00FB62F8">
        <w:rPr>
          <w:b/>
        </w:rPr>
        <w:t>ekvivalences skal</w:t>
      </w:r>
      <w:r>
        <w:rPr>
          <w:b/>
        </w:rPr>
        <w:t>a</w:t>
      </w:r>
      <w:r>
        <w:t>, kur pirmajam pieaugušajam tiek piešķirta vērtība 1, mājsaimniecību locekļiem virs 14 gadu vecuma – 0,7 (patēriņš 70% apmērā no pirmā mājsaimniecības locekļa) un bērniem līdz 14 gadu vecumam – 0,5 (patēriņš 50% apmērā no pirmā mājsaimniecības locekļa). Tā kā 2012.-2014. gada nabadzības un sociālās atstumtības Izvērtējumā nabadzības risku rādītāju analīzē tika izmantota modificētā ekvivalences skala, kas vienlaikus atbilst ES vienotās statistikas metodikai, šajā Izvērtējumā ir pamatā izmantota šī skala. Jāņem vērā, ka p</w:t>
      </w:r>
      <w:r w:rsidRPr="00FB62F8">
        <w:t xml:space="preserve">iemērotā skala ietekmē gan aprēķinātās rādītāju vērtības, gan to </w:t>
      </w:r>
      <w:r>
        <w:t xml:space="preserve">interpretāciju. Modificētās ekvivalences skalas gadījumā situācija </w:t>
      </w:r>
      <w:r w:rsidR="006D51A6">
        <w:t>izskatās</w:t>
      </w:r>
      <w:r>
        <w:t xml:space="preserve"> pozitīvāka</w:t>
      </w:r>
      <w:r w:rsidR="00724045">
        <w:t>, piemēram, mājsaimniecībām ar bērniem</w:t>
      </w:r>
      <w:r>
        <w:t xml:space="preserve">, nekā tas būtu nemodificētās ekvivalences skalas gadījumā, kur uz katru nākamo mājsaimniecības locekli tiek attiecināts vēl lielāks resursu patēriņš, attiecīgi samazinoties pieejamajiem vienas personas uzturēšanai nepieciešamajiem </w:t>
      </w:r>
      <w:r w:rsidR="00EB54AA">
        <w:t>ienākumiem</w:t>
      </w:r>
      <w:r>
        <w:t xml:space="preserve">. </w:t>
      </w:r>
      <w:r w:rsidR="00724045">
        <w:t>Savukārt vienas personas mājsaimniecību situācija, piem</w:t>
      </w:r>
      <w:r w:rsidR="00A61FC6">
        <w:t>ērojo</w:t>
      </w:r>
      <w:r w:rsidR="00724045">
        <w:t xml:space="preserve">t modificēto ekvivalences skalu, izskatās negatīvāka, nekā tā patiesībā varētu būt. </w:t>
      </w:r>
      <w:r w:rsidR="00EB54AA">
        <w:t xml:space="preserve">Lai ilustrētu šo atšķirību, </w:t>
      </w:r>
      <w:r w:rsidR="006E1579">
        <w:t>1.8</w:t>
      </w:r>
      <w:r w:rsidRPr="00A33088">
        <w:t>.tabulā ir atspoguļots, kā mainās ekvivalent</w:t>
      </w:r>
      <w:r>
        <w:t>ais</w:t>
      </w:r>
      <w:r w:rsidRPr="00A33088">
        <w:t xml:space="preserve"> mājsaimniecības </w:t>
      </w:r>
      <w:r>
        <w:t>lielums</w:t>
      </w:r>
      <w:r w:rsidRPr="00A33088">
        <w:t xml:space="preserve"> atkarībā no piemērotās ekvivalences skalas. </w:t>
      </w:r>
      <w:r w:rsidR="00A61FC6">
        <w:t xml:space="preserve">Kā redzams tabulā, diviem pieaugušajiem ar trīs bērniem atbilstoši modificētajai ekvivalences skalai nepieciešami 2,4 reizes lielāki ienākumi nekā vienas personas mājsaimniecībai. </w:t>
      </w:r>
      <w:r>
        <w:t xml:space="preserve">Kur iespējams, datu analīzē ir sniegts indikatīvs rādītāju salīdzinājums pēc abām skalām. </w:t>
      </w:r>
    </w:p>
    <w:p w:rsidR="00255CC4" w:rsidRPr="00A33088" w:rsidRDefault="00AD3EDD" w:rsidP="008C6B83">
      <w:pPr>
        <w:pStyle w:val="Caption"/>
      </w:pPr>
      <w:r>
        <w:rPr>
          <w:noProof/>
        </w:rPr>
        <w:fldChar w:fldCharType="begin"/>
      </w:r>
      <w:r w:rsidR="00A46B54">
        <w:rPr>
          <w:noProof/>
        </w:rPr>
        <w:instrText xml:space="preserve"> STYLEREF 1 \s </w:instrText>
      </w:r>
      <w:r>
        <w:rPr>
          <w:noProof/>
        </w:rPr>
        <w:fldChar w:fldCharType="separate"/>
      </w:r>
      <w:r w:rsidR="00224B50">
        <w:rPr>
          <w:noProof/>
        </w:rPr>
        <w:t>1</w:t>
      </w:r>
      <w:r>
        <w:rPr>
          <w:noProof/>
        </w:rPr>
        <w:fldChar w:fldCharType="end"/>
      </w:r>
      <w:r w:rsidR="00A46B54">
        <w:rPr>
          <w:noProof/>
        </w:rPr>
        <w:t>.</w:t>
      </w:r>
      <w:r w:rsidR="000A7157">
        <w:rPr>
          <w:noProof/>
        </w:rPr>
        <w:t>8</w:t>
      </w:r>
      <w:r w:rsidR="00255CC4">
        <w:rPr>
          <w:noProof/>
        </w:rPr>
        <w:t>. tabula. Ekvivalentais mājsaimniecības lielums atkarībā no piemērotās ekvivalences skalas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8"/>
        <w:gridCol w:w="2013"/>
        <w:gridCol w:w="2268"/>
      </w:tblGrid>
      <w:tr w:rsidR="00255CC4" w:rsidRPr="00BC22F8" w:rsidTr="00BC22F8">
        <w:tc>
          <w:tcPr>
            <w:tcW w:w="2348" w:type="dxa"/>
            <w:shd w:val="clear" w:color="auto" w:fill="B8CCE4" w:themeFill="accent1" w:themeFillTint="66"/>
            <w:vAlign w:val="center"/>
          </w:tcPr>
          <w:p w:rsidR="00255CC4" w:rsidRPr="00BC22F8" w:rsidRDefault="00255CC4" w:rsidP="00255CC4">
            <w:pPr>
              <w:jc w:val="center"/>
              <w:rPr>
                <w:b/>
                <w:color w:val="002060"/>
                <w:sz w:val="22"/>
                <w:szCs w:val="22"/>
              </w:rPr>
            </w:pPr>
            <w:r w:rsidRPr="00BC22F8">
              <w:rPr>
                <w:b/>
                <w:color w:val="002060"/>
                <w:sz w:val="22"/>
                <w:szCs w:val="22"/>
              </w:rPr>
              <w:t>Mājsaimniecības tips</w:t>
            </w:r>
          </w:p>
        </w:tc>
        <w:tc>
          <w:tcPr>
            <w:tcW w:w="2013" w:type="dxa"/>
            <w:shd w:val="clear" w:color="auto" w:fill="B8CCE4" w:themeFill="accent1" w:themeFillTint="66"/>
            <w:vAlign w:val="center"/>
          </w:tcPr>
          <w:p w:rsidR="00255CC4" w:rsidRPr="00BC22F8" w:rsidRDefault="00255CC4" w:rsidP="00255CC4">
            <w:pPr>
              <w:jc w:val="center"/>
              <w:rPr>
                <w:color w:val="002060"/>
                <w:sz w:val="22"/>
                <w:szCs w:val="22"/>
              </w:rPr>
            </w:pPr>
            <w:r w:rsidRPr="00BC22F8">
              <w:rPr>
                <w:b/>
                <w:bCs/>
                <w:color w:val="002060"/>
                <w:sz w:val="22"/>
                <w:szCs w:val="22"/>
              </w:rPr>
              <w:t>OECD ekvivalences skala</w:t>
            </w:r>
          </w:p>
        </w:tc>
        <w:tc>
          <w:tcPr>
            <w:tcW w:w="2268" w:type="dxa"/>
            <w:shd w:val="clear" w:color="auto" w:fill="B8CCE4" w:themeFill="accent1" w:themeFillTint="66"/>
            <w:vAlign w:val="center"/>
          </w:tcPr>
          <w:p w:rsidR="00255CC4" w:rsidRPr="00BC22F8" w:rsidRDefault="00255CC4" w:rsidP="00255CC4">
            <w:pPr>
              <w:jc w:val="center"/>
              <w:rPr>
                <w:color w:val="002060"/>
                <w:sz w:val="22"/>
                <w:szCs w:val="22"/>
              </w:rPr>
            </w:pPr>
            <w:r w:rsidRPr="00BC22F8">
              <w:rPr>
                <w:b/>
                <w:bCs/>
                <w:color w:val="002060"/>
                <w:sz w:val="22"/>
                <w:szCs w:val="22"/>
              </w:rPr>
              <w:t xml:space="preserve">OECD modificētā ekvivalences skala </w:t>
            </w:r>
          </w:p>
        </w:tc>
      </w:tr>
      <w:tr w:rsidR="00255CC4" w:rsidRPr="00A33088" w:rsidTr="00255CC4">
        <w:tc>
          <w:tcPr>
            <w:tcW w:w="2348" w:type="dxa"/>
            <w:shd w:val="clear" w:color="auto" w:fill="auto"/>
          </w:tcPr>
          <w:p w:rsidR="00255CC4" w:rsidRPr="00A33088" w:rsidRDefault="00255CC4" w:rsidP="00255CC4">
            <w:pPr>
              <w:rPr>
                <w:sz w:val="22"/>
                <w:szCs w:val="22"/>
              </w:rPr>
            </w:pPr>
            <w:r w:rsidRPr="00A33088">
              <w:rPr>
                <w:sz w:val="22"/>
                <w:szCs w:val="22"/>
              </w:rPr>
              <w:t>1 pieaugušais</w:t>
            </w:r>
          </w:p>
        </w:tc>
        <w:tc>
          <w:tcPr>
            <w:tcW w:w="2013" w:type="dxa"/>
            <w:shd w:val="clear" w:color="auto" w:fill="auto"/>
            <w:vAlign w:val="center"/>
          </w:tcPr>
          <w:p w:rsidR="00255CC4" w:rsidRPr="00A33088" w:rsidRDefault="00255CC4" w:rsidP="00255CC4">
            <w:pPr>
              <w:jc w:val="center"/>
              <w:rPr>
                <w:sz w:val="22"/>
                <w:szCs w:val="22"/>
              </w:rPr>
            </w:pPr>
            <w:r w:rsidRPr="00A33088">
              <w:rPr>
                <w:sz w:val="22"/>
                <w:szCs w:val="22"/>
              </w:rPr>
              <w:t>1</w:t>
            </w:r>
          </w:p>
        </w:tc>
        <w:tc>
          <w:tcPr>
            <w:tcW w:w="2268" w:type="dxa"/>
            <w:shd w:val="clear" w:color="auto" w:fill="auto"/>
            <w:vAlign w:val="center"/>
          </w:tcPr>
          <w:p w:rsidR="00255CC4" w:rsidRPr="00A33088" w:rsidRDefault="00255CC4" w:rsidP="00255CC4">
            <w:pPr>
              <w:jc w:val="center"/>
              <w:rPr>
                <w:sz w:val="22"/>
                <w:szCs w:val="22"/>
              </w:rPr>
            </w:pPr>
            <w:r w:rsidRPr="00A33088">
              <w:rPr>
                <w:sz w:val="22"/>
                <w:szCs w:val="22"/>
              </w:rPr>
              <w:t>1</w:t>
            </w:r>
          </w:p>
        </w:tc>
      </w:tr>
      <w:tr w:rsidR="00255CC4" w:rsidRPr="00A33088" w:rsidTr="00255CC4">
        <w:tc>
          <w:tcPr>
            <w:tcW w:w="2348" w:type="dxa"/>
            <w:shd w:val="clear" w:color="auto" w:fill="auto"/>
          </w:tcPr>
          <w:p w:rsidR="00255CC4" w:rsidRPr="00A33088" w:rsidRDefault="00255CC4" w:rsidP="00255CC4">
            <w:pPr>
              <w:rPr>
                <w:sz w:val="22"/>
                <w:szCs w:val="22"/>
              </w:rPr>
            </w:pPr>
            <w:r w:rsidRPr="00A33088">
              <w:rPr>
                <w:sz w:val="22"/>
                <w:szCs w:val="22"/>
              </w:rPr>
              <w:t>2 pieaugušie</w:t>
            </w:r>
          </w:p>
        </w:tc>
        <w:tc>
          <w:tcPr>
            <w:tcW w:w="2013" w:type="dxa"/>
            <w:shd w:val="clear" w:color="auto" w:fill="auto"/>
            <w:vAlign w:val="center"/>
          </w:tcPr>
          <w:p w:rsidR="00255CC4" w:rsidRPr="00A33088" w:rsidRDefault="00255CC4" w:rsidP="00255CC4">
            <w:pPr>
              <w:jc w:val="center"/>
              <w:rPr>
                <w:sz w:val="22"/>
                <w:szCs w:val="22"/>
              </w:rPr>
            </w:pPr>
            <w:r w:rsidRPr="00A33088">
              <w:rPr>
                <w:sz w:val="22"/>
                <w:szCs w:val="22"/>
              </w:rPr>
              <w:t>1.7</w:t>
            </w:r>
          </w:p>
        </w:tc>
        <w:tc>
          <w:tcPr>
            <w:tcW w:w="2268" w:type="dxa"/>
            <w:shd w:val="clear" w:color="auto" w:fill="auto"/>
            <w:vAlign w:val="center"/>
          </w:tcPr>
          <w:p w:rsidR="00255CC4" w:rsidRPr="00A33088" w:rsidRDefault="00255CC4" w:rsidP="00255CC4">
            <w:pPr>
              <w:jc w:val="center"/>
              <w:rPr>
                <w:sz w:val="22"/>
                <w:szCs w:val="22"/>
              </w:rPr>
            </w:pPr>
            <w:r w:rsidRPr="00A33088">
              <w:rPr>
                <w:sz w:val="22"/>
                <w:szCs w:val="22"/>
              </w:rPr>
              <w:t>1.5</w:t>
            </w:r>
          </w:p>
        </w:tc>
      </w:tr>
      <w:tr w:rsidR="00255CC4" w:rsidRPr="00A33088" w:rsidTr="00255CC4">
        <w:tc>
          <w:tcPr>
            <w:tcW w:w="2348" w:type="dxa"/>
            <w:shd w:val="clear" w:color="auto" w:fill="auto"/>
          </w:tcPr>
          <w:p w:rsidR="00255CC4" w:rsidRPr="00A33088" w:rsidRDefault="00255CC4" w:rsidP="00255CC4">
            <w:pPr>
              <w:rPr>
                <w:sz w:val="22"/>
                <w:szCs w:val="22"/>
              </w:rPr>
            </w:pPr>
            <w:r w:rsidRPr="00A33088">
              <w:rPr>
                <w:sz w:val="22"/>
                <w:szCs w:val="22"/>
              </w:rPr>
              <w:t>2 pieaugušie un 1 bērns</w:t>
            </w:r>
          </w:p>
        </w:tc>
        <w:tc>
          <w:tcPr>
            <w:tcW w:w="2013" w:type="dxa"/>
            <w:shd w:val="clear" w:color="auto" w:fill="auto"/>
            <w:vAlign w:val="center"/>
          </w:tcPr>
          <w:p w:rsidR="00255CC4" w:rsidRPr="00A33088" w:rsidRDefault="00255CC4" w:rsidP="00255CC4">
            <w:pPr>
              <w:jc w:val="center"/>
              <w:rPr>
                <w:sz w:val="22"/>
                <w:szCs w:val="22"/>
              </w:rPr>
            </w:pPr>
            <w:r w:rsidRPr="00A33088">
              <w:rPr>
                <w:sz w:val="22"/>
                <w:szCs w:val="22"/>
              </w:rPr>
              <w:t>2.2</w:t>
            </w:r>
          </w:p>
        </w:tc>
        <w:tc>
          <w:tcPr>
            <w:tcW w:w="2268" w:type="dxa"/>
            <w:shd w:val="clear" w:color="auto" w:fill="auto"/>
            <w:vAlign w:val="center"/>
          </w:tcPr>
          <w:p w:rsidR="00255CC4" w:rsidRPr="00A33088" w:rsidRDefault="00255CC4" w:rsidP="00255CC4">
            <w:pPr>
              <w:jc w:val="center"/>
              <w:rPr>
                <w:sz w:val="22"/>
                <w:szCs w:val="22"/>
              </w:rPr>
            </w:pPr>
            <w:r w:rsidRPr="00A33088">
              <w:rPr>
                <w:sz w:val="22"/>
                <w:szCs w:val="22"/>
              </w:rPr>
              <w:t>1.8</w:t>
            </w:r>
          </w:p>
        </w:tc>
      </w:tr>
      <w:tr w:rsidR="00255CC4" w:rsidRPr="00A33088" w:rsidTr="00255CC4">
        <w:tc>
          <w:tcPr>
            <w:tcW w:w="2348" w:type="dxa"/>
            <w:shd w:val="clear" w:color="auto" w:fill="auto"/>
          </w:tcPr>
          <w:p w:rsidR="00255CC4" w:rsidRPr="00A33088" w:rsidRDefault="00255CC4" w:rsidP="00255CC4">
            <w:pPr>
              <w:rPr>
                <w:sz w:val="22"/>
                <w:szCs w:val="22"/>
              </w:rPr>
            </w:pPr>
            <w:r w:rsidRPr="00A33088">
              <w:rPr>
                <w:sz w:val="22"/>
                <w:szCs w:val="22"/>
              </w:rPr>
              <w:t>2 pieaugušie un 2 bērni</w:t>
            </w:r>
          </w:p>
        </w:tc>
        <w:tc>
          <w:tcPr>
            <w:tcW w:w="2013" w:type="dxa"/>
            <w:shd w:val="clear" w:color="auto" w:fill="auto"/>
            <w:vAlign w:val="center"/>
          </w:tcPr>
          <w:p w:rsidR="00255CC4" w:rsidRPr="00A33088" w:rsidRDefault="00255CC4" w:rsidP="00255CC4">
            <w:pPr>
              <w:jc w:val="center"/>
              <w:rPr>
                <w:sz w:val="22"/>
                <w:szCs w:val="22"/>
              </w:rPr>
            </w:pPr>
            <w:r w:rsidRPr="00A33088">
              <w:rPr>
                <w:sz w:val="22"/>
                <w:szCs w:val="22"/>
              </w:rPr>
              <w:t>2.7</w:t>
            </w:r>
          </w:p>
        </w:tc>
        <w:tc>
          <w:tcPr>
            <w:tcW w:w="2268" w:type="dxa"/>
            <w:shd w:val="clear" w:color="auto" w:fill="auto"/>
            <w:vAlign w:val="center"/>
          </w:tcPr>
          <w:p w:rsidR="00255CC4" w:rsidRPr="00A33088" w:rsidRDefault="00255CC4" w:rsidP="00255CC4">
            <w:pPr>
              <w:jc w:val="center"/>
              <w:rPr>
                <w:sz w:val="22"/>
                <w:szCs w:val="22"/>
              </w:rPr>
            </w:pPr>
            <w:r w:rsidRPr="00A33088">
              <w:rPr>
                <w:sz w:val="22"/>
                <w:szCs w:val="22"/>
              </w:rPr>
              <w:t>2.1</w:t>
            </w:r>
          </w:p>
        </w:tc>
      </w:tr>
      <w:tr w:rsidR="00255CC4" w:rsidRPr="00A33088" w:rsidTr="00255CC4">
        <w:tc>
          <w:tcPr>
            <w:tcW w:w="2348" w:type="dxa"/>
            <w:shd w:val="clear" w:color="auto" w:fill="auto"/>
          </w:tcPr>
          <w:p w:rsidR="00255CC4" w:rsidRPr="00A33088" w:rsidRDefault="00255CC4" w:rsidP="00255CC4">
            <w:pPr>
              <w:rPr>
                <w:sz w:val="22"/>
                <w:szCs w:val="22"/>
              </w:rPr>
            </w:pPr>
            <w:r w:rsidRPr="00A33088">
              <w:rPr>
                <w:sz w:val="22"/>
                <w:szCs w:val="22"/>
              </w:rPr>
              <w:t>2 pieaugušie un 3 bērni</w:t>
            </w:r>
          </w:p>
        </w:tc>
        <w:tc>
          <w:tcPr>
            <w:tcW w:w="2013" w:type="dxa"/>
            <w:shd w:val="clear" w:color="auto" w:fill="auto"/>
            <w:vAlign w:val="center"/>
          </w:tcPr>
          <w:p w:rsidR="00255CC4" w:rsidRPr="00A33088" w:rsidRDefault="00255CC4" w:rsidP="00255CC4">
            <w:pPr>
              <w:jc w:val="center"/>
              <w:rPr>
                <w:sz w:val="22"/>
                <w:szCs w:val="22"/>
              </w:rPr>
            </w:pPr>
            <w:r w:rsidRPr="00A33088">
              <w:rPr>
                <w:sz w:val="22"/>
                <w:szCs w:val="22"/>
              </w:rPr>
              <w:t>3.2</w:t>
            </w:r>
          </w:p>
        </w:tc>
        <w:tc>
          <w:tcPr>
            <w:tcW w:w="2268" w:type="dxa"/>
            <w:shd w:val="clear" w:color="auto" w:fill="auto"/>
            <w:vAlign w:val="center"/>
          </w:tcPr>
          <w:p w:rsidR="00255CC4" w:rsidRPr="00A33088" w:rsidRDefault="00255CC4" w:rsidP="00255CC4">
            <w:pPr>
              <w:jc w:val="center"/>
              <w:rPr>
                <w:sz w:val="22"/>
                <w:szCs w:val="22"/>
              </w:rPr>
            </w:pPr>
            <w:r w:rsidRPr="00A33088">
              <w:rPr>
                <w:sz w:val="22"/>
                <w:szCs w:val="22"/>
              </w:rPr>
              <w:t>2.4</w:t>
            </w:r>
          </w:p>
        </w:tc>
      </w:tr>
    </w:tbl>
    <w:p w:rsidR="00255CC4" w:rsidRPr="00A33088" w:rsidRDefault="00255CC4" w:rsidP="00255CC4">
      <w:pPr>
        <w:rPr>
          <w:sz w:val="20"/>
          <w:szCs w:val="20"/>
        </w:rPr>
      </w:pPr>
      <w:r>
        <w:rPr>
          <w:sz w:val="20"/>
          <w:szCs w:val="20"/>
        </w:rPr>
        <w:t xml:space="preserve">  </w:t>
      </w:r>
      <w:r w:rsidRPr="00A33088">
        <w:rPr>
          <w:sz w:val="20"/>
          <w:szCs w:val="20"/>
        </w:rPr>
        <w:t>Avots: LM (07.10.2014.), Koncepcija „Par minimālā ienākuma līmeņa</w:t>
      </w:r>
      <w:r>
        <w:rPr>
          <w:sz w:val="20"/>
          <w:szCs w:val="20"/>
        </w:rPr>
        <w:t xml:space="preserve"> noteikšanu” (informatīvā daļa).</w:t>
      </w:r>
    </w:p>
    <w:p w:rsidR="00255CC4" w:rsidRPr="00DE4D97" w:rsidRDefault="00255CC4" w:rsidP="00DE4D97">
      <w:pPr>
        <w:pStyle w:val="virsrakstslvl4"/>
      </w:pPr>
      <w:bookmarkStart w:id="177" w:name="_Toc6841533"/>
      <w:r w:rsidRPr="00DE4D97">
        <w:lastRenderedPageBreak/>
        <w:t>Minimālie ienākumi</w:t>
      </w:r>
      <w:bookmarkEnd w:id="177"/>
    </w:p>
    <w:p w:rsidR="00255CC4" w:rsidRDefault="006E1579" w:rsidP="00917E78">
      <w:bookmarkStart w:id="178" w:name="_Toc6841534"/>
      <w:r>
        <w:t>1.9</w:t>
      </w:r>
      <w:r w:rsidR="00255CC4">
        <w:t>. tabulā ir atspoguļoti iedzīvotāju minimālā ienākuma līmeņa</w:t>
      </w:r>
      <w:r w:rsidR="00255CC4">
        <w:rPr>
          <w:rStyle w:val="FootnoteReference"/>
        </w:rPr>
        <w:footnoteReference w:id="99"/>
      </w:r>
      <w:r w:rsidR="00255CC4">
        <w:t xml:space="preserve"> rādītāji, kuru aprēķinos piemērota ekvivalences skala, atbilstoši kurai pirmajai personai ir piešķirts koeficients 1, katrai nākamajai 0,7 neatkarīgi no vecuma</w:t>
      </w:r>
      <w:r w:rsidR="00EB54AA">
        <w:t xml:space="preserve"> (CSP piemērota skala)</w:t>
      </w:r>
      <w:r w:rsidR="00255CC4">
        <w:t xml:space="preserve">. </w:t>
      </w:r>
      <w:bookmarkEnd w:id="178"/>
    </w:p>
    <w:p w:rsidR="00255CC4" w:rsidRPr="00EA0927" w:rsidRDefault="00AD3EDD" w:rsidP="008C6B83">
      <w:pPr>
        <w:pStyle w:val="Caption"/>
      </w:pPr>
      <w:r>
        <w:fldChar w:fldCharType="begin"/>
      </w:r>
      <w:r w:rsidR="00696156">
        <w:instrText xml:space="preserve"> STYLEREF 1 \s </w:instrText>
      </w:r>
      <w:r>
        <w:fldChar w:fldCharType="separate"/>
      </w:r>
      <w:r w:rsidR="00224B50">
        <w:rPr>
          <w:noProof/>
        </w:rPr>
        <w:t>1</w:t>
      </w:r>
      <w:r>
        <w:fldChar w:fldCharType="end"/>
      </w:r>
      <w:r w:rsidR="00A46B54">
        <w:t>.</w:t>
      </w:r>
      <w:r w:rsidR="000A7157">
        <w:t>9</w:t>
      </w:r>
      <w:r w:rsidR="00255CC4">
        <w:t>. tabula. Minimālā ienākuma līmeņa rādītājs (ilustratīvās vērtības), EUR mēnesī (2014-2016)</w:t>
      </w:r>
    </w:p>
    <w:tbl>
      <w:tblPr>
        <w:tblW w:w="986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2"/>
        <w:gridCol w:w="1701"/>
        <w:gridCol w:w="1134"/>
        <w:gridCol w:w="2126"/>
        <w:gridCol w:w="1134"/>
        <w:gridCol w:w="1843"/>
        <w:gridCol w:w="1207"/>
      </w:tblGrid>
      <w:tr w:rsidR="00255CC4" w:rsidRPr="00BC22F8" w:rsidTr="00BC22F8">
        <w:trPr>
          <w:trHeight w:val="300"/>
        </w:trPr>
        <w:tc>
          <w:tcPr>
            <w:tcW w:w="722" w:type="dxa"/>
            <w:shd w:val="clear" w:color="auto" w:fill="B8CCE4" w:themeFill="accent1" w:themeFillTint="66"/>
            <w:noWrap/>
            <w:vAlign w:val="center"/>
            <w:hideMark/>
          </w:tcPr>
          <w:p w:rsidR="00255CC4" w:rsidRPr="00BC22F8" w:rsidRDefault="00255CC4" w:rsidP="00255CC4">
            <w:pPr>
              <w:spacing w:line="240" w:lineRule="auto"/>
              <w:jc w:val="left"/>
              <w:rPr>
                <w:rFonts w:eastAsia="Times New Roman"/>
                <w:b/>
                <w:color w:val="002060"/>
                <w:sz w:val="22"/>
                <w:szCs w:val="22"/>
              </w:rPr>
            </w:pPr>
            <w:r w:rsidRPr="00BC22F8">
              <w:rPr>
                <w:rFonts w:eastAsia="Times New Roman"/>
                <w:b/>
                <w:color w:val="002060"/>
                <w:sz w:val="22"/>
                <w:szCs w:val="22"/>
              </w:rPr>
              <w:t>Gads</w:t>
            </w:r>
          </w:p>
        </w:tc>
        <w:tc>
          <w:tcPr>
            <w:tcW w:w="1701" w:type="dxa"/>
            <w:shd w:val="clear" w:color="auto" w:fill="B8CCE4" w:themeFill="accent1" w:themeFillTint="66"/>
            <w:noWrap/>
            <w:vAlign w:val="center"/>
            <w:hideMark/>
          </w:tcPr>
          <w:p w:rsidR="00255CC4" w:rsidRPr="00BC22F8" w:rsidRDefault="00255CC4" w:rsidP="00255CC4">
            <w:pPr>
              <w:spacing w:line="240" w:lineRule="auto"/>
              <w:jc w:val="center"/>
              <w:rPr>
                <w:rFonts w:eastAsia="Times New Roman"/>
                <w:b/>
                <w:bCs/>
                <w:color w:val="002060"/>
                <w:sz w:val="22"/>
                <w:szCs w:val="22"/>
              </w:rPr>
            </w:pPr>
            <w:r w:rsidRPr="00BC22F8">
              <w:rPr>
                <w:rFonts w:eastAsia="Times New Roman"/>
                <w:b/>
                <w:bCs/>
                <w:color w:val="002060"/>
                <w:sz w:val="22"/>
                <w:szCs w:val="22"/>
              </w:rPr>
              <w:t>1 personas mājsaimniecība EUR</w:t>
            </w:r>
          </w:p>
        </w:tc>
        <w:tc>
          <w:tcPr>
            <w:tcW w:w="1134" w:type="dxa"/>
            <w:shd w:val="clear" w:color="auto" w:fill="B8CCE4" w:themeFill="accent1" w:themeFillTint="66"/>
            <w:vAlign w:val="center"/>
          </w:tcPr>
          <w:p w:rsidR="00255CC4" w:rsidRPr="00BC22F8" w:rsidRDefault="00255CC4" w:rsidP="00255CC4">
            <w:pPr>
              <w:spacing w:line="240" w:lineRule="auto"/>
              <w:jc w:val="center"/>
              <w:rPr>
                <w:rFonts w:eastAsia="Times New Roman"/>
                <w:b/>
                <w:bCs/>
                <w:color w:val="002060"/>
                <w:sz w:val="22"/>
                <w:szCs w:val="22"/>
              </w:rPr>
            </w:pPr>
            <w:r w:rsidRPr="00BC22F8">
              <w:rPr>
                <w:rFonts w:eastAsia="Times New Roman"/>
                <w:b/>
                <w:bCs/>
                <w:color w:val="002060"/>
                <w:sz w:val="22"/>
                <w:szCs w:val="22"/>
              </w:rPr>
              <w:t>Izmaiņas procent</w:t>
            </w:r>
          </w:p>
          <w:p w:rsidR="00255CC4" w:rsidRPr="00BC22F8" w:rsidRDefault="00255CC4" w:rsidP="00255CC4">
            <w:pPr>
              <w:spacing w:line="240" w:lineRule="auto"/>
              <w:jc w:val="center"/>
              <w:rPr>
                <w:rFonts w:eastAsia="Times New Roman"/>
                <w:b/>
                <w:bCs/>
                <w:color w:val="002060"/>
                <w:sz w:val="22"/>
                <w:szCs w:val="22"/>
              </w:rPr>
            </w:pPr>
            <w:r w:rsidRPr="00BC22F8">
              <w:rPr>
                <w:rFonts w:eastAsia="Times New Roman"/>
                <w:b/>
                <w:bCs/>
                <w:color w:val="002060"/>
                <w:sz w:val="22"/>
                <w:szCs w:val="22"/>
              </w:rPr>
              <w:t>punktos</w:t>
            </w:r>
          </w:p>
        </w:tc>
        <w:tc>
          <w:tcPr>
            <w:tcW w:w="2126" w:type="dxa"/>
            <w:shd w:val="clear" w:color="auto" w:fill="B8CCE4" w:themeFill="accent1" w:themeFillTint="66"/>
            <w:noWrap/>
            <w:vAlign w:val="center"/>
            <w:hideMark/>
          </w:tcPr>
          <w:p w:rsidR="00255CC4" w:rsidRPr="00BC22F8" w:rsidRDefault="00255CC4" w:rsidP="00255CC4">
            <w:pPr>
              <w:spacing w:line="240" w:lineRule="auto"/>
              <w:jc w:val="center"/>
              <w:rPr>
                <w:rFonts w:eastAsia="Times New Roman"/>
                <w:b/>
                <w:bCs/>
                <w:color w:val="002060"/>
                <w:sz w:val="22"/>
                <w:szCs w:val="22"/>
              </w:rPr>
            </w:pPr>
            <w:r w:rsidRPr="00BC22F8">
              <w:rPr>
                <w:rFonts w:eastAsia="Times New Roman"/>
                <w:b/>
                <w:bCs/>
                <w:color w:val="002060"/>
                <w:sz w:val="22"/>
                <w:szCs w:val="22"/>
              </w:rPr>
              <w:t xml:space="preserve">2 pieaugušie un 2 bērni jaunāki </w:t>
            </w:r>
          </w:p>
          <w:p w:rsidR="00255CC4" w:rsidRPr="00BC22F8" w:rsidRDefault="00255CC4" w:rsidP="00255CC4">
            <w:pPr>
              <w:spacing w:line="240" w:lineRule="auto"/>
              <w:jc w:val="center"/>
              <w:rPr>
                <w:rFonts w:eastAsia="Times New Roman"/>
                <w:b/>
                <w:bCs/>
                <w:color w:val="002060"/>
                <w:sz w:val="22"/>
                <w:szCs w:val="22"/>
              </w:rPr>
            </w:pPr>
            <w:r w:rsidRPr="00BC22F8">
              <w:rPr>
                <w:rFonts w:eastAsia="Times New Roman"/>
                <w:b/>
                <w:bCs/>
                <w:color w:val="002060"/>
                <w:sz w:val="22"/>
                <w:szCs w:val="22"/>
              </w:rPr>
              <w:t>par 14 gadiem EUR*</w:t>
            </w:r>
          </w:p>
        </w:tc>
        <w:tc>
          <w:tcPr>
            <w:tcW w:w="1134" w:type="dxa"/>
            <w:shd w:val="clear" w:color="auto" w:fill="B8CCE4" w:themeFill="accent1" w:themeFillTint="66"/>
            <w:vAlign w:val="center"/>
          </w:tcPr>
          <w:p w:rsidR="00255CC4" w:rsidRPr="00BC22F8" w:rsidRDefault="00255CC4" w:rsidP="00255CC4">
            <w:pPr>
              <w:spacing w:line="240" w:lineRule="auto"/>
              <w:jc w:val="center"/>
              <w:rPr>
                <w:rFonts w:eastAsia="Times New Roman"/>
                <w:b/>
                <w:bCs/>
                <w:color w:val="002060"/>
                <w:sz w:val="22"/>
                <w:szCs w:val="22"/>
              </w:rPr>
            </w:pPr>
            <w:r w:rsidRPr="00BC22F8">
              <w:rPr>
                <w:rFonts w:eastAsia="Times New Roman"/>
                <w:b/>
                <w:bCs/>
                <w:color w:val="002060"/>
                <w:sz w:val="22"/>
                <w:szCs w:val="22"/>
              </w:rPr>
              <w:t>Izmaiņas procent</w:t>
            </w:r>
          </w:p>
          <w:p w:rsidR="00255CC4" w:rsidRPr="00BC22F8" w:rsidRDefault="00255CC4" w:rsidP="00255CC4">
            <w:pPr>
              <w:spacing w:line="240" w:lineRule="auto"/>
              <w:jc w:val="center"/>
              <w:rPr>
                <w:rFonts w:eastAsia="Times New Roman"/>
                <w:b/>
                <w:bCs/>
                <w:color w:val="002060"/>
                <w:sz w:val="22"/>
                <w:szCs w:val="22"/>
              </w:rPr>
            </w:pPr>
            <w:r w:rsidRPr="00BC22F8">
              <w:rPr>
                <w:rFonts w:eastAsia="Times New Roman"/>
                <w:b/>
                <w:bCs/>
                <w:color w:val="002060"/>
                <w:sz w:val="22"/>
                <w:szCs w:val="22"/>
              </w:rPr>
              <w:t>punktos</w:t>
            </w:r>
          </w:p>
        </w:tc>
        <w:tc>
          <w:tcPr>
            <w:tcW w:w="1843" w:type="dxa"/>
            <w:shd w:val="clear" w:color="auto" w:fill="B8CCE4" w:themeFill="accent1" w:themeFillTint="66"/>
            <w:vAlign w:val="center"/>
          </w:tcPr>
          <w:p w:rsidR="00255CC4" w:rsidRPr="00BC22F8" w:rsidRDefault="00255CC4" w:rsidP="00255CC4">
            <w:pPr>
              <w:spacing w:line="240" w:lineRule="auto"/>
              <w:jc w:val="center"/>
              <w:rPr>
                <w:rFonts w:eastAsia="Times New Roman"/>
                <w:b/>
                <w:bCs/>
                <w:color w:val="002060"/>
                <w:sz w:val="22"/>
                <w:szCs w:val="22"/>
              </w:rPr>
            </w:pPr>
            <w:r w:rsidRPr="00BC22F8">
              <w:rPr>
                <w:rFonts w:eastAsia="Times New Roman"/>
                <w:b/>
                <w:bCs/>
                <w:color w:val="002060"/>
                <w:sz w:val="22"/>
                <w:szCs w:val="22"/>
              </w:rPr>
              <w:t>2 pieaugušie un 2 bērni jaunāki par 14 gadiem EUR**</w:t>
            </w:r>
          </w:p>
        </w:tc>
        <w:tc>
          <w:tcPr>
            <w:tcW w:w="1207" w:type="dxa"/>
            <w:shd w:val="clear" w:color="auto" w:fill="B8CCE4" w:themeFill="accent1" w:themeFillTint="66"/>
          </w:tcPr>
          <w:p w:rsidR="00255CC4" w:rsidRPr="00BC22F8" w:rsidRDefault="00255CC4" w:rsidP="00255CC4">
            <w:pPr>
              <w:spacing w:line="240" w:lineRule="auto"/>
              <w:jc w:val="center"/>
              <w:rPr>
                <w:rFonts w:eastAsia="Times New Roman"/>
                <w:b/>
                <w:bCs/>
                <w:color w:val="002060"/>
                <w:sz w:val="22"/>
                <w:szCs w:val="22"/>
              </w:rPr>
            </w:pPr>
            <w:r w:rsidRPr="00BC22F8">
              <w:rPr>
                <w:rFonts w:eastAsia="Times New Roman"/>
                <w:b/>
                <w:bCs/>
                <w:color w:val="002060"/>
                <w:sz w:val="22"/>
                <w:szCs w:val="22"/>
              </w:rPr>
              <w:t>Izmaiņas procent</w:t>
            </w:r>
          </w:p>
          <w:p w:rsidR="00255CC4" w:rsidRPr="00BC22F8" w:rsidRDefault="00255CC4" w:rsidP="00255CC4">
            <w:pPr>
              <w:spacing w:line="240" w:lineRule="auto"/>
              <w:jc w:val="center"/>
              <w:rPr>
                <w:rFonts w:eastAsia="Times New Roman"/>
                <w:b/>
                <w:bCs/>
                <w:color w:val="002060"/>
                <w:sz w:val="22"/>
                <w:szCs w:val="22"/>
              </w:rPr>
            </w:pPr>
            <w:r w:rsidRPr="00BC22F8">
              <w:rPr>
                <w:rFonts w:eastAsia="Times New Roman"/>
                <w:b/>
                <w:bCs/>
                <w:color w:val="002060"/>
                <w:sz w:val="22"/>
                <w:szCs w:val="22"/>
              </w:rPr>
              <w:t>punktos</w:t>
            </w:r>
          </w:p>
        </w:tc>
      </w:tr>
      <w:tr w:rsidR="00255CC4" w:rsidRPr="005B22F8" w:rsidTr="00255CC4">
        <w:trPr>
          <w:trHeight w:val="300"/>
        </w:trPr>
        <w:tc>
          <w:tcPr>
            <w:tcW w:w="722" w:type="dxa"/>
            <w:shd w:val="clear" w:color="auto" w:fill="auto"/>
            <w:noWrap/>
            <w:vAlign w:val="bottom"/>
            <w:hideMark/>
          </w:tcPr>
          <w:p w:rsidR="00255CC4" w:rsidRPr="005B22F8" w:rsidRDefault="00255CC4" w:rsidP="00255CC4">
            <w:pPr>
              <w:spacing w:line="240" w:lineRule="auto"/>
              <w:jc w:val="left"/>
              <w:rPr>
                <w:rFonts w:eastAsia="Times New Roman"/>
                <w:b/>
                <w:bCs/>
                <w:color w:val="000000"/>
                <w:sz w:val="22"/>
                <w:szCs w:val="22"/>
              </w:rPr>
            </w:pPr>
            <w:r w:rsidRPr="005B22F8">
              <w:rPr>
                <w:rFonts w:eastAsia="Times New Roman"/>
                <w:b/>
                <w:bCs/>
                <w:color w:val="000000"/>
                <w:sz w:val="22"/>
                <w:szCs w:val="22"/>
              </w:rPr>
              <w:t>2014</w:t>
            </w:r>
          </w:p>
        </w:tc>
        <w:tc>
          <w:tcPr>
            <w:tcW w:w="1701" w:type="dxa"/>
            <w:shd w:val="clear" w:color="auto" w:fill="auto"/>
            <w:noWrap/>
            <w:vAlign w:val="bottom"/>
            <w:hideMark/>
          </w:tcPr>
          <w:p w:rsidR="00255CC4" w:rsidRPr="005B22F8" w:rsidRDefault="00255CC4" w:rsidP="00255CC4">
            <w:pPr>
              <w:spacing w:line="240" w:lineRule="auto"/>
              <w:jc w:val="center"/>
              <w:rPr>
                <w:rFonts w:eastAsia="Times New Roman"/>
                <w:color w:val="000000"/>
                <w:sz w:val="22"/>
                <w:szCs w:val="22"/>
              </w:rPr>
            </w:pPr>
            <w:r w:rsidRPr="005B22F8">
              <w:rPr>
                <w:rFonts w:eastAsia="Times New Roman"/>
                <w:color w:val="000000"/>
                <w:sz w:val="22"/>
                <w:szCs w:val="22"/>
              </w:rPr>
              <w:t>155</w:t>
            </w:r>
          </w:p>
        </w:tc>
        <w:tc>
          <w:tcPr>
            <w:tcW w:w="1134" w:type="dxa"/>
          </w:tcPr>
          <w:p w:rsidR="00255CC4" w:rsidRPr="005B22F8" w:rsidRDefault="00255CC4" w:rsidP="00255CC4">
            <w:pPr>
              <w:spacing w:line="240" w:lineRule="auto"/>
              <w:jc w:val="center"/>
              <w:rPr>
                <w:rFonts w:eastAsia="Times New Roman"/>
                <w:color w:val="000000"/>
                <w:sz w:val="22"/>
                <w:szCs w:val="22"/>
              </w:rPr>
            </w:pPr>
            <w:r>
              <w:rPr>
                <w:rFonts w:eastAsia="Times New Roman"/>
                <w:color w:val="000000"/>
                <w:sz w:val="22"/>
                <w:szCs w:val="22"/>
              </w:rPr>
              <w:t>-</w:t>
            </w:r>
          </w:p>
        </w:tc>
        <w:tc>
          <w:tcPr>
            <w:tcW w:w="2126" w:type="dxa"/>
            <w:shd w:val="clear" w:color="auto" w:fill="auto"/>
            <w:noWrap/>
            <w:vAlign w:val="bottom"/>
            <w:hideMark/>
          </w:tcPr>
          <w:p w:rsidR="00255CC4" w:rsidRPr="005B22F8" w:rsidRDefault="00255CC4" w:rsidP="00255CC4">
            <w:pPr>
              <w:spacing w:line="240" w:lineRule="auto"/>
              <w:jc w:val="center"/>
              <w:rPr>
                <w:rFonts w:eastAsia="Times New Roman"/>
                <w:color w:val="000000"/>
                <w:sz w:val="22"/>
                <w:szCs w:val="22"/>
              </w:rPr>
            </w:pPr>
            <w:r w:rsidRPr="005B22F8">
              <w:rPr>
                <w:rFonts w:eastAsia="Times New Roman"/>
                <w:color w:val="000000"/>
                <w:sz w:val="22"/>
                <w:szCs w:val="22"/>
              </w:rPr>
              <w:t>481</w:t>
            </w:r>
          </w:p>
        </w:tc>
        <w:tc>
          <w:tcPr>
            <w:tcW w:w="1134" w:type="dxa"/>
          </w:tcPr>
          <w:p w:rsidR="00255CC4" w:rsidRPr="005B22F8" w:rsidRDefault="00255CC4" w:rsidP="00255CC4">
            <w:pPr>
              <w:spacing w:line="240" w:lineRule="auto"/>
              <w:jc w:val="center"/>
              <w:rPr>
                <w:rFonts w:eastAsia="Times New Roman"/>
                <w:color w:val="000000"/>
                <w:sz w:val="22"/>
                <w:szCs w:val="22"/>
              </w:rPr>
            </w:pPr>
            <w:r>
              <w:rPr>
                <w:rFonts w:eastAsia="Times New Roman"/>
                <w:color w:val="000000"/>
                <w:sz w:val="22"/>
                <w:szCs w:val="22"/>
              </w:rPr>
              <w:t>-</w:t>
            </w:r>
          </w:p>
        </w:tc>
        <w:tc>
          <w:tcPr>
            <w:tcW w:w="1843" w:type="dxa"/>
            <w:vAlign w:val="bottom"/>
          </w:tcPr>
          <w:p w:rsidR="00255CC4" w:rsidRPr="005B22F8" w:rsidRDefault="00255CC4" w:rsidP="00255CC4">
            <w:pPr>
              <w:spacing w:line="240" w:lineRule="auto"/>
              <w:jc w:val="center"/>
              <w:rPr>
                <w:rFonts w:eastAsia="Times New Roman"/>
                <w:color w:val="000000"/>
                <w:sz w:val="22"/>
                <w:szCs w:val="22"/>
              </w:rPr>
            </w:pPr>
            <w:r>
              <w:rPr>
                <w:rFonts w:eastAsia="Times New Roman"/>
                <w:color w:val="000000"/>
                <w:sz w:val="22"/>
                <w:szCs w:val="22"/>
              </w:rPr>
              <w:t>326</w:t>
            </w:r>
          </w:p>
        </w:tc>
        <w:tc>
          <w:tcPr>
            <w:tcW w:w="1207" w:type="dxa"/>
          </w:tcPr>
          <w:p w:rsidR="00255CC4" w:rsidRDefault="00255CC4" w:rsidP="00255CC4">
            <w:pPr>
              <w:spacing w:line="240" w:lineRule="auto"/>
              <w:jc w:val="center"/>
              <w:rPr>
                <w:rFonts w:eastAsia="Times New Roman"/>
                <w:color w:val="000000"/>
                <w:sz w:val="22"/>
                <w:szCs w:val="22"/>
              </w:rPr>
            </w:pPr>
            <w:r>
              <w:rPr>
                <w:rFonts w:eastAsia="Times New Roman"/>
                <w:color w:val="000000"/>
                <w:sz w:val="22"/>
                <w:szCs w:val="22"/>
              </w:rPr>
              <w:t>-</w:t>
            </w:r>
          </w:p>
        </w:tc>
      </w:tr>
      <w:tr w:rsidR="00255CC4" w:rsidRPr="005B22F8" w:rsidTr="00255CC4">
        <w:trPr>
          <w:trHeight w:val="300"/>
        </w:trPr>
        <w:tc>
          <w:tcPr>
            <w:tcW w:w="722" w:type="dxa"/>
            <w:shd w:val="clear" w:color="auto" w:fill="auto"/>
            <w:noWrap/>
            <w:vAlign w:val="bottom"/>
            <w:hideMark/>
          </w:tcPr>
          <w:p w:rsidR="00255CC4" w:rsidRPr="005B22F8" w:rsidRDefault="00255CC4" w:rsidP="00255CC4">
            <w:pPr>
              <w:spacing w:line="240" w:lineRule="auto"/>
              <w:jc w:val="left"/>
              <w:rPr>
                <w:rFonts w:eastAsia="Times New Roman"/>
                <w:b/>
                <w:bCs/>
                <w:color w:val="000000"/>
                <w:sz w:val="22"/>
                <w:szCs w:val="22"/>
              </w:rPr>
            </w:pPr>
            <w:r w:rsidRPr="005B22F8">
              <w:rPr>
                <w:rFonts w:eastAsia="Times New Roman"/>
                <w:b/>
                <w:bCs/>
                <w:color w:val="000000"/>
                <w:sz w:val="22"/>
                <w:szCs w:val="22"/>
              </w:rPr>
              <w:t>2015</w:t>
            </w:r>
          </w:p>
        </w:tc>
        <w:tc>
          <w:tcPr>
            <w:tcW w:w="1701" w:type="dxa"/>
            <w:shd w:val="clear" w:color="auto" w:fill="auto"/>
            <w:noWrap/>
            <w:vAlign w:val="bottom"/>
            <w:hideMark/>
          </w:tcPr>
          <w:p w:rsidR="00255CC4" w:rsidRPr="005B22F8" w:rsidRDefault="00255CC4" w:rsidP="00255CC4">
            <w:pPr>
              <w:spacing w:line="240" w:lineRule="auto"/>
              <w:jc w:val="center"/>
              <w:rPr>
                <w:rFonts w:eastAsia="Times New Roman"/>
                <w:color w:val="000000"/>
                <w:sz w:val="22"/>
                <w:szCs w:val="22"/>
              </w:rPr>
            </w:pPr>
            <w:r w:rsidRPr="005B22F8">
              <w:rPr>
                <w:rFonts w:eastAsia="Times New Roman"/>
                <w:color w:val="000000"/>
                <w:sz w:val="22"/>
                <w:szCs w:val="22"/>
              </w:rPr>
              <w:t>167</w:t>
            </w:r>
          </w:p>
        </w:tc>
        <w:tc>
          <w:tcPr>
            <w:tcW w:w="1134" w:type="dxa"/>
          </w:tcPr>
          <w:p w:rsidR="00255CC4" w:rsidRPr="005B22F8" w:rsidRDefault="00255CC4" w:rsidP="00255CC4">
            <w:pPr>
              <w:spacing w:line="240" w:lineRule="auto"/>
              <w:jc w:val="center"/>
              <w:rPr>
                <w:rFonts w:eastAsia="Times New Roman"/>
                <w:color w:val="000000"/>
                <w:sz w:val="22"/>
                <w:szCs w:val="22"/>
              </w:rPr>
            </w:pPr>
            <w:r>
              <w:rPr>
                <w:rFonts w:eastAsia="Times New Roman"/>
                <w:color w:val="000000"/>
                <w:sz w:val="22"/>
                <w:szCs w:val="22"/>
              </w:rPr>
              <w:t>7,7</w:t>
            </w:r>
          </w:p>
        </w:tc>
        <w:tc>
          <w:tcPr>
            <w:tcW w:w="2126" w:type="dxa"/>
            <w:shd w:val="clear" w:color="auto" w:fill="auto"/>
            <w:noWrap/>
            <w:vAlign w:val="bottom"/>
            <w:hideMark/>
          </w:tcPr>
          <w:p w:rsidR="00255CC4" w:rsidRPr="005B22F8" w:rsidRDefault="00255CC4" w:rsidP="00255CC4">
            <w:pPr>
              <w:spacing w:line="240" w:lineRule="auto"/>
              <w:jc w:val="center"/>
              <w:rPr>
                <w:rFonts w:eastAsia="Times New Roman"/>
                <w:color w:val="000000"/>
                <w:sz w:val="22"/>
                <w:szCs w:val="22"/>
              </w:rPr>
            </w:pPr>
            <w:r w:rsidRPr="005B22F8">
              <w:rPr>
                <w:rFonts w:eastAsia="Times New Roman"/>
                <w:color w:val="000000"/>
                <w:sz w:val="22"/>
                <w:szCs w:val="22"/>
              </w:rPr>
              <w:t>518</w:t>
            </w:r>
          </w:p>
        </w:tc>
        <w:tc>
          <w:tcPr>
            <w:tcW w:w="1134" w:type="dxa"/>
          </w:tcPr>
          <w:p w:rsidR="00255CC4" w:rsidRPr="005B22F8" w:rsidRDefault="00255CC4" w:rsidP="00255CC4">
            <w:pPr>
              <w:spacing w:line="240" w:lineRule="auto"/>
              <w:jc w:val="center"/>
              <w:rPr>
                <w:rFonts w:eastAsia="Times New Roman"/>
                <w:color w:val="000000"/>
                <w:sz w:val="22"/>
                <w:szCs w:val="22"/>
              </w:rPr>
            </w:pPr>
            <w:r>
              <w:rPr>
                <w:rFonts w:eastAsia="Times New Roman"/>
                <w:color w:val="000000"/>
                <w:sz w:val="22"/>
                <w:szCs w:val="22"/>
              </w:rPr>
              <w:t>7,6</w:t>
            </w:r>
          </w:p>
        </w:tc>
        <w:tc>
          <w:tcPr>
            <w:tcW w:w="1843" w:type="dxa"/>
            <w:vAlign w:val="bottom"/>
          </w:tcPr>
          <w:p w:rsidR="00255CC4" w:rsidRPr="005B22F8" w:rsidRDefault="00255CC4" w:rsidP="00255CC4">
            <w:pPr>
              <w:spacing w:line="240" w:lineRule="auto"/>
              <w:jc w:val="center"/>
              <w:rPr>
                <w:rFonts w:eastAsia="Times New Roman"/>
                <w:color w:val="000000"/>
                <w:sz w:val="22"/>
                <w:szCs w:val="22"/>
              </w:rPr>
            </w:pPr>
            <w:r>
              <w:rPr>
                <w:rFonts w:eastAsia="Times New Roman"/>
                <w:color w:val="000000"/>
                <w:sz w:val="22"/>
                <w:szCs w:val="22"/>
              </w:rPr>
              <w:t>351</w:t>
            </w:r>
          </w:p>
        </w:tc>
        <w:tc>
          <w:tcPr>
            <w:tcW w:w="1207" w:type="dxa"/>
          </w:tcPr>
          <w:p w:rsidR="00255CC4" w:rsidRDefault="00255CC4" w:rsidP="00255CC4">
            <w:pPr>
              <w:spacing w:line="240" w:lineRule="auto"/>
              <w:jc w:val="center"/>
              <w:rPr>
                <w:rFonts w:eastAsia="Times New Roman"/>
                <w:color w:val="000000"/>
                <w:sz w:val="22"/>
                <w:szCs w:val="22"/>
              </w:rPr>
            </w:pPr>
            <w:r>
              <w:rPr>
                <w:rFonts w:eastAsia="Times New Roman"/>
                <w:color w:val="000000"/>
                <w:sz w:val="22"/>
                <w:szCs w:val="22"/>
              </w:rPr>
              <w:t>7,6</w:t>
            </w:r>
          </w:p>
        </w:tc>
      </w:tr>
      <w:tr w:rsidR="00255CC4" w:rsidRPr="005B22F8" w:rsidTr="00255CC4">
        <w:trPr>
          <w:trHeight w:val="300"/>
        </w:trPr>
        <w:tc>
          <w:tcPr>
            <w:tcW w:w="722" w:type="dxa"/>
            <w:shd w:val="clear" w:color="auto" w:fill="auto"/>
            <w:noWrap/>
            <w:vAlign w:val="bottom"/>
            <w:hideMark/>
          </w:tcPr>
          <w:p w:rsidR="00255CC4" w:rsidRPr="005B22F8" w:rsidRDefault="00255CC4" w:rsidP="00255CC4">
            <w:pPr>
              <w:spacing w:line="240" w:lineRule="auto"/>
              <w:jc w:val="left"/>
              <w:rPr>
                <w:rFonts w:eastAsia="Times New Roman"/>
                <w:b/>
                <w:bCs/>
                <w:color w:val="000000"/>
                <w:sz w:val="22"/>
                <w:szCs w:val="22"/>
              </w:rPr>
            </w:pPr>
            <w:r w:rsidRPr="005B22F8">
              <w:rPr>
                <w:rFonts w:eastAsia="Times New Roman"/>
                <w:b/>
                <w:bCs/>
                <w:color w:val="000000"/>
                <w:sz w:val="22"/>
                <w:szCs w:val="22"/>
              </w:rPr>
              <w:t>2016</w:t>
            </w:r>
          </w:p>
        </w:tc>
        <w:tc>
          <w:tcPr>
            <w:tcW w:w="1701" w:type="dxa"/>
            <w:shd w:val="clear" w:color="auto" w:fill="auto"/>
            <w:noWrap/>
            <w:vAlign w:val="bottom"/>
            <w:hideMark/>
          </w:tcPr>
          <w:p w:rsidR="00255CC4" w:rsidRPr="005B22F8" w:rsidRDefault="00255CC4" w:rsidP="00255CC4">
            <w:pPr>
              <w:spacing w:line="240" w:lineRule="auto"/>
              <w:jc w:val="center"/>
              <w:rPr>
                <w:rFonts w:eastAsia="Times New Roman"/>
                <w:color w:val="000000"/>
                <w:sz w:val="22"/>
                <w:szCs w:val="22"/>
              </w:rPr>
            </w:pPr>
            <w:r w:rsidRPr="005B22F8">
              <w:rPr>
                <w:rFonts w:eastAsia="Times New Roman"/>
                <w:color w:val="000000"/>
                <w:sz w:val="22"/>
                <w:szCs w:val="22"/>
              </w:rPr>
              <w:t>177</w:t>
            </w:r>
          </w:p>
        </w:tc>
        <w:tc>
          <w:tcPr>
            <w:tcW w:w="1134" w:type="dxa"/>
          </w:tcPr>
          <w:p w:rsidR="00255CC4" w:rsidRPr="005B22F8" w:rsidRDefault="00255CC4" w:rsidP="00255CC4">
            <w:pPr>
              <w:spacing w:line="240" w:lineRule="auto"/>
              <w:jc w:val="center"/>
              <w:rPr>
                <w:rFonts w:eastAsia="Times New Roman"/>
                <w:color w:val="000000"/>
                <w:sz w:val="22"/>
                <w:szCs w:val="22"/>
              </w:rPr>
            </w:pPr>
            <w:r>
              <w:rPr>
                <w:rFonts w:eastAsia="Times New Roman"/>
                <w:color w:val="000000"/>
                <w:sz w:val="22"/>
                <w:szCs w:val="22"/>
              </w:rPr>
              <w:t>6</w:t>
            </w:r>
            <w:r w:rsidR="00EB54AA">
              <w:rPr>
                <w:rFonts w:eastAsia="Times New Roman"/>
                <w:color w:val="000000"/>
                <w:sz w:val="22"/>
                <w:szCs w:val="22"/>
              </w:rPr>
              <w:t>,0</w:t>
            </w:r>
          </w:p>
        </w:tc>
        <w:tc>
          <w:tcPr>
            <w:tcW w:w="2126" w:type="dxa"/>
            <w:shd w:val="clear" w:color="auto" w:fill="auto"/>
            <w:noWrap/>
            <w:vAlign w:val="bottom"/>
            <w:hideMark/>
          </w:tcPr>
          <w:p w:rsidR="00255CC4" w:rsidRPr="005B22F8" w:rsidRDefault="00255CC4" w:rsidP="00255CC4">
            <w:pPr>
              <w:spacing w:line="240" w:lineRule="auto"/>
              <w:jc w:val="center"/>
              <w:rPr>
                <w:rFonts w:eastAsia="Times New Roman"/>
                <w:color w:val="000000"/>
                <w:sz w:val="22"/>
                <w:szCs w:val="22"/>
              </w:rPr>
            </w:pPr>
            <w:r w:rsidRPr="005B22F8">
              <w:rPr>
                <w:rFonts w:eastAsia="Times New Roman"/>
                <w:color w:val="000000"/>
                <w:sz w:val="22"/>
                <w:szCs w:val="22"/>
              </w:rPr>
              <w:t>549</w:t>
            </w:r>
          </w:p>
        </w:tc>
        <w:tc>
          <w:tcPr>
            <w:tcW w:w="1134" w:type="dxa"/>
          </w:tcPr>
          <w:p w:rsidR="00255CC4" w:rsidRPr="005B22F8" w:rsidRDefault="00255CC4" w:rsidP="00255CC4">
            <w:pPr>
              <w:spacing w:line="240" w:lineRule="auto"/>
              <w:jc w:val="center"/>
              <w:rPr>
                <w:rFonts w:eastAsia="Times New Roman"/>
                <w:color w:val="000000"/>
                <w:sz w:val="22"/>
                <w:szCs w:val="22"/>
              </w:rPr>
            </w:pPr>
            <w:r>
              <w:rPr>
                <w:rFonts w:eastAsia="Times New Roman"/>
                <w:color w:val="000000"/>
                <w:sz w:val="22"/>
                <w:szCs w:val="22"/>
              </w:rPr>
              <w:t>6</w:t>
            </w:r>
            <w:r w:rsidR="00EB54AA">
              <w:rPr>
                <w:rFonts w:eastAsia="Times New Roman"/>
                <w:color w:val="000000"/>
                <w:sz w:val="22"/>
                <w:szCs w:val="22"/>
              </w:rPr>
              <w:t>,0</w:t>
            </w:r>
          </w:p>
        </w:tc>
        <w:tc>
          <w:tcPr>
            <w:tcW w:w="1843" w:type="dxa"/>
            <w:vAlign w:val="bottom"/>
          </w:tcPr>
          <w:p w:rsidR="00255CC4" w:rsidRPr="005B22F8" w:rsidRDefault="00255CC4" w:rsidP="00255CC4">
            <w:pPr>
              <w:spacing w:line="240" w:lineRule="auto"/>
              <w:jc w:val="center"/>
              <w:rPr>
                <w:rFonts w:eastAsia="Times New Roman"/>
                <w:color w:val="000000"/>
                <w:sz w:val="22"/>
                <w:szCs w:val="22"/>
              </w:rPr>
            </w:pPr>
            <w:r>
              <w:rPr>
                <w:rFonts w:eastAsia="Times New Roman"/>
                <w:color w:val="000000"/>
                <w:sz w:val="22"/>
                <w:szCs w:val="22"/>
              </w:rPr>
              <w:t>378</w:t>
            </w:r>
          </w:p>
        </w:tc>
        <w:tc>
          <w:tcPr>
            <w:tcW w:w="1207" w:type="dxa"/>
          </w:tcPr>
          <w:p w:rsidR="00255CC4" w:rsidRDefault="00255CC4" w:rsidP="00255CC4">
            <w:pPr>
              <w:spacing w:line="240" w:lineRule="auto"/>
              <w:jc w:val="center"/>
              <w:rPr>
                <w:rFonts w:eastAsia="Times New Roman"/>
                <w:color w:val="000000"/>
                <w:sz w:val="22"/>
                <w:szCs w:val="22"/>
              </w:rPr>
            </w:pPr>
            <w:r>
              <w:rPr>
                <w:rFonts w:eastAsia="Times New Roman"/>
                <w:color w:val="000000"/>
                <w:sz w:val="22"/>
                <w:szCs w:val="22"/>
              </w:rPr>
              <w:t>7,7</w:t>
            </w:r>
          </w:p>
        </w:tc>
      </w:tr>
      <w:tr w:rsidR="00255CC4" w:rsidRPr="005B22F8" w:rsidTr="00255CC4">
        <w:trPr>
          <w:trHeight w:val="300"/>
        </w:trPr>
        <w:tc>
          <w:tcPr>
            <w:tcW w:w="722" w:type="dxa"/>
            <w:shd w:val="clear" w:color="auto" w:fill="auto"/>
            <w:noWrap/>
            <w:vAlign w:val="bottom"/>
          </w:tcPr>
          <w:p w:rsidR="00255CC4" w:rsidRPr="005B22F8" w:rsidRDefault="00255CC4" w:rsidP="00255CC4">
            <w:pPr>
              <w:spacing w:line="240" w:lineRule="auto"/>
              <w:jc w:val="left"/>
              <w:rPr>
                <w:rFonts w:eastAsia="Times New Roman"/>
                <w:b/>
                <w:bCs/>
                <w:color w:val="000000"/>
                <w:sz w:val="22"/>
                <w:szCs w:val="22"/>
              </w:rPr>
            </w:pPr>
            <w:r w:rsidRPr="005B22F8">
              <w:rPr>
                <w:rFonts w:eastAsia="Times New Roman"/>
                <w:b/>
                <w:bCs/>
                <w:color w:val="000000"/>
                <w:sz w:val="22"/>
                <w:szCs w:val="22"/>
              </w:rPr>
              <w:t>2017</w:t>
            </w:r>
          </w:p>
        </w:tc>
        <w:tc>
          <w:tcPr>
            <w:tcW w:w="1701" w:type="dxa"/>
            <w:shd w:val="clear" w:color="auto" w:fill="auto"/>
            <w:noWrap/>
            <w:vAlign w:val="bottom"/>
          </w:tcPr>
          <w:p w:rsidR="00255CC4" w:rsidRPr="005B22F8" w:rsidRDefault="00255CC4" w:rsidP="00255CC4">
            <w:pPr>
              <w:spacing w:line="240" w:lineRule="auto"/>
              <w:jc w:val="center"/>
              <w:rPr>
                <w:rFonts w:eastAsia="Times New Roman"/>
                <w:color w:val="000000"/>
                <w:sz w:val="22"/>
                <w:szCs w:val="22"/>
              </w:rPr>
            </w:pPr>
            <w:r>
              <w:rPr>
                <w:rFonts w:eastAsia="Times New Roman"/>
                <w:color w:val="000000"/>
                <w:sz w:val="22"/>
                <w:szCs w:val="22"/>
              </w:rPr>
              <w:t>198</w:t>
            </w:r>
          </w:p>
        </w:tc>
        <w:tc>
          <w:tcPr>
            <w:tcW w:w="1134" w:type="dxa"/>
          </w:tcPr>
          <w:p w:rsidR="00255CC4" w:rsidRDefault="00255CC4" w:rsidP="00255CC4">
            <w:pPr>
              <w:spacing w:line="240" w:lineRule="auto"/>
              <w:jc w:val="center"/>
              <w:rPr>
                <w:rFonts w:eastAsia="Times New Roman"/>
                <w:color w:val="000000"/>
                <w:sz w:val="22"/>
                <w:szCs w:val="22"/>
              </w:rPr>
            </w:pPr>
            <w:r>
              <w:rPr>
                <w:rFonts w:eastAsia="Times New Roman"/>
                <w:color w:val="000000"/>
                <w:sz w:val="22"/>
                <w:szCs w:val="22"/>
              </w:rPr>
              <w:t>11,8</w:t>
            </w:r>
          </w:p>
        </w:tc>
        <w:tc>
          <w:tcPr>
            <w:tcW w:w="2126" w:type="dxa"/>
            <w:shd w:val="clear" w:color="auto" w:fill="auto"/>
            <w:noWrap/>
            <w:vAlign w:val="bottom"/>
          </w:tcPr>
          <w:p w:rsidR="00255CC4" w:rsidRPr="005B22F8" w:rsidRDefault="00255CC4" w:rsidP="00255CC4">
            <w:pPr>
              <w:spacing w:line="240" w:lineRule="auto"/>
              <w:jc w:val="center"/>
              <w:rPr>
                <w:rFonts w:eastAsia="Times New Roman"/>
                <w:color w:val="000000"/>
                <w:sz w:val="22"/>
                <w:szCs w:val="22"/>
              </w:rPr>
            </w:pPr>
            <w:r>
              <w:rPr>
                <w:rFonts w:eastAsia="Times New Roman"/>
                <w:color w:val="000000"/>
                <w:sz w:val="22"/>
                <w:szCs w:val="22"/>
              </w:rPr>
              <w:t xml:space="preserve">614 </w:t>
            </w:r>
          </w:p>
        </w:tc>
        <w:tc>
          <w:tcPr>
            <w:tcW w:w="1134" w:type="dxa"/>
          </w:tcPr>
          <w:p w:rsidR="00255CC4" w:rsidRDefault="00255CC4" w:rsidP="00255CC4">
            <w:pPr>
              <w:spacing w:line="240" w:lineRule="auto"/>
              <w:jc w:val="center"/>
              <w:rPr>
                <w:rFonts w:eastAsia="Times New Roman"/>
                <w:color w:val="000000"/>
                <w:sz w:val="22"/>
                <w:szCs w:val="22"/>
              </w:rPr>
            </w:pPr>
            <w:r>
              <w:rPr>
                <w:rFonts w:eastAsia="Times New Roman"/>
                <w:color w:val="000000"/>
                <w:sz w:val="22"/>
                <w:szCs w:val="22"/>
              </w:rPr>
              <w:t>11,8</w:t>
            </w:r>
          </w:p>
        </w:tc>
        <w:tc>
          <w:tcPr>
            <w:tcW w:w="1843" w:type="dxa"/>
            <w:vAlign w:val="bottom"/>
          </w:tcPr>
          <w:p w:rsidR="00255CC4" w:rsidRPr="005B22F8" w:rsidRDefault="00255CC4" w:rsidP="00255CC4">
            <w:pPr>
              <w:spacing w:line="240" w:lineRule="auto"/>
              <w:jc w:val="center"/>
              <w:rPr>
                <w:rFonts w:eastAsia="Times New Roman"/>
                <w:color w:val="000000"/>
                <w:sz w:val="22"/>
                <w:szCs w:val="22"/>
              </w:rPr>
            </w:pPr>
            <w:r>
              <w:rPr>
                <w:rFonts w:eastAsia="Times New Roman"/>
                <w:color w:val="000000"/>
                <w:sz w:val="22"/>
                <w:szCs w:val="22"/>
              </w:rPr>
              <w:t>415</w:t>
            </w:r>
          </w:p>
        </w:tc>
        <w:tc>
          <w:tcPr>
            <w:tcW w:w="1207" w:type="dxa"/>
          </w:tcPr>
          <w:p w:rsidR="00255CC4" w:rsidRDefault="00255CC4" w:rsidP="00255CC4">
            <w:pPr>
              <w:spacing w:line="240" w:lineRule="auto"/>
              <w:jc w:val="center"/>
              <w:rPr>
                <w:rFonts w:eastAsia="Times New Roman"/>
                <w:color w:val="000000"/>
                <w:sz w:val="22"/>
                <w:szCs w:val="22"/>
              </w:rPr>
            </w:pPr>
            <w:r>
              <w:rPr>
                <w:rFonts w:eastAsia="Times New Roman"/>
                <w:color w:val="000000"/>
                <w:sz w:val="22"/>
                <w:szCs w:val="22"/>
              </w:rPr>
              <w:t>9,8</w:t>
            </w:r>
          </w:p>
        </w:tc>
      </w:tr>
    </w:tbl>
    <w:p w:rsidR="00255CC4" w:rsidRDefault="00255CC4" w:rsidP="00255CC4">
      <w:pPr>
        <w:pStyle w:val="ListParagraph"/>
        <w:ind w:left="0"/>
        <w:rPr>
          <w:bCs/>
          <w:sz w:val="20"/>
          <w:szCs w:val="20"/>
        </w:rPr>
      </w:pPr>
      <w:r w:rsidRPr="0094625D">
        <w:rPr>
          <w:bCs/>
          <w:sz w:val="20"/>
          <w:szCs w:val="20"/>
        </w:rPr>
        <w:t xml:space="preserve">Avots: CSP, MIG010. Minimālā ienākuma līmenis (ilustratīvās vērtības), </w:t>
      </w:r>
      <w:r>
        <w:rPr>
          <w:bCs/>
          <w:sz w:val="20"/>
          <w:szCs w:val="20"/>
        </w:rPr>
        <w:t>EUR</w:t>
      </w:r>
      <w:r w:rsidRPr="0094625D">
        <w:rPr>
          <w:bCs/>
          <w:sz w:val="20"/>
          <w:szCs w:val="20"/>
        </w:rPr>
        <w:t xml:space="preserve"> mēnesī</w:t>
      </w:r>
    </w:p>
    <w:p w:rsidR="00255CC4" w:rsidRDefault="00255CC4" w:rsidP="00255CC4">
      <w:pPr>
        <w:pStyle w:val="ListParagraph"/>
        <w:ind w:left="0"/>
        <w:rPr>
          <w:bCs/>
          <w:sz w:val="20"/>
          <w:szCs w:val="20"/>
        </w:rPr>
      </w:pPr>
      <w:r>
        <w:rPr>
          <w:bCs/>
          <w:sz w:val="20"/>
          <w:szCs w:val="20"/>
        </w:rPr>
        <w:t>* aprēķins, piemērojot reālās ekvivalences skalu (1; 0</w:t>
      </w:r>
      <w:r w:rsidR="00EB54AA">
        <w:rPr>
          <w:bCs/>
          <w:sz w:val="20"/>
          <w:szCs w:val="20"/>
        </w:rPr>
        <w:t>,</w:t>
      </w:r>
      <w:r>
        <w:rPr>
          <w:bCs/>
          <w:sz w:val="20"/>
          <w:szCs w:val="20"/>
        </w:rPr>
        <w:t xml:space="preserve">7; 07). </w:t>
      </w:r>
    </w:p>
    <w:p w:rsidR="00255CC4" w:rsidRPr="0094625D" w:rsidRDefault="00255CC4" w:rsidP="00255CC4">
      <w:pPr>
        <w:pStyle w:val="ListParagraph"/>
        <w:ind w:left="0"/>
        <w:rPr>
          <w:bCs/>
          <w:sz w:val="20"/>
          <w:szCs w:val="20"/>
        </w:rPr>
      </w:pPr>
      <w:r>
        <w:rPr>
          <w:bCs/>
          <w:sz w:val="20"/>
          <w:szCs w:val="20"/>
        </w:rPr>
        <w:t>** aprēķins, piemērojot OECD modificēto skalu (1; 0</w:t>
      </w:r>
      <w:r w:rsidR="00EB54AA">
        <w:rPr>
          <w:bCs/>
          <w:sz w:val="20"/>
          <w:szCs w:val="20"/>
        </w:rPr>
        <w:t>,</w:t>
      </w:r>
      <w:r>
        <w:rPr>
          <w:bCs/>
          <w:sz w:val="20"/>
          <w:szCs w:val="20"/>
        </w:rPr>
        <w:t>5; 03).</w:t>
      </w:r>
    </w:p>
    <w:p w:rsidR="00255CC4" w:rsidRDefault="00255CC4" w:rsidP="00255CC4">
      <w:pPr>
        <w:spacing w:line="240" w:lineRule="auto"/>
      </w:pPr>
    </w:p>
    <w:p w:rsidR="00F34A88" w:rsidRDefault="00F34A88" w:rsidP="00255CC4">
      <w:r>
        <w:t xml:space="preserve">Laikā no 2014. gada līdz 2016. gadam </w:t>
      </w:r>
      <w:r w:rsidRPr="00A219B0">
        <w:rPr>
          <w:b/>
        </w:rPr>
        <w:t>vienas personas mājsaimniecībās</w:t>
      </w:r>
      <w:r>
        <w:t xml:space="preserve"> </w:t>
      </w:r>
      <w:r w:rsidRPr="00A219B0">
        <w:rPr>
          <w:b/>
        </w:rPr>
        <w:t>minimālā ienākuma līmenis ir pieaudzis no 155 EUR līdz 177 EUR mēnesī (jeb par 14,2%)</w:t>
      </w:r>
      <w:r>
        <w:t xml:space="preserve">, savukārt mājsaimniecībās ar </w:t>
      </w:r>
      <w:r w:rsidRPr="00A219B0">
        <w:rPr>
          <w:b/>
        </w:rPr>
        <w:t>diviem pieaugušajiem un diviem bērniem attiecīgi no 481 EUR līdz 549 EUR mēnesī (jeb par 14,2%)</w:t>
      </w:r>
      <w:r>
        <w:t>. Izsakot šīs izmaiņas procentuāli</w:t>
      </w:r>
      <w:r w:rsidRPr="00A75616">
        <w:t xml:space="preserve"> </w:t>
      </w:r>
      <w:r>
        <w:t>dinamikā no gada uz gadu, secināms, ka pieauguma tendences ir ļoti līdzīgas neatkarīgi no mājsaimniecības sastāva. Taču šo datu interpretācijā jāņem vērā, ka šie ienākumi ir piekrītoši visai mājsaimniecībai, nevis ienākumu guvējiem.</w:t>
      </w:r>
    </w:p>
    <w:p w:rsidR="00F34A88" w:rsidRDefault="00F34A88" w:rsidP="00255CC4"/>
    <w:p w:rsidR="00255CC4" w:rsidRDefault="00255CC4" w:rsidP="00255CC4">
      <w:r>
        <w:t xml:space="preserve">Kopumā Latvijā 2014. gadā 9% iedzīvotāju dzīvoja zem minimālā ienākumu līmeņa, šim rādītājām samazinoties līdz 7,8% 2016. gadā, savukārt 2017. gadā tas atkal pieauga līdz 8,9%. Reģionu griezumā </w:t>
      </w:r>
      <w:r w:rsidRPr="00E71A0D">
        <w:t>dati rād</w:t>
      </w:r>
      <w:r>
        <w:t>a</w:t>
      </w:r>
      <w:r w:rsidRPr="00E71A0D">
        <w:t xml:space="preserve">, ka </w:t>
      </w:r>
      <w:r w:rsidRPr="00E71A0D">
        <w:rPr>
          <w:b/>
        </w:rPr>
        <w:t>vislielākais iedzīvotāju īpatsvars, kas dzīvo zem minimālā ienākumu līmeņa, ir Latgales reģionā</w:t>
      </w:r>
      <w:r w:rsidRPr="00E71A0D">
        <w:t xml:space="preserve"> (2014.</w:t>
      </w:r>
      <w:r>
        <w:t xml:space="preserve"> </w:t>
      </w:r>
      <w:r w:rsidRPr="00E71A0D">
        <w:t>gadā 18,6%, 2016.gadā – 16,1%, taču 2017.</w:t>
      </w:r>
      <w:r>
        <w:t xml:space="preserve"> </w:t>
      </w:r>
      <w:r w:rsidRPr="00E71A0D">
        <w:t>gadā tas sasniedzis līdz šim</w:t>
      </w:r>
      <w:r>
        <w:t xml:space="preserve"> augstāko līmeni – 22,3%). Vismazāk šādu iedzīvotāju ir Rīgas reģionā (3,6% 2014. gadā, 3,7% - 2016. gadā). Skatoties tikai Izvērtējuma periodu (2014.g.-2016.g.), secināms, ka vislielākās pozitīvās izmaiņas pēc šī rādītāja bijušas Zemgales reģionā, kur tas ir samazinājies par 3 procentpunktiem, no 12,7% 2014. gadā līdz 9,7% 2016. gadā</w:t>
      </w:r>
      <w:r>
        <w:rPr>
          <w:rStyle w:val="FootnoteReference"/>
        </w:rPr>
        <w:footnoteReference w:id="100"/>
      </w:r>
      <w:r>
        <w:t xml:space="preserve">. </w:t>
      </w:r>
    </w:p>
    <w:p w:rsidR="00255CC4" w:rsidRDefault="00255CC4" w:rsidP="00255CC4"/>
    <w:p w:rsidR="00EB54AA" w:rsidRPr="00E71A0D" w:rsidRDefault="00EB54AA" w:rsidP="00EB54AA">
      <w:r w:rsidRPr="00E71A0D">
        <w:t xml:space="preserve">Izpētot šo rādītāju pēc dzimuma pazīmes, redzams, ka </w:t>
      </w:r>
      <w:r w:rsidRPr="00E71A0D">
        <w:rPr>
          <w:b/>
        </w:rPr>
        <w:t>vīriešu īpatsvars</w:t>
      </w:r>
      <w:r w:rsidRPr="005A182B">
        <w:rPr>
          <w:b/>
        </w:rPr>
        <w:t>, kas dzīvo zem minimālā ienākumu līmeņa, ir a</w:t>
      </w:r>
      <w:r w:rsidRPr="00E71A0D">
        <w:rPr>
          <w:b/>
        </w:rPr>
        <w:t>ugstāks nekā sieviešu</w:t>
      </w:r>
      <w:r w:rsidRPr="00E71A0D">
        <w:t>. Proti, ja 2014.</w:t>
      </w:r>
      <w:r>
        <w:t xml:space="preserve"> </w:t>
      </w:r>
      <w:r w:rsidRPr="00E71A0D">
        <w:t>gadā šis rādītājs vīriešu vidū bija 9,5%, tad sieviešu vidū – 8,7%, savukārt 2016.</w:t>
      </w:r>
      <w:r>
        <w:t xml:space="preserve"> </w:t>
      </w:r>
      <w:r w:rsidRPr="00E71A0D">
        <w:t>gadā attiecīgi 8,5% un 7,3%.</w:t>
      </w:r>
    </w:p>
    <w:p w:rsidR="00255CC4" w:rsidRPr="00E71A0D" w:rsidRDefault="00255CC4" w:rsidP="00255CC4"/>
    <w:p w:rsidR="00255CC4" w:rsidRDefault="00255CC4" w:rsidP="00255CC4">
      <w:r w:rsidRPr="00E71A0D">
        <w:t xml:space="preserve">Savukārt, pēc vecuma pazīmes novērojama pozitīva tendence bērnu vecumā līdz 17 gadiem grupā, kurā </w:t>
      </w:r>
      <w:r w:rsidRPr="00E71A0D">
        <w:rPr>
          <w:b/>
        </w:rPr>
        <w:t>samazinās to bērnu īpatsvars, kas dzīvo zem minimālā ienākuma līmeņa</w:t>
      </w:r>
      <w:r w:rsidRPr="00E71A0D">
        <w:t>:</w:t>
      </w:r>
      <w:r>
        <w:t xml:space="preserve"> 2014. gadā tādi </w:t>
      </w:r>
      <w:r>
        <w:lastRenderedPageBreak/>
        <w:t xml:space="preserve">bija 14,8% bērnu, 2016. gadā – 10,7%, turklāt, rādītājs ir nemainīgs arī 2017. gadā. Darbspējīgo iedzīvotāju vecuma grupā (18-64 gadi) šis rādītājs svārstās no 9,1% 2014. gadā līdz 7,9% 2016. gadā, sasniedzot 9,2% 2017. gadā. Īpaša uzmanība jāpievērš </w:t>
      </w:r>
      <w:r w:rsidRPr="00E71A0D">
        <w:rPr>
          <w:b/>
        </w:rPr>
        <w:t>vec</w:t>
      </w:r>
      <w:r>
        <w:rPr>
          <w:b/>
        </w:rPr>
        <w:t>uma</w:t>
      </w:r>
      <w:r w:rsidRPr="00E71A0D">
        <w:rPr>
          <w:b/>
        </w:rPr>
        <w:t xml:space="preserve"> grup</w:t>
      </w:r>
      <w:r>
        <w:rPr>
          <w:b/>
        </w:rPr>
        <w:t>ai</w:t>
      </w:r>
      <w:r w:rsidRPr="00E71A0D">
        <w:rPr>
          <w:b/>
        </w:rPr>
        <w:t xml:space="preserve"> virs 65 gadiem</w:t>
      </w:r>
      <w:r>
        <w:rPr>
          <w:b/>
        </w:rPr>
        <w:t>, kurā</w:t>
      </w:r>
      <w:r w:rsidRPr="00E71A0D">
        <w:rPr>
          <w:b/>
        </w:rPr>
        <w:t xml:space="preserve"> šim rādītājam ir stabila tendence pieaugt</w:t>
      </w:r>
      <w:r>
        <w:rPr>
          <w:b/>
        </w:rPr>
        <w:t xml:space="preserve"> </w:t>
      </w:r>
      <w:r>
        <w:t xml:space="preserve">no 3,5% 2014. gadā līdz 4,8% 2016. gadā un 6,3% 2017. gadā, kas nozīmē, ka </w:t>
      </w:r>
      <w:r w:rsidRPr="00A219B0">
        <w:rPr>
          <w:b/>
        </w:rPr>
        <w:t>arvien pieaug to senioru daļa, kas dzīvo zem minimālā ienākumu līmeņa</w:t>
      </w:r>
      <w:r>
        <w:t xml:space="preserve">, kas, kā iepriekš norādīts, 2014. gadā bija 155 EUR mēnesī, bet 2016. gadā – 177 EUR mēnesī vienas personas mājsaimniecībām. </w:t>
      </w:r>
    </w:p>
    <w:p w:rsidR="00255CC4" w:rsidRPr="002809B6" w:rsidRDefault="00AD3EDD" w:rsidP="002809B6">
      <w:pPr>
        <w:spacing w:before="240" w:after="120"/>
        <w:rPr>
          <w:b/>
          <w:color w:val="002060"/>
        </w:rPr>
      </w:pPr>
      <w:r w:rsidRPr="002809B6">
        <w:rPr>
          <w:b/>
          <w:color w:val="002060"/>
        </w:rPr>
        <w:fldChar w:fldCharType="begin"/>
      </w:r>
      <w:r w:rsidR="00696156" w:rsidRPr="002809B6">
        <w:rPr>
          <w:b/>
          <w:color w:val="002060"/>
        </w:rPr>
        <w:instrText xml:space="preserve"> STYLEREF 1 \s </w:instrText>
      </w:r>
      <w:r w:rsidRPr="002809B6">
        <w:rPr>
          <w:b/>
          <w:color w:val="002060"/>
        </w:rPr>
        <w:fldChar w:fldCharType="separate"/>
      </w:r>
      <w:bookmarkStart w:id="179" w:name="_Toc6855755"/>
      <w:r w:rsidR="00224B50">
        <w:rPr>
          <w:b/>
          <w:noProof/>
          <w:color w:val="002060"/>
        </w:rPr>
        <w:t>1</w:t>
      </w:r>
      <w:r w:rsidRPr="002809B6">
        <w:rPr>
          <w:b/>
          <w:color w:val="002060"/>
        </w:rPr>
        <w:fldChar w:fldCharType="end"/>
      </w:r>
      <w:r w:rsidR="006B5456" w:rsidRPr="002809B6">
        <w:rPr>
          <w:b/>
          <w:color w:val="002060"/>
        </w:rPr>
        <w:t>.</w:t>
      </w:r>
      <w:r w:rsidRPr="002809B6">
        <w:rPr>
          <w:b/>
          <w:color w:val="002060"/>
        </w:rPr>
        <w:fldChar w:fldCharType="begin"/>
      </w:r>
      <w:r w:rsidR="000F1524" w:rsidRPr="002809B6">
        <w:rPr>
          <w:b/>
          <w:color w:val="002060"/>
        </w:rPr>
        <w:instrText xml:space="preserve"> SEQ Ilustrācija \* ARABIC \s 1 </w:instrText>
      </w:r>
      <w:r w:rsidRPr="002809B6">
        <w:rPr>
          <w:b/>
          <w:color w:val="002060"/>
        </w:rPr>
        <w:fldChar w:fldCharType="separate"/>
      </w:r>
      <w:r w:rsidR="00224B50">
        <w:rPr>
          <w:b/>
          <w:noProof/>
          <w:color w:val="002060"/>
        </w:rPr>
        <w:t>1</w:t>
      </w:r>
      <w:r w:rsidRPr="002809B6">
        <w:rPr>
          <w:b/>
          <w:color w:val="002060"/>
        </w:rPr>
        <w:fldChar w:fldCharType="end"/>
      </w:r>
      <w:r w:rsidR="00255CC4" w:rsidRPr="002809B6">
        <w:rPr>
          <w:b/>
          <w:color w:val="002060"/>
        </w:rPr>
        <w:t>. Mājsaimniecību īpatsvars zem minimālā ienākuma līmeņa pēc mājsaimniecības tipa (%)</w:t>
      </w:r>
      <w:bookmarkEnd w:id="179"/>
    </w:p>
    <w:bookmarkStart w:id="180" w:name="_MON_1616769381"/>
    <w:bookmarkEnd w:id="180"/>
    <w:p w:rsidR="00255CC4" w:rsidRDefault="0065091A" w:rsidP="00255CC4">
      <w:pPr>
        <w:spacing w:line="240" w:lineRule="auto"/>
      </w:pPr>
      <w:r>
        <w:object w:dxaOrig="9566" w:dyaOrig="5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269.25pt" o:ole="">
            <v:imagedata r:id="rId15" o:title=""/>
          </v:shape>
          <o:OLEObject Type="Embed" ProgID="Excel.Sheet.12" ShapeID="_x0000_i1025" DrawAspect="Content" ObjectID="_1622535254" r:id="rId16"/>
        </w:object>
      </w:r>
    </w:p>
    <w:p w:rsidR="00255CC4" w:rsidRPr="005B467B" w:rsidRDefault="00255CC4" w:rsidP="00255CC4">
      <w:pPr>
        <w:spacing w:line="240" w:lineRule="auto"/>
        <w:rPr>
          <w:sz w:val="20"/>
          <w:szCs w:val="20"/>
        </w:rPr>
      </w:pPr>
      <w:r w:rsidRPr="005B467B">
        <w:rPr>
          <w:sz w:val="20"/>
          <w:szCs w:val="20"/>
        </w:rPr>
        <w:t xml:space="preserve">Avots: </w:t>
      </w:r>
      <w:r>
        <w:rPr>
          <w:sz w:val="20"/>
          <w:szCs w:val="20"/>
        </w:rPr>
        <w:t>CSP,</w:t>
      </w:r>
      <w:r w:rsidRPr="005B467B">
        <w:t xml:space="preserve"> </w:t>
      </w:r>
      <w:r>
        <w:rPr>
          <w:sz w:val="20"/>
          <w:szCs w:val="20"/>
        </w:rPr>
        <w:t xml:space="preserve">MIG070. </w:t>
      </w:r>
      <w:r w:rsidRPr="005B467B">
        <w:rPr>
          <w:sz w:val="20"/>
          <w:szCs w:val="20"/>
        </w:rPr>
        <w:t>Mājsaimniecību īpatsvars zem minimālā ienākuma līmeņa pēc mājsaimniecības tipa un darba intensitātes (%)</w:t>
      </w:r>
    </w:p>
    <w:p w:rsidR="00255CC4" w:rsidRDefault="00255CC4" w:rsidP="00255CC4"/>
    <w:p w:rsidR="00373D88" w:rsidRDefault="00373D88" w:rsidP="00373D88">
      <w:r>
        <w:rPr>
          <w:b/>
        </w:rPr>
        <w:t>Mājsaimniecību tipu griezumā</w:t>
      </w:r>
      <w:r>
        <w:t xml:space="preserve"> redzams (sk. 1.1. attēlu), ka vislielākais mājsaimniecību īpatsvars, kuras ir zem minimālā ienākuma līmeņa, ir vienas personas mājsaimniecību vecumā līdz 64 gadiem (2016. gadā no visām šī tipa mājsaimniecībām 16,3% mājsaimniecību bija zem minimālā ienākuma līmeņa) un viena </w:t>
      </w:r>
      <w:r w:rsidR="00BA1727">
        <w:t xml:space="preserve">vecāka mājsaimniecībās </w:t>
      </w:r>
      <w:r>
        <w:t>– attiecīgi 19,6%. Turklāt, ja salīdzina ar 2015. gadu, tad abās šajās grupās ir vērojams rādītāja vērtību kāpums. Visbūtiskāk pēc šī rādītāja situācija ir uzlabojusies daudzbērnu ģimenēm. Ja 2014. gadā 23,3% šī tipa mājsaimniecību ienākumi bija zem minimālā ienākuma līmeņa, tad 2016. gadā tādas ir 14,4% mājsaimniecības.</w:t>
      </w:r>
    </w:p>
    <w:p w:rsidR="00373D88" w:rsidRDefault="00373D88" w:rsidP="00255CC4"/>
    <w:p w:rsidR="00255CC4" w:rsidRPr="00A850AB" w:rsidRDefault="00255CC4" w:rsidP="00255CC4">
      <w:r w:rsidRPr="00A850AB">
        <w:t xml:space="preserve">Balstoties uz minimālā ienākuma līmeņa datiem, secināms, ka galvenās sociāli demogrāfiskās grupas, kuras dzīvo zem minimālā ienākuma līmeņa ir Latgales reģiona iedzīvotāji, vīrieši, iedzīvotāji vecumā virs 65 gadiem (seniori), vienas personas vecumā līdz 64 gadiem mājsaimniecības un viena </w:t>
      </w:r>
      <w:r w:rsidR="00BA1727">
        <w:t>vecāka mājsaimniecības</w:t>
      </w:r>
      <w:r w:rsidRPr="00A850AB">
        <w:t xml:space="preserve">. Salīdzinot šīs grupas ar tām grupām, kurām ir augstāks nabadzības riska indekss, jāsecina, ka tās lielā mērā pārklājas. Visām augstāk minētajām grupām Izvērtējuma periodā ir pieaudzis nabadzības riska indekss, vienīgi </w:t>
      </w:r>
      <w:r w:rsidR="00931F0D">
        <w:t xml:space="preserve">viena </w:t>
      </w:r>
      <w:r w:rsidR="00BA1727">
        <w:t xml:space="preserve">vecāka </w:t>
      </w:r>
      <w:r w:rsidR="00BA1727">
        <w:lastRenderedPageBreak/>
        <w:t xml:space="preserve">mājsaimniecībām </w:t>
      </w:r>
      <w:r w:rsidRPr="00A850AB">
        <w:t xml:space="preserve">šis pieaugums ir mazāks nekā pārējām grupām (sk. sadaļu “Nabadzības riska tendences”).  </w:t>
      </w:r>
    </w:p>
    <w:p w:rsidR="00255CC4" w:rsidRPr="00315872" w:rsidRDefault="00255CC4" w:rsidP="00DE4D97">
      <w:pPr>
        <w:pStyle w:val="virsrakstslvl4"/>
      </w:pPr>
      <w:bookmarkStart w:id="181" w:name="_Toc6841535"/>
      <w:r>
        <w:t>Mājsaimniecību ienākumi uz vienu ekvivalento patērētāju</w:t>
      </w:r>
      <w:bookmarkEnd w:id="181"/>
    </w:p>
    <w:p w:rsidR="00255CC4" w:rsidRPr="00A33088" w:rsidRDefault="00255CC4" w:rsidP="00255CC4">
      <w:pPr>
        <w:rPr>
          <w:sz w:val="20"/>
          <w:szCs w:val="20"/>
        </w:rPr>
      </w:pPr>
      <w:r>
        <w:t>I</w:t>
      </w:r>
      <w:r w:rsidRPr="00EA0927">
        <w:t>e</w:t>
      </w:r>
      <w:r>
        <w:t>dzīvotāju ie</w:t>
      </w:r>
      <w:r w:rsidRPr="00EA0927">
        <w:t xml:space="preserve">nākumu </w:t>
      </w:r>
      <w:r>
        <w:t>analīzē</w:t>
      </w:r>
      <w:r w:rsidRPr="00EA0927">
        <w:t xml:space="preserve"> </w:t>
      </w:r>
      <w:r>
        <w:t>ir</w:t>
      </w:r>
      <w:r w:rsidRPr="00EA0927">
        <w:t xml:space="preserve"> izmantots CSP aprēķinātais rādītājs</w:t>
      </w:r>
      <w:r>
        <w:t xml:space="preserve"> par </w:t>
      </w:r>
      <w:r w:rsidRPr="005646EE">
        <w:rPr>
          <w:b/>
        </w:rPr>
        <w:t>mājsaimniecības rīcībā esošajiem ienākumiem uz ekvivalento patērētāju</w:t>
      </w:r>
      <w:r>
        <w:t>, kas ļauj pētīt ienākumu sadalījumu no sociālās nevienlīdzības perspektīvas, ņemot vērā visus vienā mājsaimniecībā dzīvojošos locekļus. Šis</w:t>
      </w:r>
      <w:r w:rsidRPr="00EA0927">
        <w:t xml:space="preserve"> rādītājs tiek iegūts</w:t>
      </w:r>
      <w:r>
        <w:t>,</w:t>
      </w:r>
      <w:r w:rsidRPr="00EA0927">
        <w:t xml:space="preserve"> dalot mājsaimniecības ienākumu ar ekvivalento mājsaimniecības lielumu, kuru veido, izmantojot </w:t>
      </w:r>
      <w:r w:rsidRPr="00214E70">
        <w:rPr>
          <w:b/>
        </w:rPr>
        <w:t>OECD modificēto ekvivalences skalu</w:t>
      </w:r>
      <w:r w:rsidRPr="00EA0927">
        <w:t xml:space="preserve"> (1,0; 0,5; 0,3</w:t>
      </w:r>
      <w:r>
        <w:t>).</w:t>
      </w:r>
      <w:r>
        <w:rPr>
          <w:color w:val="FF0000"/>
        </w:rPr>
        <w:t xml:space="preserve"> </w:t>
      </w:r>
      <w:r w:rsidR="00D3599D" w:rsidRPr="001F2ECE">
        <w:t>Atbilstoši CSP terminu skaidrojumam, kas ir piem</w:t>
      </w:r>
      <w:r w:rsidR="00C548CE">
        <w:t>ēr</w:t>
      </w:r>
      <w:r w:rsidR="00D3599D" w:rsidRPr="001F2ECE">
        <w:t>ots arī šajā Izvērtējumā, ekvi</w:t>
      </w:r>
      <w:r w:rsidR="00C548CE">
        <w:t>valentie rīcībā esošie ienākumi</w:t>
      </w:r>
      <w:r w:rsidR="00D3599D" w:rsidRPr="001F2ECE">
        <w:t xml:space="preserve"> ir</w:t>
      </w:r>
      <w:r w:rsidR="00D3599D">
        <w:rPr>
          <w:color w:val="FF0000"/>
        </w:rPr>
        <w:t xml:space="preserve"> </w:t>
      </w:r>
      <w:r w:rsidR="00D3599D">
        <w:rPr>
          <w:rFonts w:ascii="Open Sans" w:hAnsi="Open Sans"/>
          <w:color w:val="000000"/>
          <w:sz w:val="23"/>
          <w:szCs w:val="23"/>
          <w:shd w:val="clear" w:color="auto" w:fill="FFFFFF"/>
        </w:rPr>
        <w:t xml:space="preserve">mājsaimniecības rīcībā esošais ienākums, kas tiek aprēķināts uz ekvivalento patērētāju. Ekvivalentais (pieaugušais) patērētājs ir aprēķina vienība, kas ļauj salīdzināt mājsaimniecību ienākumu un patēriņa līmeni, ņemot vērā mājsaimniecības lielumu un sastāvu (izvērsti par </w:t>
      </w:r>
      <w:r w:rsidR="00D3599D">
        <w:rPr>
          <w:rFonts w:ascii="Open Sans" w:hAnsi="Open Sans" w:hint="eastAsia"/>
          <w:color w:val="000000"/>
          <w:sz w:val="23"/>
          <w:szCs w:val="23"/>
          <w:shd w:val="clear" w:color="auto" w:fill="FFFFFF"/>
        </w:rPr>
        <w:t>ekvivalences</w:t>
      </w:r>
      <w:r w:rsidR="00D3599D">
        <w:rPr>
          <w:rFonts w:ascii="Open Sans" w:hAnsi="Open Sans"/>
          <w:color w:val="000000"/>
          <w:sz w:val="23"/>
          <w:szCs w:val="23"/>
          <w:shd w:val="clear" w:color="auto" w:fill="FFFFFF"/>
        </w:rPr>
        <w:t xml:space="preserve"> skalām sk. </w:t>
      </w:r>
      <w:r w:rsidR="001F2ECE">
        <w:rPr>
          <w:rFonts w:ascii="Open Sans" w:hAnsi="Open Sans"/>
          <w:color w:val="000000"/>
          <w:sz w:val="23"/>
          <w:szCs w:val="23"/>
          <w:shd w:val="clear" w:color="auto" w:fill="FFFFFF"/>
        </w:rPr>
        <w:t>augstāk - 1.2.2. sadaļas sākumā)</w:t>
      </w:r>
      <w:r w:rsidR="00D3599D">
        <w:rPr>
          <w:rFonts w:ascii="Open Sans" w:hAnsi="Open Sans"/>
          <w:color w:val="000000"/>
          <w:sz w:val="23"/>
          <w:szCs w:val="23"/>
          <w:shd w:val="clear" w:color="auto" w:fill="FFFFFF"/>
        </w:rPr>
        <w:t>.</w:t>
      </w:r>
    </w:p>
    <w:p w:rsidR="00255CC4" w:rsidRDefault="00255CC4" w:rsidP="00255CC4">
      <w:pPr>
        <w:pStyle w:val="ListParagraph"/>
        <w:ind w:left="0"/>
        <w:rPr>
          <w:bCs/>
        </w:rPr>
      </w:pPr>
    </w:p>
    <w:p w:rsidR="00255CC4" w:rsidRDefault="00255CC4" w:rsidP="00255CC4">
      <w:r w:rsidRPr="00EA0927">
        <w:t>Skatoties mājsaimniecību kopējos</w:t>
      </w:r>
      <w:r w:rsidR="00D3599D">
        <w:t xml:space="preserve"> ekvivalentos rīcībā esošos</w:t>
      </w:r>
      <w:r w:rsidRPr="00EA0927">
        <w:t xml:space="preserve"> ienākumus uz vienu ekvivalento patērētāju, redzams, </w:t>
      </w:r>
      <w:r>
        <w:t>ka tiem</w:t>
      </w:r>
      <w:r w:rsidRPr="00EA0927">
        <w:t xml:space="preserve"> ir tendence pieaugt</w:t>
      </w:r>
      <w:r>
        <w:t xml:space="preserve"> (sk. </w:t>
      </w:r>
      <w:r w:rsidR="006E1579">
        <w:t>1.2</w:t>
      </w:r>
      <w:r>
        <w:t>. attēlu)</w:t>
      </w:r>
      <w:r w:rsidRPr="00EA0927">
        <w:t>. Kopējais pieaugums no 2014.</w:t>
      </w:r>
      <w:r>
        <w:t xml:space="preserve"> gada līdz 2016. </w:t>
      </w:r>
      <w:r w:rsidRPr="00EA0927">
        <w:t xml:space="preserve">gadam bijis 71,8 </w:t>
      </w:r>
      <w:r>
        <w:t xml:space="preserve">EUR mēnesī (jeb par 12,4%). </w:t>
      </w:r>
    </w:p>
    <w:bookmarkStart w:id="182" w:name="_Toc2761051"/>
    <w:bookmarkStart w:id="183" w:name="_Toc2848150"/>
    <w:bookmarkStart w:id="184" w:name="_Toc6220072"/>
    <w:p w:rsidR="00255CC4" w:rsidRPr="002809B6" w:rsidRDefault="00AD3EDD" w:rsidP="0010184F">
      <w:pPr>
        <w:spacing w:before="240" w:after="120"/>
        <w:jc w:val="left"/>
        <w:rPr>
          <w:b/>
          <w:color w:val="002060"/>
        </w:rPr>
      </w:pPr>
      <w:r w:rsidRPr="002809B6">
        <w:rPr>
          <w:b/>
          <w:color w:val="002060"/>
        </w:rPr>
        <w:fldChar w:fldCharType="begin"/>
      </w:r>
      <w:r w:rsidR="006B5456" w:rsidRPr="002809B6">
        <w:rPr>
          <w:b/>
          <w:color w:val="002060"/>
        </w:rPr>
        <w:instrText xml:space="preserve"> STYLEREF 1 \s </w:instrText>
      </w:r>
      <w:r w:rsidRPr="002809B6">
        <w:rPr>
          <w:b/>
          <w:color w:val="002060"/>
        </w:rPr>
        <w:fldChar w:fldCharType="separate"/>
      </w:r>
      <w:bookmarkStart w:id="185" w:name="_Toc6855756"/>
      <w:r w:rsidR="00224B50">
        <w:rPr>
          <w:b/>
          <w:noProof/>
          <w:color w:val="002060"/>
        </w:rPr>
        <w:t>1</w:t>
      </w:r>
      <w:r w:rsidRPr="002809B6">
        <w:rPr>
          <w:b/>
          <w:color w:val="002060"/>
        </w:rPr>
        <w:fldChar w:fldCharType="end"/>
      </w:r>
      <w:r w:rsidR="006B5456" w:rsidRPr="002809B6">
        <w:rPr>
          <w:b/>
          <w:color w:val="002060"/>
        </w:rPr>
        <w:t>.</w:t>
      </w:r>
      <w:r w:rsidRPr="002809B6">
        <w:rPr>
          <w:b/>
          <w:color w:val="002060"/>
        </w:rPr>
        <w:fldChar w:fldCharType="begin"/>
      </w:r>
      <w:r w:rsidR="000F1524" w:rsidRPr="002809B6">
        <w:rPr>
          <w:b/>
          <w:color w:val="002060"/>
        </w:rPr>
        <w:instrText xml:space="preserve"> SEQ Ilustrācija \* ARABIC \s 1 </w:instrText>
      </w:r>
      <w:r w:rsidRPr="002809B6">
        <w:rPr>
          <w:b/>
          <w:color w:val="002060"/>
        </w:rPr>
        <w:fldChar w:fldCharType="separate"/>
      </w:r>
      <w:r w:rsidR="00224B50">
        <w:rPr>
          <w:b/>
          <w:noProof/>
          <w:color w:val="002060"/>
        </w:rPr>
        <w:t>2</w:t>
      </w:r>
      <w:r w:rsidRPr="002809B6">
        <w:rPr>
          <w:b/>
          <w:color w:val="002060"/>
        </w:rPr>
        <w:fldChar w:fldCharType="end"/>
      </w:r>
      <w:r w:rsidR="00255CC4" w:rsidRPr="002809B6">
        <w:rPr>
          <w:b/>
          <w:color w:val="002060"/>
        </w:rPr>
        <w:t xml:space="preserve">. attēls. Mājsaimniecību </w:t>
      </w:r>
      <w:r w:rsidR="001F2ECE" w:rsidRPr="002809B6">
        <w:rPr>
          <w:b/>
          <w:color w:val="002060"/>
        </w:rPr>
        <w:t xml:space="preserve">ekvivalentie </w:t>
      </w:r>
      <w:r w:rsidR="00255CC4" w:rsidRPr="002809B6">
        <w:rPr>
          <w:b/>
          <w:color w:val="002060"/>
        </w:rPr>
        <w:t>rīcībā esošie ienākumi (vidēji uz vienu ekvivalento patērētāju, EUR mēnesī, 2014-2016)</w:t>
      </w:r>
      <w:bookmarkEnd w:id="182"/>
      <w:bookmarkEnd w:id="183"/>
      <w:bookmarkEnd w:id="184"/>
      <w:bookmarkEnd w:id="185"/>
    </w:p>
    <w:p w:rsidR="00255CC4" w:rsidRDefault="00255CC4" w:rsidP="00255CC4">
      <w:pPr>
        <w:pStyle w:val="ListParagraph"/>
        <w:ind w:left="0"/>
      </w:pPr>
      <w:r w:rsidRPr="006210B9">
        <w:rPr>
          <w:noProof/>
        </w:rPr>
        <w:drawing>
          <wp:inline distT="0" distB="0" distL="0" distR="0">
            <wp:extent cx="4485640" cy="2466975"/>
            <wp:effectExtent l="0" t="0" r="0" b="0"/>
            <wp:docPr id="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5640" cy="2466975"/>
                    </a:xfrm>
                    <a:prstGeom prst="rect">
                      <a:avLst/>
                    </a:prstGeom>
                    <a:noFill/>
                    <a:ln>
                      <a:noFill/>
                    </a:ln>
                  </pic:spPr>
                </pic:pic>
              </a:graphicData>
            </a:graphic>
          </wp:inline>
        </w:drawing>
      </w:r>
    </w:p>
    <w:p w:rsidR="00255CC4" w:rsidRPr="00AB7A9E" w:rsidRDefault="00255CC4" w:rsidP="00DE4D97">
      <w:pPr>
        <w:pStyle w:val="avotiemft10"/>
      </w:pPr>
      <w:bookmarkStart w:id="186" w:name="_Toc6841536"/>
      <w:r w:rsidRPr="00AB7A9E">
        <w:t>Avots: CSP, “IIG040. Mājsaimniecību rīcībā esošie ienākumi (EUR, mēnesī)”.</w:t>
      </w:r>
      <w:bookmarkEnd w:id="186"/>
    </w:p>
    <w:p w:rsidR="00255CC4" w:rsidRDefault="00255CC4" w:rsidP="00255CC4">
      <w:pPr>
        <w:pStyle w:val="ListParagraph"/>
        <w:ind w:left="0"/>
      </w:pPr>
    </w:p>
    <w:p w:rsidR="00255CC4" w:rsidRDefault="00255CC4" w:rsidP="00255CC4">
      <w:r>
        <w:t xml:space="preserve">Pilsētu iedzīvotāji </w:t>
      </w:r>
      <w:r w:rsidRPr="00EA0927">
        <w:t xml:space="preserve">laika </w:t>
      </w:r>
      <w:r>
        <w:t>posmā no 2014. gada līdz 2016. gadam</w:t>
      </w:r>
      <w:r w:rsidRPr="00EA0927">
        <w:t xml:space="preserve"> guvuši lielākus ienākumus, kā arī piedzīvojuši nedaudz straujāku ienākumu kāpumu, nekā </w:t>
      </w:r>
      <w:r>
        <w:t>laukos dzīvojošie</w:t>
      </w:r>
      <w:r w:rsidRPr="00EA0927">
        <w:t xml:space="preserve">. 2016. gadā pilsētās </w:t>
      </w:r>
      <w:r>
        <w:t xml:space="preserve">vidēji </w:t>
      </w:r>
      <w:r w:rsidRPr="00EA0927">
        <w:t>uz vienu ekvivalento patērētāju</w:t>
      </w:r>
      <w:r>
        <w:t xml:space="preserve"> mājsaimniecības rīcībā esošie</w:t>
      </w:r>
      <w:r w:rsidRPr="00EA0927">
        <w:t xml:space="preserve"> ienākumi </w:t>
      </w:r>
      <w:r>
        <w:t>bija</w:t>
      </w:r>
      <w:r w:rsidRPr="00EA0927">
        <w:t xml:space="preserve"> 690,3 </w:t>
      </w:r>
      <w:r>
        <w:t>EUR mēnesī,</w:t>
      </w:r>
      <w:r w:rsidRPr="00EA0927">
        <w:t xml:space="preserve"> bet laukos – 571,4 </w:t>
      </w:r>
      <w:r>
        <w:t>EUR,</w:t>
      </w:r>
      <w:r w:rsidRPr="00EA0927">
        <w:t xml:space="preserve"> savukārt ienākumu pieaugums kopš 2014. līdz 2016. gadam pilsētās bijis </w:t>
      </w:r>
      <w:r>
        <w:t xml:space="preserve">par </w:t>
      </w:r>
      <w:r w:rsidRPr="00EA0927">
        <w:t xml:space="preserve">71,2 </w:t>
      </w:r>
      <w:r>
        <w:t>EUR (pieaugums par 11,5%)</w:t>
      </w:r>
      <w:r w:rsidRPr="00EA0927">
        <w:t xml:space="preserve">, </w:t>
      </w:r>
      <w:r>
        <w:t>kamēr</w:t>
      </w:r>
      <w:r w:rsidRPr="00EA0927">
        <w:t xml:space="preserve"> laukos – 71,5 </w:t>
      </w:r>
      <w:r>
        <w:t xml:space="preserve">EUR (pieaugums par 14,2%). Aprēķinot ienākumu pieaugumu procentuāli, redzams, ka </w:t>
      </w:r>
      <w:r>
        <w:rPr>
          <w:b/>
        </w:rPr>
        <w:t>I</w:t>
      </w:r>
      <w:r w:rsidRPr="00CE1F37">
        <w:rPr>
          <w:b/>
        </w:rPr>
        <w:t>zvērtējuma periodā lielāks mājsaimniecības rīcībā esošo ienākumu uz vienu ekvivalento patērētāju pieaugums ir bijis lauku iedzīvotājiem</w:t>
      </w:r>
      <w:r>
        <w:t xml:space="preserve">.  </w:t>
      </w:r>
    </w:p>
    <w:p w:rsidR="00255CC4" w:rsidRDefault="00255CC4" w:rsidP="00255CC4"/>
    <w:p w:rsidR="00255CC4" w:rsidRDefault="00255CC4" w:rsidP="00255CC4">
      <w:r w:rsidRPr="0047150D">
        <w:rPr>
          <w:b/>
        </w:rPr>
        <w:lastRenderedPageBreak/>
        <w:t>Reģionu griezumā īpaši izceļas Rīgas un Pierīgas reģioni</w:t>
      </w:r>
      <w:r w:rsidRPr="00EA0927">
        <w:t xml:space="preserve">, kuros, salīdzinot ar pārējiem četriem (Kurzemes, Zemgales, Latgales, Vidzemes) reģioniem, </w:t>
      </w:r>
      <w:r>
        <w:t xml:space="preserve">2016. gadā </w:t>
      </w:r>
      <w:r w:rsidRPr="00EA0927">
        <w:t xml:space="preserve">bijis augstāks ienākumu līmenis uz vienu ekvivalento patērētāju, attiecīgi 778,1 </w:t>
      </w:r>
      <w:r>
        <w:t xml:space="preserve">EUR </w:t>
      </w:r>
      <w:r w:rsidRPr="00EA0927">
        <w:t xml:space="preserve">un 728,9 </w:t>
      </w:r>
      <w:r>
        <w:t>EUR mēnesī,</w:t>
      </w:r>
      <w:r w:rsidRPr="00EA0927">
        <w:t xml:space="preserve"> kamēr nākamajā augstāk</w:t>
      </w:r>
      <w:r>
        <w:t>ajā</w:t>
      </w:r>
      <w:r w:rsidRPr="00EA0927">
        <w:t xml:space="preserve"> </w:t>
      </w:r>
      <w:r>
        <w:t>līmenī (</w:t>
      </w:r>
      <w:r w:rsidRPr="00EA0927">
        <w:t>Kurzemē</w:t>
      </w:r>
      <w:r>
        <w:t xml:space="preserve">) </w:t>
      </w:r>
      <w:r w:rsidRPr="00EA0927">
        <w:t xml:space="preserve">– 593,4 </w:t>
      </w:r>
      <w:r>
        <w:t xml:space="preserve">EUR mēnesī (sk. </w:t>
      </w:r>
      <w:r w:rsidR="006E1579">
        <w:t>1.3</w:t>
      </w:r>
      <w:r>
        <w:t>. attēlu)</w:t>
      </w:r>
      <w:r w:rsidRPr="00EA0927">
        <w:t>. Zemākais ienākumu līmenis uz vienu ekvivalento patērētāju ir</w:t>
      </w:r>
      <w:r>
        <w:t xml:space="preserve"> bijis </w:t>
      </w:r>
      <w:r w:rsidRPr="00EA0927">
        <w:t xml:space="preserve">Latgalē, kur 2016. gadā tas bija 440,3 </w:t>
      </w:r>
      <w:r>
        <w:t>EUR mēnesī.</w:t>
      </w:r>
      <w:r w:rsidRPr="00EA0927">
        <w:t xml:space="preserve"> </w:t>
      </w:r>
    </w:p>
    <w:p w:rsidR="00255CC4" w:rsidRDefault="00255CC4" w:rsidP="00255CC4"/>
    <w:p w:rsidR="00255CC4" w:rsidRPr="00EA0927" w:rsidRDefault="00255CC4" w:rsidP="00255CC4">
      <w:r w:rsidRPr="00B509BB">
        <w:rPr>
          <w:b/>
        </w:rPr>
        <w:t>Straujākais mājsaimniecību ienākumu uz vienu ekvivalento patērētāju kāpums no 2014.</w:t>
      </w:r>
      <w:r>
        <w:rPr>
          <w:b/>
        </w:rPr>
        <w:t xml:space="preserve"> </w:t>
      </w:r>
      <w:r w:rsidRPr="00B509BB">
        <w:rPr>
          <w:b/>
        </w:rPr>
        <w:t>gada līdz 2016.</w:t>
      </w:r>
      <w:r>
        <w:rPr>
          <w:b/>
        </w:rPr>
        <w:t xml:space="preserve"> </w:t>
      </w:r>
      <w:r w:rsidRPr="00B509BB">
        <w:rPr>
          <w:b/>
        </w:rPr>
        <w:t>gadam konstatēts Zemgales reģionā</w:t>
      </w:r>
      <w:r w:rsidRPr="00EA0927">
        <w:t xml:space="preserve">, kur tas pieaudzis par 87,1 </w:t>
      </w:r>
      <w:r>
        <w:t xml:space="preserve">EUR </w:t>
      </w:r>
      <w:r w:rsidRPr="00EA0927">
        <w:t>mēnesī</w:t>
      </w:r>
      <w:r>
        <w:t xml:space="preserve"> (jeb par 17,3%), </w:t>
      </w:r>
      <w:r w:rsidRPr="00EA0927">
        <w:t xml:space="preserve">Pierīgā par 84,4 </w:t>
      </w:r>
      <w:r>
        <w:t xml:space="preserve">EUR </w:t>
      </w:r>
      <w:r w:rsidRPr="00EA0927">
        <w:t>mēnesī</w:t>
      </w:r>
      <w:r>
        <w:t xml:space="preserve"> (jeb par 13%), Vidzemē par 59 EUR (jeb par 12,3%), </w:t>
      </w:r>
      <w:r w:rsidRPr="00EA0927">
        <w:t xml:space="preserve">Rīgā ienākumu kāpums šajā laikā posmā bijis 72,9 </w:t>
      </w:r>
      <w:r>
        <w:t xml:space="preserve">EUR </w:t>
      </w:r>
      <w:r w:rsidRPr="00EA0927">
        <w:t>mēnesī</w:t>
      </w:r>
      <w:r>
        <w:t xml:space="preserve"> (jeb par 10,3%). </w:t>
      </w:r>
      <w:r w:rsidRPr="00B509BB">
        <w:rPr>
          <w:b/>
        </w:rPr>
        <w:t>Viszemākais ienākumu kāpums bijis Latgalē – tikai par 2,9%, kas ir par 11,2 EUR mēnesī</w:t>
      </w:r>
      <w:r>
        <w:t xml:space="preserve">. Otrs zemākais šī rādītāja kāpums bijis Kurzemes reģionā, kur tas ir pieaudzis par 9,7% jeb par 52,6 EUR mēnesī. </w:t>
      </w:r>
    </w:p>
    <w:bookmarkStart w:id="187" w:name="_Toc2761052"/>
    <w:bookmarkStart w:id="188" w:name="_Toc2848151"/>
    <w:bookmarkStart w:id="189" w:name="_Toc6220073"/>
    <w:p w:rsidR="00255CC4" w:rsidRPr="002809B6" w:rsidRDefault="00AD3EDD" w:rsidP="0010184F">
      <w:pPr>
        <w:spacing w:before="240" w:after="120"/>
        <w:jc w:val="left"/>
        <w:rPr>
          <w:b/>
          <w:color w:val="002060"/>
        </w:rPr>
      </w:pPr>
      <w:r w:rsidRPr="002809B6">
        <w:rPr>
          <w:b/>
          <w:color w:val="002060"/>
        </w:rPr>
        <w:fldChar w:fldCharType="begin"/>
      </w:r>
      <w:r w:rsidR="006B5456" w:rsidRPr="002809B6">
        <w:rPr>
          <w:b/>
          <w:color w:val="002060"/>
        </w:rPr>
        <w:instrText xml:space="preserve"> STYLEREF 1 \s </w:instrText>
      </w:r>
      <w:r w:rsidRPr="002809B6">
        <w:rPr>
          <w:b/>
          <w:color w:val="002060"/>
        </w:rPr>
        <w:fldChar w:fldCharType="separate"/>
      </w:r>
      <w:bookmarkStart w:id="190" w:name="_Toc6855757"/>
      <w:r w:rsidR="00224B50">
        <w:rPr>
          <w:b/>
          <w:noProof/>
          <w:color w:val="002060"/>
        </w:rPr>
        <w:t>1</w:t>
      </w:r>
      <w:r w:rsidRPr="002809B6">
        <w:rPr>
          <w:b/>
          <w:color w:val="002060"/>
        </w:rPr>
        <w:fldChar w:fldCharType="end"/>
      </w:r>
      <w:r w:rsidR="006B5456" w:rsidRPr="002809B6">
        <w:rPr>
          <w:b/>
          <w:color w:val="002060"/>
        </w:rPr>
        <w:t>.</w:t>
      </w:r>
      <w:r w:rsidRPr="002809B6">
        <w:rPr>
          <w:b/>
          <w:color w:val="002060"/>
        </w:rPr>
        <w:fldChar w:fldCharType="begin"/>
      </w:r>
      <w:r w:rsidR="000F1524" w:rsidRPr="002809B6">
        <w:rPr>
          <w:b/>
          <w:color w:val="002060"/>
        </w:rPr>
        <w:instrText xml:space="preserve"> SEQ Ilustrācija \* ARABIC \s 1 </w:instrText>
      </w:r>
      <w:r w:rsidRPr="002809B6">
        <w:rPr>
          <w:b/>
          <w:color w:val="002060"/>
        </w:rPr>
        <w:fldChar w:fldCharType="separate"/>
      </w:r>
      <w:r w:rsidR="00224B50">
        <w:rPr>
          <w:b/>
          <w:noProof/>
          <w:color w:val="002060"/>
        </w:rPr>
        <w:t>3</w:t>
      </w:r>
      <w:r w:rsidRPr="002809B6">
        <w:rPr>
          <w:b/>
          <w:color w:val="002060"/>
        </w:rPr>
        <w:fldChar w:fldCharType="end"/>
      </w:r>
      <w:r w:rsidR="00255CC4" w:rsidRPr="002809B6">
        <w:rPr>
          <w:b/>
          <w:color w:val="002060"/>
        </w:rPr>
        <w:t xml:space="preserve">. attēls. Mājsaimniecību </w:t>
      </w:r>
      <w:r w:rsidR="001F2ECE" w:rsidRPr="002809B6">
        <w:rPr>
          <w:b/>
          <w:color w:val="002060"/>
        </w:rPr>
        <w:t xml:space="preserve">ekvivalentie </w:t>
      </w:r>
      <w:r w:rsidR="00255CC4" w:rsidRPr="002809B6">
        <w:rPr>
          <w:b/>
          <w:color w:val="002060"/>
        </w:rPr>
        <w:t>rīcībā esošie ienākumi Latvijas statistiskajos reģionos (vidēji uz vienu ekvivalento patērētāju, EUR mēnesī, 2014-2016)</w:t>
      </w:r>
      <w:bookmarkEnd w:id="187"/>
      <w:bookmarkEnd w:id="188"/>
      <w:bookmarkEnd w:id="189"/>
      <w:bookmarkEnd w:id="190"/>
    </w:p>
    <w:p w:rsidR="00255CC4" w:rsidRDefault="00255CC4" w:rsidP="00255CC4">
      <w:r w:rsidRPr="0065091A">
        <w:rPr>
          <w:noProof/>
        </w:rPr>
        <w:drawing>
          <wp:inline distT="0" distB="0" distL="0" distR="0">
            <wp:extent cx="6000750" cy="2556644"/>
            <wp:effectExtent l="19050" t="0" r="0" b="0"/>
            <wp:docPr id="1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8288" cy="2555595"/>
                    </a:xfrm>
                    <a:prstGeom prst="rect">
                      <a:avLst/>
                    </a:prstGeom>
                    <a:noFill/>
                    <a:ln>
                      <a:noFill/>
                    </a:ln>
                  </pic:spPr>
                </pic:pic>
              </a:graphicData>
            </a:graphic>
          </wp:inline>
        </w:drawing>
      </w:r>
    </w:p>
    <w:p w:rsidR="00255CC4" w:rsidRPr="0047150D" w:rsidRDefault="00255CC4" w:rsidP="00255CC4">
      <w:pPr>
        <w:rPr>
          <w:bCs/>
          <w:sz w:val="20"/>
          <w:szCs w:val="20"/>
        </w:rPr>
      </w:pPr>
      <w:r w:rsidRPr="0047150D">
        <w:rPr>
          <w:bCs/>
          <w:sz w:val="20"/>
          <w:szCs w:val="20"/>
        </w:rPr>
        <w:t xml:space="preserve">Avots: </w:t>
      </w:r>
      <w:r w:rsidRPr="0047150D">
        <w:rPr>
          <w:sz w:val="20"/>
          <w:szCs w:val="20"/>
        </w:rPr>
        <w:t>CSP, “IIG06. Mājsaimniecību rīcībā esošie ienākumi Latvijas statistiskajos reģionos (</w:t>
      </w:r>
      <w:r>
        <w:rPr>
          <w:sz w:val="20"/>
          <w:szCs w:val="20"/>
        </w:rPr>
        <w:t>EUR</w:t>
      </w:r>
      <w:r w:rsidRPr="0047150D">
        <w:rPr>
          <w:sz w:val="20"/>
          <w:szCs w:val="20"/>
        </w:rPr>
        <w:t>, mēnesī)”.</w:t>
      </w:r>
    </w:p>
    <w:p w:rsidR="002809B6" w:rsidRDefault="002809B6">
      <w:pPr>
        <w:spacing w:line="240" w:lineRule="auto"/>
        <w:jc w:val="left"/>
        <w:rPr>
          <w:b/>
          <w:color w:val="002060"/>
        </w:rPr>
      </w:pPr>
      <w:bookmarkStart w:id="191" w:name="_Toc2761053"/>
      <w:bookmarkStart w:id="192" w:name="_Toc2848152"/>
      <w:bookmarkStart w:id="193" w:name="_Toc6220074"/>
      <w:r>
        <w:rPr>
          <w:b/>
          <w:color w:val="002060"/>
        </w:rPr>
        <w:br w:type="page"/>
      </w:r>
    </w:p>
    <w:p w:rsidR="00255CC4" w:rsidRPr="002809B6" w:rsidRDefault="00AD3EDD" w:rsidP="0010184F">
      <w:pPr>
        <w:spacing w:before="240" w:after="120"/>
        <w:jc w:val="left"/>
        <w:rPr>
          <w:b/>
          <w:color w:val="002060"/>
        </w:rPr>
      </w:pPr>
      <w:r w:rsidRPr="002809B6">
        <w:rPr>
          <w:b/>
          <w:color w:val="002060"/>
        </w:rPr>
        <w:lastRenderedPageBreak/>
        <w:fldChar w:fldCharType="begin"/>
      </w:r>
      <w:r w:rsidR="006B5456" w:rsidRPr="002809B6">
        <w:rPr>
          <w:b/>
          <w:color w:val="002060"/>
        </w:rPr>
        <w:instrText xml:space="preserve"> STYLEREF 1 \s </w:instrText>
      </w:r>
      <w:r w:rsidRPr="002809B6">
        <w:rPr>
          <w:b/>
          <w:color w:val="002060"/>
        </w:rPr>
        <w:fldChar w:fldCharType="separate"/>
      </w:r>
      <w:bookmarkStart w:id="194" w:name="_Toc6855758"/>
      <w:r w:rsidR="00224B50">
        <w:rPr>
          <w:b/>
          <w:noProof/>
          <w:color w:val="002060"/>
        </w:rPr>
        <w:t>1</w:t>
      </w:r>
      <w:r w:rsidRPr="002809B6">
        <w:rPr>
          <w:b/>
          <w:color w:val="002060"/>
        </w:rPr>
        <w:fldChar w:fldCharType="end"/>
      </w:r>
      <w:r w:rsidR="006B5456" w:rsidRPr="002809B6">
        <w:rPr>
          <w:b/>
          <w:color w:val="002060"/>
        </w:rPr>
        <w:t>.</w:t>
      </w:r>
      <w:r w:rsidRPr="002809B6">
        <w:rPr>
          <w:b/>
          <w:color w:val="002060"/>
        </w:rPr>
        <w:fldChar w:fldCharType="begin"/>
      </w:r>
      <w:r w:rsidR="000F1524" w:rsidRPr="002809B6">
        <w:rPr>
          <w:b/>
          <w:color w:val="002060"/>
        </w:rPr>
        <w:instrText xml:space="preserve"> SEQ Ilustrācija \* ARABIC \s 1 </w:instrText>
      </w:r>
      <w:r w:rsidRPr="002809B6">
        <w:rPr>
          <w:b/>
          <w:color w:val="002060"/>
        </w:rPr>
        <w:fldChar w:fldCharType="separate"/>
      </w:r>
      <w:r w:rsidR="00224B50">
        <w:rPr>
          <w:b/>
          <w:noProof/>
          <w:color w:val="002060"/>
        </w:rPr>
        <w:t>4</w:t>
      </w:r>
      <w:r w:rsidRPr="002809B6">
        <w:rPr>
          <w:b/>
          <w:color w:val="002060"/>
        </w:rPr>
        <w:fldChar w:fldCharType="end"/>
      </w:r>
      <w:r w:rsidR="00255CC4" w:rsidRPr="002809B6">
        <w:rPr>
          <w:b/>
          <w:color w:val="002060"/>
        </w:rPr>
        <w:t xml:space="preserve">. attēls. Mājsaimniecību </w:t>
      </w:r>
      <w:r w:rsidR="001F2ECE" w:rsidRPr="002809B6">
        <w:rPr>
          <w:b/>
          <w:color w:val="002060"/>
        </w:rPr>
        <w:t xml:space="preserve">ekvivalentie </w:t>
      </w:r>
      <w:r w:rsidR="00255CC4" w:rsidRPr="002809B6">
        <w:rPr>
          <w:b/>
          <w:color w:val="002060"/>
        </w:rPr>
        <w:t>rīcībā esošie ienākumi vidēji uz vienu ekvivalento patērētāju sadalījumā pēc mājsaimniecības tipa (EUR mēnesī)</w:t>
      </w:r>
      <w:bookmarkEnd w:id="191"/>
      <w:bookmarkEnd w:id="192"/>
      <w:bookmarkEnd w:id="193"/>
      <w:bookmarkEnd w:id="194"/>
      <w:r w:rsidR="00255CC4" w:rsidRPr="002809B6">
        <w:rPr>
          <w:b/>
          <w:color w:val="002060"/>
        </w:rPr>
        <w:t xml:space="preserve"> </w:t>
      </w:r>
    </w:p>
    <w:p w:rsidR="00255CC4" w:rsidRDefault="003945E0" w:rsidP="00255CC4">
      <w:pPr>
        <w:pStyle w:val="ListParagraph"/>
        <w:ind w:left="0"/>
      </w:pPr>
      <w:r w:rsidRPr="003945E0">
        <w:rPr>
          <w:noProof/>
        </w:rPr>
        <w:drawing>
          <wp:inline distT="0" distB="0" distL="0" distR="0">
            <wp:extent cx="6192520" cy="4874963"/>
            <wp:effectExtent l="1905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6192520" cy="4874963"/>
                    </a:xfrm>
                    <a:prstGeom prst="rect">
                      <a:avLst/>
                    </a:prstGeom>
                    <a:noFill/>
                    <a:ln w="9525">
                      <a:noFill/>
                      <a:miter lim="800000"/>
                      <a:headEnd/>
                      <a:tailEnd/>
                    </a:ln>
                  </pic:spPr>
                </pic:pic>
              </a:graphicData>
            </a:graphic>
          </wp:inline>
        </w:drawing>
      </w:r>
    </w:p>
    <w:p w:rsidR="009B613D" w:rsidRPr="008E7881" w:rsidRDefault="00255CC4" w:rsidP="008E7881">
      <w:pPr>
        <w:rPr>
          <w:sz w:val="20"/>
          <w:szCs w:val="20"/>
        </w:rPr>
      </w:pPr>
      <w:r w:rsidRPr="008E7881">
        <w:rPr>
          <w:sz w:val="20"/>
          <w:szCs w:val="20"/>
        </w:rPr>
        <w:t>Avots: CSP, “IIG080. Mājsaimniecību rīcībā esošie ienākumi pēc mājsaimniecības tipa (EUR, mēnesī)”.</w:t>
      </w:r>
    </w:p>
    <w:p w:rsidR="00373D88" w:rsidRDefault="00373D88" w:rsidP="004F3220"/>
    <w:p w:rsidR="00255CC4" w:rsidRDefault="00255CC4" w:rsidP="004F3220">
      <w:r>
        <w:t xml:space="preserve">Dati par mājsaimniecību </w:t>
      </w:r>
      <w:r w:rsidR="001F2ECE">
        <w:t xml:space="preserve">ekvivalentajiem rīcībā esošajiem </w:t>
      </w:r>
      <w:r>
        <w:t xml:space="preserve">ienākumiem uz vienu ekvivalento patērētāju sadalījumā pēc </w:t>
      </w:r>
      <w:r w:rsidRPr="005519C8">
        <w:rPr>
          <w:b/>
        </w:rPr>
        <w:t>mājsaimniecību tip</w:t>
      </w:r>
      <w:r>
        <w:rPr>
          <w:b/>
        </w:rPr>
        <w:t>a pazīmes</w:t>
      </w:r>
      <w:r>
        <w:t xml:space="preserve"> atklāj vairākas tendences. Pirmkārt, kopumā mājsaimniecību</w:t>
      </w:r>
      <w:r w:rsidRPr="008D282B">
        <w:t xml:space="preserve">, kurās ir bērni, ienākumi uz vienu ekvivalento patērētāju ir </w:t>
      </w:r>
      <w:r>
        <w:t xml:space="preserve">bijuši </w:t>
      </w:r>
      <w:r w:rsidRPr="008D282B">
        <w:t>nedaudz augstāki (</w:t>
      </w:r>
      <w:r w:rsidR="003D5DA1">
        <w:t xml:space="preserve">nosacītais </w:t>
      </w:r>
      <w:r w:rsidRPr="008D282B">
        <w:t>pieaugums par 13%</w:t>
      </w:r>
      <w:r w:rsidR="00723895">
        <w:t xml:space="preserve"> jeb 77 EUR</w:t>
      </w:r>
      <w:r>
        <w:t>, sasniedzot 674,1 EUR mēnesī 2016. gadā</w:t>
      </w:r>
      <w:r w:rsidRPr="008D282B">
        <w:t>), nekā t</w:t>
      </w:r>
      <w:r>
        <w:t>o</w:t>
      </w:r>
      <w:r w:rsidRPr="008D282B">
        <w:t xml:space="preserve"> mājsaimniecīb</w:t>
      </w:r>
      <w:r>
        <w:t>u ienākumi</w:t>
      </w:r>
      <w:r w:rsidRPr="008D282B">
        <w:t xml:space="preserve">, </w:t>
      </w:r>
      <w:r w:rsidRPr="004F3470">
        <w:t>kurās nav apgādībā esošu bērnu (pieaugums par 11,5%</w:t>
      </w:r>
      <w:r w:rsidR="00723895">
        <w:t xml:space="preserve"> jeb 65 EUR</w:t>
      </w:r>
      <w:r w:rsidRPr="004F3470">
        <w:t>, sasniedzot 632,1 EUR mēnesī 2016.</w:t>
      </w:r>
      <w:r>
        <w:t xml:space="preserve"> </w:t>
      </w:r>
      <w:r w:rsidRPr="004F3470">
        <w:t xml:space="preserve">gadā). </w:t>
      </w:r>
      <w:r>
        <w:t xml:space="preserve">Tas, iespējams, skaidrojams ar to, ka 2015. gadā tika atjaunota vairāku valsts sociālo pabalstu izmaksa bez ierobežojumiem (maternitātes pabalsts, paternitātes pabalsts, vecāku pabalsts), kā arī tika palielināts ģimenes valsts pabalsts par katru nākamo bērnu. </w:t>
      </w:r>
      <w:r w:rsidR="008C5898">
        <w:t>D</w:t>
      </w:r>
      <w:r w:rsidR="001F2ECE">
        <w:t xml:space="preserve">ati par mājsaimniecību ienākumiem </w:t>
      </w:r>
      <w:r w:rsidR="001F2ECE" w:rsidRPr="008C5898">
        <w:rPr>
          <w:b/>
        </w:rPr>
        <w:t>uz vienu mājsaimniecības locekli</w:t>
      </w:r>
      <w:r w:rsidR="001F2ECE">
        <w:t xml:space="preserve"> </w:t>
      </w:r>
      <w:r w:rsidR="008C5898">
        <w:t xml:space="preserve">liecina par </w:t>
      </w:r>
      <w:r w:rsidR="00E90AE7">
        <w:t>mazāku neto summas piea</w:t>
      </w:r>
      <w:r w:rsidR="00C548CE">
        <w:t>u</w:t>
      </w:r>
      <w:r w:rsidR="00E90AE7">
        <w:t xml:space="preserve">gumu un </w:t>
      </w:r>
      <w:r w:rsidR="008C5898">
        <w:t xml:space="preserve">lielākām atšķirībām starp šiem abiem mājsaimniecību tipiem, taču pieauguma dinamika saglabājas </w:t>
      </w:r>
      <w:r w:rsidR="00723895">
        <w:t>līdzīga - 12,9</w:t>
      </w:r>
      <w:r w:rsidR="008C5898">
        <w:t>% apmērā. Proti, m</w:t>
      </w:r>
      <w:r w:rsidR="001F2ECE">
        <w:t xml:space="preserve">ājsaimniecībās ar bērniem vidēji ienākumi mēnesī uz vienu mājsaimniecības locekli </w:t>
      </w:r>
      <w:r w:rsidR="008C5898">
        <w:t xml:space="preserve">2014. gadā </w:t>
      </w:r>
      <w:r w:rsidR="008C5898">
        <w:rPr>
          <w:b/>
        </w:rPr>
        <w:t xml:space="preserve"> </w:t>
      </w:r>
      <w:r w:rsidR="008C5898" w:rsidRPr="008C5898">
        <w:t>bija</w:t>
      </w:r>
      <w:r w:rsidR="008C5898">
        <w:rPr>
          <w:b/>
        </w:rPr>
        <w:t xml:space="preserve"> </w:t>
      </w:r>
      <w:r w:rsidR="008C5898">
        <w:t xml:space="preserve">342,52 EUR, </w:t>
      </w:r>
      <w:r w:rsidR="001F2ECE">
        <w:t xml:space="preserve">2015. gadā </w:t>
      </w:r>
      <w:r w:rsidR="008C5898">
        <w:t>-</w:t>
      </w:r>
      <w:r w:rsidR="001F2ECE">
        <w:t xml:space="preserve"> </w:t>
      </w:r>
      <w:r w:rsidR="008C5898">
        <w:t xml:space="preserve">374,67 </w:t>
      </w:r>
      <w:r w:rsidR="001F2ECE">
        <w:t xml:space="preserve">EUR, 2016. gadā– </w:t>
      </w:r>
      <w:r w:rsidR="008C5898">
        <w:t xml:space="preserve">387,27 </w:t>
      </w:r>
      <w:r w:rsidR="001F2ECE">
        <w:t>EUR</w:t>
      </w:r>
      <w:r w:rsidR="00723895">
        <w:t xml:space="preserve"> (neto pieaugums ir 45 EUR)</w:t>
      </w:r>
      <w:r w:rsidR="001F2ECE">
        <w:t xml:space="preserve">. Mājsaimniecībās bez bērniem šis rādītājs bija </w:t>
      </w:r>
      <w:r w:rsidR="008C5898">
        <w:t xml:space="preserve">433,98 EUR 2014. gadā, 460,32 </w:t>
      </w:r>
      <w:r w:rsidR="001F2ECE">
        <w:t xml:space="preserve">EUR 2015. gadā un </w:t>
      </w:r>
      <w:r w:rsidR="008C5898">
        <w:t xml:space="preserve">487,15 </w:t>
      </w:r>
      <w:r w:rsidR="001F2ECE">
        <w:t>EUR 2016. gadā</w:t>
      </w:r>
      <w:r w:rsidR="008C5898">
        <w:t xml:space="preserve"> (pieaugums 12</w:t>
      </w:r>
      <w:r w:rsidR="00723895">
        <w:t>,3</w:t>
      </w:r>
      <w:r w:rsidR="008C5898">
        <w:t>% apmērā</w:t>
      </w:r>
      <w:r w:rsidR="00723895">
        <w:t xml:space="preserve">, neto pieaugums </w:t>
      </w:r>
      <w:r w:rsidR="00E90AE7">
        <w:t>53 EUR</w:t>
      </w:r>
      <w:r w:rsidR="008C5898">
        <w:t>)</w:t>
      </w:r>
      <w:r w:rsidR="001F2ECE">
        <w:t>.</w:t>
      </w:r>
    </w:p>
    <w:p w:rsidR="00723895" w:rsidRPr="009B613D" w:rsidRDefault="00723895" w:rsidP="004F3220">
      <w:pPr>
        <w:rPr>
          <w:bCs/>
          <w:sz w:val="20"/>
          <w:szCs w:val="20"/>
        </w:rPr>
      </w:pPr>
    </w:p>
    <w:p w:rsidR="00255CC4" w:rsidRPr="00FB5305" w:rsidRDefault="00255CC4" w:rsidP="00255CC4">
      <w:r>
        <w:lastRenderedPageBreak/>
        <w:t>Otrkārt, situācija ir atšķirīga atkarībā no pieaugušo un bērnu skaita mājsaimniecībā (</w:t>
      </w:r>
      <w:r w:rsidR="006E1579">
        <w:t>1.4</w:t>
      </w:r>
      <w:r>
        <w:t xml:space="preserve">. attēls). </w:t>
      </w:r>
      <w:r w:rsidRPr="004253E3">
        <w:rPr>
          <w:b/>
        </w:rPr>
        <w:t>V</w:t>
      </w:r>
      <w:r>
        <w:rPr>
          <w:b/>
        </w:rPr>
        <w:t xml:space="preserve">islielākos </w:t>
      </w:r>
      <w:r w:rsidR="00E90AE7">
        <w:rPr>
          <w:b/>
        </w:rPr>
        <w:t xml:space="preserve">ekvivalentos </w:t>
      </w:r>
      <w:r>
        <w:rPr>
          <w:b/>
        </w:rPr>
        <w:t>ienākumus I</w:t>
      </w:r>
      <w:r w:rsidRPr="005519C8">
        <w:rPr>
          <w:b/>
        </w:rPr>
        <w:t>zvērtējuma periodā (2014.</w:t>
      </w:r>
      <w:r>
        <w:rPr>
          <w:b/>
        </w:rPr>
        <w:t>g.</w:t>
      </w:r>
      <w:r w:rsidRPr="005519C8">
        <w:rPr>
          <w:b/>
        </w:rPr>
        <w:t>-2016.g.) guvušas mājsaimniecības, kurās dzīvo divi pieaugušie bez apgādībā esošiem bērniem un jaunāki par 65 gadiem</w:t>
      </w:r>
      <w:r w:rsidRPr="004F3470">
        <w:t xml:space="preserve">. 2016. gadā šādas mājsaimniecības uz vienu ekvivalento patērētāju saņēma </w:t>
      </w:r>
      <w:r w:rsidRPr="005519C8">
        <w:rPr>
          <w:b/>
        </w:rPr>
        <w:t>777,3 EUR mēnesī</w:t>
      </w:r>
      <w:r w:rsidR="001F2ECE">
        <w:t xml:space="preserve"> </w:t>
      </w:r>
      <w:r w:rsidR="001F2ECE" w:rsidRPr="00E90AE7">
        <w:t xml:space="preserve">(rēķinot uz vienu mājsaimniecības locekli, tie bija </w:t>
      </w:r>
      <w:r w:rsidR="00E90AE7">
        <w:t>583 EUR)</w:t>
      </w:r>
      <w:r w:rsidRPr="004F3470">
        <w:t xml:space="preserve"> kopš 2014. gada piedzīvojot ienākumu kāp</w:t>
      </w:r>
      <w:r>
        <w:t>umu par 105,1 EUR vidēji mēnesī (par 15,6%)</w:t>
      </w:r>
      <w:r w:rsidRPr="004F3470">
        <w:t xml:space="preserve">. </w:t>
      </w:r>
      <w:r>
        <w:t xml:space="preserve">Lielāki </w:t>
      </w:r>
      <w:r w:rsidR="00E90AE7">
        <w:t xml:space="preserve">ekvivalentie rīcībā esošie </w:t>
      </w:r>
      <w:r>
        <w:t xml:space="preserve">ienākumi ir tām </w:t>
      </w:r>
      <w:r w:rsidRPr="00FB5305">
        <w:rPr>
          <w:b/>
        </w:rPr>
        <w:t>ģimenēm (divi pieaugušie), kurās ir viens apgādībā esošs bērns</w:t>
      </w:r>
      <w:r>
        <w:t xml:space="preserve"> (2016. gadā – 758,9 EUR</w:t>
      </w:r>
      <w:r w:rsidR="00FB5305">
        <w:t xml:space="preserve"> uz vienu ekvivalento patērētāju, bet uz vienu </w:t>
      </w:r>
      <w:r w:rsidR="00C548CE">
        <w:t>mājsaimniecības locekli tie bija</w:t>
      </w:r>
      <w:r w:rsidR="00FB5305">
        <w:t xml:space="preserve"> 470,05 EUR</w:t>
      </w:r>
      <w:r>
        <w:t xml:space="preserve">), </w:t>
      </w:r>
      <w:r w:rsidR="00FB5305">
        <w:t xml:space="preserve">līdz ar to ekvivalento rīcībā esošo </w:t>
      </w:r>
      <w:r>
        <w:t xml:space="preserve">ienākumu pieaugums kopš 2014. gada šajās ģimenēs ir bijis 12,5% apmērā. Par 10% pieauguši </w:t>
      </w:r>
      <w:r w:rsidRPr="00FB5305">
        <w:rPr>
          <w:b/>
        </w:rPr>
        <w:t>daudzbērnu ģimeņu</w:t>
      </w:r>
      <w:r>
        <w:t xml:space="preserve"> </w:t>
      </w:r>
      <w:r w:rsidR="00FB5305">
        <w:t xml:space="preserve">ekvivalentie rīcībā esošie </w:t>
      </w:r>
      <w:r>
        <w:t>ienākumi (no 567,9 EUR 2014. gadā līdz 624,6 EUR 2016. gadā uz vienu ekvivalento patērētāju</w:t>
      </w:r>
      <w:r w:rsidR="00FB5305">
        <w:t>; uz vienu mājsaimniecības locekli attiecīgi pieaugums ir no 287,24 EUR 2014. gadā līdz 313,51 EUR 2016. gadā</w:t>
      </w:r>
      <w:r>
        <w:t xml:space="preserve">). Savukārt mazāku </w:t>
      </w:r>
      <w:r w:rsidR="00FB5305">
        <w:t>ekvivalento rīcībā e</w:t>
      </w:r>
      <w:r w:rsidR="00C548CE">
        <w:t>s</w:t>
      </w:r>
      <w:r w:rsidR="00FB5305">
        <w:t>o</w:t>
      </w:r>
      <w:r w:rsidR="00E90AE7">
        <w:t xml:space="preserve">šo </w:t>
      </w:r>
      <w:r>
        <w:t xml:space="preserve">ienākumu pieaugumu saņēmušas </w:t>
      </w:r>
      <w:r w:rsidRPr="00FB5305">
        <w:rPr>
          <w:b/>
        </w:rPr>
        <w:t>ģimenes (divi pieaugušie) ar diviem bērniem</w:t>
      </w:r>
      <w:r>
        <w:t xml:space="preserve"> (pieaugums 8,3% apmērā, sasniedzot 694,2 EUR mēnesī 2016. </w:t>
      </w:r>
      <w:r w:rsidR="00FB5305">
        <w:t>g</w:t>
      </w:r>
      <w:r>
        <w:t>adā</w:t>
      </w:r>
      <w:r w:rsidR="00FB5305">
        <w:t>; ienākumu pieaugums uz vienu mājsaimniecības locekli šajās ģimenēs ir bijis no 349,98 EUR 2014. gadā līdz 378,63 EUR 2016. gadā</w:t>
      </w:r>
      <w:r>
        <w:t xml:space="preserve">). </w:t>
      </w:r>
      <w:r w:rsidRPr="005519C8">
        <w:t xml:space="preserve">Virs 100 EUR </w:t>
      </w:r>
      <w:r w:rsidR="00E90AE7">
        <w:t xml:space="preserve">ekvivalento rīcībā esošo </w:t>
      </w:r>
      <w:r w:rsidRPr="005519C8">
        <w:t xml:space="preserve">ienākumu kāpumu mēnesī piedzīvojušas arī mājsaimniecības, kurās ir </w:t>
      </w:r>
      <w:r w:rsidRPr="005519C8">
        <w:rPr>
          <w:b/>
        </w:rPr>
        <w:t>trīs un vairāk pieaugušie ar apgādībā esošiem bērniem</w:t>
      </w:r>
      <w:r w:rsidRPr="005519C8">
        <w:t>. Šīs mājsaimniecības no 2014</w:t>
      </w:r>
      <w:r>
        <w:t xml:space="preserve">. </w:t>
      </w:r>
      <w:r w:rsidRPr="005519C8">
        <w:t xml:space="preserve">gada līdz 2016. gadam piedzīvojušas 101,2 EUR lielu ienākumu kāpumu mēnesī uz vienu ekvivalento patērētāju, kas ir bijis </w:t>
      </w:r>
      <w:r w:rsidRPr="005519C8">
        <w:rPr>
          <w:b/>
        </w:rPr>
        <w:t>straujākais ienākumu kāpums no visiem mājsaimniecības tipiem (par 17,</w:t>
      </w:r>
      <w:r>
        <w:rPr>
          <w:b/>
        </w:rPr>
        <w:t>9</w:t>
      </w:r>
      <w:r w:rsidRPr="005519C8">
        <w:rPr>
          <w:b/>
        </w:rPr>
        <w:t>%)</w:t>
      </w:r>
      <w:r w:rsidRPr="005519C8">
        <w:t xml:space="preserve">. </w:t>
      </w:r>
      <w:r w:rsidR="00FB5305" w:rsidRPr="00FB5305">
        <w:t>Rēķinot u</w:t>
      </w:r>
      <w:r w:rsidR="00E90AE7" w:rsidRPr="00FB5305">
        <w:t xml:space="preserve">z vienu mājsaimniecības locekli </w:t>
      </w:r>
      <w:r w:rsidR="00FB5305" w:rsidRPr="00FB5305">
        <w:t xml:space="preserve">šis kāpums ir </w:t>
      </w:r>
      <w:r w:rsidR="00E90AE7" w:rsidRPr="00FB5305">
        <w:t xml:space="preserve"> </w:t>
      </w:r>
      <w:r w:rsidR="00FB5305" w:rsidRPr="00FB5305">
        <w:t xml:space="preserve">56,6 EUR apmērā jeb par 17,7%. </w:t>
      </w:r>
    </w:p>
    <w:p w:rsidR="00255CC4" w:rsidRDefault="00255CC4" w:rsidP="00255CC4"/>
    <w:p w:rsidR="00255CC4" w:rsidRDefault="00255CC4" w:rsidP="00255CC4">
      <w:r>
        <w:t xml:space="preserve">Salīdzinājumā ar citiem mājsaimniecību tipiem būtiski pieauguši ir arī </w:t>
      </w:r>
      <w:r w:rsidRPr="00FB5305">
        <w:rPr>
          <w:b/>
        </w:rPr>
        <w:t xml:space="preserve">viena </w:t>
      </w:r>
      <w:r w:rsidR="00BA1727" w:rsidRPr="00BA1727">
        <w:rPr>
          <w:b/>
        </w:rPr>
        <w:t>vecāka mājsaimniecības</w:t>
      </w:r>
      <w:r w:rsidR="00BA1727">
        <w:t xml:space="preserve"> </w:t>
      </w:r>
      <w:r w:rsidR="00FB5305">
        <w:t>ekvivalentie rīcībā esošie ienākumi</w:t>
      </w:r>
      <w:r>
        <w:t xml:space="preserve">. Kopējais pieaugums šajā mājsaimniecību grupā ir 64,8 EUR mēnesī, kas veido pieaugumu 15,3% apmērā laikā no 2014. gada līdz 2016. gadam, kas ir par 2,9 procentpunktiem vairāk nekā vidēji visās mājsaimniecībās. </w:t>
      </w:r>
      <w:r w:rsidR="00FB5305">
        <w:t>Savukārt šī mājsaimniecības tipa ienākumi vidēji uz vienu mājsaimni</w:t>
      </w:r>
      <w:r w:rsidR="00C548CE">
        <w:t>e</w:t>
      </w:r>
      <w:r w:rsidR="00FB5305">
        <w:t xml:space="preserve">cības locekli mēnesī Izvērtējuma periodā ir bijis no 269,38 EUR 2014. gadā līdz 311,01 EUR 2016. gadā, veidojot 41,63 EUR neto pieaugumu jeb 15,4% apmērā. </w:t>
      </w:r>
    </w:p>
    <w:p w:rsidR="00255CC4" w:rsidRDefault="00AD3EDD" w:rsidP="008C6B83">
      <w:pPr>
        <w:pStyle w:val="Caption"/>
      </w:pPr>
      <w:r>
        <w:fldChar w:fldCharType="begin"/>
      </w:r>
      <w:r w:rsidR="000F1524">
        <w:instrText xml:space="preserve"> STYLEREF 1 \s </w:instrText>
      </w:r>
      <w:r>
        <w:fldChar w:fldCharType="separate"/>
      </w:r>
      <w:r w:rsidR="00224B50">
        <w:rPr>
          <w:noProof/>
        </w:rPr>
        <w:t>1</w:t>
      </w:r>
      <w:r>
        <w:rPr>
          <w:noProof/>
        </w:rPr>
        <w:fldChar w:fldCharType="end"/>
      </w:r>
      <w:r w:rsidR="00A46B54">
        <w:t>.</w:t>
      </w:r>
      <w:r w:rsidR="000A7157">
        <w:t>10</w:t>
      </w:r>
      <w:r w:rsidR="00255CC4" w:rsidRPr="003B05BE">
        <w:t xml:space="preserve">. tabula. Mājsaimniecību </w:t>
      </w:r>
      <w:r w:rsidR="001F2ECE">
        <w:t xml:space="preserve">ekvivalentie </w:t>
      </w:r>
      <w:r w:rsidR="00255CC4" w:rsidRPr="00315872">
        <w:t xml:space="preserve">rīcībā esošie ienākumi </w:t>
      </w:r>
      <w:r w:rsidR="00255CC4">
        <w:t xml:space="preserve">vidēji uz vienu ekvivalento patērētāju sadalījumā </w:t>
      </w:r>
      <w:r w:rsidR="00255CC4" w:rsidRPr="00315872">
        <w:t>pēc mājsaimniecības tipa</w:t>
      </w:r>
      <w:r w:rsidR="00255CC4">
        <w:t>, dzimuma un vecuma pazīmēm</w:t>
      </w:r>
      <w:r w:rsidR="00255CC4" w:rsidRPr="00315872">
        <w:t xml:space="preserve"> (EUR mēnesī)</w:t>
      </w:r>
    </w:p>
    <w:tbl>
      <w:tblPr>
        <w:tblStyle w:val="TableGrid"/>
        <w:tblW w:w="0" w:type="auto"/>
        <w:tblLook w:val="04A0"/>
      </w:tblPr>
      <w:tblGrid>
        <w:gridCol w:w="4077"/>
        <w:gridCol w:w="1134"/>
        <w:gridCol w:w="993"/>
        <w:gridCol w:w="992"/>
        <w:gridCol w:w="1417"/>
        <w:gridCol w:w="1276"/>
      </w:tblGrid>
      <w:tr w:rsidR="00255CC4" w:rsidRPr="00BC22F8" w:rsidTr="00BC22F8">
        <w:tc>
          <w:tcPr>
            <w:tcW w:w="4077" w:type="dxa"/>
            <w:shd w:val="clear" w:color="auto" w:fill="B8CCE4" w:themeFill="accent1" w:themeFillTint="66"/>
            <w:vAlign w:val="center"/>
          </w:tcPr>
          <w:p w:rsidR="00255CC4" w:rsidRPr="00BC22F8" w:rsidRDefault="00255CC4" w:rsidP="00255CC4">
            <w:pPr>
              <w:pStyle w:val="ListParagraph"/>
              <w:ind w:left="0"/>
              <w:rPr>
                <w:b/>
                <w:color w:val="002060"/>
                <w:sz w:val="22"/>
                <w:szCs w:val="22"/>
              </w:rPr>
            </w:pPr>
            <w:r w:rsidRPr="00BC22F8">
              <w:rPr>
                <w:b/>
                <w:color w:val="002060"/>
                <w:sz w:val="22"/>
                <w:szCs w:val="22"/>
              </w:rPr>
              <w:t>Mājsaimniecības tips un sociāli demogrāfiskās pazīmes</w:t>
            </w:r>
          </w:p>
        </w:tc>
        <w:tc>
          <w:tcPr>
            <w:tcW w:w="1134" w:type="dxa"/>
            <w:shd w:val="clear" w:color="auto" w:fill="B8CCE4" w:themeFill="accent1" w:themeFillTint="66"/>
            <w:vAlign w:val="center"/>
          </w:tcPr>
          <w:p w:rsidR="00255CC4" w:rsidRPr="00BC22F8" w:rsidRDefault="00255CC4" w:rsidP="00255CC4">
            <w:pPr>
              <w:pStyle w:val="ListParagraph"/>
              <w:ind w:left="0"/>
              <w:jc w:val="center"/>
              <w:rPr>
                <w:b/>
                <w:color w:val="002060"/>
                <w:sz w:val="22"/>
                <w:szCs w:val="22"/>
              </w:rPr>
            </w:pPr>
            <w:r w:rsidRPr="00BC22F8">
              <w:rPr>
                <w:b/>
                <w:color w:val="002060"/>
                <w:sz w:val="22"/>
                <w:szCs w:val="22"/>
              </w:rPr>
              <w:t>2014</w:t>
            </w:r>
          </w:p>
        </w:tc>
        <w:tc>
          <w:tcPr>
            <w:tcW w:w="993" w:type="dxa"/>
            <w:shd w:val="clear" w:color="auto" w:fill="B8CCE4" w:themeFill="accent1" w:themeFillTint="66"/>
            <w:vAlign w:val="center"/>
          </w:tcPr>
          <w:p w:rsidR="00BC22F8" w:rsidRDefault="00BC22F8" w:rsidP="00255CC4">
            <w:pPr>
              <w:pStyle w:val="ListParagraph"/>
              <w:ind w:left="0"/>
              <w:jc w:val="center"/>
              <w:rPr>
                <w:b/>
                <w:color w:val="002060"/>
                <w:sz w:val="22"/>
                <w:szCs w:val="22"/>
              </w:rPr>
            </w:pPr>
          </w:p>
          <w:p w:rsidR="00255CC4" w:rsidRPr="00BC22F8" w:rsidRDefault="00255CC4" w:rsidP="00255CC4">
            <w:pPr>
              <w:pStyle w:val="ListParagraph"/>
              <w:ind w:left="0"/>
              <w:jc w:val="center"/>
              <w:rPr>
                <w:b/>
                <w:color w:val="002060"/>
                <w:sz w:val="22"/>
                <w:szCs w:val="22"/>
              </w:rPr>
            </w:pPr>
            <w:r w:rsidRPr="00BC22F8">
              <w:rPr>
                <w:b/>
                <w:color w:val="002060"/>
                <w:sz w:val="22"/>
                <w:szCs w:val="22"/>
              </w:rPr>
              <w:t>2015</w:t>
            </w:r>
          </w:p>
          <w:p w:rsidR="00255CC4" w:rsidRPr="00BC22F8" w:rsidRDefault="00255CC4" w:rsidP="00255CC4">
            <w:pPr>
              <w:pStyle w:val="ListParagraph"/>
              <w:ind w:left="0"/>
              <w:jc w:val="center"/>
              <w:rPr>
                <w:b/>
                <w:color w:val="002060"/>
                <w:sz w:val="22"/>
                <w:szCs w:val="22"/>
              </w:rPr>
            </w:pPr>
          </w:p>
        </w:tc>
        <w:tc>
          <w:tcPr>
            <w:tcW w:w="992" w:type="dxa"/>
            <w:shd w:val="clear" w:color="auto" w:fill="B8CCE4" w:themeFill="accent1" w:themeFillTint="66"/>
            <w:vAlign w:val="center"/>
          </w:tcPr>
          <w:p w:rsidR="00BC22F8" w:rsidRDefault="00BC22F8" w:rsidP="00255CC4">
            <w:pPr>
              <w:pStyle w:val="ListParagraph"/>
              <w:ind w:left="0"/>
              <w:jc w:val="center"/>
              <w:rPr>
                <w:b/>
                <w:color w:val="002060"/>
                <w:sz w:val="22"/>
                <w:szCs w:val="22"/>
              </w:rPr>
            </w:pPr>
          </w:p>
          <w:p w:rsidR="00255CC4" w:rsidRPr="00BC22F8" w:rsidRDefault="00255CC4" w:rsidP="00255CC4">
            <w:pPr>
              <w:pStyle w:val="ListParagraph"/>
              <w:ind w:left="0"/>
              <w:jc w:val="center"/>
              <w:rPr>
                <w:b/>
                <w:color w:val="002060"/>
                <w:sz w:val="22"/>
                <w:szCs w:val="22"/>
              </w:rPr>
            </w:pPr>
            <w:r w:rsidRPr="00BC22F8">
              <w:rPr>
                <w:b/>
                <w:color w:val="002060"/>
                <w:sz w:val="22"/>
                <w:szCs w:val="22"/>
              </w:rPr>
              <w:t>2016</w:t>
            </w:r>
          </w:p>
          <w:p w:rsidR="00255CC4" w:rsidRPr="00BC22F8" w:rsidRDefault="00255CC4" w:rsidP="00255CC4">
            <w:pPr>
              <w:pStyle w:val="ListParagraph"/>
              <w:ind w:left="0"/>
              <w:jc w:val="center"/>
              <w:rPr>
                <w:b/>
                <w:color w:val="002060"/>
                <w:sz w:val="22"/>
                <w:szCs w:val="22"/>
              </w:rPr>
            </w:pPr>
          </w:p>
        </w:tc>
        <w:tc>
          <w:tcPr>
            <w:tcW w:w="1417" w:type="dxa"/>
            <w:shd w:val="clear" w:color="auto" w:fill="B8CCE4" w:themeFill="accent1" w:themeFillTint="66"/>
            <w:vAlign w:val="center"/>
          </w:tcPr>
          <w:p w:rsidR="00255CC4" w:rsidRPr="00BC22F8" w:rsidRDefault="00255CC4" w:rsidP="00255CC4">
            <w:pPr>
              <w:pStyle w:val="ListParagraph"/>
              <w:ind w:left="0"/>
              <w:jc w:val="center"/>
              <w:rPr>
                <w:b/>
                <w:color w:val="002060"/>
                <w:sz w:val="22"/>
                <w:szCs w:val="22"/>
              </w:rPr>
            </w:pPr>
            <w:r w:rsidRPr="00BC22F8">
              <w:rPr>
                <w:b/>
                <w:color w:val="002060"/>
                <w:sz w:val="22"/>
                <w:szCs w:val="22"/>
              </w:rPr>
              <w:t xml:space="preserve">Pieaugums </w:t>
            </w:r>
          </w:p>
          <w:p w:rsidR="00255CC4" w:rsidRPr="00BC22F8" w:rsidRDefault="00255CC4" w:rsidP="00255CC4">
            <w:pPr>
              <w:pStyle w:val="ListParagraph"/>
              <w:ind w:left="0"/>
              <w:jc w:val="center"/>
              <w:rPr>
                <w:b/>
                <w:color w:val="002060"/>
                <w:sz w:val="22"/>
                <w:szCs w:val="22"/>
              </w:rPr>
            </w:pPr>
            <w:r w:rsidRPr="00BC22F8">
              <w:rPr>
                <w:b/>
                <w:color w:val="002060"/>
                <w:sz w:val="22"/>
                <w:szCs w:val="22"/>
              </w:rPr>
              <w:t>EUR</w:t>
            </w:r>
            <w:r w:rsidR="00BE6EA2" w:rsidRPr="00BC22F8">
              <w:rPr>
                <w:b/>
                <w:color w:val="002060"/>
                <w:sz w:val="22"/>
                <w:szCs w:val="22"/>
              </w:rPr>
              <w:t xml:space="preserve"> (2014.g.-2016.g.)</w:t>
            </w:r>
          </w:p>
        </w:tc>
        <w:tc>
          <w:tcPr>
            <w:tcW w:w="1276" w:type="dxa"/>
            <w:shd w:val="clear" w:color="auto" w:fill="B8CCE4" w:themeFill="accent1" w:themeFillTint="66"/>
            <w:vAlign w:val="center"/>
          </w:tcPr>
          <w:p w:rsidR="00255CC4" w:rsidRPr="00BC22F8" w:rsidRDefault="00255CC4" w:rsidP="00255CC4">
            <w:pPr>
              <w:pStyle w:val="ListParagraph"/>
              <w:ind w:left="0"/>
              <w:jc w:val="center"/>
              <w:rPr>
                <w:b/>
                <w:color w:val="002060"/>
                <w:sz w:val="22"/>
                <w:szCs w:val="22"/>
              </w:rPr>
            </w:pPr>
            <w:r w:rsidRPr="00BC22F8">
              <w:rPr>
                <w:b/>
                <w:color w:val="002060"/>
                <w:sz w:val="22"/>
                <w:szCs w:val="22"/>
              </w:rPr>
              <w:t xml:space="preserve">Pieaugums </w:t>
            </w:r>
          </w:p>
          <w:p w:rsidR="00255CC4" w:rsidRPr="00BC22F8" w:rsidRDefault="00255CC4" w:rsidP="00255CC4">
            <w:pPr>
              <w:pStyle w:val="ListParagraph"/>
              <w:ind w:left="0"/>
              <w:jc w:val="center"/>
              <w:rPr>
                <w:b/>
                <w:color w:val="002060"/>
                <w:sz w:val="22"/>
                <w:szCs w:val="22"/>
              </w:rPr>
            </w:pPr>
            <w:r w:rsidRPr="00BC22F8">
              <w:rPr>
                <w:b/>
                <w:color w:val="002060"/>
                <w:sz w:val="22"/>
                <w:szCs w:val="22"/>
              </w:rPr>
              <w:t>%</w:t>
            </w:r>
          </w:p>
          <w:p w:rsidR="00BE6EA2" w:rsidRPr="00BC22F8" w:rsidRDefault="00BE6EA2" w:rsidP="00255CC4">
            <w:pPr>
              <w:pStyle w:val="ListParagraph"/>
              <w:ind w:left="0"/>
              <w:jc w:val="center"/>
              <w:rPr>
                <w:b/>
                <w:color w:val="002060"/>
                <w:sz w:val="22"/>
                <w:szCs w:val="22"/>
              </w:rPr>
            </w:pPr>
            <w:r w:rsidRPr="00BC22F8">
              <w:rPr>
                <w:b/>
                <w:color w:val="002060"/>
                <w:sz w:val="22"/>
                <w:szCs w:val="22"/>
              </w:rPr>
              <w:t>(2014.g.-2016.g.)</w:t>
            </w:r>
          </w:p>
        </w:tc>
      </w:tr>
      <w:tr w:rsidR="00255CC4" w:rsidRPr="00017B4E" w:rsidTr="00255CC4">
        <w:tc>
          <w:tcPr>
            <w:tcW w:w="4077" w:type="dxa"/>
          </w:tcPr>
          <w:p w:rsidR="00255CC4" w:rsidRPr="00017B4E" w:rsidRDefault="00255CC4" w:rsidP="00255CC4">
            <w:pPr>
              <w:pStyle w:val="ListParagraph"/>
              <w:ind w:left="0"/>
              <w:rPr>
                <w:sz w:val="22"/>
                <w:szCs w:val="22"/>
              </w:rPr>
            </w:pPr>
            <w:r w:rsidRPr="00017B4E">
              <w:rPr>
                <w:sz w:val="22"/>
                <w:szCs w:val="22"/>
              </w:rPr>
              <w:t>1 personas mājsaimniecība - vīrieši</w:t>
            </w:r>
          </w:p>
        </w:tc>
        <w:tc>
          <w:tcPr>
            <w:tcW w:w="1134" w:type="dxa"/>
            <w:vAlign w:val="center"/>
          </w:tcPr>
          <w:p w:rsidR="00255CC4" w:rsidRPr="00017B4E" w:rsidRDefault="00255CC4" w:rsidP="00255CC4">
            <w:pPr>
              <w:pStyle w:val="ListParagraph"/>
              <w:spacing w:before="240"/>
              <w:ind w:left="0"/>
              <w:jc w:val="center"/>
              <w:rPr>
                <w:sz w:val="22"/>
                <w:szCs w:val="22"/>
              </w:rPr>
            </w:pPr>
            <w:r w:rsidRPr="00017B4E">
              <w:rPr>
                <w:sz w:val="22"/>
                <w:szCs w:val="22"/>
              </w:rPr>
              <w:t>489,4</w:t>
            </w:r>
          </w:p>
        </w:tc>
        <w:tc>
          <w:tcPr>
            <w:tcW w:w="993" w:type="dxa"/>
            <w:vAlign w:val="center"/>
          </w:tcPr>
          <w:p w:rsidR="00255CC4" w:rsidRPr="00017B4E" w:rsidRDefault="00255CC4" w:rsidP="00255CC4">
            <w:pPr>
              <w:pStyle w:val="ListParagraph"/>
              <w:spacing w:before="240"/>
              <w:ind w:left="0"/>
              <w:jc w:val="center"/>
              <w:rPr>
                <w:sz w:val="22"/>
                <w:szCs w:val="22"/>
              </w:rPr>
            </w:pPr>
            <w:r w:rsidRPr="00017B4E">
              <w:rPr>
                <w:sz w:val="22"/>
                <w:szCs w:val="22"/>
              </w:rPr>
              <w:t>515,8</w:t>
            </w:r>
          </w:p>
        </w:tc>
        <w:tc>
          <w:tcPr>
            <w:tcW w:w="992" w:type="dxa"/>
            <w:vAlign w:val="center"/>
          </w:tcPr>
          <w:p w:rsidR="00255CC4" w:rsidRPr="00017B4E" w:rsidRDefault="00255CC4" w:rsidP="00255CC4">
            <w:pPr>
              <w:pStyle w:val="ListParagraph"/>
              <w:spacing w:before="240"/>
              <w:ind w:left="0"/>
              <w:jc w:val="center"/>
              <w:rPr>
                <w:sz w:val="22"/>
                <w:szCs w:val="22"/>
              </w:rPr>
            </w:pPr>
            <w:r w:rsidRPr="00017B4E">
              <w:rPr>
                <w:sz w:val="22"/>
                <w:szCs w:val="22"/>
              </w:rPr>
              <w:t>501,01</w:t>
            </w:r>
          </w:p>
        </w:tc>
        <w:tc>
          <w:tcPr>
            <w:tcW w:w="1417" w:type="dxa"/>
            <w:vAlign w:val="center"/>
          </w:tcPr>
          <w:p w:rsidR="00255CC4" w:rsidRPr="00017B4E" w:rsidRDefault="00255CC4" w:rsidP="00255CC4">
            <w:pPr>
              <w:pStyle w:val="ListParagraph"/>
              <w:spacing w:before="240"/>
              <w:ind w:left="0"/>
              <w:jc w:val="center"/>
              <w:rPr>
                <w:b/>
                <w:color w:val="FF0000"/>
                <w:sz w:val="22"/>
                <w:szCs w:val="22"/>
              </w:rPr>
            </w:pPr>
            <w:r w:rsidRPr="00017B4E">
              <w:rPr>
                <w:b/>
                <w:color w:val="FF0000"/>
                <w:sz w:val="22"/>
                <w:szCs w:val="22"/>
              </w:rPr>
              <w:t>11,7</w:t>
            </w:r>
          </w:p>
        </w:tc>
        <w:tc>
          <w:tcPr>
            <w:tcW w:w="1276" w:type="dxa"/>
            <w:vAlign w:val="center"/>
          </w:tcPr>
          <w:p w:rsidR="00255CC4" w:rsidRPr="00017B4E" w:rsidRDefault="00255CC4" w:rsidP="00255CC4">
            <w:pPr>
              <w:pStyle w:val="ListParagraph"/>
              <w:spacing w:before="240"/>
              <w:ind w:left="0"/>
              <w:jc w:val="center"/>
              <w:rPr>
                <w:b/>
                <w:sz w:val="22"/>
                <w:szCs w:val="22"/>
              </w:rPr>
            </w:pPr>
            <w:r w:rsidRPr="00017B4E">
              <w:rPr>
                <w:b/>
                <w:sz w:val="22"/>
                <w:szCs w:val="22"/>
              </w:rPr>
              <w:t>2,4</w:t>
            </w:r>
          </w:p>
        </w:tc>
      </w:tr>
      <w:tr w:rsidR="00255CC4" w:rsidRPr="00017B4E" w:rsidTr="00255CC4">
        <w:tc>
          <w:tcPr>
            <w:tcW w:w="4077" w:type="dxa"/>
          </w:tcPr>
          <w:p w:rsidR="00255CC4" w:rsidRPr="00017B4E" w:rsidRDefault="00255CC4" w:rsidP="00255CC4">
            <w:pPr>
              <w:pStyle w:val="ListParagraph"/>
              <w:ind w:left="0"/>
              <w:rPr>
                <w:sz w:val="22"/>
                <w:szCs w:val="22"/>
              </w:rPr>
            </w:pPr>
            <w:r w:rsidRPr="00017B4E">
              <w:rPr>
                <w:sz w:val="22"/>
                <w:szCs w:val="22"/>
              </w:rPr>
              <w:t>1 personas mājsaimniecība - sievietes</w:t>
            </w:r>
          </w:p>
        </w:tc>
        <w:tc>
          <w:tcPr>
            <w:tcW w:w="1134" w:type="dxa"/>
            <w:vAlign w:val="center"/>
          </w:tcPr>
          <w:p w:rsidR="00255CC4" w:rsidRPr="00017B4E" w:rsidRDefault="00255CC4" w:rsidP="00255CC4">
            <w:pPr>
              <w:pStyle w:val="ListParagraph"/>
              <w:spacing w:before="240"/>
              <w:ind w:left="0"/>
              <w:jc w:val="center"/>
              <w:rPr>
                <w:sz w:val="22"/>
                <w:szCs w:val="22"/>
              </w:rPr>
            </w:pPr>
            <w:r w:rsidRPr="00017B4E">
              <w:rPr>
                <w:sz w:val="22"/>
                <w:szCs w:val="22"/>
              </w:rPr>
              <w:t>386,8</w:t>
            </w:r>
          </w:p>
        </w:tc>
        <w:tc>
          <w:tcPr>
            <w:tcW w:w="993" w:type="dxa"/>
            <w:vAlign w:val="center"/>
          </w:tcPr>
          <w:p w:rsidR="00255CC4" w:rsidRPr="00017B4E" w:rsidRDefault="00255CC4" w:rsidP="00255CC4">
            <w:pPr>
              <w:pStyle w:val="ListParagraph"/>
              <w:spacing w:before="240"/>
              <w:ind w:left="0"/>
              <w:jc w:val="center"/>
              <w:rPr>
                <w:sz w:val="22"/>
                <w:szCs w:val="22"/>
              </w:rPr>
            </w:pPr>
            <w:r w:rsidRPr="00017B4E">
              <w:rPr>
                <w:sz w:val="22"/>
                <w:szCs w:val="22"/>
              </w:rPr>
              <w:t>409,0</w:t>
            </w:r>
          </w:p>
        </w:tc>
        <w:tc>
          <w:tcPr>
            <w:tcW w:w="992" w:type="dxa"/>
            <w:vAlign w:val="center"/>
          </w:tcPr>
          <w:p w:rsidR="00255CC4" w:rsidRPr="00017B4E" w:rsidRDefault="00255CC4" w:rsidP="00255CC4">
            <w:pPr>
              <w:pStyle w:val="ListParagraph"/>
              <w:spacing w:before="240"/>
              <w:ind w:left="0"/>
              <w:jc w:val="center"/>
              <w:rPr>
                <w:b/>
                <w:color w:val="FF0000"/>
                <w:sz w:val="22"/>
                <w:szCs w:val="22"/>
              </w:rPr>
            </w:pPr>
            <w:r w:rsidRPr="00017B4E">
              <w:rPr>
                <w:b/>
                <w:color w:val="FF0000"/>
                <w:sz w:val="22"/>
                <w:szCs w:val="22"/>
              </w:rPr>
              <w:t xml:space="preserve">433,2 </w:t>
            </w:r>
          </w:p>
        </w:tc>
        <w:tc>
          <w:tcPr>
            <w:tcW w:w="1417" w:type="dxa"/>
            <w:vAlign w:val="center"/>
          </w:tcPr>
          <w:p w:rsidR="00255CC4" w:rsidRPr="00017B4E" w:rsidRDefault="00255CC4" w:rsidP="00255CC4">
            <w:pPr>
              <w:pStyle w:val="ListParagraph"/>
              <w:spacing w:before="240"/>
              <w:ind w:left="0"/>
              <w:jc w:val="center"/>
              <w:rPr>
                <w:sz w:val="22"/>
                <w:szCs w:val="22"/>
              </w:rPr>
            </w:pPr>
            <w:r w:rsidRPr="00017B4E">
              <w:rPr>
                <w:sz w:val="22"/>
                <w:szCs w:val="22"/>
              </w:rPr>
              <w:t>46,4</w:t>
            </w:r>
          </w:p>
        </w:tc>
        <w:tc>
          <w:tcPr>
            <w:tcW w:w="1276" w:type="dxa"/>
            <w:vAlign w:val="center"/>
          </w:tcPr>
          <w:p w:rsidR="00255CC4" w:rsidRPr="00017B4E" w:rsidRDefault="00255CC4" w:rsidP="00255CC4">
            <w:pPr>
              <w:pStyle w:val="ListParagraph"/>
              <w:spacing w:before="240"/>
              <w:ind w:left="0"/>
              <w:jc w:val="center"/>
              <w:rPr>
                <w:sz w:val="22"/>
                <w:szCs w:val="22"/>
              </w:rPr>
            </w:pPr>
            <w:r w:rsidRPr="00017B4E">
              <w:rPr>
                <w:sz w:val="22"/>
                <w:szCs w:val="22"/>
              </w:rPr>
              <w:t>12</w:t>
            </w:r>
          </w:p>
        </w:tc>
      </w:tr>
      <w:tr w:rsidR="00255CC4" w:rsidRPr="00017B4E" w:rsidTr="00255CC4">
        <w:tc>
          <w:tcPr>
            <w:tcW w:w="4077" w:type="dxa"/>
          </w:tcPr>
          <w:p w:rsidR="00255CC4" w:rsidRPr="00017B4E" w:rsidRDefault="00255CC4" w:rsidP="00255CC4">
            <w:pPr>
              <w:pStyle w:val="ListParagraph"/>
              <w:ind w:left="0"/>
              <w:rPr>
                <w:sz w:val="22"/>
                <w:szCs w:val="22"/>
              </w:rPr>
            </w:pPr>
            <w:r w:rsidRPr="00017B4E">
              <w:rPr>
                <w:sz w:val="22"/>
                <w:szCs w:val="22"/>
              </w:rPr>
              <w:t>1 personas mājsaimniecības līdz 64 gadu vecumam</w:t>
            </w:r>
          </w:p>
        </w:tc>
        <w:tc>
          <w:tcPr>
            <w:tcW w:w="1134" w:type="dxa"/>
            <w:vAlign w:val="center"/>
          </w:tcPr>
          <w:p w:rsidR="00255CC4" w:rsidRPr="00017B4E" w:rsidRDefault="00255CC4" w:rsidP="00255CC4">
            <w:pPr>
              <w:pStyle w:val="ListParagraph"/>
              <w:spacing w:before="240"/>
              <w:ind w:left="0"/>
              <w:jc w:val="center"/>
              <w:rPr>
                <w:sz w:val="22"/>
                <w:szCs w:val="22"/>
              </w:rPr>
            </w:pPr>
            <w:r w:rsidRPr="00017B4E">
              <w:rPr>
                <w:sz w:val="22"/>
                <w:szCs w:val="22"/>
              </w:rPr>
              <w:t>541,3</w:t>
            </w:r>
          </w:p>
        </w:tc>
        <w:tc>
          <w:tcPr>
            <w:tcW w:w="993" w:type="dxa"/>
            <w:vAlign w:val="center"/>
          </w:tcPr>
          <w:p w:rsidR="00255CC4" w:rsidRPr="00017B4E" w:rsidRDefault="00255CC4" w:rsidP="00255CC4">
            <w:pPr>
              <w:pStyle w:val="ListParagraph"/>
              <w:spacing w:before="240"/>
              <w:ind w:left="0"/>
              <w:jc w:val="center"/>
              <w:rPr>
                <w:sz w:val="22"/>
                <w:szCs w:val="22"/>
              </w:rPr>
            </w:pPr>
            <w:r w:rsidRPr="00017B4E">
              <w:rPr>
                <w:sz w:val="22"/>
                <w:szCs w:val="22"/>
              </w:rPr>
              <w:t>578,6</w:t>
            </w:r>
          </w:p>
        </w:tc>
        <w:tc>
          <w:tcPr>
            <w:tcW w:w="992" w:type="dxa"/>
            <w:vAlign w:val="center"/>
          </w:tcPr>
          <w:p w:rsidR="00255CC4" w:rsidRPr="00017B4E" w:rsidRDefault="00255CC4" w:rsidP="00255CC4">
            <w:pPr>
              <w:pStyle w:val="ListParagraph"/>
              <w:spacing w:before="240"/>
              <w:ind w:left="0"/>
              <w:jc w:val="center"/>
              <w:rPr>
                <w:sz w:val="22"/>
                <w:szCs w:val="22"/>
              </w:rPr>
            </w:pPr>
            <w:r w:rsidRPr="00017B4E">
              <w:rPr>
                <w:sz w:val="22"/>
                <w:szCs w:val="22"/>
              </w:rPr>
              <w:t>569,2</w:t>
            </w:r>
          </w:p>
        </w:tc>
        <w:tc>
          <w:tcPr>
            <w:tcW w:w="1417" w:type="dxa"/>
            <w:vAlign w:val="center"/>
          </w:tcPr>
          <w:p w:rsidR="00255CC4" w:rsidRPr="00017B4E" w:rsidRDefault="00255CC4" w:rsidP="00255CC4">
            <w:pPr>
              <w:pStyle w:val="ListParagraph"/>
              <w:spacing w:before="240"/>
              <w:ind w:left="0"/>
              <w:jc w:val="center"/>
              <w:rPr>
                <w:sz w:val="22"/>
                <w:szCs w:val="22"/>
              </w:rPr>
            </w:pPr>
            <w:r w:rsidRPr="00017B4E">
              <w:rPr>
                <w:sz w:val="22"/>
                <w:szCs w:val="22"/>
              </w:rPr>
              <w:t>27,9</w:t>
            </w:r>
          </w:p>
        </w:tc>
        <w:tc>
          <w:tcPr>
            <w:tcW w:w="1276" w:type="dxa"/>
            <w:vAlign w:val="center"/>
          </w:tcPr>
          <w:p w:rsidR="00255CC4" w:rsidRPr="00017B4E" w:rsidRDefault="00255CC4" w:rsidP="00255CC4">
            <w:pPr>
              <w:pStyle w:val="ListParagraph"/>
              <w:spacing w:before="240"/>
              <w:ind w:left="0"/>
              <w:jc w:val="center"/>
              <w:rPr>
                <w:sz w:val="22"/>
                <w:szCs w:val="22"/>
              </w:rPr>
            </w:pPr>
            <w:r w:rsidRPr="00017B4E">
              <w:rPr>
                <w:sz w:val="22"/>
                <w:szCs w:val="22"/>
              </w:rPr>
              <w:t>5,2</w:t>
            </w:r>
          </w:p>
        </w:tc>
      </w:tr>
      <w:tr w:rsidR="00255CC4" w:rsidRPr="00017B4E" w:rsidTr="00255CC4">
        <w:tc>
          <w:tcPr>
            <w:tcW w:w="4077" w:type="dxa"/>
          </w:tcPr>
          <w:p w:rsidR="00255CC4" w:rsidRPr="00017B4E" w:rsidRDefault="00255CC4" w:rsidP="00255CC4">
            <w:pPr>
              <w:pStyle w:val="ListParagraph"/>
              <w:ind w:left="0"/>
              <w:rPr>
                <w:sz w:val="22"/>
                <w:szCs w:val="22"/>
              </w:rPr>
            </w:pPr>
            <w:r w:rsidRPr="00017B4E">
              <w:rPr>
                <w:sz w:val="22"/>
                <w:szCs w:val="22"/>
              </w:rPr>
              <w:t>1 personas mājsaimniecības 65 gadi un vecākas</w:t>
            </w:r>
          </w:p>
        </w:tc>
        <w:tc>
          <w:tcPr>
            <w:tcW w:w="1134" w:type="dxa"/>
            <w:vAlign w:val="center"/>
          </w:tcPr>
          <w:p w:rsidR="00255CC4" w:rsidRPr="00017B4E" w:rsidRDefault="00255CC4" w:rsidP="00255CC4">
            <w:pPr>
              <w:pStyle w:val="ListParagraph"/>
              <w:spacing w:before="240"/>
              <w:ind w:left="0"/>
              <w:jc w:val="center"/>
              <w:rPr>
                <w:sz w:val="22"/>
                <w:szCs w:val="22"/>
              </w:rPr>
            </w:pPr>
            <w:r w:rsidRPr="00017B4E">
              <w:rPr>
                <w:sz w:val="22"/>
                <w:szCs w:val="22"/>
              </w:rPr>
              <w:t>309,9</w:t>
            </w:r>
          </w:p>
        </w:tc>
        <w:tc>
          <w:tcPr>
            <w:tcW w:w="993" w:type="dxa"/>
            <w:vAlign w:val="center"/>
          </w:tcPr>
          <w:p w:rsidR="00255CC4" w:rsidRPr="00017B4E" w:rsidRDefault="00255CC4" w:rsidP="00255CC4">
            <w:pPr>
              <w:pStyle w:val="ListParagraph"/>
              <w:spacing w:before="240"/>
              <w:ind w:left="0"/>
              <w:jc w:val="center"/>
              <w:rPr>
                <w:sz w:val="22"/>
                <w:szCs w:val="22"/>
              </w:rPr>
            </w:pPr>
            <w:r w:rsidRPr="00017B4E">
              <w:rPr>
                <w:sz w:val="22"/>
                <w:szCs w:val="22"/>
              </w:rPr>
              <w:t>323,9</w:t>
            </w:r>
          </w:p>
        </w:tc>
        <w:tc>
          <w:tcPr>
            <w:tcW w:w="992" w:type="dxa"/>
            <w:vAlign w:val="center"/>
          </w:tcPr>
          <w:p w:rsidR="00255CC4" w:rsidRPr="00017B4E" w:rsidRDefault="00255CC4" w:rsidP="00255CC4">
            <w:pPr>
              <w:pStyle w:val="ListParagraph"/>
              <w:spacing w:before="240"/>
              <w:ind w:left="0"/>
              <w:jc w:val="center"/>
              <w:rPr>
                <w:b/>
                <w:color w:val="FF0000"/>
                <w:sz w:val="22"/>
                <w:szCs w:val="22"/>
              </w:rPr>
            </w:pPr>
            <w:r w:rsidRPr="00017B4E">
              <w:rPr>
                <w:b/>
                <w:color w:val="FF0000"/>
                <w:sz w:val="22"/>
                <w:szCs w:val="22"/>
              </w:rPr>
              <w:t>351,6</w:t>
            </w:r>
          </w:p>
        </w:tc>
        <w:tc>
          <w:tcPr>
            <w:tcW w:w="1417" w:type="dxa"/>
            <w:vAlign w:val="center"/>
          </w:tcPr>
          <w:p w:rsidR="00255CC4" w:rsidRPr="00017B4E" w:rsidRDefault="00255CC4" w:rsidP="00255CC4">
            <w:pPr>
              <w:pStyle w:val="ListParagraph"/>
              <w:spacing w:before="240"/>
              <w:ind w:left="0"/>
              <w:jc w:val="center"/>
              <w:rPr>
                <w:sz w:val="22"/>
                <w:szCs w:val="22"/>
              </w:rPr>
            </w:pPr>
            <w:r w:rsidRPr="00017B4E">
              <w:rPr>
                <w:sz w:val="22"/>
                <w:szCs w:val="22"/>
              </w:rPr>
              <w:t>41,7</w:t>
            </w:r>
          </w:p>
        </w:tc>
        <w:tc>
          <w:tcPr>
            <w:tcW w:w="1276" w:type="dxa"/>
            <w:vAlign w:val="center"/>
          </w:tcPr>
          <w:p w:rsidR="00255CC4" w:rsidRPr="00017B4E" w:rsidRDefault="00255CC4" w:rsidP="00255CC4">
            <w:pPr>
              <w:pStyle w:val="ListParagraph"/>
              <w:spacing w:before="240"/>
              <w:ind w:left="0"/>
              <w:jc w:val="center"/>
              <w:rPr>
                <w:b/>
                <w:sz w:val="22"/>
                <w:szCs w:val="22"/>
              </w:rPr>
            </w:pPr>
            <w:r w:rsidRPr="00017B4E">
              <w:rPr>
                <w:b/>
                <w:sz w:val="22"/>
                <w:szCs w:val="22"/>
              </w:rPr>
              <w:t>13,5</w:t>
            </w:r>
          </w:p>
        </w:tc>
      </w:tr>
      <w:tr w:rsidR="00255CC4" w:rsidRPr="00017B4E" w:rsidTr="00255CC4">
        <w:tc>
          <w:tcPr>
            <w:tcW w:w="4077" w:type="dxa"/>
          </w:tcPr>
          <w:p w:rsidR="00255CC4" w:rsidRPr="00017B4E" w:rsidRDefault="00255CC4" w:rsidP="00255CC4">
            <w:pPr>
              <w:pStyle w:val="ListParagraph"/>
              <w:ind w:left="0"/>
              <w:rPr>
                <w:sz w:val="22"/>
                <w:szCs w:val="22"/>
              </w:rPr>
            </w:pPr>
            <w:r w:rsidRPr="00017B4E">
              <w:rPr>
                <w:sz w:val="22"/>
                <w:szCs w:val="22"/>
              </w:rPr>
              <w:t>2 pieaugušie bez apgādībā esošiem bērniem (abi jaunāki par 65 gadiem)</w:t>
            </w:r>
          </w:p>
        </w:tc>
        <w:tc>
          <w:tcPr>
            <w:tcW w:w="1134" w:type="dxa"/>
            <w:vAlign w:val="center"/>
          </w:tcPr>
          <w:p w:rsidR="00255CC4" w:rsidRPr="00017B4E" w:rsidRDefault="00255CC4" w:rsidP="00255CC4">
            <w:pPr>
              <w:pStyle w:val="ListParagraph"/>
              <w:spacing w:before="240"/>
              <w:ind w:left="0"/>
              <w:jc w:val="center"/>
              <w:rPr>
                <w:sz w:val="22"/>
                <w:szCs w:val="22"/>
              </w:rPr>
            </w:pPr>
            <w:r w:rsidRPr="00017B4E">
              <w:rPr>
                <w:sz w:val="22"/>
                <w:szCs w:val="22"/>
              </w:rPr>
              <w:t>672,3</w:t>
            </w:r>
          </w:p>
        </w:tc>
        <w:tc>
          <w:tcPr>
            <w:tcW w:w="993" w:type="dxa"/>
            <w:vAlign w:val="center"/>
          </w:tcPr>
          <w:p w:rsidR="00255CC4" w:rsidRPr="00017B4E" w:rsidRDefault="00255CC4" w:rsidP="00255CC4">
            <w:pPr>
              <w:pStyle w:val="ListParagraph"/>
              <w:spacing w:before="240"/>
              <w:ind w:left="0"/>
              <w:jc w:val="center"/>
              <w:rPr>
                <w:sz w:val="22"/>
                <w:szCs w:val="22"/>
              </w:rPr>
            </w:pPr>
            <w:r w:rsidRPr="00017B4E">
              <w:rPr>
                <w:sz w:val="22"/>
                <w:szCs w:val="22"/>
              </w:rPr>
              <w:t>698,9</w:t>
            </w:r>
          </w:p>
        </w:tc>
        <w:tc>
          <w:tcPr>
            <w:tcW w:w="992" w:type="dxa"/>
            <w:vAlign w:val="center"/>
          </w:tcPr>
          <w:p w:rsidR="00255CC4" w:rsidRPr="00017B4E" w:rsidRDefault="00255CC4" w:rsidP="00255CC4">
            <w:pPr>
              <w:pStyle w:val="ListParagraph"/>
              <w:spacing w:before="240"/>
              <w:ind w:left="0"/>
              <w:jc w:val="center"/>
              <w:rPr>
                <w:b/>
                <w:sz w:val="22"/>
                <w:szCs w:val="22"/>
              </w:rPr>
            </w:pPr>
            <w:r w:rsidRPr="00017B4E">
              <w:rPr>
                <w:b/>
                <w:sz w:val="22"/>
                <w:szCs w:val="22"/>
              </w:rPr>
              <w:t>777,3</w:t>
            </w:r>
          </w:p>
        </w:tc>
        <w:tc>
          <w:tcPr>
            <w:tcW w:w="1417" w:type="dxa"/>
            <w:vAlign w:val="center"/>
          </w:tcPr>
          <w:p w:rsidR="00255CC4" w:rsidRPr="00017B4E" w:rsidRDefault="00255CC4" w:rsidP="00255CC4">
            <w:pPr>
              <w:pStyle w:val="ListParagraph"/>
              <w:spacing w:before="240"/>
              <w:ind w:left="0"/>
              <w:jc w:val="center"/>
              <w:rPr>
                <w:sz w:val="22"/>
                <w:szCs w:val="22"/>
              </w:rPr>
            </w:pPr>
            <w:r w:rsidRPr="00017B4E">
              <w:rPr>
                <w:sz w:val="22"/>
                <w:szCs w:val="22"/>
              </w:rPr>
              <w:t>105,0</w:t>
            </w:r>
          </w:p>
        </w:tc>
        <w:tc>
          <w:tcPr>
            <w:tcW w:w="1276" w:type="dxa"/>
            <w:vAlign w:val="center"/>
          </w:tcPr>
          <w:p w:rsidR="00255CC4" w:rsidRPr="00017B4E" w:rsidRDefault="00255CC4" w:rsidP="00255CC4">
            <w:pPr>
              <w:pStyle w:val="ListParagraph"/>
              <w:spacing w:before="240"/>
              <w:ind w:left="0"/>
              <w:jc w:val="center"/>
              <w:rPr>
                <w:b/>
                <w:sz w:val="22"/>
                <w:szCs w:val="22"/>
              </w:rPr>
            </w:pPr>
            <w:r w:rsidRPr="00017B4E">
              <w:rPr>
                <w:b/>
                <w:sz w:val="22"/>
                <w:szCs w:val="22"/>
              </w:rPr>
              <w:t>15,6</w:t>
            </w:r>
          </w:p>
        </w:tc>
      </w:tr>
      <w:tr w:rsidR="00255CC4" w:rsidRPr="00017B4E" w:rsidTr="00255CC4">
        <w:tc>
          <w:tcPr>
            <w:tcW w:w="4077" w:type="dxa"/>
          </w:tcPr>
          <w:p w:rsidR="00255CC4" w:rsidRPr="00017B4E" w:rsidRDefault="00255CC4" w:rsidP="00255CC4">
            <w:pPr>
              <w:pStyle w:val="ListParagraph"/>
              <w:ind w:left="0"/>
              <w:rPr>
                <w:sz w:val="22"/>
                <w:szCs w:val="22"/>
              </w:rPr>
            </w:pPr>
            <w:r w:rsidRPr="00017B4E">
              <w:rPr>
                <w:sz w:val="22"/>
                <w:szCs w:val="22"/>
              </w:rPr>
              <w:t>2 pieaugušie bez apgādībā esošiem bērniem (vismaz viens 65+ gadi)</w:t>
            </w:r>
          </w:p>
        </w:tc>
        <w:tc>
          <w:tcPr>
            <w:tcW w:w="1134" w:type="dxa"/>
            <w:vAlign w:val="center"/>
          </w:tcPr>
          <w:p w:rsidR="00255CC4" w:rsidRPr="00017B4E" w:rsidRDefault="00255CC4" w:rsidP="00255CC4">
            <w:pPr>
              <w:pStyle w:val="ListParagraph"/>
              <w:spacing w:before="240"/>
              <w:ind w:left="0"/>
              <w:jc w:val="center"/>
              <w:rPr>
                <w:sz w:val="22"/>
                <w:szCs w:val="22"/>
              </w:rPr>
            </w:pPr>
            <w:r w:rsidRPr="00017B4E">
              <w:rPr>
                <w:sz w:val="22"/>
                <w:szCs w:val="22"/>
              </w:rPr>
              <w:t>481,3</w:t>
            </w:r>
          </w:p>
        </w:tc>
        <w:tc>
          <w:tcPr>
            <w:tcW w:w="993" w:type="dxa"/>
            <w:vAlign w:val="center"/>
          </w:tcPr>
          <w:p w:rsidR="00255CC4" w:rsidRPr="00017B4E" w:rsidRDefault="00255CC4" w:rsidP="00255CC4">
            <w:pPr>
              <w:pStyle w:val="ListParagraph"/>
              <w:spacing w:before="240"/>
              <w:ind w:left="0"/>
              <w:jc w:val="center"/>
              <w:rPr>
                <w:sz w:val="22"/>
                <w:szCs w:val="22"/>
              </w:rPr>
            </w:pPr>
            <w:r w:rsidRPr="00017B4E">
              <w:rPr>
                <w:sz w:val="22"/>
                <w:szCs w:val="22"/>
              </w:rPr>
              <w:t>515,7</w:t>
            </w:r>
          </w:p>
        </w:tc>
        <w:tc>
          <w:tcPr>
            <w:tcW w:w="992" w:type="dxa"/>
            <w:vAlign w:val="center"/>
          </w:tcPr>
          <w:p w:rsidR="00255CC4" w:rsidRPr="00017B4E" w:rsidRDefault="00255CC4" w:rsidP="00255CC4">
            <w:pPr>
              <w:pStyle w:val="ListParagraph"/>
              <w:spacing w:before="240"/>
              <w:ind w:left="0"/>
              <w:jc w:val="center"/>
              <w:rPr>
                <w:sz w:val="22"/>
                <w:szCs w:val="22"/>
              </w:rPr>
            </w:pPr>
            <w:r w:rsidRPr="00017B4E">
              <w:rPr>
                <w:sz w:val="22"/>
                <w:szCs w:val="22"/>
              </w:rPr>
              <w:t>530,9</w:t>
            </w:r>
          </w:p>
        </w:tc>
        <w:tc>
          <w:tcPr>
            <w:tcW w:w="1417" w:type="dxa"/>
            <w:vAlign w:val="center"/>
          </w:tcPr>
          <w:p w:rsidR="00255CC4" w:rsidRPr="00017B4E" w:rsidRDefault="00255CC4" w:rsidP="00255CC4">
            <w:pPr>
              <w:pStyle w:val="ListParagraph"/>
              <w:spacing w:before="240"/>
              <w:ind w:left="0"/>
              <w:jc w:val="center"/>
              <w:rPr>
                <w:sz w:val="22"/>
                <w:szCs w:val="22"/>
              </w:rPr>
            </w:pPr>
            <w:r w:rsidRPr="00017B4E">
              <w:rPr>
                <w:sz w:val="22"/>
                <w:szCs w:val="22"/>
              </w:rPr>
              <w:t>49,6</w:t>
            </w:r>
          </w:p>
        </w:tc>
        <w:tc>
          <w:tcPr>
            <w:tcW w:w="1276" w:type="dxa"/>
            <w:vAlign w:val="center"/>
          </w:tcPr>
          <w:p w:rsidR="00255CC4" w:rsidRPr="00017B4E" w:rsidRDefault="00255CC4" w:rsidP="00255CC4">
            <w:pPr>
              <w:pStyle w:val="ListParagraph"/>
              <w:spacing w:before="240"/>
              <w:ind w:left="0"/>
              <w:jc w:val="center"/>
              <w:rPr>
                <w:sz w:val="22"/>
                <w:szCs w:val="22"/>
              </w:rPr>
            </w:pPr>
            <w:r w:rsidRPr="00017B4E">
              <w:rPr>
                <w:sz w:val="22"/>
                <w:szCs w:val="22"/>
              </w:rPr>
              <w:t>10,3</w:t>
            </w:r>
          </w:p>
        </w:tc>
      </w:tr>
    </w:tbl>
    <w:p w:rsidR="00255CC4" w:rsidRPr="00B509BB" w:rsidRDefault="00255CC4" w:rsidP="00255CC4">
      <w:pPr>
        <w:pStyle w:val="ListParagraph"/>
        <w:ind w:left="0"/>
        <w:rPr>
          <w:bCs/>
          <w:sz w:val="20"/>
          <w:szCs w:val="20"/>
        </w:rPr>
      </w:pPr>
      <w:r w:rsidRPr="00B509BB">
        <w:rPr>
          <w:bCs/>
          <w:sz w:val="20"/>
          <w:szCs w:val="20"/>
        </w:rPr>
        <w:t>Avots:</w:t>
      </w:r>
      <w:r w:rsidRPr="00B509BB">
        <w:rPr>
          <w:sz w:val="20"/>
          <w:szCs w:val="20"/>
        </w:rPr>
        <w:t xml:space="preserve"> CSP, “IIG080. Mājsaimniecību rīcībā esošie ienākumi pēc mājsaimniecības tipa (</w:t>
      </w:r>
      <w:r>
        <w:rPr>
          <w:sz w:val="20"/>
          <w:szCs w:val="20"/>
        </w:rPr>
        <w:t>EUR</w:t>
      </w:r>
      <w:r w:rsidRPr="00B509BB">
        <w:rPr>
          <w:sz w:val="20"/>
          <w:szCs w:val="20"/>
        </w:rPr>
        <w:t>, mēnesī)”.</w:t>
      </w:r>
    </w:p>
    <w:p w:rsidR="00255CC4" w:rsidRDefault="00255CC4" w:rsidP="00255CC4">
      <w:r>
        <w:lastRenderedPageBreak/>
        <w:t>Treškārt, atsevišķi aplūkojamas vienas personas mājsaimniecības (</w:t>
      </w:r>
      <w:r w:rsidR="006E1579">
        <w:t>1.10</w:t>
      </w:r>
      <w:r>
        <w:t xml:space="preserve">. tabula). To </w:t>
      </w:r>
      <w:r w:rsidR="00B73BD1">
        <w:t xml:space="preserve">ekvivalentie rīcībā esošie </w:t>
      </w:r>
      <w:r>
        <w:t>ienākumi laikā no 2014. gada līdz 2016. gadam ir pieauguši par 8,5% (par 3,9 procentpunktiem mazāk nekā vidēji visās mājsaimniecībās). Analizējot šo grupu pēc dzimuma pazīmes, secināms, ka z</w:t>
      </w:r>
      <w:r w:rsidRPr="003B05BE">
        <w:t xml:space="preserve">emāko ienākumu kāpumu piedzīvojušas mājsaimniecības, kurās dzīvo viens vīrietis, pieaugot </w:t>
      </w:r>
      <w:r>
        <w:t xml:space="preserve">to </w:t>
      </w:r>
      <w:r w:rsidRPr="003B05BE">
        <w:t xml:space="preserve">ienākumiem </w:t>
      </w:r>
      <w:r>
        <w:t xml:space="preserve">tikai </w:t>
      </w:r>
      <w:r w:rsidRPr="003B05BE">
        <w:t>par 11,7 EUR mēnesī</w:t>
      </w:r>
      <w:r>
        <w:t xml:space="preserve"> (jeb par 2,4%). Taču absolūtajos skaitļos zemāki ienākumi ir bijuši tieši atsevišķi dzīvojošām sievietēm – 2014. gadā 386,8 EUR, 2016.gadā – 433,2 EUR mēnesī, lai gan kāpums ir bijis straujāks (par 12%). </w:t>
      </w:r>
      <w:r>
        <w:rPr>
          <w:b/>
        </w:rPr>
        <w:t xml:space="preserve">Viszemākie </w:t>
      </w:r>
      <w:r w:rsidR="00B73BD1" w:rsidRPr="00B73BD1">
        <w:rPr>
          <w:b/>
        </w:rPr>
        <w:t>ekvivalentie rīcībā esošie</w:t>
      </w:r>
      <w:r w:rsidR="00B73BD1">
        <w:rPr>
          <w:b/>
        </w:rPr>
        <w:t xml:space="preserve"> </w:t>
      </w:r>
      <w:r>
        <w:rPr>
          <w:b/>
        </w:rPr>
        <w:t>ienākumi I</w:t>
      </w:r>
      <w:r w:rsidRPr="004F3470">
        <w:rPr>
          <w:b/>
        </w:rPr>
        <w:t>zvērtējuma periodā bijuši vienas personas mājsaimniecībām vecumā virs 65 gadiem</w:t>
      </w:r>
      <w:r>
        <w:t xml:space="preserve"> – kaut arī to ienākumu kopējais pieaugums bijis 41,7 EUR mēnesī (jeb par 13,5%), absolūtā ienākumu vērtība 2016. gadā bijusi 351,6 EUR mēnesī. Savukārt, atsevišķi dzīvojošas personas vecumā līdz 64 gadiem vidēji mēnesī 2016. gadā saņēmušas 569,2 EUR, kas ir par 5,2% vairāk nekā 2014. gadā. </w:t>
      </w:r>
      <w:r w:rsidR="00A82276">
        <w:t xml:space="preserve">1.11. tabulā salīdzinājumam ir atspoguļoti dati par mājsaimniecību ienākumiem vidēji uz vienu mājsaimniecības locekli. Redzams, ka attiecībā uz vienas personas mājsaimniecībām atšķirības starp ienākumiem uz vienu ekvivalento patērētāju un vienu mājsaimniecības locekli nav. Citādi tas ir, salīdzinot divu pieaugušo vecumā virs un zem 65 gadiem mājsaimniecības ar un bez bērniem. Šo mājsaimniecību gadījumā neto ienākumu pieaugums absolūtajos skaitļos uz vienu mājsaimniecības locekli vidēji mēnesī ir mazāks, nekā tas ir tad, ja tiek ņemti vērā ekvivalentie ienākumi, taču procentuāli pieauguma apmērs ir tieši </w:t>
      </w:r>
      <w:r w:rsidR="00FB5305">
        <w:t>t</w:t>
      </w:r>
      <w:r w:rsidR="00A82276">
        <w:t>āds pats</w:t>
      </w:r>
      <w:r w:rsidR="00FB5305">
        <w:t>,</w:t>
      </w:r>
      <w:r w:rsidR="00A82276">
        <w:t xml:space="preserve"> kā rēķinot ienākumus uz vienu ekvivalento patērētāju. </w:t>
      </w:r>
    </w:p>
    <w:p w:rsidR="00B73BD1" w:rsidRDefault="00AD3EDD" w:rsidP="00B73BD1">
      <w:pPr>
        <w:pStyle w:val="Caption"/>
      </w:pPr>
      <w:r>
        <w:fldChar w:fldCharType="begin"/>
      </w:r>
      <w:r w:rsidR="00F211A5">
        <w:instrText xml:space="preserve"> STYLEREF 1 \s </w:instrText>
      </w:r>
      <w:r>
        <w:fldChar w:fldCharType="separate"/>
      </w:r>
      <w:r w:rsidR="00224B50">
        <w:rPr>
          <w:noProof/>
        </w:rPr>
        <w:t>1</w:t>
      </w:r>
      <w:r>
        <w:rPr>
          <w:noProof/>
        </w:rPr>
        <w:fldChar w:fldCharType="end"/>
      </w:r>
      <w:r w:rsidR="00B73BD1">
        <w:t>.11</w:t>
      </w:r>
      <w:r w:rsidR="00B73BD1" w:rsidRPr="003B05BE">
        <w:t xml:space="preserve">. tabula. Mājsaimniecību </w:t>
      </w:r>
      <w:r w:rsidR="00B73BD1" w:rsidRPr="00315872">
        <w:t xml:space="preserve">ienākumi </w:t>
      </w:r>
      <w:r w:rsidR="00B73BD1">
        <w:t xml:space="preserve">vidēji uz vienu mājsaimniecības locekli sadalījumā </w:t>
      </w:r>
      <w:r w:rsidR="00B73BD1" w:rsidRPr="00315872">
        <w:t>pēc mājsaimniecības tipa</w:t>
      </w:r>
      <w:r w:rsidR="00B73BD1">
        <w:t>, dzimuma un vecuma pazīmēm</w:t>
      </w:r>
      <w:r w:rsidR="00B73BD1" w:rsidRPr="00315872">
        <w:t xml:space="preserve"> (EUR mēnesī)</w:t>
      </w:r>
    </w:p>
    <w:tbl>
      <w:tblPr>
        <w:tblStyle w:val="TableGrid"/>
        <w:tblW w:w="0" w:type="auto"/>
        <w:tblLook w:val="04A0"/>
      </w:tblPr>
      <w:tblGrid>
        <w:gridCol w:w="4077"/>
        <w:gridCol w:w="1134"/>
        <w:gridCol w:w="993"/>
        <w:gridCol w:w="992"/>
        <w:gridCol w:w="1417"/>
        <w:gridCol w:w="1276"/>
      </w:tblGrid>
      <w:tr w:rsidR="00B73BD1" w:rsidRPr="00BC22F8" w:rsidTr="00BC22F8">
        <w:tc>
          <w:tcPr>
            <w:tcW w:w="4077" w:type="dxa"/>
            <w:shd w:val="clear" w:color="auto" w:fill="B8CCE4" w:themeFill="accent1" w:themeFillTint="66"/>
            <w:vAlign w:val="center"/>
          </w:tcPr>
          <w:p w:rsidR="00B73BD1" w:rsidRPr="00BC22F8" w:rsidRDefault="00B73BD1" w:rsidP="00BE6EA2">
            <w:pPr>
              <w:pStyle w:val="ListParagraph"/>
              <w:ind w:left="0"/>
              <w:rPr>
                <w:b/>
                <w:color w:val="002060"/>
                <w:sz w:val="22"/>
                <w:szCs w:val="22"/>
              </w:rPr>
            </w:pPr>
            <w:r w:rsidRPr="00BC22F8">
              <w:rPr>
                <w:b/>
                <w:color w:val="002060"/>
                <w:sz w:val="22"/>
                <w:szCs w:val="22"/>
              </w:rPr>
              <w:t>Mājsaimniecības tips un sociāli demogrāfiskās pazīmes</w:t>
            </w:r>
          </w:p>
        </w:tc>
        <w:tc>
          <w:tcPr>
            <w:tcW w:w="1134" w:type="dxa"/>
            <w:shd w:val="clear" w:color="auto" w:fill="B8CCE4" w:themeFill="accent1" w:themeFillTint="66"/>
            <w:vAlign w:val="center"/>
          </w:tcPr>
          <w:p w:rsidR="00B73BD1" w:rsidRPr="00BC22F8" w:rsidRDefault="00B73BD1" w:rsidP="00BE6EA2">
            <w:pPr>
              <w:pStyle w:val="ListParagraph"/>
              <w:ind w:left="0"/>
              <w:jc w:val="center"/>
              <w:rPr>
                <w:b/>
                <w:color w:val="002060"/>
                <w:sz w:val="22"/>
                <w:szCs w:val="22"/>
              </w:rPr>
            </w:pPr>
            <w:r w:rsidRPr="00BC22F8">
              <w:rPr>
                <w:b/>
                <w:color w:val="002060"/>
                <w:sz w:val="22"/>
                <w:szCs w:val="22"/>
              </w:rPr>
              <w:t>2014</w:t>
            </w:r>
          </w:p>
        </w:tc>
        <w:tc>
          <w:tcPr>
            <w:tcW w:w="993" w:type="dxa"/>
            <w:shd w:val="clear" w:color="auto" w:fill="B8CCE4" w:themeFill="accent1" w:themeFillTint="66"/>
            <w:vAlign w:val="center"/>
          </w:tcPr>
          <w:p w:rsidR="00BC22F8" w:rsidRDefault="00BC22F8" w:rsidP="00BE6EA2">
            <w:pPr>
              <w:pStyle w:val="ListParagraph"/>
              <w:ind w:left="0"/>
              <w:jc w:val="center"/>
              <w:rPr>
                <w:b/>
                <w:color w:val="002060"/>
                <w:sz w:val="22"/>
                <w:szCs w:val="22"/>
              </w:rPr>
            </w:pPr>
          </w:p>
          <w:p w:rsidR="00B73BD1" w:rsidRPr="00BC22F8" w:rsidRDefault="00B73BD1" w:rsidP="00BE6EA2">
            <w:pPr>
              <w:pStyle w:val="ListParagraph"/>
              <w:ind w:left="0"/>
              <w:jc w:val="center"/>
              <w:rPr>
                <w:b/>
                <w:color w:val="002060"/>
                <w:sz w:val="22"/>
                <w:szCs w:val="22"/>
              </w:rPr>
            </w:pPr>
            <w:r w:rsidRPr="00BC22F8">
              <w:rPr>
                <w:b/>
                <w:color w:val="002060"/>
                <w:sz w:val="22"/>
                <w:szCs w:val="22"/>
              </w:rPr>
              <w:t>2015</w:t>
            </w:r>
          </w:p>
          <w:p w:rsidR="00B73BD1" w:rsidRPr="00BC22F8" w:rsidRDefault="00B73BD1" w:rsidP="00BE6EA2">
            <w:pPr>
              <w:pStyle w:val="ListParagraph"/>
              <w:ind w:left="0"/>
              <w:jc w:val="center"/>
              <w:rPr>
                <w:b/>
                <w:color w:val="002060"/>
                <w:sz w:val="22"/>
                <w:szCs w:val="22"/>
              </w:rPr>
            </w:pPr>
          </w:p>
        </w:tc>
        <w:tc>
          <w:tcPr>
            <w:tcW w:w="992" w:type="dxa"/>
            <w:shd w:val="clear" w:color="auto" w:fill="B8CCE4" w:themeFill="accent1" w:themeFillTint="66"/>
            <w:vAlign w:val="center"/>
          </w:tcPr>
          <w:p w:rsidR="00BC22F8" w:rsidRDefault="00BC22F8" w:rsidP="00BE6EA2">
            <w:pPr>
              <w:pStyle w:val="ListParagraph"/>
              <w:ind w:left="0"/>
              <w:jc w:val="center"/>
              <w:rPr>
                <w:b/>
                <w:color w:val="002060"/>
                <w:sz w:val="22"/>
                <w:szCs w:val="22"/>
              </w:rPr>
            </w:pPr>
          </w:p>
          <w:p w:rsidR="00B73BD1" w:rsidRPr="00BC22F8" w:rsidRDefault="00B73BD1" w:rsidP="00BE6EA2">
            <w:pPr>
              <w:pStyle w:val="ListParagraph"/>
              <w:ind w:left="0"/>
              <w:jc w:val="center"/>
              <w:rPr>
                <w:b/>
                <w:color w:val="002060"/>
                <w:sz w:val="22"/>
                <w:szCs w:val="22"/>
              </w:rPr>
            </w:pPr>
            <w:r w:rsidRPr="00BC22F8">
              <w:rPr>
                <w:b/>
                <w:color w:val="002060"/>
                <w:sz w:val="22"/>
                <w:szCs w:val="22"/>
              </w:rPr>
              <w:t>2016</w:t>
            </w:r>
          </w:p>
          <w:p w:rsidR="00B73BD1" w:rsidRPr="00BC22F8" w:rsidRDefault="00B73BD1" w:rsidP="00BE6EA2">
            <w:pPr>
              <w:pStyle w:val="ListParagraph"/>
              <w:ind w:left="0"/>
              <w:jc w:val="center"/>
              <w:rPr>
                <w:b/>
                <w:color w:val="002060"/>
                <w:sz w:val="22"/>
                <w:szCs w:val="22"/>
              </w:rPr>
            </w:pPr>
          </w:p>
        </w:tc>
        <w:tc>
          <w:tcPr>
            <w:tcW w:w="1417" w:type="dxa"/>
            <w:shd w:val="clear" w:color="auto" w:fill="B8CCE4" w:themeFill="accent1" w:themeFillTint="66"/>
            <w:vAlign w:val="center"/>
          </w:tcPr>
          <w:p w:rsidR="00B73BD1" w:rsidRPr="00BC22F8" w:rsidRDefault="00B73BD1" w:rsidP="00BE6EA2">
            <w:pPr>
              <w:pStyle w:val="ListParagraph"/>
              <w:ind w:left="0"/>
              <w:jc w:val="center"/>
              <w:rPr>
                <w:b/>
                <w:color w:val="002060"/>
                <w:sz w:val="22"/>
                <w:szCs w:val="22"/>
              </w:rPr>
            </w:pPr>
            <w:r w:rsidRPr="00BC22F8">
              <w:rPr>
                <w:b/>
                <w:color w:val="002060"/>
                <w:sz w:val="22"/>
                <w:szCs w:val="22"/>
              </w:rPr>
              <w:t xml:space="preserve">Pieaugums </w:t>
            </w:r>
          </w:p>
          <w:p w:rsidR="00B73BD1" w:rsidRPr="00BC22F8" w:rsidRDefault="00B73BD1" w:rsidP="00BE6EA2">
            <w:pPr>
              <w:pStyle w:val="ListParagraph"/>
              <w:ind w:left="0"/>
              <w:jc w:val="center"/>
              <w:rPr>
                <w:b/>
                <w:color w:val="002060"/>
                <w:sz w:val="22"/>
                <w:szCs w:val="22"/>
              </w:rPr>
            </w:pPr>
            <w:r w:rsidRPr="00BC22F8">
              <w:rPr>
                <w:b/>
                <w:color w:val="002060"/>
                <w:sz w:val="22"/>
                <w:szCs w:val="22"/>
              </w:rPr>
              <w:t>EUR</w:t>
            </w:r>
            <w:r w:rsidR="00BE6EA2" w:rsidRPr="00BC22F8">
              <w:rPr>
                <w:b/>
                <w:color w:val="002060"/>
                <w:sz w:val="22"/>
                <w:szCs w:val="22"/>
              </w:rPr>
              <w:t xml:space="preserve"> (2014.g.-2016.g.)</w:t>
            </w:r>
          </w:p>
        </w:tc>
        <w:tc>
          <w:tcPr>
            <w:tcW w:w="1276" w:type="dxa"/>
            <w:shd w:val="clear" w:color="auto" w:fill="B8CCE4" w:themeFill="accent1" w:themeFillTint="66"/>
            <w:vAlign w:val="center"/>
          </w:tcPr>
          <w:p w:rsidR="00B73BD1" w:rsidRPr="00BC22F8" w:rsidRDefault="00B73BD1" w:rsidP="00BE6EA2">
            <w:pPr>
              <w:pStyle w:val="ListParagraph"/>
              <w:ind w:left="0"/>
              <w:jc w:val="center"/>
              <w:rPr>
                <w:b/>
                <w:color w:val="002060"/>
                <w:sz w:val="22"/>
                <w:szCs w:val="22"/>
              </w:rPr>
            </w:pPr>
            <w:r w:rsidRPr="00BC22F8">
              <w:rPr>
                <w:b/>
                <w:color w:val="002060"/>
                <w:sz w:val="22"/>
                <w:szCs w:val="22"/>
              </w:rPr>
              <w:t xml:space="preserve">Pieaugums </w:t>
            </w:r>
          </w:p>
          <w:p w:rsidR="00B73BD1" w:rsidRPr="00BC22F8" w:rsidRDefault="00B73BD1" w:rsidP="00BE6EA2">
            <w:pPr>
              <w:pStyle w:val="ListParagraph"/>
              <w:ind w:left="0"/>
              <w:jc w:val="center"/>
              <w:rPr>
                <w:b/>
                <w:color w:val="002060"/>
                <w:sz w:val="22"/>
                <w:szCs w:val="22"/>
              </w:rPr>
            </w:pPr>
            <w:r w:rsidRPr="00BC22F8">
              <w:rPr>
                <w:b/>
                <w:color w:val="002060"/>
                <w:sz w:val="22"/>
                <w:szCs w:val="22"/>
              </w:rPr>
              <w:t>%</w:t>
            </w:r>
          </w:p>
          <w:p w:rsidR="00BE6EA2" w:rsidRPr="00BC22F8" w:rsidRDefault="00BE6EA2" w:rsidP="00BE6EA2">
            <w:pPr>
              <w:pStyle w:val="ListParagraph"/>
              <w:ind w:left="0"/>
              <w:jc w:val="center"/>
              <w:rPr>
                <w:b/>
                <w:color w:val="002060"/>
                <w:sz w:val="22"/>
                <w:szCs w:val="22"/>
              </w:rPr>
            </w:pPr>
            <w:r w:rsidRPr="00BC22F8">
              <w:rPr>
                <w:b/>
                <w:color w:val="002060"/>
                <w:sz w:val="22"/>
                <w:szCs w:val="22"/>
              </w:rPr>
              <w:t>(2014.g.-2016.g.)</w:t>
            </w:r>
          </w:p>
        </w:tc>
      </w:tr>
      <w:tr w:rsidR="00A82276" w:rsidRPr="00017B4E" w:rsidTr="00FB5305">
        <w:tc>
          <w:tcPr>
            <w:tcW w:w="4077" w:type="dxa"/>
          </w:tcPr>
          <w:p w:rsidR="00A82276" w:rsidRPr="00017B4E" w:rsidRDefault="00A82276" w:rsidP="00BE6EA2">
            <w:pPr>
              <w:pStyle w:val="ListParagraph"/>
              <w:ind w:left="0"/>
              <w:rPr>
                <w:sz w:val="22"/>
                <w:szCs w:val="22"/>
              </w:rPr>
            </w:pPr>
            <w:r w:rsidRPr="00017B4E">
              <w:rPr>
                <w:sz w:val="22"/>
                <w:szCs w:val="22"/>
              </w:rPr>
              <w:t>1 personas mājsaimniecība - vīrieši</w:t>
            </w:r>
          </w:p>
        </w:tc>
        <w:tc>
          <w:tcPr>
            <w:tcW w:w="0" w:type="auto"/>
            <w:vAlign w:val="center"/>
          </w:tcPr>
          <w:p w:rsidR="00A82276" w:rsidRDefault="00A82276">
            <w:pPr>
              <w:jc w:val="center"/>
              <w:rPr>
                <w:color w:val="000000"/>
                <w:sz w:val="22"/>
                <w:szCs w:val="22"/>
              </w:rPr>
            </w:pPr>
            <w:r>
              <w:rPr>
                <w:color w:val="000000"/>
                <w:sz w:val="22"/>
                <w:szCs w:val="22"/>
              </w:rPr>
              <w:t>489,4</w:t>
            </w:r>
          </w:p>
        </w:tc>
        <w:tc>
          <w:tcPr>
            <w:tcW w:w="0" w:type="auto"/>
            <w:vAlign w:val="center"/>
          </w:tcPr>
          <w:p w:rsidR="00A82276" w:rsidRDefault="00A82276">
            <w:pPr>
              <w:jc w:val="center"/>
              <w:rPr>
                <w:color w:val="000000"/>
                <w:sz w:val="22"/>
                <w:szCs w:val="22"/>
              </w:rPr>
            </w:pPr>
            <w:r>
              <w:rPr>
                <w:color w:val="000000"/>
                <w:sz w:val="22"/>
                <w:szCs w:val="22"/>
              </w:rPr>
              <w:t>515,8</w:t>
            </w:r>
          </w:p>
        </w:tc>
        <w:tc>
          <w:tcPr>
            <w:tcW w:w="0" w:type="auto"/>
            <w:vAlign w:val="center"/>
          </w:tcPr>
          <w:p w:rsidR="00A82276" w:rsidRDefault="00A82276">
            <w:pPr>
              <w:jc w:val="center"/>
              <w:rPr>
                <w:color w:val="000000"/>
                <w:sz w:val="22"/>
                <w:szCs w:val="22"/>
              </w:rPr>
            </w:pPr>
            <w:r>
              <w:rPr>
                <w:color w:val="000000"/>
                <w:sz w:val="22"/>
                <w:szCs w:val="22"/>
              </w:rPr>
              <w:t>501,1</w:t>
            </w:r>
          </w:p>
        </w:tc>
        <w:tc>
          <w:tcPr>
            <w:tcW w:w="0" w:type="auto"/>
            <w:vAlign w:val="center"/>
          </w:tcPr>
          <w:p w:rsidR="00A82276" w:rsidRPr="00A82276" w:rsidRDefault="00A82276" w:rsidP="00FB5305">
            <w:pPr>
              <w:pStyle w:val="ListParagraph"/>
              <w:ind w:left="0"/>
              <w:jc w:val="center"/>
              <w:rPr>
                <w:sz w:val="22"/>
                <w:szCs w:val="22"/>
              </w:rPr>
            </w:pPr>
            <w:r w:rsidRPr="00A82276">
              <w:rPr>
                <w:sz w:val="22"/>
                <w:szCs w:val="22"/>
              </w:rPr>
              <w:t>11,7</w:t>
            </w:r>
          </w:p>
        </w:tc>
        <w:tc>
          <w:tcPr>
            <w:tcW w:w="0" w:type="auto"/>
            <w:vAlign w:val="center"/>
          </w:tcPr>
          <w:p w:rsidR="00A82276" w:rsidRPr="00A82276" w:rsidRDefault="00A82276" w:rsidP="00A82276">
            <w:pPr>
              <w:pStyle w:val="ListParagraph"/>
              <w:spacing w:before="240"/>
              <w:ind w:left="0"/>
              <w:jc w:val="center"/>
              <w:rPr>
                <w:sz w:val="22"/>
                <w:szCs w:val="22"/>
              </w:rPr>
            </w:pPr>
            <w:r w:rsidRPr="00A82276">
              <w:rPr>
                <w:sz w:val="22"/>
                <w:szCs w:val="22"/>
              </w:rPr>
              <w:t>2,4</w:t>
            </w:r>
          </w:p>
        </w:tc>
      </w:tr>
      <w:tr w:rsidR="00A82276" w:rsidRPr="00017B4E" w:rsidTr="00FB5305">
        <w:tc>
          <w:tcPr>
            <w:tcW w:w="4077" w:type="dxa"/>
          </w:tcPr>
          <w:p w:rsidR="00A82276" w:rsidRPr="00017B4E" w:rsidRDefault="00A82276" w:rsidP="00BE6EA2">
            <w:pPr>
              <w:pStyle w:val="ListParagraph"/>
              <w:ind w:left="0"/>
              <w:rPr>
                <w:sz w:val="22"/>
                <w:szCs w:val="22"/>
              </w:rPr>
            </w:pPr>
            <w:r w:rsidRPr="00017B4E">
              <w:rPr>
                <w:sz w:val="22"/>
                <w:szCs w:val="22"/>
              </w:rPr>
              <w:t>1 personas mājsaimniecība - sievietes</w:t>
            </w:r>
          </w:p>
        </w:tc>
        <w:tc>
          <w:tcPr>
            <w:tcW w:w="0" w:type="auto"/>
            <w:vAlign w:val="center"/>
          </w:tcPr>
          <w:p w:rsidR="00A82276" w:rsidRDefault="00A82276">
            <w:pPr>
              <w:jc w:val="center"/>
              <w:rPr>
                <w:color w:val="000000"/>
                <w:sz w:val="22"/>
                <w:szCs w:val="22"/>
              </w:rPr>
            </w:pPr>
            <w:r>
              <w:rPr>
                <w:color w:val="000000"/>
                <w:sz w:val="22"/>
                <w:szCs w:val="22"/>
              </w:rPr>
              <w:t>386,8</w:t>
            </w:r>
          </w:p>
        </w:tc>
        <w:tc>
          <w:tcPr>
            <w:tcW w:w="0" w:type="auto"/>
            <w:vAlign w:val="center"/>
          </w:tcPr>
          <w:p w:rsidR="00A82276" w:rsidRDefault="00A82276">
            <w:pPr>
              <w:jc w:val="center"/>
              <w:rPr>
                <w:color w:val="000000"/>
                <w:sz w:val="22"/>
                <w:szCs w:val="22"/>
              </w:rPr>
            </w:pPr>
            <w:r>
              <w:rPr>
                <w:color w:val="000000"/>
                <w:sz w:val="22"/>
                <w:szCs w:val="22"/>
              </w:rPr>
              <w:t>409,0</w:t>
            </w:r>
          </w:p>
        </w:tc>
        <w:tc>
          <w:tcPr>
            <w:tcW w:w="0" w:type="auto"/>
            <w:vAlign w:val="center"/>
          </w:tcPr>
          <w:p w:rsidR="00A82276" w:rsidRDefault="00A82276">
            <w:pPr>
              <w:jc w:val="center"/>
              <w:rPr>
                <w:color w:val="000000"/>
                <w:sz w:val="22"/>
                <w:szCs w:val="22"/>
              </w:rPr>
            </w:pPr>
            <w:r>
              <w:rPr>
                <w:color w:val="000000"/>
                <w:sz w:val="22"/>
                <w:szCs w:val="22"/>
              </w:rPr>
              <w:t>433,2</w:t>
            </w:r>
          </w:p>
        </w:tc>
        <w:tc>
          <w:tcPr>
            <w:tcW w:w="0" w:type="auto"/>
            <w:vAlign w:val="center"/>
          </w:tcPr>
          <w:p w:rsidR="00A82276" w:rsidRPr="00A82276" w:rsidRDefault="00A82276" w:rsidP="00FB5305">
            <w:pPr>
              <w:pStyle w:val="ListParagraph"/>
              <w:ind w:left="0"/>
              <w:jc w:val="center"/>
              <w:rPr>
                <w:sz w:val="22"/>
                <w:szCs w:val="22"/>
              </w:rPr>
            </w:pPr>
            <w:r w:rsidRPr="00A82276">
              <w:rPr>
                <w:sz w:val="22"/>
                <w:szCs w:val="22"/>
              </w:rPr>
              <w:t>46,5</w:t>
            </w:r>
          </w:p>
        </w:tc>
        <w:tc>
          <w:tcPr>
            <w:tcW w:w="0" w:type="auto"/>
            <w:vAlign w:val="center"/>
          </w:tcPr>
          <w:p w:rsidR="00A82276" w:rsidRPr="00A82276" w:rsidRDefault="00A82276" w:rsidP="00A82276">
            <w:pPr>
              <w:pStyle w:val="ListParagraph"/>
              <w:spacing w:before="240"/>
              <w:ind w:left="0"/>
              <w:jc w:val="center"/>
              <w:rPr>
                <w:sz w:val="22"/>
                <w:szCs w:val="22"/>
              </w:rPr>
            </w:pPr>
            <w:r w:rsidRPr="00A82276">
              <w:rPr>
                <w:sz w:val="22"/>
                <w:szCs w:val="22"/>
              </w:rPr>
              <w:t>12,0</w:t>
            </w:r>
          </w:p>
        </w:tc>
      </w:tr>
      <w:tr w:rsidR="00A82276" w:rsidRPr="00017B4E" w:rsidTr="00FB5305">
        <w:tc>
          <w:tcPr>
            <w:tcW w:w="4077" w:type="dxa"/>
          </w:tcPr>
          <w:p w:rsidR="00A82276" w:rsidRPr="00017B4E" w:rsidRDefault="00A82276" w:rsidP="00BE6EA2">
            <w:pPr>
              <w:pStyle w:val="ListParagraph"/>
              <w:ind w:left="0"/>
              <w:rPr>
                <w:sz w:val="22"/>
                <w:szCs w:val="22"/>
              </w:rPr>
            </w:pPr>
            <w:r w:rsidRPr="00017B4E">
              <w:rPr>
                <w:sz w:val="22"/>
                <w:szCs w:val="22"/>
              </w:rPr>
              <w:t>1 personas mājsaimniecības līdz 64 gadu vecumam</w:t>
            </w:r>
          </w:p>
        </w:tc>
        <w:tc>
          <w:tcPr>
            <w:tcW w:w="0" w:type="auto"/>
            <w:vAlign w:val="center"/>
          </w:tcPr>
          <w:p w:rsidR="00A82276" w:rsidRDefault="00A82276">
            <w:pPr>
              <w:jc w:val="center"/>
              <w:rPr>
                <w:color w:val="000000"/>
                <w:sz w:val="22"/>
                <w:szCs w:val="22"/>
              </w:rPr>
            </w:pPr>
            <w:r>
              <w:rPr>
                <w:color w:val="000000"/>
                <w:sz w:val="22"/>
                <w:szCs w:val="22"/>
              </w:rPr>
              <w:t>541,3</w:t>
            </w:r>
          </w:p>
        </w:tc>
        <w:tc>
          <w:tcPr>
            <w:tcW w:w="0" w:type="auto"/>
            <w:vAlign w:val="center"/>
          </w:tcPr>
          <w:p w:rsidR="00A82276" w:rsidRDefault="00A82276">
            <w:pPr>
              <w:jc w:val="center"/>
              <w:rPr>
                <w:color w:val="000000"/>
                <w:sz w:val="22"/>
                <w:szCs w:val="22"/>
              </w:rPr>
            </w:pPr>
            <w:r>
              <w:rPr>
                <w:color w:val="000000"/>
                <w:sz w:val="22"/>
                <w:szCs w:val="22"/>
              </w:rPr>
              <w:t>578,6</w:t>
            </w:r>
          </w:p>
        </w:tc>
        <w:tc>
          <w:tcPr>
            <w:tcW w:w="0" w:type="auto"/>
            <w:vAlign w:val="center"/>
          </w:tcPr>
          <w:p w:rsidR="00A82276" w:rsidRDefault="00A82276">
            <w:pPr>
              <w:jc w:val="center"/>
              <w:rPr>
                <w:color w:val="000000"/>
                <w:sz w:val="22"/>
                <w:szCs w:val="22"/>
              </w:rPr>
            </w:pPr>
            <w:r>
              <w:rPr>
                <w:color w:val="000000"/>
                <w:sz w:val="22"/>
                <w:szCs w:val="22"/>
              </w:rPr>
              <w:t>569,2</w:t>
            </w:r>
          </w:p>
        </w:tc>
        <w:tc>
          <w:tcPr>
            <w:tcW w:w="0" w:type="auto"/>
            <w:vAlign w:val="center"/>
          </w:tcPr>
          <w:p w:rsidR="00A82276" w:rsidRPr="00A82276" w:rsidRDefault="00A82276" w:rsidP="00FB5305">
            <w:pPr>
              <w:pStyle w:val="ListParagraph"/>
              <w:ind w:left="0"/>
              <w:jc w:val="center"/>
              <w:rPr>
                <w:sz w:val="22"/>
                <w:szCs w:val="22"/>
              </w:rPr>
            </w:pPr>
            <w:r w:rsidRPr="00A82276">
              <w:rPr>
                <w:sz w:val="22"/>
                <w:szCs w:val="22"/>
              </w:rPr>
              <w:t>27,8</w:t>
            </w:r>
          </w:p>
        </w:tc>
        <w:tc>
          <w:tcPr>
            <w:tcW w:w="0" w:type="auto"/>
            <w:vAlign w:val="center"/>
          </w:tcPr>
          <w:p w:rsidR="00A82276" w:rsidRPr="00A82276" w:rsidRDefault="00A82276" w:rsidP="00A82276">
            <w:pPr>
              <w:pStyle w:val="ListParagraph"/>
              <w:spacing w:before="240"/>
              <w:ind w:left="0"/>
              <w:jc w:val="center"/>
              <w:rPr>
                <w:sz w:val="22"/>
                <w:szCs w:val="22"/>
              </w:rPr>
            </w:pPr>
            <w:r w:rsidRPr="00A82276">
              <w:rPr>
                <w:sz w:val="22"/>
                <w:szCs w:val="22"/>
              </w:rPr>
              <w:t>5,1</w:t>
            </w:r>
          </w:p>
        </w:tc>
      </w:tr>
      <w:tr w:rsidR="00A82276" w:rsidRPr="00017B4E" w:rsidTr="00FB5305">
        <w:tc>
          <w:tcPr>
            <w:tcW w:w="4077" w:type="dxa"/>
          </w:tcPr>
          <w:p w:rsidR="00A82276" w:rsidRPr="00017B4E" w:rsidRDefault="00A82276" w:rsidP="00BE6EA2">
            <w:pPr>
              <w:pStyle w:val="ListParagraph"/>
              <w:ind w:left="0"/>
              <w:rPr>
                <w:sz w:val="22"/>
                <w:szCs w:val="22"/>
              </w:rPr>
            </w:pPr>
            <w:r w:rsidRPr="00017B4E">
              <w:rPr>
                <w:sz w:val="22"/>
                <w:szCs w:val="22"/>
              </w:rPr>
              <w:t>1 personas mājsaimniecības 65 gadi un vecākas</w:t>
            </w:r>
          </w:p>
        </w:tc>
        <w:tc>
          <w:tcPr>
            <w:tcW w:w="0" w:type="auto"/>
            <w:vAlign w:val="center"/>
          </w:tcPr>
          <w:p w:rsidR="00A82276" w:rsidRDefault="00A82276">
            <w:pPr>
              <w:jc w:val="center"/>
              <w:rPr>
                <w:color w:val="000000"/>
                <w:sz w:val="22"/>
                <w:szCs w:val="22"/>
              </w:rPr>
            </w:pPr>
            <w:r>
              <w:rPr>
                <w:color w:val="000000"/>
                <w:sz w:val="22"/>
                <w:szCs w:val="22"/>
              </w:rPr>
              <w:t>309,9</w:t>
            </w:r>
          </w:p>
        </w:tc>
        <w:tc>
          <w:tcPr>
            <w:tcW w:w="0" w:type="auto"/>
            <w:vAlign w:val="center"/>
          </w:tcPr>
          <w:p w:rsidR="00A82276" w:rsidRDefault="00A82276">
            <w:pPr>
              <w:jc w:val="center"/>
              <w:rPr>
                <w:color w:val="000000"/>
                <w:sz w:val="22"/>
                <w:szCs w:val="22"/>
              </w:rPr>
            </w:pPr>
            <w:r>
              <w:rPr>
                <w:color w:val="000000"/>
                <w:sz w:val="22"/>
                <w:szCs w:val="22"/>
              </w:rPr>
              <w:t>323,9</w:t>
            </w:r>
          </w:p>
        </w:tc>
        <w:tc>
          <w:tcPr>
            <w:tcW w:w="0" w:type="auto"/>
            <w:vAlign w:val="center"/>
          </w:tcPr>
          <w:p w:rsidR="00A82276" w:rsidRDefault="00A82276">
            <w:pPr>
              <w:jc w:val="center"/>
              <w:rPr>
                <w:color w:val="000000"/>
                <w:sz w:val="22"/>
                <w:szCs w:val="22"/>
              </w:rPr>
            </w:pPr>
            <w:r>
              <w:rPr>
                <w:color w:val="000000"/>
                <w:sz w:val="22"/>
                <w:szCs w:val="22"/>
              </w:rPr>
              <w:t>351,6</w:t>
            </w:r>
          </w:p>
        </w:tc>
        <w:tc>
          <w:tcPr>
            <w:tcW w:w="0" w:type="auto"/>
            <w:vAlign w:val="center"/>
          </w:tcPr>
          <w:p w:rsidR="00A82276" w:rsidRPr="00A82276" w:rsidRDefault="00A82276" w:rsidP="00FB5305">
            <w:pPr>
              <w:pStyle w:val="ListParagraph"/>
              <w:ind w:left="0"/>
              <w:jc w:val="center"/>
              <w:rPr>
                <w:sz w:val="22"/>
                <w:szCs w:val="22"/>
              </w:rPr>
            </w:pPr>
            <w:r w:rsidRPr="00A82276">
              <w:rPr>
                <w:sz w:val="22"/>
                <w:szCs w:val="22"/>
              </w:rPr>
              <w:t>41,7</w:t>
            </w:r>
          </w:p>
        </w:tc>
        <w:tc>
          <w:tcPr>
            <w:tcW w:w="0" w:type="auto"/>
            <w:vAlign w:val="center"/>
          </w:tcPr>
          <w:p w:rsidR="00A82276" w:rsidRPr="00A82276" w:rsidRDefault="00A82276" w:rsidP="00A82276">
            <w:pPr>
              <w:pStyle w:val="ListParagraph"/>
              <w:spacing w:before="240"/>
              <w:ind w:left="0"/>
              <w:jc w:val="center"/>
              <w:rPr>
                <w:sz w:val="22"/>
                <w:szCs w:val="22"/>
              </w:rPr>
            </w:pPr>
            <w:r w:rsidRPr="00A82276">
              <w:rPr>
                <w:sz w:val="22"/>
                <w:szCs w:val="22"/>
              </w:rPr>
              <w:t>13,5</w:t>
            </w:r>
          </w:p>
        </w:tc>
      </w:tr>
      <w:tr w:rsidR="00A82276" w:rsidRPr="00017B4E" w:rsidTr="00FB5305">
        <w:tc>
          <w:tcPr>
            <w:tcW w:w="4077" w:type="dxa"/>
          </w:tcPr>
          <w:p w:rsidR="00A82276" w:rsidRPr="00017B4E" w:rsidRDefault="00A82276" w:rsidP="00BE6EA2">
            <w:pPr>
              <w:pStyle w:val="ListParagraph"/>
              <w:ind w:left="0"/>
              <w:rPr>
                <w:sz w:val="22"/>
                <w:szCs w:val="22"/>
              </w:rPr>
            </w:pPr>
            <w:r w:rsidRPr="00017B4E">
              <w:rPr>
                <w:sz w:val="22"/>
                <w:szCs w:val="22"/>
              </w:rPr>
              <w:t>2 pieaugušie bez apgādībā esošiem bērniem (abi jaunāki par 65 gadiem)</w:t>
            </w:r>
          </w:p>
        </w:tc>
        <w:tc>
          <w:tcPr>
            <w:tcW w:w="0" w:type="auto"/>
            <w:vAlign w:val="center"/>
          </w:tcPr>
          <w:p w:rsidR="00A82276" w:rsidRDefault="00A82276">
            <w:pPr>
              <w:jc w:val="center"/>
              <w:rPr>
                <w:color w:val="000000"/>
                <w:sz w:val="22"/>
                <w:szCs w:val="22"/>
              </w:rPr>
            </w:pPr>
            <w:r>
              <w:rPr>
                <w:color w:val="000000"/>
                <w:sz w:val="22"/>
                <w:szCs w:val="22"/>
              </w:rPr>
              <w:t>504,2</w:t>
            </w:r>
          </w:p>
        </w:tc>
        <w:tc>
          <w:tcPr>
            <w:tcW w:w="0" w:type="auto"/>
            <w:vAlign w:val="center"/>
          </w:tcPr>
          <w:p w:rsidR="00A82276" w:rsidRDefault="00A82276">
            <w:pPr>
              <w:jc w:val="center"/>
              <w:rPr>
                <w:color w:val="000000"/>
                <w:sz w:val="22"/>
                <w:szCs w:val="22"/>
              </w:rPr>
            </w:pPr>
            <w:r>
              <w:rPr>
                <w:color w:val="000000"/>
                <w:sz w:val="22"/>
                <w:szCs w:val="22"/>
              </w:rPr>
              <w:t>524,2</w:t>
            </w:r>
          </w:p>
        </w:tc>
        <w:tc>
          <w:tcPr>
            <w:tcW w:w="0" w:type="auto"/>
            <w:vAlign w:val="center"/>
          </w:tcPr>
          <w:p w:rsidR="00A82276" w:rsidRDefault="00A82276">
            <w:pPr>
              <w:jc w:val="center"/>
              <w:rPr>
                <w:color w:val="000000"/>
                <w:sz w:val="22"/>
                <w:szCs w:val="22"/>
              </w:rPr>
            </w:pPr>
            <w:r>
              <w:rPr>
                <w:color w:val="000000"/>
                <w:sz w:val="22"/>
                <w:szCs w:val="22"/>
              </w:rPr>
              <w:t>583,0</w:t>
            </w:r>
          </w:p>
        </w:tc>
        <w:tc>
          <w:tcPr>
            <w:tcW w:w="0" w:type="auto"/>
            <w:vAlign w:val="center"/>
          </w:tcPr>
          <w:p w:rsidR="00A82276" w:rsidRPr="00A82276" w:rsidRDefault="00A82276" w:rsidP="00FB5305">
            <w:pPr>
              <w:pStyle w:val="ListParagraph"/>
              <w:ind w:left="0"/>
              <w:jc w:val="center"/>
              <w:rPr>
                <w:sz w:val="22"/>
                <w:szCs w:val="22"/>
              </w:rPr>
            </w:pPr>
            <w:r w:rsidRPr="00A82276">
              <w:rPr>
                <w:sz w:val="22"/>
                <w:szCs w:val="22"/>
              </w:rPr>
              <w:t>78,8</w:t>
            </w:r>
          </w:p>
        </w:tc>
        <w:tc>
          <w:tcPr>
            <w:tcW w:w="0" w:type="auto"/>
            <w:vAlign w:val="center"/>
          </w:tcPr>
          <w:p w:rsidR="00A82276" w:rsidRPr="00A82276" w:rsidRDefault="00A82276" w:rsidP="00A82276">
            <w:pPr>
              <w:pStyle w:val="ListParagraph"/>
              <w:spacing w:before="240"/>
              <w:ind w:left="0"/>
              <w:jc w:val="center"/>
              <w:rPr>
                <w:sz w:val="22"/>
                <w:szCs w:val="22"/>
              </w:rPr>
            </w:pPr>
            <w:r w:rsidRPr="00A82276">
              <w:rPr>
                <w:sz w:val="22"/>
                <w:szCs w:val="22"/>
              </w:rPr>
              <w:t>15,6</w:t>
            </w:r>
          </w:p>
        </w:tc>
      </w:tr>
      <w:tr w:rsidR="00A82276" w:rsidRPr="00017B4E" w:rsidTr="00FB5305">
        <w:tc>
          <w:tcPr>
            <w:tcW w:w="4077" w:type="dxa"/>
          </w:tcPr>
          <w:p w:rsidR="00A82276" w:rsidRPr="00017B4E" w:rsidRDefault="00A82276" w:rsidP="00BE6EA2">
            <w:pPr>
              <w:pStyle w:val="ListParagraph"/>
              <w:ind w:left="0"/>
              <w:rPr>
                <w:sz w:val="22"/>
                <w:szCs w:val="22"/>
              </w:rPr>
            </w:pPr>
            <w:r w:rsidRPr="00017B4E">
              <w:rPr>
                <w:sz w:val="22"/>
                <w:szCs w:val="22"/>
              </w:rPr>
              <w:t>2 pieaugušie bez apgādībā esošiem bērniem (vismaz viens 65+ gadi)</w:t>
            </w:r>
          </w:p>
        </w:tc>
        <w:tc>
          <w:tcPr>
            <w:tcW w:w="0" w:type="auto"/>
            <w:vAlign w:val="center"/>
          </w:tcPr>
          <w:p w:rsidR="00A82276" w:rsidRDefault="00A82276">
            <w:pPr>
              <w:jc w:val="center"/>
              <w:rPr>
                <w:color w:val="000000"/>
                <w:sz w:val="22"/>
                <w:szCs w:val="22"/>
              </w:rPr>
            </w:pPr>
            <w:r>
              <w:rPr>
                <w:color w:val="000000"/>
                <w:sz w:val="22"/>
                <w:szCs w:val="22"/>
              </w:rPr>
              <w:t>361,0</w:t>
            </w:r>
          </w:p>
        </w:tc>
        <w:tc>
          <w:tcPr>
            <w:tcW w:w="0" w:type="auto"/>
            <w:vAlign w:val="center"/>
          </w:tcPr>
          <w:p w:rsidR="00A82276" w:rsidRDefault="00A82276">
            <w:pPr>
              <w:jc w:val="center"/>
              <w:rPr>
                <w:color w:val="000000"/>
                <w:sz w:val="22"/>
                <w:szCs w:val="22"/>
              </w:rPr>
            </w:pPr>
            <w:r>
              <w:rPr>
                <w:color w:val="000000"/>
                <w:sz w:val="22"/>
                <w:szCs w:val="22"/>
              </w:rPr>
              <w:t>386,8</w:t>
            </w:r>
          </w:p>
        </w:tc>
        <w:tc>
          <w:tcPr>
            <w:tcW w:w="0" w:type="auto"/>
            <w:vAlign w:val="center"/>
          </w:tcPr>
          <w:p w:rsidR="00A82276" w:rsidRDefault="00A82276">
            <w:pPr>
              <w:jc w:val="center"/>
              <w:rPr>
                <w:color w:val="000000"/>
                <w:sz w:val="22"/>
                <w:szCs w:val="22"/>
              </w:rPr>
            </w:pPr>
            <w:r>
              <w:rPr>
                <w:color w:val="000000"/>
                <w:sz w:val="22"/>
                <w:szCs w:val="22"/>
              </w:rPr>
              <w:t>398,2</w:t>
            </w:r>
          </w:p>
        </w:tc>
        <w:tc>
          <w:tcPr>
            <w:tcW w:w="0" w:type="auto"/>
            <w:vAlign w:val="center"/>
          </w:tcPr>
          <w:p w:rsidR="00A82276" w:rsidRPr="00A82276" w:rsidRDefault="00A82276" w:rsidP="00FB5305">
            <w:pPr>
              <w:pStyle w:val="ListParagraph"/>
              <w:ind w:left="0"/>
              <w:jc w:val="center"/>
              <w:rPr>
                <w:sz w:val="22"/>
                <w:szCs w:val="22"/>
              </w:rPr>
            </w:pPr>
            <w:r w:rsidRPr="00A82276">
              <w:rPr>
                <w:sz w:val="22"/>
                <w:szCs w:val="22"/>
              </w:rPr>
              <w:t>37,1</w:t>
            </w:r>
          </w:p>
        </w:tc>
        <w:tc>
          <w:tcPr>
            <w:tcW w:w="0" w:type="auto"/>
            <w:vAlign w:val="center"/>
          </w:tcPr>
          <w:p w:rsidR="00A82276" w:rsidRPr="00A82276" w:rsidRDefault="00A82276" w:rsidP="00A82276">
            <w:pPr>
              <w:pStyle w:val="ListParagraph"/>
              <w:spacing w:before="240"/>
              <w:ind w:left="0"/>
              <w:jc w:val="center"/>
              <w:rPr>
                <w:sz w:val="22"/>
                <w:szCs w:val="22"/>
              </w:rPr>
            </w:pPr>
            <w:r w:rsidRPr="00A82276">
              <w:rPr>
                <w:sz w:val="22"/>
                <w:szCs w:val="22"/>
              </w:rPr>
              <w:t>10,3</w:t>
            </w:r>
          </w:p>
        </w:tc>
      </w:tr>
    </w:tbl>
    <w:p w:rsidR="00B73BD1" w:rsidRPr="00B509BB" w:rsidRDefault="00B73BD1" w:rsidP="00B73BD1">
      <w:pPr>
        <w:pStyle w:val="ListParagraph"/>
        <w:ind w:left="0"/>
        <w:rPr>
          <w:bCs/>
          <w:sz w:val="20"/>
          <w:szCs w:val="20"/>
        </w:rPr>
      </w:pPr>
      <w:r w:rsidRPr="00B509BB">
        <w:rPr>
          <w:bCs/>
          <w:sz w:val="20"/>
          <w:szCs w:val="20"/>
        </w:rPr>
        <w:t>Avots:</w:t>
      </w:r>
      <w:r w:rsidRPr="00B509BB">
        <w:rPr>
          <w:sz w:val="20"/>
          <w:szCs w:val="20"/>
        </w:rPr>
        <w:t xml:space="preserve"> CSP, “IIG080. Mājsaimniecību rīcībā esošie ienākumi pēc mājsaimniecības tipa (</w:t>
      </w:r>
      <w:r>
        <w:rPr>
          <w:sz w:val="20"/>
          <w:szCs w:val="20"/>
        </w:rPr>
        <w:t>EUR</w:t>
      </w:r>
      <w:r w:rsidRPr="00B509BB">
        <w:rPr>
          <w:sz w:val="20"/>
          <w:szCs w:val="20"/>
        </w:rPr>
        <w:t>, mēnesī)”.</w:t>
      </w:r>
    </w:p>
    <w:p w:rsidR="00B73BD1" w:rsidRDefault="00B73BD1" w:rsidP="00255CC4"/>
    <w:p w:rsidR="00255CC4" w:rsidRDefault="00255CC4" w:rsidP="00255CC4">
      <w:r>
        <w:t xml:space="preserve">Analizējot atšķirības iedzīvotāju ienākumos tikai pēc </w:t>
      </w:r>
      <w:r w:rsidRPr="000162EF">
        <w:rPr>
          <w:b/>
        </w:rPr>
        <w:t>vecuma pazīmes</w:t>
      </w:r>
      <w:r>
        <w:t xml:space="preserve">, vislielākos </w:t>
      </w:r>
      <w:r w:rsidR="00B73BD1">
        <w:t xml:space="preserve">ekvivalentos rīcībā esošos </w:t>
      </w:r>
      <w:r>
        <w:t>ienākumus 2016.</w:t>
      </w:r>
      <w:r w:rsidRPr="00EA0927">
        <w:t xml:space="preserve">gadā guvušas personas </w:t>
      </w:r>
      <w:r w:rsidRPr="000162EF">
        <w:t>vecuma grupās</w:t>
      </w:r>
      <w:r w:rsidRPr="00EA0927">
        <w:t xml:space="preserve"> no 25</w:t>
      </w:r>
      <w:r>
        <w:t xml:space="preserve"> līdz </w:t>
      </w:r>
      <w:r w:rsidRPr="00EA0927">
        <w:t xml:space="preserve">34 gadiem un </w:t>
      </w:r>
      <w:r>
        <w:t xml:space="preserve">no </w:t>
      </w:r>
      <w:r w:rsidRPr="00EA0927">
        <w:t xml:space="preserve">35 </w:t>
      </w:r>
      <w:r>
        <w:t xml:space="preserve"> līdz </w:t>
      </w:r>
      <w:r w:rsidRPr="00EA0927">
        <w:t>44 gadiem</w:t>
      </w:r>
      <w:r>
        <w:t xml:space="preserve"> (sk. </w:t>
      </w:r>
      <w:r w:rsidR="006E1579">
        <w:t>1.5</w:t>
      </w:r>
      <w:r>
        <w:t xml:space="preserve">. attēlu). </w:t>
      </w:r>
    </w:p>
    <w:p w:rsidR="002809B6" w:rsidRDefault="002809B6">
      <w:pPr>
        <w:spacing w:line="240" w:lineRule="auto"/>
        <w:jc w:val="left"/>
        <w:rPr>
          <w:b/>
          <w:color w:val="002060"/>
        </w:rPr>
      </w:pPr>
      <w:bookmarkStart w:id="195" w:name="_Toc2761054"/>
      <w:bookmarkStart w:id="196" w:name="_Toc2848153"/>
      <w:bookmarkStart w:id="197" w:name="_Toc6220075"/>
      <w:r>
        <w:rPr>
          <w:b/>
          <w:color w:val="002060"/>
        </w:rPr>
        <w:br w:type="page"/>
      </w:r>
    </w:p>
    <w:p w:rsidR="00255CC4" w:rsidRPr="002809B6" w:rsidRDefault="00AD3EDD" w:rsidP="002809B6">
      <w:pPr>
        <w:spacing w:before="240" w:after="120"/>
        <w:jc w:val="left"/>
        <w:rPr>
          <w:b/>
          <w:color w:val="002060"/>
        </w:rPr>
      </w:pPr>
      <w:r w:rsidRPr="002809B6">
        <w:rPr>
          <w:b/>
          <w:color w:val="002060"/>
        </w:rPr>
        <w:lastRenderedPageBreak/>
        <w:fldChar w:fldCharType="begin"/>
      </w:r>
      <w:r w:rsidR="006B5456" w:rsidRPr="002809B6">
        <w:rPr>
          <w:b/>
          <w:color w:val="002060"/>
        </w:rPr>
        <w:instrText xml:space="preserve"> STYLEREF 1 \s </w:instrText>
      </w:r>
      <w:r w:rsidRPr="002809B6">
        <w:rPr>
          <w:b/>
          <w:color w:val="002060"/>
        </w:rPr>
        <w:fldChar w:fldCharType="separate"/>
      </w:r>
      <w:bookmarkStart w:id="198" w:name="_Toc6855759"/>
      <w:r w:rsidR="00224B50">
        <w:rPr>
          <w:b/>
          <w:noProof/>
          <w:color w:val="002060"/>
        </w:rPr>
        <w:t>1</w:t>
      </w:r>
      <w:r w:rsidRPr="002809B6">
        <w:rPr>
          <w:b/>
          <w:color w:val="002060"/>
        </w:rPr>
        <w:fldChar w:fldCharType="end"/>
      </w:r>
      <w:r w:rsidR="006B5456" w:rsidRPr="002809B6">
        <w:rPr>
          <w:b/>
          <w:color w:val="002060"/>
        </w:rPr>
        <w:t>.</w:t>
      </w:r>
      <w:r w:rsidRPr="002809B6">
        <w:rPr>
          <w:b/>
          <w:color w:val="002060"/>
        </w:rPr>
        <w:fldChar w:fldCharType="begin"/>
      </w:r>
      <w:r w:rsidR="000F1524" w:rsidRPr="002809B6">
        <w:rPr>
          <w:b/>
          <w:color w:val="002060"/>
        </w:rPr>
        <w:instrText xml:space="preserve"> SEQ Ilustrācija \* ARABIC \s 1 </w:instrText>
      </w:r>
      <w:r w:rsidRPr="002809B6">
        <w:rPr>
          <w:b/>
          <w:color w:val="002060"/>
        </w:rPr>
        <w:fldChar w:fldCharType="separate"/>
      </w:r>
      <w:r w:rsidR="00224B50">
        <w:rPr>
          <w:b/>
          <w:noProof/>
          <w:color w:val="002060"/>
        </w:rPr>
        <w:t>5</w:t>
      </w:r>
      <w:r w:rsidRPr="002809B6">
        <w:rPr>
          <w:b/>
          <w:color w:val="002060"/>
        </w:rPr>
        <w:fldChar w:fldCharType="end"/>
      </w:r>
      <w:r w:rsidR="00255CC4" w:rsidRPr="002809B6">
        <w:rPr>
          <w:b/>
          <w:color w:val="002060"/>
        </w:rPr>
        <w:t xml:space="preserve">. attēls. </w:t>
      </w:r>
      <w:r w:rsidR="001F2ECE" w:rsidRPr="002809B6">
        <w:rPr>
          <w:b/>
          <w:color w:val="002060"/>
        </w:rPr>
        <w:t>Ekvivalentie r</w:t>
      </w:r>
      <w:r w:rsidR="00255CC4" w:rsidRPr="002809B6">
        <w:rPr>
          <w:b/>
          <w:color w:val="002060"/>
        </w:rPr>
        <w:t>īcībā esošie ienākumi vidēji uz vienu ekvivalento patērētāju sadalījumā pa vecuma grupām (EUR mēnesī)</w:t>
      </w:r>
      <w:bookmarkEnd w:id="195"/>
      <w:bookmarkEnd w:id="196"/>
      <w:bookmarkEnd w:id="197"/>
      <w:bookmarkEnd w:id="198"/>
    </w:p>
    <w:p w:rsidR="00255CC4" w:rsidRDefault="00255CC4" w:rsidP="00255CC4">
      <w:pPr>
        <w:pStyle w:val="ListParagraph"/>
        <w:ind w:left="0"/>
        <w:rPr>
          <w:u w:val="single"/>
        </w:rPr>
      </w:pPr>
      <w:r w:rsidRPr="00B1011D">
        <w:rPr>
          <w:noProof/>
        </w:rPr>
        <w:drawing>
          <wp:inline distT="0" distB="0" distL="0" distR="0">
            <wp:extent cx="6188710" cy="4209082"/>
            <wp:effectExtent l="0" t="0" r="0" b="0"/>
            <wp:docPr id="2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8710" cy="4209082"/>
                    </a:xfrm>
                    <a:prstGeom prst="rect">
                      <a:avLst/>
                    </a:prstGeom>
                    <a:noFill/>
                    <a:ln>
                      <a:noFill/>
                    </a:ln>
                  </pic:spPr>
                </pic:pic>
              </a:graphicData>
            </a:graphic>
          </wp:inline>
        </w:drawing>
      </w:r>
    </w:p>
    <w:p w:rsidR="00255CC4" w:rsidRPr="00AB7A9E" w:rsidRDefault="00255CC4" w:rsidP="00DE4D97">
      <w:pPr>
        <w:pStyle w:val="avotiemft10"/>
      </w:pPr>
      <w:bookmarkStart w:id="199" w:name="_Toc6841537"/>
      <w:r w:rsidRPr="00AB7A9E">
        <w:t>Avots: CSP, “IIG100. Rīcībā esošie ienākumi pa vecuma grupām (EUR, mēnesī)”.</w:t>
      </w:r>
      <w:bookmarkEnd w:id="199"/>
    </w:p>
    <w:p w:rsidR="00255CC4" w:rsidRDefault="00255CC4" w:rsidP="00255CC4"/>
    <w:p w:rsidR="00255CC4" w:rsidRDefault="00255CC4" w:rsidP="00255CC4">
      <w:pPr>
        <w:rPr>
          <w:bCs/>
        </w:rPr>
      </w:pPr>
      <w:r>
        <w:rPr>
          <w:bCs/>
        </w:rPr>
        <w:t xml:space="preserve">Šajās vecuma grupās vidējie </w:t>
      </w:r>
      <w:r w:rsidR="00B73BD1">
        <w:t>ekvivalentie rīcībā esošie</w:t>
      </w:r>
      <w:r w:rsidR="00B73BD1">
        <w:rPr>
          <w:bCs/>
        </w:rPr>
        <w:t xml:space="preserve"> </w:t>
      </w:r>
      <w:r>
        <w:rPr>
          <w:bCs/>
        </w:rPr>
        <w:t>ienākumi bijuši attiecīgi</w:t>
      </w:r>
      <w:r w:rsidRPr="00EA0927">
        <w:rPr>
          <w:bCs/>
        </w:rPr>
        <w:t xml:space="preserve"> 799,6 </w:t>
      </w:r>
      <w:r>
        <w:rPr>
          <w:bCs/>
        </w:rPr>
        <w:t xml:space="preserve">EUR </w:t>
      </w:r>
      <w:r w:rsidRPr="00EA0927">
        <w:rPr>
          <w:bCs/>
        </w:rPr>
        <w:t xml:space="preserve">un 726,3 </w:t>
      </w:r>
      <w:r>
        <w:rPr>
          <w:bCs/>
        </w:rPr>
        <w:t xml:space="preserve">EUR </w:t>
      </w:r>
      <w:r w:rsidRPr="00EA0927">
        <w:rPr>
          <w:bCs/>
        </w:rPr>
        <w:t>mēnesī</w:t>
      </w:r>
      <w:r>
        <w:rPr>
          <w:bCs/>
        </w:rPr>
        <w:t xml:space="preserve">. </w:t>
      </w:r>
      <w:r w:rsidRPr="00EA0927">
        <w:rPr>
          <w:bCs/>
        </w:rPr>
        <w:t xml:space="preserve"> </w:t>
      </w:r>
      <w:r>
        <w:rPr>
          <w:bCs/>
        </w:rPr>
        <w:t>Viszemākie ienākumi 2016.</w:t>
      </w:r>
      <w:r w:rsidRPr="00EA0927">
        <w:rPr>
          <w:bCs/>
        </w:rPr>
        <w:t xml:space="preserve">gadā </w:t>
      </w:r>
      <w:r>
        <w:rPr>
          <w:bCs/>
        </w:rPr>
        <w:t>bijuši</w:t>
      </w:r>
      <w:r w:rsidRPr="00EA0927">
        <w:rPr>
          <w:bCs/>
        </w:rPr>
        <w:t xml:space="preserve"> vecum</w:t>
      </w:r>
      <w:r>
        <w:rPr>
          <w:bCs/>
        </w:rPr>
        <w:t>a</w:t>
      </w:r>
      <w:r w:rsidRPr="00EA0927">
        <w:rPr>
          <w:bCs/>
        </w:rPr>
        <w:t xml:space="preserve"> grupā </w:t>
      </w:r>
      <w:r>
        <w:rPr>
          <w:bCs/>
        </w:rPr>
        <w:t xml:space="preserve">virs </w:t>
      </w:r>
      <w:r w:rsidRPr="00EA0927">
        <w:rPr>
          <w:bCs/>
        </w:rPr>
        <w:t xml:space="preserve">65 </w:t>
      </w:r>
      <w:r>
        <w:rPr>
          <w:bCs/>
        </w:rPr>
        <w:t>gadiem -</w:t>
      </w:r>
      <w:r w:rsidRPr="00EA0927">
        <w:rPr>
          <w:bCs/>
        </w:rPr>
        <w:t xml:space="preserve"> 482,5 </w:t>
      </w:r>
      <w:r>
        <w:rPr>
          <w:bCs/>
        </w:rPr>
        <w:t xml:space="preserve">EUR mēnesī. Kopumā vidējie </w:t>
      </w:r>
      <w:r w:rsidR="00B73BD1">
        <w:t>ekvivalentie rīcībā esošie</w:t>
      </w:r>
      <w:r w:rsidR="00B73BD1">
        <w:rPr>
          <w:bCs/>
        </w:rPr>
        <w:t xml:space="preserve"> </w:t>
      </w:r>
      <w:r>
        <w:rPr>
          <w:bCs/>
        </w:rPr>
        <w:t>ienākumi Izvērtējuma periodā ir pieauguši par 12,4%. Sadalījumā pa vecuma grupām visievērojamākais ienākumu kāpums kopš 2014. gada bijis vecuma grupā no 16 līdz 24 gadiem (par 20,9% jeb 111,3 EUR mēnesī), no 45 līdz 54 gadiem (par 16,2%) un no 35 līdz 44 gadiem (par 15%). Vis</w:t>
      </w:r>
      <w:r w:rsidRPr="00EA0927">
        <w:rPr>
          <w:bCs/>
        </w:rPr>
        <w:t>zemākais ienākumu pieaugums no 2014.</w:t>
      </w:r>
      <w:r>
        <w:rPr>
          <w:bCs/>
        </w:rPr>
        <w:t xml:space="preserve"> gada</w:t>
      </w:r>
      <w:r w:rsidRPr="00EA0927">
        <w:rPr>
          <w:bCs/>
        </w:rPr>
        <w:t xml:space="preserve"> līdz 2016. gadam bijis vecuma grupā no 55-64 gadiem, kur tas pieaudzis par 47,8 </w:t>
      </w:r>
      <w:r>
        <w:rPr>
          <w:bCs/>
        </w:rPr>
        <w:t>EUR jeb par 8,1%.</w:t>
      </w:r>
      <w:r w:rsidRPr="007566B7">
        <w:rPr>
          <w:bCs/>
        </w:rPr>
        <w:t xml:space="preserve"> </w:t>
      </w:r>
      <w:r>
        <w:rPr>
          <w:bCs/>
        </w:rPr>
        <w:t>Savukārt, vecuma grupā virs 65 gadiem pieaugums ir bijis par 11,3%.</w:t>
      </w:r>
    </w:p>
    <w:p w:rsidR="00255CC4" w:rsidRPr="00315872" w:rsidRDefault="00255CC4" w:rsidP="00DE4D97">
      <w:pPr>
        <w:pStyle w:val="virsrakstslvl4"/>
      </w:pPr>
      <w:bookmarkStart w:id="200" w:name="_Toc6841538"/>
      <w:r>
        <w:t>Mājsaimniecību ienākumu struktūra</w:t>
      </w:r>
      <w:bookmarkEnd w:id="200"/>
      <w:r>
        <w:t xml:space="preserve"> </w:t>
      </w:r>
    </w:p>
    <w:p w:rsidR="00255CC4" w:rsidRDefault="00255CC4" w:rsidP="00255CC4">
      <w:r w:rsidRPr="00462420">
        <w:rPr>
          <w:b/>
        </w:rPr>
        <w:t xml:space="preserve">Ienākumu struktūrā laika posmā no 2014. </w:t>
      </w:r>
      <w:r>
        <w:rPr>
          <w:b/>
        </w:rPr>
        <w:t xml:space="preserve">gada </w:t>
      </w:r>
      <w:r w:rsidRPr="00462420">
        <w:rPr>
          <w:b/>
        </w:rPr>
        <w:t>līdz 2016. gadam nav vērojamas lielas izmaiņas</w:t>
      </w:r>
      <w:r>
        <w:t xml:space="preserve"> (sk. </w:t>
      </w:r>
      <w:r w:rsidR="006E1579">
        <w:t>1.6</w:t>
      </w:r>
      <w:r>
        <w:t xml:space="preserve">. attēlu). Galvenais ienākumu avots gan laukos, gan pilsētās un līdz ar to arī visās mājsaimniecībās kopā ir </w:t>
      </w:r>
      <w:r w:rsidRPr="00462420">
        <w:rPr>
          <w:b/>
        </w:rPr>
        <w:t>ienākumi no algotā darba</w:t>
      </w:r>
      <w:r>
        <w:t>. 2016. gadā tie veidoja 71,2% no kopējiem mājsaimniecību ienākumiem, 72,3% no ienākumiem tām personām, kuras dzīvo pilsētās un 68,3% tām personām, kuras dzīvo laukos. Vidējā darba samaksa bruto pieaugusi no 765 EUR 2014. gadā līdz 859 EUR 2016. gadā, savukārt vidējās darba samaksas pieaugums neto bija no 560 EUR 2014. gadā līdz 631 EUR 2016. gadā. Kā bruto, tā neto darba samaksas pieaugums Izvērtējuma pe</w:t>
      </w:r>
      <w:r w:rsidR="00373D88">
        <w:t>riodā ir virs 12% (sk. 1.1</w:t>
      </w:r>
      <w:r w:rsidR="00446171">
        <w:t>2</w:t>
      </w:r>
      <w:r w:rsidR="00373D88">
        <w:t>. tabulu).</w:t>
      </w:r>
      <w:r>
        <w:t xml:space="preserve"> </w:t>
      </w:r>
    </w:p>
    <w:p w:rsidR="00255CC4" w:rsidRPr="00982509" w:rsidRDefault="00AD3EDD" w:rsidP="008C6B83">
      <w:pPr>
        <w:pStyle w:val="Caption"/>
      </w:pPr>
      <w:r>
        <w:lastRenderedPageBreak/>
        <w:fldChar w:fldCharType="begin"/>
      </w:r>
      <w:r w:rsidR="000F1524">
        <w:instrText xml:space="preserve"> STYLEREF 1 \s </w:instrText>
      </w:r>
      <w:r>
        <w:fldChar w:fldCharType="separate"/>
      </w:r>
      <w:r w:rsidR="00224B50">
        <w:rPr>
          <w:noProof/>
        </w:rPr>
        <w:t>1</w:t>
      </w:r>
      <w:r>
        <w:rPr>
          <w:noProof/>
        </w:rPr>
        <w:fldChar w:fldCharType="end"/>
      </w:r>
      <w:r w:rsidR="00A46B54">
        <w:t>.</w:t>
      </w:r>
      <w:r w:rsidR="000A7157">
        <w:t>1</w:t>
      </w:r>
      <w:r w:rsidR="00446171">
        <w:t>2</w:t>
      </w:r>
      <w:r w:rsidR="00255CC4" w:rsidRPr="00982509">
        <w:t xml:space="preserve">. tabula. </w:t>
      </w:r>
      <w:r w:rsidR="00255CC4">
        <w:t>Strādājošo vidējā darba samaksa mēnesī (EUR) 2014-2016</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46"/>
        <w:gridCol w:w="740"/>
        <w:gridCol w:w="740"/>
        <w:gridCol w:w="740"/>
        <w:gridCol w:w="1514"/>
      </w:tblGrid>
      <w:tr w:rsidR="00255CC4" w:rsidRPr="00BC22F8" w:rsidTr="00BC22F8">
        <w:trPr>
          <w:trHeight w:val="300"/>
        </w:trPr>
        <w:tc>
          <w:tcPr>
            <w:tcW w:w="4346" w:type="dxa"/>
            <w:shd w:val="clear" w:color="auto" w:fill="B8CCE4" w:themeFill="accent1" w:themeFillTint="66"/>
            <w:noWrap/>
            <w:vAlign w:val="center"/>
            <w:hideMark/>
          </w:tcPr>
          <w:p w:rsidR="00255CC4" w:rsidRPr="00BC22F8" w:rsidRDefault="00255CC4" w:rsidP="00255CC4">
            <w:pPr>
              <w:spacing w:line="240" w:lineRule="auto"/>
              <w:jc w:val="left"/>
              <w:rPr>
                <w:rFonts w:eastAsia="Times New Roman"/>
                <w:b/>
                <w:color w:val="002060"/>
                <w:sz w:val="22"/>
                <w:szCs w:val="22"/>
                <w:lang w:eastAsia="en-US"/>
              </w:rPr>
            </w:pPr>
            <w:r w:rsidRPr="00BC22F8">
              <w:rPr>
                <w:rFonts w:eastAsia="Times New Roman"/>
                <w:b/>
                <w:color w:val="002060"/>
                <w:sz w:val="22"/>
                <w:szCs w:val="22"/>
                <w:lang w:eastAsia="en-US"/>
              </w:rPr>
              <w:t>Rādītājs</w:t>
            </w:r>
          </w:p>
        </w:tc>
        <w:tc>
          <w:tcPr>
            <w:tcW w:w="740" w:type="dxa"/>
            <w:shd w:val="clear" w:color="auto" w:fill="B8CCE4" w:themeFill="accent1" w:themeFillTint="66"/>
            <w:noWrap/>
            <w:vAlign w:val="center"/>
            <w:hideMark/>
          </w:tcPr>
          <w:p w:rsidR="00255CC4" w:rsidRPr="00BC22F8" w:rsidRDefault="00255CC4" w:rsidP="00255CC4">
            <w:pPr>
              <w:spacing w:line="240" w:lineRule="auto"/>
              <w:jc w:val="center"/>
              <w:rPr>
                <w:rFonts w:eastAsia="Times New Roman"/>
                <w:b/>
                <w:bCs/>
                <w:color w:val="002060"/>
                <w:sz w:val="22"/>
                <w:szCs w:val="22"/>
                <w:lang w:eastAsia="en-US"/>
              </w:rPr>
            </w:pPr>
            <w:r w:rsidRPr="00BC22F8">
              <w:rPr>
                <w:rFonts w:eastAsia="Times New Roman"/>
                <w:b/>
                <w:bCs/>
                <w:color w:val="002060"/>
                <w:sz w:val="22"/>
                <w:szCs w:val="22"/>
                <w:lang w:eastAsia="en-US"/>
              </w:rPr>
              <w:t>2014</w:t>
            </w:r>
          </w:p>
        </w:tc>
        <w:tc>
          <w:tcPr>
            <w:tcW w:w="740" w:type="dxa"/>
            <w:shd w:val="clear" w:color="auto" w:fill="B8CCE4" w:themeFill="accent1" w:themeFillTint="66"/>
            <w:noWrap/>
            <w:vAlign w:val="center"/>
            <w:hideMark/>
          </w:tcPr>
          <w:p w:rsidR="00255CC4" w:rsidRPr="00BC22F8" w:rsidRDefault="00255CC4" w:rsidP="00255CC4">
            <w:pPr>
              <w:spacing w:line="240" w:lineRule="auto"/>
              <w:jc w:val="center"/>
              <w:rPr>
                <w:rFonts w:eastAsia="Times New Roman"/>
                <w:b/>
                <w:bCs/>
                <w:color w:val="002060"/>
                <w:sz w:val="22"/>
                <w:szCs w:val="22"/>
                <w:lang w:eastAsia="en-US"/>
              </w:rPr>
            </w:pPr>
            <w:r w:rsidRPr="00BC22F8">
              <w:rPr>
                <w:rFonts w:eastAsia="Times New Roman"/>
                <w:b/>
                <w:bCs/>
                <w:color w:val="002060"/>
                <w:sz w:val="22"/>
                <w:szCs w:val="22"/>
                <w:lang w:eastAsia="en-US"/>
              </w:rPr>
              <w:t>2015</w:t>
            </w:r>
          </w:p>
        </w:tc>
        <w:tc>
          <w:tcPr>
            <w:tcW w:w="740" w:type="dxa"/>
            <w:shd w:val="clear" w:color="auto" w:fill="B8CCE4" w:themeFill="accent1" w:themeFillTint="66"/>
            <w:noWrap/>
            <w:vAlign w:val="center"/>
            <w:hideMark/>
          </w:tcPr>
          <w:p w:rsidR="00255CC4" w:rsidRPr="00BC22F8" w:rsidRDefault="00255CC4" w:rsidP="00255CC4">
            <w:pPr>
              <w:spacing w:line="240" w:lineRule="auto"/>
              <w:jc w:val="center"/>
              <w:rPr>
                <w:rFonts w:eastAsia="Times New Roman"/>
                <w:b/>
                <w:bCs/>
                <w:color w:val="002060"/>
                <w:sz w:val="22"/>
                <w:szCs w:val="22"/>
                <w:lang w:eastAsia="en-US"/>
              </w:rPr>
            </w:pPr>
            <w:r w:rsidRPr="00BC22F8">
              <w:rPr>
                <w:rFonts w:eastAsia="Times New Roman"/>
                <w:b/>
                <w:bCs/>
                <w:color w:val="002060"/>
                <w:sz w:val="22"/>
                <w:szCs w:val="22"/>
                <w:lang w:eastAsia="en-US"/>
              </w:rPr>
              <w:t>2016</w:t>
            </w:r>
          </w:p>
        </w:tc>
        <w:tc>
          <w:tcPr>
            <w:tcW w:w="1514" w:type="dxa"/>
            <w:shd w:val="clear" w:color="auto" w:fill="B8CCE4" w:themeFill="accent1" w:themeFillTint="66"/>
            <w:vAlign w:val="center"/>
          </w:tcPr>
          <w:p w:rsidR="00255CC4" w:rsidRPr="00BC22F8" w:rsidRDefault="00255CC4" w:rsidP="00255CC4">
            <w:pPr>
              <w:spacing w:line="240" w:lineRule="auto"/>
              <w:jc w:val="center"/>
              <w:rPr>
                <w:rFonts w:eastAsia="Times New Roman"/>
                <w:b/>
                <w:bCs/>
                <w:color w:val="002060"/>
                <w:sz w:val="22"/>
                <w:szCs w:val="22"/>
                <w:lang w:eastAsia="en-US"/>
              </w:rPr>
            </w:pPr>
            <w:r w:rsidRPr="00BC22F8">
              <w:rPr>
                <w:rFonts w:eastAsia="Times New Roman"/>
                <w:b/>
                <w:bCs/>
                <w:color w:val="002060"/>
                <w:sz w:val="22"/>
                <w:szCs w:val="22"/>
                <w:lang w:eastAsia="en-US"/>
              </w:rPr>
              <w:t>Tendence, %</w:t>
            </w:r>
          </w:p>
        </w:tc>
      </w:tr>
      <w:tr w:rsidR="00255CC4" w:rsidRPr="00982509" w:rsidTr="00255CC4">
        <w:trPr>
          <w:trHeight w:val="300"/>
        </w:trPr>
        <w:tc>
          <w:tcPr>
            <w:tcW w:w="4346" w:type="dxa"/>
            <w:shd w:val="clear" w:color="auto" w:fill="auto"/>
            <w:noWrap/>
            <w:vAlign w:val="center"/>
            <w:hideMark/>
          </w:tcPr>
          <w:p w:rsidR="00255CC4" w:rsidRPr="00982509" w:rsidRDefault="00255CC4" w:rsidP="00255CC4">
            <w:pPr>
              <w:spacing w:line="240" w:lineRule="auto"/>
              <w:jc w:val="left"/>
              <w:rPr>
                <w:rFonts w:eastAsia="Times New Roman"/>
                <w:bCs/>
                <w:color w:val="000000"/>
                <w:sz w:val="22"/>
                <w:szCs w:val="22"/>
                <w:lang w:eastAsia="en-US"/>
              </w:rPr>
            </w:pPr>
            <w:r w:rsidRPr="00982509">
              <w:rPr>
                <w:rFonts w:eastAsia="Times New Roman"/>
                <w:bCs/>
                <w:color w:val="000000"/>
                <w:sz w:val="22"/>
                <w:szCs w:val="22"/>
                <w:lang w:eastAsia="en-US"/>
              </w:rPr>
              <w:t xml:space="preserve">Strādājošo mēneša vidējā darba samaksa </w:t>
            </w:r>
            <w:r w:rsidRPr="00982509">
              <w:rPr>
                <w:rFonts w:eastAsia="Times New Roman"/>
                <w:b/>
                <w:bCs/>
                <w:color w:val="000000"/>
                <w:sz w:val="22"/>
                <w:szCs w:val="22"/>
                <w:lang w:eastAsia="en-US"/>
              </w:rPr>
              <w:t>bruto, EUR</w:t>
            </w:r>
          </w:p>
        </w:tc>
        <w:tc>
          <w:tcPr>
            <w:tcW w:w="740" w:type="dxa"/>
            <w:shd w:val="clear" w:color="auto" w:fill="auto"/>
            <w:noWrap/>
            <w:vAlign w:val="center"/>
            <w:hideMark/>
          </w:tcPr>
          <w:p w:rsidR="00255CC4" w:rsidRPr="00982509" w:rsidRDefault="00255CC4" w:rsidP="00255CC4">
            <w:pPr>
              <w:spacing w:line="240" w:lineRule="auto"/>
              <w:jc w:val="center"/>
              <w:rPr>
                <w:rFonts w:eastAsia="Times New Roman"/>
                <w:color w:val="000000"/>
                <w:sz w:val="22"/>
                <w:szCs w:val="22"/>
                <w:lang w:eastAsia="en-US"/>
              </w:rPr>
            </w:pPr>
            <w:r w:rsidRPr="00982509">
              <w:rPr>
                <w:rFonts w:eastAsia="Times New Roman"/>
                <w:color w:val="000000"/>
                <w:sz w:val="22"/>
                <w:szCs w:val="22"/>
                <w:lang w:eastAsia="en-US"/>
              </w:rPr>
              <w:t>765</w:t>
            </w:r>
          </w:p>
        </w:tc>
        <w:tc>
          <w:tcPr>
            <w:tcW w:w="740" w:type="dxa"/>
            <w:shd w:val="clear" w:color="auto" w:fill="auto"/>
            <w:noWrap/>
            <w:vAlign w:val="center"/>
            <w:hideMark/>
          </w:tcPr>
          <w:p w:rsidR="00255CC4" w:rsidRPr="00982509" w:rsidRDefault="00255CC4" w:rsidP="00255CC4">
            <w:pPr>
              <w:spacing w:line="240" w:lineRule="auto"/>
              <w:jc w:val="center"/>
              <w:rPr>
                <w:rFonts w:eastAsia="Times New Roman"/>
                <w:color w:val="000000"/>
                <w:sz w:val="22"/>
                <w:szCs w:val="22"/>
                <w:lang w:eastAsia="en-US"/>
              </w:rPr>
            </w:pPr>
            <w:r w:rsidRPr="00982509">
              <w:rPr>
                <w:rFonts w:eastAsia="Times New Roman"/>
                <w:color w:val="000000"/>
                <w:sz w:val="22"/>
                <w:szCs w:val="22"/>
                <w:lang w:eastAsia="en-US"/>
              </w:rPr>
              <w:t>818</w:t>
            </w:r>
          </w:p>
        </w:tc>
        <w:tc>
          <w:tcPr>
            <w:tcW w:w="740" w:type="dxa"/>
            <w:shd w:val="clear" w:color="auto" w:fill="auto"/>
            <w:noWrap/>
            <w:vAlign w:val="center"/>
            <w:hideMark/>
          </w:tcPr>
          <w:p w:rsidR="00255CC4" w:rsidRPr="00982509" w:rsidRDefault="00255CC4" w:rsidP="00255CC4">
            <w:pPr>
              <w:spacing w:line="240" w:lineRule="auto"/>
              <w:jc w:val="center"/>
              <w:rPr>
                <w:rFonts w:eastAsia="Times New Roman"/>
                <w:color w:val="000000"/>
                <w:sz w:val="22"/>
                <w:szCs w:val="22"/>
                <w:lang w:eastAsia="en-US"/>
              </w:rPr>
            </w:pPr>
            <w:r w:rsidRPr="00982509">
              <w:rPr>
                <w:rFonts w:eastAsia="Times New Roman"/>
                <w:color w:val="000000"/>
                <w:sz w:val="22"/>
                <w:szCs w:val="22"/>
                <w:lang w:eastAsia="en-US"/>
              </w:rPr>
              <w:t>859</w:t>
            </w:r>
          </w:p>
        </w:tc>
        <w:tc>
          <w:tcPr>
            <w:tcW w:w="1514" w:type="dxa"/>
            <w:vAlign w:val="center"/>
          </w:tcPr>
          <w:p w:rsidR="00255CC4" w:rsidRPr="00982509"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12,3</w:t>
            </w:r>
          </w:p>
        </w:tc>
      </w:tr>
      <w:tr w:rsidR="00255CC4" w:rsidRPr="00982509" w:rsidTr="00255CC4">
        <w:trPr>
          <w:trHeight w:val="300"/>
        </w:trPr>
        <w:tc>
          <w:tcPr>
            <w:tcW w:w="4346" w:type="dxa"/>
            <w:shd w:val="clear" w:color="auto" w:fill="auto"/>
            <w:noWrap/>
            <w:vAlign w:val="center"/>
            <w:hideMark/>
          </w:tcPr>
          <w:p w:rsidR="00255CC4" w:rsidRPr="00982509" w:rsidRDefault="00255CC4" w:rsidP="00255CC4">
            <w:pPr>
              <w:spacing w:line="240" w:lineRule="auto"/>
              <w:jc w:val="left"/>
              <w:rPr>
                <w:rFonts w:eastAsia="Times New Roman"/>
                <w:bCs/>
                <w:color w:val="000000"/>
                <w:sz w:val="22"/>
                <w:szCs w:val="22"/>
                <w:lang w:eastAsia="en-US"/>
              </w:rPr>
            </w:pPr>
            <w:r w:rsidRPr="00982509">
              <w:rPr>
                <w:rFonts w:eastAsia="Times New Roman"/>
                <w:bCs/>
                <w:color w:val="000000"/>
                <w:sz w:val="22"/>
                <w:szCs w:val="22"/>
                <w:lang w:eastAsia="en-US"/>
              </w:rPr>
              <w:t xml:space="preserve">Strādājošo mēneša vidējā darba samaksa </w:t>
            </w:r>
            <w:r w:rsidRPr="00982509">
              <w:rPr>
                <w:rFonts w:eastAsia="Times New Roman"/>
                <w:b/>
                <w:bCs/>
                <w:color w:val="000000"/>
                <w:sz w:val="22"/>
                <w:szCs w:val="22"/>
                <w:lang w:eastAsia="en-US"/>
              </w:rPr>
              <w:t>neto, EUR</w:t>
            </w:r>
          </w:p>
        </w:tc>
        <w:tc>
          <w:tcPr>
            <w:tcW w:w="740" w:type="dxa"/>
            <w:shd w:val="clear" w:color="auto" w:fill="auto"/>
            <w:noWrap/>
            <w:vAlign w:val="center"/>
            <w:hideMark/>
          </w:tcPr>
          <w:p w:rsidR="00255CC4" w:rsidRPr="00982509" w:rsidRDefault="00255CC4" w:rsidP="00255CC4">
            <w:pPr>
              <w:spacing w:line="240" w:lineRule="auto"/>
              <w:jc w:val="center"/>
              <w:rPr>
                <w:rFonts w:eastAsia="Times New Roman"/>
                <w:color w:val="000000"/>
                <w:sz w:val="22"/>
                <w:szCs w:val="22"/>
                <w:lang w:eastAsia="en-US"/>
              </w:rPr>
            </w:pPr>
            <w:r w:rsidRPr="00982509">
              <w:rPr>
                <w:rFonts w:eastAsia="Times New Roman"/>
                <w:color w:val="000000"/>
                <w:sz w:val="22"/>
                <w:szCs w:val="22"/>
                <w:lang w:eastAsia="en-US"/>
              </w:rPr>
              <w:t>560</w:t>
            </w:r>
          </w:p>
        </w:tc>
        <w:tc>
          <w:tcPr>
            <w:tcW w:w="740" w:type="dxa"/>
            <w:shd w:val="clear" w:color="auto" w:fill="auto"/>
            <w:noWrap/>
            <w:vAlign w:val="center"/>
            <w:hideMark/>
          </w:tcPr>
          <w:p w:rsidR="00255CC4" w:rsidRPr="00982509" w:rsidRDefault="00255CC4" w:rsidP="00255CC4">
            <w:pPr>
              <w:spacing w:line="240" w:lineRule="auto"/>
              <w:jc w:val="center"/>
              <w:rPr>
                <w:rFonts w:eastAsia="Times New Roman"/>
                <w:color w:val="000000"/>
                <w:sz w:val="22"/>
                <w:szCs w:val="22"/>
                <w:lang w:eastAsia="en-US"/>
              </w:rPr>
            </w:pPr>
            <w:r w:rsidRPr="00982509">
              <w:rPr>
                <w:rFonts w:eastAsia="Times New Roman"/>
                <w:color w:val="000000"/>
                <w:sz w:val="22"/>
                <w:szCs w:val="22"/>
                <w:lang w:eastAsia="en-US"/>
              </w:rPr>
              <w:t>603</w:t>
            </w:r>
          </w:p>
        </w:tc>
        <w:tc>
          <w:tcPr>
            <w:tcW w:w="740" w:type="dxa"/>
            <w:shd w:val="clear" w:color="auto" w:fill="auto"/>
            <w:noWrap/>
            <w:vAlign w:val="center"/>
            <w:hideMark/>
          </w:tcPr>
          <w:p w:rsidR="00255CC4" w:rsidRPr="00982509" w:rsidRDefault="00255CC4" w:rsidP="00255CC4">
            <w:pPr>
              <w:spacing w:line="240" w:lineRule="auto"/>
              <w:jc w:val="center"/>
              <w:rPr>
                <w:rFonts w:eastAsia="Times New Roman"/>
                <w:color w:val="000000"/>
                <w:sz w:val="22"/>
                <w:szCs w:val="22"/>
                <w:lang w:eastAsia="en-US"/>
              </w:rPr>
            </w:pPr>
            <w:r w:rsidRPr="00982509">
              <w:rPr>
                <w:rFonts w:eastAsia="Times New Roman"/>
                <w:color w:val="000000"/>
                <w:sz w:val="22"/>
                <w:szCs w:val="22"/>
                <w:lang w:eastAsia="en-US"/>
              </w:rPr>
              <w:t>631</w:t>
            </w:r>
          </w:p>
        </w:tc>
        <w:tc>
          <w:tcPr>
            <w:tcW w:w="1514" w:type="dxa"/>
            <w:vAlign w:val="center"/>
          </w:tcPr>
          <w:p w:rsidR="00255CC4" w:rsidRPr="00982509"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12,7</w:t>
            </w:r>
          </w:p>
        </w:tc>
      </w:tr>
    </w:tbl>
    <w:p w:rsidR="00255CC4" w:rsidRDefault="00255CC4" w:rsidP="00255CC4">
      <w:pPr>
        <w:spacing w:line="240" w:lineRule="auto"/>
        <w:jc w:val="left"/>
        <w:rPr>
          <w:sz w:val="20"/>
          <w:szCs w:val="20"/>
        </w:rPr>
      </w:pPr>
      <w:r>
        <w:rPr>
          <w:sz w:val="20"/>
          <w:szCs w:val="20"/>
        </w:rPr>
        <w:t xml:space="preserve">Avots: </w:t>
      </w:r>
      <w:r w:rsidRPr="00982509">
        <w:rPr>
          <w:sz w:val="20"/>
          <w:szCs w:val="20"/>
        </w:rPr>
        <w:t xml:space="preserve">IIG010. Iedzīvotāju naudas ieņēmumi (vidēji mēnesī, </w:t>
      </w:r>
      <w:r>
        <w:rPr>
          <w:sz w:val="20"/>
          <w:szCs w:val="20"/>
        </w:rPr>
        <w:t>EUR</w:t>
      </w:r>
      <w:r w:rsidRPr="00982509">
        <w:rPr>
          <w:sz w:val="20"/>
          <w:szCs w:val="20"/>
        </w:rPr>
        <w:t>)</w:t>
      </w:r>
      <w:r>
        <w:rPr>
          <w:sz w:val="20"/>
          <w:szCs w:val="20"/>
        </w:rPr>
        <w:t>.</w:t>
      </w:r>
      <w:r w:rsidRPr="00982509">
        <w:rPr>
          <w:sz w:val="20"/>
          <w:szCs w:val="20"/>
        </w:rPr>
        <w:t xml:space="preserve"> </w:t>
      </w:r>
    </w:p>
    <w:p w:rsidR="00373D88" w:rsidRDefault="00373D88" w:rsidP="00373D88">
      <w:bookmarkStart w:id="201" w:name="_Toc2761055"/>
      <w:bookmarkStart w:id="202" w:name="_Toc2848154"/>
      <w:bookmarkStart w:id="203" w:name="_Toc6220076"/>
    </w:p>
    <w:p w:rsidR="00373D88" w:rsidRDefault="00373D88" w:rsidP="00373D88">
      <w:pPr>
        <w:rPr>
          <w:bCs/>
        </w:rPr>
      </w:pPr>
      <w:r w:rsidRPr="004F3220">
        <w:t>2015. gadā līdz vidējai bruto algai lielus ienākumus vispārējās nodarbinātības režīmā saņēma 66,5% nodarbināto</w:t>
      </w:r>
      <w:r>
        <w:rPr>
          <w:b/>
          <w:bCs/>
        </w:rPr>
        <w:t xml:space="preserve"> </w:t>
      </w:r>
      <w:r w:rsidRPr="004F3220">
        <w:rPr>
          <w:bCs/>
        </w:rPr>
        <w:t>(2016. gadā – 62,8%), līdz minimālajai algai lielus ienākumus – 32,7% (2016. gadā – 28,9%).</w:t>
      </w:r>
      <w:r w:rsidRPr="004F3220">
        <w:rPr>
          <w:rStyle w:val="FootnoteReference"/>
          <w:bCs/>
        </w:rPr>
        <w:footnoteReference w:id="101"/>
      </w:r>
      <w:r w:rsidRPr="004F3220">
        <w:rPr>
          <w:bCs/>
        </w:rPr>
        <w:t xml:space="preserve"> </w:t>
      </w:r>
    </w:p>
    <w:p w:rsidR="00255CC4" w:rsidRPr="002809B6" w:rsidRDefault="00AD3EDD" w:rsidP="0010184F">
      <w:pPr>
        <w:spacing w:before="240" w:after="120"/>
        <w:rPr>
          <w:b/>
          <w:color w:val="002060"/>
        </w:rPr>
      </w:pPr>
      <w:r w:rsidRPr="002809B6">
        <w:rPr>
          <w:b/>
          <w:color w:val="002060"/>
        </w:rPr>
        <w:fldChar w:fldCharType="begin"/>
      </w:r>
      <w:r w:rsidR="006B5456" w:rsidRPr="002809B6">
        <w:rPr>
          <w:b/>
          <w:color w:val="002060"/>
        </w:rPr>
        <w:instrText xml:space="preserve"> STYLEREF 1 \s </w:instrText>
      </w:r>
      <w:r w:rsidRPr="002809B6">
        <w:rPr>
          <w:b/>
          <w:color w:val="002060"/>
        </w:rPr>
        <w:fldChar w:fldCharType="separate"/>
      </w:r>
      <w:bookmarkStart w:id="204" w:name="_Toc6855760"/>
      <w:r w:rsidR="00224B50">
        <w:rPr>
          <w:b/>
          <w:noProof/>
          <w:color w:val="002060"/>
        </w:rPr>
        <w:t>1</w:t>
      </w:r>
      <w:r w:rsidRPr="002809B6">
        <w:rPr>
          <w:b/>
          <w:color w:val="002060"/>
        </w:rPr>
        <w:fldChar w:fldCharType="end"/>
      </w:r>
      <w:r w:rsidR="006B5456" w:rsidRPr="002809B6">
        <w:rPr>
          <w:b/>
          <w:color w:val="002060"/>
        </w:rPr>
        <w:t>.</w:t>
      </w:r>
      <w:r w:rsidRPr="002809B6">
        <w:rPr>
          <w:b/>
          <w:color w:val="002060"/>
        </w:rPr>
        <w:fldChar w:fldCharType="begin"/>
      </w:r>
      <w:r w:rsidR="000F1524" w:rsidRPr="002809B6">
        <w:rPr>
          <w:b/>
          <w:color w:val="002060"/>
        </w:rPr>
        <w:instrText xml:space="preserve"> SEQ Ilustrācija \* ARABIC \s 1 </w:instrText>
      </w:r>
      <w:r w:rsidRPr="002809B6">
        <w:rPr>
          <w:b/>
          <w:color w:val="002060"/>
        </w:rPr>
        <w:fldChar w:fldCharType="separate"/>
      </w:r>
      <w:r w:rsidR="00224B50">
        <w:rPr>
          <w:b/>
          <w:noProof/>
          <w:color w:val="002060"/>
        </w:rPr>
        <w:t>6</w:t>
      </w:r>
      <w:r w:rsidRPr="002809B6">
        <w:rPr>
          <w:b/>
          <w:color w:val="002060"/>
        </w:rPr>
        <w:fldChar w:fldCharType="end"/>
      </w:r>
      <w:r w:rsidR="00255CC4" w:rsidRPr="002809B6">
        <w:rPr>
          <w:b/>
          <w:color w:val="002060"/>
        </w:rPr>
        <w:t>. attēls. Mājsaimniecību rīcībā esošo ienākumu sastāvs un struktūra (%) pilsētās un laukos vidēji uz vienu mājsaimniecības locekli mēnesī</w:t>
      </w:r>
      <w:bookmarkEnd w:id="201"/>
      <w:bookmarkEnd w:id="202"/>
      <w:bookmarkEnd w:id="203"/>
      <w:bookmarkEnd w:id="204"/>
    </w:p>
    <w:p w:rsidR="009124B4" w:rsidRPr="009124B4" w:rsidRDefault="009124B4" w:rsidP="009124B4">
      <w:r w:rsidRPr="009124B4">
        <w:rPr>
          <w:noProof/>
        </w:rPr>
        <w:drawing>
          <wp:inline distT="0" distB="0" distL="0" distR="0">
            <wp:extent cx="6192520" cy="3099593"/>
            <wp:effectExtent l="19050" t="0" r="0" b="0"/>
            <wp:docPr id="8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
                    <a:srcRect/>
                    <a:stretch>
                      <a:fillRect/>
                    </a:stretch>
                  </pic:blipFill>
                  <pic:spPr bwMode="auto">
                    <a:xfrm>
                      <a:off x="0" y="0"/>
                      <a:ext cx="6192520" cy="3099593"/>
                    </a:xfrm>
                    <a:prstGeom prst="rect">
                      <a:avLst/>
                    </a:prstGeom>
                    <a:noFill/>
                    <a:ln w="9525">
                      <a:noFill/>
                      <a:miter lim="800000"/>
                      <a:headEnd/>
                      <a:tailEnd/>
                    </a:ln>
                  </pic:spPr>
                </pic:pic>
              </a:graphicData>
            </a:graphic>
          </wp:inline>
        </w:drawing>
      </w:r>
    </w:p>
    <w:p w:rsidR="00255CC4" w:rsidRDefault="00255CC4" w:rsidP="00255CC4">
      <w:pPr>
        <w:spacing w:line="240" w:lineRule="auto"/>
        <w:jc w:val="left"/>
        <w:rPr>
          <w:sz w:val="20"/>
          <w:szCs w:val="20"/>
        </w:rPr>
      </w:pPr>
      <w:r w:rsidRPr="00295E31">
        <w:rPr>
          <w:bCs/>
          <w:sz w:val="20"/>
          <w:szCs w:val="20"/>
        </w:rPr>
        <w:t xml:space="preserve">Avots: </w:t>
      </w:r>
      <w:r w:rsidRPr="00295E31">
        <w:rPr>
          <w:sz w:val="20"/>
          <w:szCs w:val="20"/>
        </w:rPr>
        <w:t>CSP, “IIG050. Mājsaimniecību rīcībā esošo ienākumu sastāvs un struktūra pilsētās un laukos vidēji uz vienu mājsaimniecības locekli mēnesī”.</w:t>
      </w:r>
    </w:p>
    <w:p w:rsidR="00055206" w:rsidRDefault="00055206" w:rsidP="00255CC4">
      <w:pPr>
        <w:spacing w:line="240" w:lineRule="auto"/>
        <w:jc w:val="left"/>
        <w:rPr>
          <w:sz w:val="20"/>
          <w:szCs w:val="20"/>
        </w:rPr>
      </w:pPr>
    </w:p>
    <w:p w:rsidR="00373D88" w:rsidRDefault="00373D88" w:rsidP="00373D88">
      <w:r>
        <w:t>Rādītāja analīze pēc reģiona pazīmes</w:t>
      </w:r>
      <w:r>
        <w:rPr>
          <w:rStyle w:val="FootnoteReference"/>
        </w:rPr>
        <w:footnoteReference w:id="102"/>
      </w:r>
      <w:r>
        <w:t xml:space="preserve"> atklāj, ka algotā darbā gūti ienākumi veido vismazāko daļu no kopējās ienākumu struktūras Latgales reģionā (57,8% 2014. gadā līdz 59,3% 2016. gadā), savukārt, vislielāko – Pierīgas reģionā (76,2% 2014. gadā līdz 73,5% 2016. gadā) un Rīgas reģionā (71,3% 2014. gadā līdz 74,6% 2016. gadā). </w:t>
      </w:r>
    </w:p>
    <w:p w:rsidR="00373D88" w:rsidRDefault="00373D88" w:rsidP="00373D88"/>
    <w:p w:rsidR="00373D88" w:rsidRDefault="00373D88" w:rsidP="00373D88">
      <w:r>
        <w:t xml:space="preserve">Otra lielākā mājsaimniecību ienākumu grupa ir bijuši </w:t>
      </w:r>
      <w:r w:rsidRPr="00C22C57">
        <w:rPr>
          <w:b/>
        </w:rPr>
        <w:t>transferti</w:t>
      </w:r>
      <w:r>
        <w:t xml:space="preserve"> (sociālie un privātie), kuri veido nedaudz lielāku daļu no kopējās ienākumu struktūras laukos: 2016. gadā tie veidoja 27,4% no visiem ienākumiem personām, kuras dzīvo laukos, kamēr pilsētās - 25,4% no kopējiem ienākumiem. </w:t>
      </w:r>
      <w:r>
        <w:lastRenderedPageBreak/>
        <w:t xml:space="preserve">Lielāka nozīme, protams, ir tieši sociālajiem transfertiem, kas veido virs 90% no kopējā transfertu apmēra. Skatoties šo rādītāju sadalījumā pa reģioniem, redzams, ka </w:t>
      </w:r>
      <w:r w:rsidRPr="001518FF">
        <w:rPr>
          <w:b/>
        </w:rPr>
        <w:t>sociālie transferti vislielāko daļu kopējā ienākumu struktūrā veido Latgales reģionā dzīvojoš</w:t>
      </w:r>
      <w:r>
        <w:rPr>
          <w:b/>
        </w:rPr>
        <w:t>o</w:t>
      </w:r>
      <w:r w:rsidRPr="001518FF">
        <w:rPr>
          <w:b/>
        </w:rPr>
        <w:t xml:space="preserve"> mājsaimniecīb</w:t>
      </w:r>
      <w:r>
        <w:rPr>
          <w:b/>
        </w:rPr>
        <w:t>u grupā</w:t>
      </w:r>
      <w:r>
        <w:t xml:space="preserve"> (2014. gadā - 35%, 2015. gadā – 37,5%, 2016. gadā – 35,1%). Salīdzinoši lielāku daļu kā citos reģionos sociālie transferti veido arī Kurzemes (vidēji 27%) un Vidzemes reģionu (vidēji 28%) mājsaimniecībās. </w:t>
      </w:r>
    </w:p>
    <w:p w:rsidR="00255CC4" w:rsidRDefault="00255CC4" w:rsidP="00255CC4"/>
    <w:p w:rsidR="00255CC4" w:rsidRPr="00575133" w:rsidRDefault="00255CC4" w:rsidP="00255CC4">
      <w:r>
        <w:t xml:space="preserve">Salīdzinoši nelielu ienākumu daļu no to kopējās struktūras veido pašnodarbinātības rezultātā gūtie ienākumi (2014. gadā – 4,1%, 2016. gadā – 3%), vēl mazāku – ienākumi no īpašuma (zem 1%). Kopumā šo rādītāju dinamika Izvērtējuma periodā (2014.-2016.g.) ir stabila un nemainīga. </w:t>
      </w:r>
    </w:p>
    <w:p w:rsidR="00255CC4" w:rsidRPr="00315872" w:rsidRDefault="00255CC4" w:rsidP="00DE4D97">
      <w:pPr>
        <w:pStyle w:val="virsrakstslvl4"/>
      </w:pPr>
      <w:bookmarkStart w:id="205" w:name="_Toc6841539"/>
      <w:r>
        <w:t>Ienākumu sadalījums kvintiļu grupās</w:t>
      </w:r>
      <w:bookmarkEnd w:id="205"/>
    </w:p>
    <w:p w:rsidR="00F34A88" w:rsidRPr="00373D88" w:rsidRDefault="00255CC4" w:rsidP="00373D88">
      <w:pPr>
        <w:pStyle w:val="Caption"/>
        <w:spacing w:before="0" w:after="0"/>
        <w:jc w:val="both"/>
        <w:rPr>
          <w:b w:val="0"/>
          <w:color w:val="auto"/>
        </w:rPr>
      </w:pPr>
      <w:r>
        <w:rPr>
          <w:b w:val="0"/>
          <w:bCs w:val="0"/>
          <w:color w:val="auto"/>
          <w:szCs w:val="24"/>
        </w:rPr>
        <w:t xml:space="preserve">Iedzīvotāju ienākumu analīzē plaši tiek izmantots </w:t>
      </w:r>
      <w:r w:rsidRPr="00004EEE">
        <w:rPr>
          <w:bCs w:val="0"/>
          <w:color w:val="auto"/>
          <w:szCs w:val="24"/>
        </w:rPr>
        <w:t>ienākumu</w:t>
      </w:r>
      <w:r>
        <w:rPr>
          <w:b w:val="0"/>
          <w:bCs w:val="0"/>
          <w:color w:val="auto"/>
          <w:szCs w:val="24"/>
        </w:rPr>
        <w:t xml:space="preserve"> </w:t>
      </w:r>
      <w:r w:rsidRPr="0057585B">
        <w:rPr>
          <w:bCs w:val="0"/>
          <w:color w:val="auto"/>
          <w:szCs w:val="24"/>
        </w:rPr>
        <w:t>kvintiļu rādītājs</w:t>
      </w:r>
      <w:r>
        <w:rPr>
          <w:b w:val="0"/>
          <w:bCs w:val="0"/>
          <w:color w:val="auto"/>
          <w:szCs w:val="24"/>
        </w:rPr>
        <w:t xml:space="preserve"> (kvintile ir </w:t>
      </w:r>
      <w:r w:rsidRPr="00F83944">
        <w:rPr>
          <w:b w:val="0"/>
          <w:bCs w:val="0"/>
          <w:color w:val="auto"/>
          <w:szCs w:val="24"/>
        </w:rPr>
        <w:t xml:space="preserve">viena piektā daļa (20%) no apsekoto </w:t>
      </w:r>
      <w:r w:rsidRPr="00C80FF3">
        <w:rPr>
          <w:b w:val="0"/>
          <w:bCs w:val="0"/>
          <w:color w:val="auto"/>
          <w:szCs w:val="24"/>
          <w:u w:val="single"/>
        </w:rPr>
        <w:t>mājsaimniecību skaita</w:t>
      </w:r>
      <w:r w:rsidRPr="00F83944">
        <w:rPr>
          <w:b w:val="0"/>
          <w:bCs w:val="0"/>
          <w:color w:val="auto"/>
          <w:szCs w:val="24"/>
        </w:rPr>
        <w:t>, kuras sagrupētas pieaugošā kārtībā pēc to rīcībā esošā ienākuma uz vienu mājsaimniecības locekli</w:t>
      </w:r>
      <w:r>
        <w:rPr>
          <w:b w:val="0"/>
          <w:bCs w:val="0"/>
          <w:color w:val="auto"/>
          <w:szCs w:val="24"/>
        </w:rPr>
        <w:t xml:space="preserve">). Kopumā ir piecas kvintiļu grupas, no kurām 1. kvintilē ietilpst mājsaimniecības ar viszemākajiem ienākumiem, attiecīgi 5. kvintilē – ar visaugstākajiem. </w:t>
      </w:r>
      <w:r w:rsidR="00F34A88" w:rsidRPr="00373D88">
        <w:rPr>
          <w:b w:val="0"/>
          <w:color w:val="auto"/>
        </w:rPr>
        <w:t>Izvērtējot situāciju 2015., 2016. gadā, redzams, ka ienākumu apjoms uz vienu mājsaimniecības locekli pakāpeniski pieaug, tomēr tas nenotiek vienmērīgi un vienlīdzīgi visās kvintiļu grupās (sk.1.1</w:t>
      </w:r>
      <w:r w:rsidR="00446171">
        <w:rPr>
          <w:b w:val="0"/>
          <w:color w:val="auto"/>
        </w:rPr>
        <w:t>3</w:t>
      </w:r>
      <w:r w:rsidR="00F34A88" w:rsidRPr="00373D88">
        <w:rPr>
          <w:b w:val="0"/>
          <w:color w:val="auto"/>
        </w:rPr>
        <w:t>. tabulu).</w:t>
      </w:r>
    </w:p>
    <w:p w:rsidR="00255CC4" w:rsidRPr="002F551F" w:rsidRDefault="00AD3EDD" w:rsidP="008C6B83">
      <w:pPr>
        <w:pStyle w:val="Caption"/>
      </w:pPr>
      <w:r>
        <w:fldChar w:fldCharType="begin"/>
      </w:r>
      <w:r w:rsidR="000F1524">
        <w:instrText xml:space="preserve"> STYLEREF 1 \s </w:instrText>
      </w:r>
      <w:r>
        <w:fldChar w:fldCharType="separate"/>
      </w:r>
      <w:r w:rsidR="00224B50">
        <w:rPr>
          <w:noProof/>
        </w:rPr>
        <w:t>1</w:t>
      </w:r>
      <w:r>
        <w:fldChar w:fldCharType="end"/>
      </w:r>
      <w:r w:rsidR="00A46B54">
        <w:t>.</w:t>
      </w:r>
      <w:r w:rsidR="000A7157">
        <w:t>1</w:t>
      </w:r>
      <w:r w:rsidR="00446171">
        <w:t>3</w:t>
      </w:r>
      <w:r w:rsidR="00255CC4" w:rsidRPr="002F551F">
        <w:t xml:space="preserve">. tabula. </w:t>
      </w:r>
      <w:r w:rsidR="00255CC4" w:rsidRPr="00092F53">
        <w:t xml:space="preserve">Mājsaimniecību rīcībā esošie ienākumi kvintiļu grupās (EUR mēnesī) 2015., 2016.gads </w:t>
      </w:r>
    </w:p>
    <w:tbl>
      <w:tblPr>
        <w:tblW w:w="0" w:type="auto"/>
        <w:tblBorders>
          <w:bottom w:val="single" w:sz="6" w:space="0" w:color="A9A9A9"/>
        </w:tblBorders>
        <w:tblLayout w:type="fixed"/>
        <w:tblCellMar>
          <w:left w:w="0" w:type="dxa"/>
          <w:right w:w="0" w:type="dxa"/>
        </w:tblCellMar>
        <w:tblLook w:val="04A0"/>
      </w:tblPr>
      <w:tblGrid>
        <w:gridCol w:w="3477"/>
        <w:gridCol w:w="1418"/>
        <w:gridCol w:w="1134"/>
        <w:gridCol w:w="1276"/>
        <w:gridCol w:w="1275"/>
        <w:gridCol w:w="1276"/>
      </w:tblGrid>
      <w:tr w:rsidR="00255CC4" w:rsidRPr="002F551F" w:rsidTr="00BC22F8">
        <w:trPr>
          <w:tblHeader/>
        </w:trPr>
        <w:tc>
          <w:tcPr>
            <w:tcW w:w="3477" w:type="dxa"/>
            <w:tcBorders>
              <w:top w:val="single" w:sz="6" w:space="0" w:color="A9A9A9"/>
              <w:left w:val="single" w:sz="6" w:space="0" w:color="A9A9A9"/>
              <w:bottom w:val="single" w:sz="6" w:space="0" w:color="A9A9A9"/>
              <w:right w:val="single" w:sz="6" w:space="0" w:color="A9A9A9"/>
            </w:tcBorders>
            <w:shd w:val="clear" w:color="auto" w:fill="auto"/>
            <w:tcMar>
              <w:top w:w="75" w:type="dxa"/>
              <w:left w:w="75" w:type="dxa"/>
              <w:bottom w:w="75" w:type="dxa"/>
              <w:right w:w="75" w:type="dxa"/>
            </w:tcMar>
            <w:vAlign w:val="center"/>
            <w:hideMark/>
          </w:tcPr>
          <w:p w:rsidR="00255CC4" w:rsidRPr="002F551F" w:rsidRDefault="00255CC4" w:rsidP="00255CC4">
            <w:pPr>
              <w:spacing w:line="240" w:lineRule="auto"/>
              <w:jc w:val="center"/>
              <w:rPr>
                <w:rFonts w:ascii="inherit" w:eastAsia="Times New Roman" w:hAnsi="inherit"/>
                <w:b/>
                <w:bCs/>
                <w:color w:val="000000"/>
                <w:sz w:val="22"/>
                <w:szCs w:val="22"/>
              </w:rPr>
            </w:pPr>
            <w:r>
              <w:rPr>
                <w:rFonts w:ascii="inherit" w:eastAsia="Times New Roman" w:hAnsi="inherit"/>
                <w:b/>
                <w:bCs/>
                <w:color w:val="000000"/>
                <w:sz w:val="22"/>
                <w:szCs w:val="22"/>
              </w:rPr>
              <w:t>Gads, kvintiles raksturojums</w:t>
            </w:r>
          </w:p>
        </w:tc>
        <w:tc>
          <w:tcPr>
            <w:tcW w:w="1418" w:type="dxa"/>
            <w:tcBorders>
              <w:top w:val="single" w:sz="6" w:space="0" w:color="A9A9A9"/>
              <w:left w:val="single" w:sz="6" w:space="0" w:color="A9A9A9"/>
              <w:bottom w:val="single" w:sz="6" w:space="0" w:color="A9A9A9"/>
              <w:right w:val="single" w:sz="6" w:space="0" w:color="A9A9A9"/>
            </w:tcBorders>
            <w:shd w:val="clear" w:color="auto" w:fill="B8CCE4" w:themeFill="accent1" w:themeFillTint="66"/>
            <w:tcMar>
              <w:top w:w="75" w:type="dxa"/>
              <w:left w:w="75" w:type="dxa"/>
              <w:bottom w:w="75" w:type="dxa"/>
              <w:right w:w="75" w:type="dxa"/>
            </w:tcMar>
            <w:vAlign w:val="center"/>
            <w:hideMark/>
          </w:tcPr>
          <w:p w:rsidR="00255CC4" w:rsidRPr="00BC22F8" w:rsidRDefault="00255CC4" w:rsidP="00255CC4">
            <w:pPr>
              <w:spacing w:line="240" w:lineRule="auto"/>
              <w:jc w:val="center"/>
              <w:rPr>
                <w:rFonts w:ascii="inherit" w:eastAsia="Times New Roman" w:hAnsi="inherit"/>
                <w:b/>
                <w:bCs/>
                <w:color w:val="002060"/>
                <w:sz w:val="22"/>
                <w:szCs w:val="22"/>
              </w:rPr>
            </w:pPr>
            <w:r w:rsidRPr="00BC22F8">
              <w:rPr>
                <w:rFonts w:ascii="inherit" w:eastAsia="Times New Roman" w:hAnsi="inherit"/>
                <w:b/>
                <w:bCs/>
                <w:color w:val="002060"/>
                <w:sz w:val="22"/>
                <w:szCs w:val="22"/>
              </w:rPr>
              <w:t>1. kvintiļu grupa</w:t>
            </w:r>
          </w:p>
        </w:tc>
        <w:tc>
          <w:tcPr>
            <w:tcW w:w="1134" w:type="dxa"/>
            <w:tcBorders>
              <w:top w:val="single" w:sz="6" w:space="0" w:color="A9A9A9"/>
              <w:left w:val="single" w:sz="6" w:space="0" w:color="A9A9A9"/>
              <w:bottom w:val="single" w:sz="6" w:space="0" w:color="A9A9A9"/>
              <w:right w:val="single" w:sz="6" w:space="0" w:color="A9A9A9"/>
            </w:tcBorders>
            <w:shd w:val="clear" w:color="auto" w:fill="B8CCE4" w:themeFill="accent1" w:themeFillTint="66"/>
            <w:tcMar>
              <w:top w:w="75" w:type="dxa"/>
              <w:left w:w="75" w:type="dxa"/>
              <w:bottom w:w="75" w:type="dxa"/>
              <w:right w:w="75" w:type="dxa"/>
            </w:tcMar>
            <w:vAlign w:val="center"/>
            <w:hideMark/>
          </w:tcPr>
          <w:p w:rsidR="00255CC4" w:rsidRPr="00BC22F8" w:rsidRDefault="00255CC4" w:rsidP="00255CC4">
            <w:pPr>
              <w:spacing w:line="240" w:lineRule="auto"/>
              <w:jc w:val="center"/>
              <w:rPr>
                <w:rFonts w:ascii="inherit" w:eastAsia="Times New Roman" w:hAnsi="inherit"/>
                <w:b/>
                <w:bCs/>
                <w:color w:val="002060"/>
                <w:sz w:val="22"/>
                <w:szCs w:val="22"/>
              </w:rPr>
            </w:pPr>
            <w:r w:rsidRPr="00BC22F8">
              <w:rPr>
                <w:rFonts w:ascii="inherit" w:eastAsia="Times New Roman" w:hAnsi="inherit"/>
                <w:b/>
                <w:bCs/>
                <w:color w:val="002060"/>
                <w:sz w:val="22"/>
                <w:szCs w:val="22"/>
              </w:rPr>
              <w:t>2. kvintiļu grupa</w:t>
            </w:r>
          </w:p>
        </w:tc>
        <w:tc>
          <w:tcPr>
            <w:tcW w:w="1276" w:type="dxa"/>
            <w:tcBorders>
              <w:top w:val="single" w:sz="6" w:space="0" w:color="A9A9A9"/>
              <w:left w:val="single" w:sz="6" w:space="0" w:color="A9A9A9"/>
              <w:bottom w:val="single" w:sz="6" w:space="0" w:color="A9A9A9"/>
              <w:right w:val="single" w:sz="6" w:space="0" w:color="A9A9A9"/>
            </w:tcBorders>
            <w:shd w:val="clear" w:color="auto" w:fill="B8CCE4" w:themeFill="accent1" w:themeFillTint="66"/>
            <w:tcMar>
              <w:top w:w="75" w:type="dxa"/>
              <w:left w:w="75" w:type="dxa"/>
              <w:bottom w:w="75" w:type="dxa"/>
              <w:right w:w="75" w:type="dxa"/>
            </w:tcMar>
            <w:vAlign w:val="center"/>
            <w:hideMark/>
          </w:tcPr>
          <w:p w:rsidR="00255CC4" w:rsidRPr="00BC22F8" w:rsidRDefault="00255CC4" w:rsidP="00255CC4">
            <w:pPr>
              <w:spacing w:line="240" w:lineRule="auto"/>
              <w:jc w:val="center"/>
              <w:rPr>
                <w:rFonts w:ascii="inherit" w:eastAsia="Times New Roman" w:hAnsi="inherit"/>
                <w:b/>
                <w:bCs/>
                <w:color w:val="002060"/>
                <w:sz w:val="22"/>
                <w:szCs w:val="22"/>
              </w:rPr>
            </w:pPr>
            <w:r w:rsidRPr="00BC22F8">
              <w:rPr>
                <w:rFonts w:ascii="inherit" w:eastAsia="Times New Roman" w:hAnsi="inherit"/>
                <w:b/>
                <w:bCs/>
                <w:color w:val="002060"/>
                <w:sz w:val="22"/>
                <w:szCs w:val="22"/>
              </w:rPr>
              <w:t>3. kvintiļu grupa</w:t>
            </w:r>
          </w:p>
        </w:tc>
        <w:tc>
          <w:tcPr>
            <w:tcW w:w="1275" w:type="dxa"/>
            <w:tcBorders>
              <w:top w:val="single" w:sz="6" w:space="0" w:color="A9A9A9"/>
              <w:left w:val="single" w:sz="6" w:space="0" w:color="A9A9A9"/>
              <w:bottom w:val="single" w:sz="6" w:space="0" w:color="A9A9A9"/>
              <w:right w:val="single" w:sz="6" w:space="0" w:color="A9A9A9"/>
            </w:tcBorders>
            <w:shd w:val="clear" w:color="auto" w:fill="B8CCE4" w:themeFill="accent1" w:themeFillTint="66"/>
            <w:tcMar>
              <w:top w:w="75" w:type="dxa"/>
              <w:left w:w="75" w:type="dxa"/>
              <w:bottom w:w="75" w:type="dxa"/>
              <w:right w:w="75" w:type="dxa"/>
            </w:tcMar>
            <w:vAlign w:val="center"/>
            <w:hideMark/>
          </w:tcPr>
          <w:p w:rsidR="00255CC4" w:rsidRPr="00BC22F8" w:rsidRDefault="00255CC4" w:rsidP="00255CC4">
            <w:pPr>
              <w:spacing w:line="240" w:lineRule="auto"/>
              <w:jc w:val="center"/>
              <w:rPr>
                <w:rFonts w:ascii="inherit" w:eastAsia="Times New Roman" w:hAnsi="inherit"/>
                <w:b/>
                <w:bCs/>
                <w:color w:val="002060"/>
                <w:sz w:val="22"/>
                <w:szCs w:val="22"/>
              </w:rPr>
            </w:pPr>
            <w:r w:rsidRPr="00BC22F8">
              <w:rPr>
                <w:rFonts w:ascii="inherit" w:eastAsia="Times New Roman" w:hAnsi="inherit"/>
                <w:b/>
                <w:bCs/>
                <w:color w:val="002060"/>
                <w:sz w:val="22"/>
                <w:szCs w:val="22"/>
              </w:rPr>
              <w:t>4. kvintiļu grupa</w:t>
            </w:r>
          </w:p>
        </w:tc>
        <w:tc>
          <w:tcPr>
            <w:tcW w:w="1276" w:type="dxa"/>
            <w:tcBorders>
              <w:top w:val="single" w:sz="6" w:space="0" w:color="A9A9A9"/>
              <w:left w:val="single" w:sz="6" w:space="0" w:color="A9A9A9"/>
              <w:bottom w:val="single" w:sz="6" w:space="0" w:color="A9A9A9"/>
              <w:right w:val="single" w:sz="6" w:space="0" w:color="A9A9A9"/>
            </w:tcBorders>
            <w:shd w:val="clear" w:color="auto" w:fill="B8CCE4" w:themeFill="accent1" w:themeFillTint="66"/>
            <w:tcMar>
              <w:top w:w="75" w:type="dxa"/>
              <w:left w:w="75" w:type="dxa"/>
              <w:bottom w:w="75" w:type="dxa"/>
              <w:right w:w="75" w:type="dxa"/>
            </w:tcMar>
            <w:vAlign w:val="center"/>
            <w:hideMark/>
          </w:tcPr>
          <w:p w:rsidR="00255CC4" w:rsidRPr="00BC22F8" w:rsidRDefault="00255CC4" w:rsidP="00255CC4">
            <w:pPr>
              <w:spacing w:line="240" w:lineRule="auto"/>
              <w:jc w:val="center"/>
              <w:rPr>
                <w:rFonts w:ascii="inherit" w:eastAsia="Times New Roman" w:hAnsi="inherit"/>
                <w:b/>
                <w:bCs/>
                <w:color w:val="002060"/>
                <w:sz w:val="22"/>
                <w:szCs w:val="22"/>
              </w:rPr>
            </w:pPr>
            <w:r w:rsidRPr="00BC22F8">
              <w:rPr>
                <w:rFonts w:ascii="inherit" w:eastAsia="Times New Roman" w:hAnsi="inherit"/>
                <w:b/>
                <w:bCs/>
                <w:color w:val="002060"/>
                <w:sz w:val="22"/>
                <w:szCs w:val="22"/>
              </w:rPr>
              <w:t>5. kvintiļu grupa</w:t>
            </w:r>
          </w:p>
        </w:tc>
      </w:tr>
      <w:tr w:rsidR="00255CC4" w:rsidRPr="002F551F" w:rsidTr="00BC22F8">
        <w:tc>
          <w:tcPr>
            <w:tcW w:w="3477" w:type="dxa"/>
            <w:tcBorders>
              <w:top w:val="single" w:sz="6" w:space="0" w:color="A9A9A9"/>
              <w:left w:val="single" w:sz="6" w:space="0" w:color="A9A9A9"/>
              <w:bottom w:val="single" w:sz="6" w:space="0" w:color="A9A9A9"/>
              <w:right w:val="single" w:sz="6" w:space="0" w:color="A9A9A9"/>
            </w:tcBorders>
            <w:shd w:val="clear" w:color="auto" w:fill="B8CCE4" w:themeFill="accent1" w:themeFillTint="66"/>
            <w:tcMar>
              <w:top w:w="75" w:type="dxa"/>
              <w:left w:w="75" w:type="dxa"/>
              <w:bottom w:w="75" w:type="dxa"/>
              <w:right w:w="75" w:type="dxa"/>
            </w:tcMar>
            <w:vAlign w:val="bottom"/>
            <w:hideMark/>
          </w:tcPr>
          <w:p w:rsidR="00255CC4" w:rsidRPr="00BC22F8" w:rsidRDefault="00255CC4" w:rsidP="00255CC4">
            <w:pPr>
              <w:spacing w:line="240" w:lineRule="auto"/>
              <w:jc w:val="left"/>
              <w:rPr>
                <w:rFonts w:ascii="inherit" w:eastAsia="Times New Roman" w:hAnsi="inherit"/>
                <w:b/>
                <w:color w:val="002060"/>
                <w:sz w:val="22"/>
                <w:szCs w:val="22"/>
              </w:rPr>
            </w:pPr>
            <w:r w:rsidRPr="00BC22F8">
              <w:rPr>
                <w:rFonts w:ascii="inherit" w:eastAsia="Times New Roman" w:hAnsi="inherit"/>
                <w:b/>
                <w:color w:val="002060"/>
                <w:sz w:val="22"/>
                <w:szCs w:val="22"/>
              </w:rPr>
              <w:t>2015</w:t>
            </w:r>
          </w:p>
        </w:tc>
        <w:tc>
          <w:tcPr>
            <w:tcW w:w="1418" w:type="dxa"/>
            <w:tcBorders>
              <w:top w:val="single" w:sz="6" w:space="0" w:color="A9A9A9"/>
              <w:left w:val="single" w:sz="6" w:space="0" w:color="A9A9A9"/>
              <w:bottom w:val="single" w:sz="6" w:space="0" w:color="A9A9A9"/>
              <w:right w:val="single" w:sz="6" w:space="0" w:color="A9A9A9"/>
            </w:tcBorders>
            <w:shd w:val="clear" w:color="auto" w:fill="FFFFFF"/>
            <w:vAlign w:val="bottom"/>
            <w:hideMark/>
          </w:tcPr>
          <w:p w:rsidR="00255CC4" w:rsidRPr="002F551F" w:rsidRDefault="00255CC4" w:rsidP="00255CC4">
            <w:pPr>
              <w:spacing w:line="240" w:lineRule="auto"/>
              <w:jc w:val="center"/>
              <w:rPr>
                <w:rFonts w:ascii="inherit" w:eastAsia="Times New Roman" w:hAnsi="inherit"/>
                <w:color w:val="000000"/>
                <w:sz w:val="22"/>
                <w:szCs w:val="22"/>
              </w:rPr>
            </w:pPr>
          </w:p>
        </w:tc>
        <w:tc>
          <w:tcPr>
            <w:tcW w:w="1134" w:type="dxa"/>
            <w:tcBorders>
              <w:top w:val="single" w:sz="6" w:space="0" w:color="A9A9A9"/>
              <w:left w:val="single" w:sz="6" w:space="0" w:color="A9A9A9"/>
              <w:bottom w:val="single" w:sz="6" w:space="0" w:color="A9A9A9"/>
              <w:right w:val="single" w:sz="6" w:space="0" w:color="A9A9A9"/>
            </w:tcBorders>
            <w:shd w:val="clear" w:color="auto" w:fill="FFFFFF"/>
            <w:vAlign w:val="bottom"/>
            <w:hideMark/>
          </w:tcPr>
          <w:p w:rsidR="00255CC4" w:rsidRPr="002F551F" w:rsidRDefault="00255CC4" w:rsidP="00255CC4">
            <w:pPr>
              <w:spacing w:line="240" w:lineRule="auto"/>
              <w:jc w:val="center"/>
              <w:rPr>
                <w:rFonts w:ascii="inherit" w:eastAsia="Times New Roman" w:hAnsi="inherit"/>
                <w:color w:val="000000"/>
                <w:sz w:val="22"/>
                <w:szCs w:val="22"/>
              </w:rPr>
            </w:pPr>
          </w:p>
        </w:tc>
        <w:tc>
          <w:tcPr>
            <w:tcW w:w="1276" w:type="dxa"/>
            <w:tcBorders>
              <w:top w:val="single" w:sz="6" w:space="0" w:color="A9A9A9"/>
              <w:left w:val="single" w:sz="6" w:space="0" w:color="A9A9A9"/>
              <w:bottom w:val="single" w:sz="6" w:space="0" w:color="A9A9A9"/>
              <w:right w:val="single" w:sz="6" w:space="0" w:color="A9A9A9"/>
            </w:tcBorders>
            <w:shd w:val="clear" w:color="auto" w:fill="FFFFFF"/>
            <w:vAlign w:val="bottom"/>
            <w:hideMark/>
          </w:tcPr>
          <w:p w:rsidR="00255CC4" w:rsidRPr="002F551F" w:rsidRDefault="00255CC4" w:rsidP="00255CC4">
            <w:pPr>
              <w:spacing w:line="240" w:lineRule="auto"/>
              <w:jc w:val="center"/>
              <w:rPr>
                <w:rFonts w:ascii="inherit" w:eastAsia="Times New Roman" w:hAnsi="inherit"/>
                <w:color w:val="000000"/>
                <w:sz w:val="22"/>
                <w:szCs w:val="22"/>
              </w:rPr>
            </w:pPr>
          </w:p>
        </w:tc>
        <w:tc>
          <w:tcPr>
            <w:tcW w:w="1275" w:type="dxa"/>
            <w:tcBorders>
              <w:top w:val="single" w:sz="6" w:space="0" w:color="A9A9A9"/>
              <w:left w:val="single" w:sz="6" w:space="0" w:color="A9A9A9"/>
              <w:bottom w:val="single" w:sz="6" w:space="0" w:color="A9A9A9"/>
              <w:right w:val="single" w:sz="6" w:space="0" w:color="A9A9A9"/>
            </w:tcBorders>
            <w:shd w:val="clear" w:color="auto" w:fill="FFFFFF"/>
            <w:vAlign w:val="bottom"/>
            <w:hideMark/>
          </w:tcPr>
          <w:p w:rsidR="00255CC4" w:rsidRPr="002F551F" w:rsidRDefault="00255CC4" w:rsidP="00255CC4">
            <w:pPr>
              <w:spacing w:line="240" w:lineRule="auto"/>
              <w:jc w:val="center"/>
              <w:rPr>
                <w:rFonts w:ascii="inherit" w:eastAsia="Times New Roman" w:hAnsi="inherit"/>
                <w:color w:val="000000"/>
                <w:sz w:val="22"/>
                <w:szCs w:val="22"/>
              </w:rPr>
            </w:pPr>
          </w:p>
        </w:tc>
        <w:tc>
          <w:tcPr>
            <w:tcW w:w="1276" w:type="dxa"/>
            <w:tcBorders>
              <w:top w:val="single" w:sz="6" w:space="0" w:color="A9A9A9"/>
              <w:left w:val="single" w:sz="6" w:space="0" w:color="A9A9A9"/>
              <w:bottom w:val="single" w:sz="6" w:space="0" w:color="A9A9A9"/>
              <w:right w:val="single" w:sz="6" w:space="0" w:color="A9A9A9"/>
            </w:tcBorders>
            <w:shd w:val="clear" w:color="auto" w:fill="FFFFFF"/>
            <w:vAlign w:val="bottom"/>
            <w:hideMark/>
          </w:tcPr>
          <w:p w:rsidR="00255CC4" w:rsidRPr="002F551F" w:rsidRDefault="00255CC4" w:rsidP="00255CC4">
            <w:pPr>
              <w:spacing w:line="240" w:lineRule="auto"/>
              <w:jc w:val="center"/>
              <w:rPr>
                <w:rFonts w:ascii="inherit" w:eastAsia="Times New Roman" w:hAnsi="inherit"/>
                <w:color w:val="000000"/>
                <w:sz w:val="22"/>
                <w:szCs w:val="22"/>
              </w:rPr>
            </w:pPr>
          </w:p>
        </w:tc>
      </w:tr>
      <w:tr w:rsidR="00255CC4" w:rsidRPr="002F551F" w:rsidTr="00255CC4">
        <w:trPr>
          <w:trHeight w:val="105"/>
        </w:trPr>
        <w:tc>
          <w:tcPr>
            <w:tcW w:w="3477" w:type="dxa"/>
            <w:tcBorders>
              <w:top w:val="single" w:sz="6" w:space="0" w:color="A9A9A9"/>
              <w:left w:val="single" w:sz="6" w:space="0" w:color="A9A9A9"/>
              <w:bottom w:val="single" w:sz="6" w:space="0" w:color="A9A9A9"/>
              <w:right w:val="single" w:sz="6" w:space="0" w:color="A9A9A9"/>
            </w:tcBorders>
            <w:shd w:val="clear" w:color="auto" w:fill="auto"/>
            <w:tcMar>
              <w:top w:w="75" w:type="dxa"/>
              <w:left w:w="150" w:type="dxa"/>
              <w:bottom w:w="75" w:type="dxa"/>
              <w:right w:w="75" w:type="dxa"/>
            </w:tcMar>
            <w:vAlign w:val="center"/>
            <w:hideMark/>
          </w:tcPr>
          <w:p w:rsidR="00255CC4" w:rsidRPr="002F551F" w:rsidRDefault="00255CC4" w:rsidP="00255CC4">
            <w:pPr>
              <w:spacing w:line="240" w:lineRule="auto"/>
              <w:jc w:val="left"/>
              <w:rPr>
                <w:rFonts w:ascii="inherit" w:eastAsia="Times New Roman" w:hAnsi="inherit"/>
                <w:sz w:val="22"/>
                <w:szCs w:val="22"/>
              </w:rPr>
            </w:pPr>
            <w:r w:rsidRPr="002F551F">
              <w:rPr>
                <w:rFonts w:ascii="inherit" w:eastAsia="Times New Roman" w:hAnsi="inherit"/>
                <w:sz w:val="22"/>
                <w:szCs w:val="22"/>
              </w:rPr>
              <w:t>Vidēji uz vienu mājsaimniecību</w:t>
            </w:r>
          </w:p>
        </w:tc>
        <w:tc>
          <w:tcPr>
            <w:tcW w:w="1418" w:type="dxa"/>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Pr>
                <w:rFonts w:ascii="inherit" w:eastAsia="Times New Roman" w:hAnsi="inherit"/>
                <w:color w:val="000000"/>
                <w:sz w:val="22"/>
                <w:szCs w:val="22"/>
              </w:rPr>
              <w:t>384,</w:t>
            </w:r>
            <w:r w:rsidRPr="00A81E09">
              <w:rPr>
                <w:rFonts w:ascii="inherit" w:eastAsia="Times New Roman" w:hAnsi="inherit"/>
                <w:color w:val="000000"/>
                <w:sz w:val="22"/>
                <w:szCs w:val="22"/>
              </w:rPr>
              <w:t>16</w:t>
            </w:r>
          </w:p>
        </w:tc>
        <w:tc>
          <w:tcPr>
            <w:tcW w:w="1134"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sidRPr="00A81E09">
              <w:rPr>
                <w:rFonts w:ascii="inherit" w:eastAsia="Times New Roman" w:hAnsi="inherit"/>
                <w:color w:val="000000"/>
                <w:sz w:val="22"/>
                <w:szCs w:val="22"/>
              </w:rPr>
              <w:t>547</w:t>
            </w:r>
            <w:r>
              <w:rPr>
                <w:rFonts w:ascii="inherit" w:eastAsia="Times New Roman" w:hAnsi="inherit"/>
                <w:color w:val="000000"/>
                <w:sz w:val="22"/>
                <w:szCs w:val="22"/>
              </w:rPr>
              <w:t>,</w:t>
            </w:r>
            <w:r w:rsidRPr="00A81E09">
              <w:rPr>
                <w:rFonts w:ascii="inherit" w:eastAsia="Times New Roman" w:hAnsi="inherit"/>
                <w:color w:val="000000"/>
                <w:sz w:val="22"/>
                <w:szCs w:val="22"/>
              </w:rPr>
              <w:t>73</w:t>
            </w:r>
          </w:p>
        </w:tc>
        <w:tc>
          <w:tcPr>
            <w:tcW w:w="1276"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sidRPr="00A81E09">
              <w:rPr>
                <w:rFonts w:ascii="inherit" w:eastAsia="Times New Roman" w:hAnsi="inherit"/>
                <w:color w:val="000000"/>
                <w:sz w:val="22"/>
                <w:szCs w:val="22"/>
              </w:rPr>
              <w:t>8</w:t>
            </w:r>
            <w:r>
              <w:rPr>
                <w:rFonts w:ascii="inherit" w:eastAsia="Times New Roman" w:hAnsi="inherit"/>
                <w:color w:val="000000"/>
                <w:sz w:val="22"/>
                <w:szCs w:val="22"/>
              </w:rPr>
              <w:t>48,</w:t>
            </w:r>
            <w:r w:rsidRPr="00A81E09">
              <w:rPr>
                <w:rFonts w:ascii="inherit" w:eastAsia="Times New Roman" w:hAnsi="inherit"/>
                <w:color w:val="000000"/>
                <w:sz w:val="22"/>
                <w:szCs w:val="22"/>
              </w:rPr>
              <w:t>09</w:t>
            </w:r>
          </w:p>
        </w:tc>
        <w:tc>
          <w:tcPr>
            <w:tcW w:w="1275"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Pr>
                <w:rFonts w:ascii="inherit" w:eastAsia="Times New Roman" w:hAnsi="inherit"/>
                <w:color w:val="000000"/>
                <w:sz w:val="22"/>
                <w:szCs w:val="22"/>
              </w:rPr>
              <w:t>1 254,</w:t>
            </w:r>
            <w:r w:rsidRPr="00A81E09">
              <w:rPr>
                <w:rFonts w:ascii="inherit" w:eastAsia="Times New Roman" w:hAnsi="inherit"/>
                <w:color w:val="000000"/>
                <w:sz w:val="22"/>
                <w:szCs w:val="22"/>
              </w:rPr>
              <w:t>68</w:t>
            </w:r>
          </w:p>
        </w:tc>
        <w:tc>
          <w:tcPr>
            <w:tcW w:w="1276"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Pr>
                <w:rFonts w:ascii="inherit" w:eastAsia="Times New Roman" w:hAnsi="inherit"/>
                <w:color w:val="000000"/>
                <w:sz w:val="22"/>
                <w:szCs w:val="22"/>
              </w:rPr>
              <w:t>1 949,</w:t>
            </w:r>
            <w:r w:rsidRPr="00A81E09">
              <w:rPr>
                <w:rFonts w:ascii="inherit" w:eastAsia="Times New Roman" w:hAnsi="inherit"/>
                <w:color w:val="000000"/>
                <w:sz w:val="22"/>
                <w:szCs w:val="22"/>
              </w:rPr>
              <w:t>74</w:t>
            </w:r>
          </w:p>
        </w:tc>
      </w:tr>
      <w:tr w:rsidR="00255CC4" w:rsidRPr="002F551F" w:rsidTr="00255CC4">
        <w:trPr>
          <w:trHeight w:val="481"/>
        </w:trPr>
        <w:tc>
          <w:tcPr>
            <w:tcW w:w="3477" w:type="dxa"/>
            <w:tcBorders>
              <w:top w:val="single" w:sz="6" w:space="0" w:color="A9A9A9"/>
              <w:left w:val="single" w:sz="6" w:space="0" w:color="A9A9A9"/>
              <w:bottom w:val="single" w:sz="6" w:space="0" w:color="A9A9A9"/>
              <w:right w:val="single" w:sz="6" w:space="0" w:color="A9A9A9"/>
            </w:tcBorders>
            <w:shd w:val="clear" w:color="auto" w:fill="auto"/>
            <w:tcMar>
              <w:top w:w="75" w:type="dxa"/>
              <w:left w:w="150" w:type="dxa"/>
              <w:bottom w:w="75" w:type="dxa"/>
              <w:right w:w="75" w:type="dxa"/>
            </w:tcMar>
            <w:vAlign w:val="center"/>
            <w:hideMark/>
          </w:tcPr>
          <w:p w:rsidR="00255CC4" w:rsidRPr="002F551F" w:rsidRDefault="00255CC4" w:rsidP="00255CC4">
            <w:pPr>
              <w:spacing w:line="240" w:lineRule="auto"/>
              <w:jc w:val="left"/>
              <w:rPr>
                <w:rFonts w:ascii="inherit" w:eastAsia="Times New Roman" w:hAnsi="inherit"/>
                <w:b/>
                <w:sz w:val="22"/>
                <w:szCs w:val="22"/>
              </w:rPr>
            </w:pPr>
            <w:r w:rsidRPr="002F551F">
              <w:rPr>
                <w:rFonts w:ascii="inherit" w:eastAsia="Times New Roman" w:hAnsi="inherit"/>
                <w:b/>
                <w:sz w:val="22"/>
                <w:szCs w:val="22"/>
              </w:rPr>
              <w:t>Vidēji uz vienu mājsaimniecības locekli</w:t>
            </w:r>
          </w:p>
        </w:tc>
        <w:tc>
          <w:tcPr>
            <w:tcW w:w="1418" w:type="dxa"/>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b/>
                <w:color w:val="000000"/>
                <w:sz w:val="22"/>
                <w:szCs w:val="22"/>
              </w:rPr>
            </w:pPr>
            <w:r>
              <w:rPr>
                <w:rFonts w:ascii="inherit" w:eastAsia="Times New Roman" w:hAnsi="inherit"/>
                <w:b/>
                <w:color w:val="000000"/>
                <w:sz w:val="22"/>
                <w:szCs w:val="22"/>
              </w:rPr>
              <w:t>149,</w:t>
            </w:r>
            <w:r w:rsidRPr="00A81E09">
              <w:rPr>
                <w:rFonts w:ascii="inherit" w:eastAsia="Times New Roman" w:hAnsi="inherit"/>
                <w:b/>
                <w:color w:val="000000"/>
                <w:sz w:val="22"/>
                <w:szCs w:val="22"/>
              </w:rPr>
              <w:t>51</w:t>
            </w:r>
          </w:p>
        </w:tc>
        <w:tc>
          <w:tcPr>
            <w:tcW w:w="1134"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b/>
                <w:color w:val="000000"/>
                <w:sz w:val="22"/>
                <w:szCs w:val="22"/>
              </w:rPr>
            </w:pPr>
            <w:r>
              <w:rPr>
                <w:rFonts w:ascii="inherit" w:eastAsia="Times New Roman" w:hAnsi="inherit"/>
                <w:b/>
                <w:color w:val="000000"/>
                <w:sz w:val="22"/>
                <w:szCs w:val="22"/>
              </w:rPr>
              <w:t>256,</w:t>
            </w:r>
            <w:r w:rsidRPr="00A81E09">
              <w:rPr>
                <w:rFonts w:ascii="inherit" w:eastAsia="Times New Roman" w:hAnsi="inherit"/>
                <w:b/>
                <w:color w:val="000000"/>
                <w:sz w:val="22"/>
                <w:szCs w:val="22"/>
              </w:rPr>
              <w:t>89</w:t>
            </w:r>
          </w:p>
        </w:tc>
        <w:tc>
          <w:tcPr>
            <w:tcW w:w="1276"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b/>
                <w:color w:val="000000"/>
                <w:sz w:val="22"/>
                <w:szCs w:val="22"/>
              </w:rPr>
            </w:pPr>
            <w:r>
              <w:rPr>
                <w:rFonts w:ascii="inherit" w:eastAsia="Times New Roman" w:hAnsi="inherit"/>
                <w:b/>
                <w:color w:val="000000"/>
                <w:sz w:val="22"/>
                <w:szCs w:val="22"/>
              </w:rPr>
              <w:t>340,</w:t>
            </w:r>
            <w:r w:rsidRPr="00A81E09">
              <w:rPr>
                <w:rFonts w:ascii="inherit" w:eastAsia="Times New Roman" w:hAnsi="inherit"/>
                <w:b/>
                <w:color w:val="000000"/>
                <w:sz w:val="22"/>
                <w:szCs w:val="22"/>
              </w:rPr>
              <w:t>16</w:t>
            </w:r>
          </w:p>
        </w:tc>
        <w:tc>
          <w:tcPr>
            <w:tcW w:w="1275"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b/>
                <w:color w:val="000000"/>
                <w:sz w:val="22"/>
                <w:szCs w:val="22"/>
              </w:rPr>
            </w:pPr>
            <w:r>
              <w:rPr>
                <w:rFonts w:ascii="inherit" w:eastAsia="Times New Roman" w:hAnsi="inherit"/>
                <w:b/>
                <w:color w:val="000000"/>
                <w:sz w:val="22"/>
                <w:szCs w:val="22"/>
              </w:rPr>
              <w:t>483,</w:t>
            </w:r>
            <w:r w:rsidRPr="00A81E09">
              <w:rPr>
                <w:rFonts w:ascii="inherit" w:eastAsia="Times New Roman" w:hAnsi="inherit"/>
                <w:b/>
                <w:color w:val="000000"/>
                <w:sz w:val="22"/>
                <w:szCs w:val="22"/>
              </w:rPr>
              <w:t>31</w:t>
            </w:r>
          </w:p>
        </w:tc>
        <w:tc>
          <w:tcPr>
            <w:tcW w:w="1276"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b/>
                <w:color w:val="000000"/>
                <w:sz w:val="22"/>
                <w:szCs w:val="22"/>
              </w:rPr>
            </w:pPr>
            <w:r>
              <w:rPr>
                <w:rFonts w:ascii="inherit" w:eastAsia="Times New Roman" w:hAnsi="inherit"/>
                <w:b/>
                <w:color w:val="000000"/>
                <w:sz w:val="22"/>
                <w:szCs w:val="22"/>
              </w:rPr>
              <w:t>895,</w:t>
            </w:r>
            <w:r w:rsidRPr="00A81E09">
              <w:rPr>
                <w:rFonts w:ascii="inherit" w:eastAsia="Times New Roman" w:hAnsi="inherit"/>
                <w:b/>
                <w:color w:val="000000"/>
                <w:sz w:val="22"/>
                <w:szCs w:val="22"/>
              </w:rPr>
              <w:t>60</w:t>
            </w:r>
          </w:p>
        </w:tc>
      </w:tr>
      <w:tr w:rsidR="00255CC4" w:rsidRPr="002F551F" w:rsidTr="00255CC4">
        <w:tc>
          <w:tcPr>
            <w:tcW w:w="3477" w:type="dxa"/>
            <w:tcBorders>
              <w:top w:val="single" w:sz="6" w:space="0" w:color="A9A9A9"/>
              <w:left w:val="single" w:sz="6" w:space="0" w:color="A9A9A9"/>
              <w:bottom w:val="single" w:sz="6" w:space="0" w:color="A9A9A9"/>
              <w:right w:val="single" w:sz="6" w:space="0" w:color="A9A9A9"/>
            </w:tcBorders>
            <w:shd w:val="clear" w:color="auto" w:fill="auto"/>
            <w:tcMar>
              <w:top w:w="75" w:type="dxa"/>
              <w:left w:w="150" w:type="dxa"/>
              <w:bottom w:w="75" w:type="dxa"/>
              <w:right w:w="75" w:type="dxa"/>
            </w:tcMar>
            <w:vAlign w:val="center"/>
            <w:hideMark/>
          </w:tcPr>
          <w:p w:rsidR="00255CC4" w:rsidRPr="002F551F" w:rsidRDefault="00255CC4" w:rsidP="00255CC4">
            <w:pPr>
              <w:spacing w:line="240" w:lineRule="auto"/>
              <w:jc w:val="left"/>
              <w:rPr>
                <w:rFonts w:ascii="inherit" w:eastAsia="Times New Roman" w:hAnsi="inherit"/>
                <w:sz w:val="22"/>
                <w:szCs w:val="22"/>
              </w:rPr>
            </w:pPr>
            <w:r w:rsidRPr="002F551F">
              <w:rPr>
                <w:rFonts w:ascii="inherit" w:eastAsia="Times New Roman" w:hAnsi="inherit"/>
                <w:sz w:val="22"/>
                <w:szCs w:val="22"/>
              </w:rPr>
              <w:t>Vidēji uz vienu mājsaimniecības locekli - zemākā robeža</w:t>
            </w:r>
          </w:p>
        </w:tc>
        <w:tc>
          <w:tcPr>
            <w:tcW w:w="1418" w:type="dxa"/>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sidRPr="00A81E09">
              <w:rPr>
                <w:rFonts w:ascii="inherit" w:eastAsia="Times New Roman" w:hAnsi="inherit"/>
                <w:color w:val="000000"/>
                <w:sz w:val="22"/>
                <w:szCs w:val="22"/>
              </w:rPr>
              <w:t>X</w:t>
            </w:r>
          </w:p>
        </w:tc>
        <w:tc>
          <w:tcPr>
            <w:tcW w:w="1134"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Pr>
                <w:rFonts w:ascii="inherit" w:eastAsia="Times New Roman" w:hAnsi="inherit"/>
                <w:color w:val="000000"/>
                <w:sz w:val="22"/>
                <w:szCs w:val="22"/>
              </w:rPr>
              <w:t>224,</w:t>
            </w:r>
            <w:r w:rsidRPr="00A81E09">
              <w:rPr>
                <w:rFonts w:ascii="inherit" w:eastAsia="Times New Roman" w:hAnsi="inherit"/>
                <w:color w:val="000000"/>
                <w:sz w:val="22"/>
                <w:szCs w:val="22"/>
              </w:rPr>
              <w:t>60</w:t>
            </w:r>
          </w:p>
        </w:tc>
        <w:tc>
          <w:tcPr>
            <w:tcW w:w="1276"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Pr>
                <w:rFonts w:ascii="inherit" w:eastAsia="Times New Roman" w:hAnsi="inherit"/>
                <w:color w:val="000000"/>
                <w:sz w:val="22"/>
                <w:szCs w:val="22"/>
              </w:rPr>
              <w:t>288,</w:t>
            </w:r>
            <w:r w:rsidRPr="00A81E09">
              <w:rPr>
                <w:rFonts w:ascii="inherit" w:eastAsia="Times New Roman" w:hAnsi="inherit"/>
                <w:color w:val="000000"/>
                <w:sz w:val="22"/>
                <w:szCs w:val="22"/>
              </w:rPr>
              <w:t>07</w:t>
            </w:r>
          </w:p>
        </w:tc>
        <w:tc>
          <w:tcPr>
            <w:tcW w:w="1275"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sidRPr="00A81E09">
              <w:rPr>
                <w:rFonts w:ascii="inherit" w:eastAsia="Times New Roman" w:hAnsi="inherit"/>
                <w:color w:val="000000"/>
                <w:sz w:val="22"/>
                <w:szCs w:val="22"/>
              </w:rPr>
              <w:t>397</w:t>
            </w:r>
            <w:r>
              <w:rPr>
                <w:rFonts w:ascii="inherit" w:eastAsia="Times New Roman" w:hAnsi="inherit"/>
                <w:color w:val="000000"/>
                <w:sz w:val="22"/>
                <w:szCs w:val="22"/>
              </w:rPr>
              <w:t>,</w:t>
            </w:r>
            <w:r w:rsidRPr="00A81E09">
              <w:rPr>
                <w:rFonts w:ascii="inherit" w:eastAsia="Times New Roman" w:hAnsi="inherit"/>
                <w:color w:val="000000"/>
                <w:sz w:val="22"/>
                <w:szCs w:val="22"/>
              </w:rPr>
              <w:t>13</w:t>
            </w:r>
          </w:p>
        </w:tc>
        <w:tc>
          <w:tcPr>
            <w:tcW w:w="1276"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sidRPr="00A81E09">
              <w:rPr>
                <w:rFonts w:ascii="inherit" w:eastAsia="Times New Roman" w:hAnsi="inherit"/>
                <w:color w:val="000000"/>
                <w:sz w:val="22"/>
                <w:szCs w:val="22"/>
              </w:rPr>
              <w:t>5</w:t>
            </w:r>
            <w:r>
              <w:rPr>
                <w:rFonts w:ascii="inherit" w:eastAsia="Times New Roman" w:hAnsi="inherit"/>
                <w:color w:val="000000"/>
                <w:sz w:val="22"/>
                <w:szCs w:val="22"/>
              </w:rPr>
              <w:t>84,</w:t>
            </w:r>
            <w:r w:rsidRPr="00A81E09">
              <w:rPr>
                <w:rFonts w:ascii="inherit" w:eastAsia="Times New Roman" w:hAnsi="inherit"/>
                <w:color w:val="000000"/>
                <w:sz w:val="22"/>
                <w:szCs w:val="22"/>
              </w:rPr>
              <w:t>39</w:t>
            </w:r>
          </w:p>
        </w:tc>
      </w:tr>
      <w:tr w:rsidR="00255CC4" w:rsidRPr="002F551F" w:rsidTr="00255CC4">
        <w:tc>
          <w:tcPr>
            <w:tcW w:w="3477" w:type="dxa"/>
            <w:tcBorders>
              <w:top w:val="single" w:sz="6" w:space="0" w:color="A9A9A9"/>
              <w:left w:val="single" w:sz="6" w:space="0" w:color="A9A9A9"/>
              <w:bottom w:val="single" w:sz="6" w:space="0" w:color="A9A9A9"/>
              <w:right w:val="single" w:sz="6" w:space="0" w:color="A9A9A9"/>
            </w:tcBorders>
            <w:shd w:val="clear" w:color="auto" w:fill="auto"/>
            <w:tcMar>
              <w:top w:w="75" w:type="dxa"/>
              <w:left w:w="150" w:type="dxa"/>
              <w:bottom w:w="75" w:type="dxa"/>
              <w:right w:w="75" w:type="dxa"/>
            </w:tcMar>
            <w:vAlign w:val="center"/>
            <w:hideMark/>
          </w:tcPr>
          <w:p w:rsidR="00255CC4" w:rsidRPr="002F551F" w:rsidRDefault="00255CC4" w:rsidP="00255CC4">
            <w:pPr>
              <w:spacing w:line="240" w:lineRule="auto"/>
              <w:jc w:val="left"/>
              <w:rPr>
                <w:rFonts w:ascii="inherit" w:eastAsia="Times New Roman" w:hAnsi="inherit"/>
                <w:sz w:val="22"/>
                <w:szCs w:val="22"/>
              </w:rPr>
            </w:pPr>
            <w:r w:rsidRPr="002F551F">
              <w:rPr>
                <w:rFonts w:ascii="inherit" w:eastAsia="Times New Roman" w:hAnsi="inherit"/>
                <w:sz w:val="22"/>
                <w:szCs w:val="22"/>
              </w:rPr>
              <w:t>Vidēji uz vienu mājsaimniecības locekli - augstākā robeža</w:t>
            </w:r>
          </w:p>
        </w:tc>
        <w:tc>
          <w:tcPr>
            <w:tcW w:w="1418" w:type="dxa"/>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Pr>
                <w:rFonts w:ascii="inherit" w:eastAsia="Times New Roman" w:hAnsi="inherit"/>
                <w:color w:val="000000"/>
                <w:sz w:val="22"/>
                <w:szCs w:val="22"/>
              </w:rPr>
              <w:t>224,</w:t>
            </w:r>
            <w:r w:rsidRPr="00A81E09">
              <w:rPr>
                <w:rFonts w:ascii="inherit" w:eastAsia="Times New Roman" w:hAnsi="inherit"/>
                <w:color w:val="000000"/>
                <w:sz w:val="22"/>
                <w:szCs w:val="22"/>
              </w:rPr>
              <w:t>59</w:t>
            </w:r>
          </w:p>
        </w:tc>
        <w:tc>
          <w:tcPr>
            <w:tcW w:w="1134"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sidRPr="00A81E09">
              <w:rPr>
                <w:rFonts w:ascii="inherit" w:eastAsia="Times New Roman" w:hAnsi="inherit"/>
                <w:color w:val="000000"/>
                <w:sz w:val="22"/>
                <w:szCs w:val="22"/>
              </w:rPr>
              <w:t>288</w:t>
            </w:r>
            <w:r>
              <w:rPr>
                <w:rFonts w:ascii="inherit" w:eastAsia="Times New Roman" w:hAnsi="inherit"/>
                <w:color w:val="000000"/>
                <w:sz w:val="22"/>
                <w:szCs w:val="22"/>
              </w:rPr>
              <w:t>,</w:t>
            </w:r>
            <w:r w:rsidRPr="00A81E09">
              <w:rPr>
                <w:rFonts w:ascii="inherit" w:eastAsia="Times New Roman" w:hAnsi="inherit"/>
                <w:color w:val="000000"/>
                <w:sz w:val="22"/>
                <w:szCs w:val="22"/>
              </w:rPr>
              <w:t>06</w:t>
            </w:r>
          </w:p>
        </w:tc>
        <w:tc>
          <w:tcPr>
            <w:tcW w:w="1276"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sidRPr="00A81E09">
              <w:rPr>
                <w:rFonts w:ascii="inherit" w:eastAsia="Times New Roman" w:hAnsi="inherit"/>
                <w:color w:val="000000"/>
                <w:sz w:val="22"/>
                <w:szCs w:val="22"/>
              </w:rPr>
              <w:t>397</w:t>
            </w:r>
            <w:r>
              <w:rPr>
                <w:rFonts w:ascii="inherit" w:eastAsia="Times New Roman" w:hAnsi="inherit"/>
                <w:color w:val="000000"/>
                <w:sz w:val="22"/>
                <w:szCs w:val="22"/>
              </w:rPr>
              <w:t>,</w:t>
            </w:r>
            <w:r w:rsidRPr="00A81E09">
              <w:rPr>
                <w:rFonts w:ascii="inherit" w:eastAsia="Times New Roman" w:hAnsi="inherit"/>
                <w:color w:val="000000"/>
                <w:sz w:val="22"/>
                <w:szCs w:val="22"/>
              </w:rPr>
              <w:t>12</w:t>
            </w:r>
          </w:p>
        </w:tc>
        <w:tc>
          <w:tcPr>
            <w:tcW w:w="1275"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sidRPr="00A81E09">
              <w:rPr>
                <w:rFonts w:ascii="inherit" w:eastAsia="Times New Roman" w:hAnsi="inherit"/>
                <w:color w:val="000000"/>
                <w:sz w:val="22"/>
                <w:szCs w:val="22"/>
              </w:rPr>
              <w:t>5</w:t>
            </w:r>
            <w:r>
              <w:rPr>
                <w:rFonts w:ascii="inherit" w:eastAsia="Times New Roman" w:hAnsi="inherit"/>
                <w:color w:val="000000"/>
                <w:sz w:val="22"/>
                <w:szCs w:val="22"/>
              </w:rPr>
              <w:t>84,</w:t>
            </w:r>
            <w:r w:rsidRPr="00A81E09">
              <w:rPr>
                <w:rFonts w:ascii="inherit" w:eastAsia="Times New Roman" w:hAnsi="inherit"/>
                <w:color w:val="000000"/>
                <w:sz w:val="22"/>
                <w:szCs w:val="22"/>
              </w:rPr>
              <w:t>38</w:t>
            </w:r>
          </w:p>
        </w:tc>
        <w:tc>
          <w:tcPr>
            <w:tcW w:w="1276"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sidRPr="00A81E09">
              <w:rPr>
                <w:rFonts w:ascii="inherit" w:eastAsia="Times New Roman" w:hAnsi="inherit"/>
                <w:color w:val="000000"/>
                <w:sz w:val="22"/>
                <w:szCs w:val="22"/>
              </w:rPr>
              <w:t>X</w:t>
            </w:r>
          </w:p>
        </w:tc>
      </w:tr>
      <w:tr w:rsidR="00255CC4" w:rsidRPr="002F551F" w:rsidTr="00255CC4">
        <w:tc>
          <w:tcPr>
            <w:tcW w:w="3477" w:type="dxa"/>
            <w:tcBorders>
              <w:top w:val="single" w:sz="6" w:space="0" w:color="A9A9A9"/>
              <w:left w:val="single" w:sz="6" w:space="0" w:color="A9A9A9"/>
              <w:bottom w:val="single" w:sz="6" w:space="0" w:color="A9A9A9"/>
              <w:right w:val="single" w:sz="6" w:space="0" w:color="A9A9A9"/>
            </w:tcBorders>
            <w:shd w:val="clear" w:color="auto" w:fill="auto"/>
            <w:tcMar>
              <w:top w:w="75" w:type="dxa"/>
              <w:left w:w="150" w:type="dxa"/>
              <w:bottom w:w="75" w:type="dxa"/>
              <w:right w:w="75" w:type="dxa"/>
            </w:tcMar>
            <w:vAlign w:val="center"/>
            <w:hideMark/>
          </w:tcPr>
          <w:p w:rsidR="00255CC4" w:rsidRPr="002F551F" w:rsidRDefault="00255CC4" w:rsidP="00255CC4">
            <w:pPr>
              <w:spacing w:line="240" w:lineRule="auto"/>
              <w:jc w:val="left"/>
              <w:rPr>
                <w:rFonts w:ascii="inherit" w:eastAsia="Times New Roman" w:hAnsi="inherit"/>
                <w:sz w:val="22"/>
                <w:szCs w:val="22"/>
              </w:rPr>
            </w:pPr>
            <w:r w:rsidRPr="002F551F">
              <w:rPr>
                <w:rFonts w:ascii="inherit" w:eastAsia="Times New Roman" w:hAnsi="inherit"/>
                <w:sz w:val="22"/>
                <w:szCs w:val="22"/>
              </w:rPr>
              <w:t>Vidēji uz vienu ekvivalento patērētāju</w:t>
            </w:r>
          </w:p>
        </w:tc>
        <w:tc>
          <w:tcPr>
            <w:tcW w:w="1418" w:type="dxa"/>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Pr>
                <w:rFonts w:ascii="inherit" w:eastAsia="Times New Roman" w:hAnsi="inherit"/>
                <w:color w:val="000000"/>
                <w:sz w:val="22"/>
                <w:szCs w:val="22"/>
              </w:rPr>
              <w:t>239,</w:t>
            </w:r>
            <w:r w:rsidRPr="00A81E09">
              <w:rPr>
                <w:rFonts w:ascii="inherit" w:eastAsia="Times New Roman" w:hAnsi="inherit"/>
                <w:color w:val="000000"/>
                <w:sz w:val="22"/>
                <w:szCs w:val="22"/>
              </w:rPr>
              <w:t>05</w:t>
            </w:r>
          </w:p>
        </w:tc>
        <w:tc>
          <w:tcPr>
            <w:tcW w:w="1134"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Pr>
                <w:rFonts w:ascii="inherit" w:eastAsia="Times New Roman" w:hAnsi="inherit"/>
                <w:color w:val="000000"/>
                <w:sz w:val="22"/>
                <w:szCs w:val="22"/>
              </w:rPr>
              <w:t>384,</w:t>
            </w:r>
            <w:r w:rsidRPr="00A81E09">
              <w:rPr>
                <w:rFonts w:ascii="inherit" w:eastAsia="Times New Roman" w:hAnsi="inherit"/>
                <w:color w:val="000000"/>
                <w:sz w:val="22"/>
                <w:szCs w:val="22"/>
              </w:rPr>
              <w:t>08</w:t>
            </w:r>
          </w:p>
        </w:tc>
        <w:tc>
          <w:tcPr>
            <w:tcW w:w="1276"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Pr>
                <w:rFonts w:ascii="inherit" w:eastAsia="Times New Roman" w:hAnsi="inherit"/>
                <w:color w:val="000000"/>
                <w:sz w:val="22"/>
                <w:szCs w:val="22"/>
              </w:rPr>
              <w:t>524,</w:t>
            </w:r>
            <w:r w:rsidRPr="00A81E09">
              <w:rPr>
                <w:rFonts w:ascii="inherit" w:eastAsia="Times New Roman" w:hAnsi="inherit"/>
                <w:color w:val="000000"/>
                <w:sz w:val="22"/>
                <w:szCs w:val="22"/>
              </w:rPr>
              <w:t>87</w:t>
            </w:r>
          </w:p>
        </w:tc>
        <w:tc>
          <w:tcPr>
            <w:tcW w:w="1275"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Pr>
                <w:rFonts w:ascii="inherit" w:eastAsia="Times New Roman" w:hAnsi="inherit"/>
                <w:color w:val="000000"/>
                <w:sz w:val="22"/>
                <w:szCs w:val="22"/>
              </w:rPr>
              <w:t>748,</w:t>
            </w:r>
            <w:r w:rsidRPr="00A81E09">
              <w:rPr>
                <w:rFonts w:ascii="inherit" w:eastAsia="Times New Roman" w:hAnsi="inherit"/>
                <w:color w:val="000000"/>
                <w:sz w:val="22"/>
                <w:szCs w:val="22"/>
              </w:rPr>
              <w:t>80</w:t>
            </w:r>
          </w:p>
        </w:tc>
        <w:tc>
          <w:tcPr>
            <w:tcW w:w="1276"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Pr>
                <w:rFonts w:ascii="inherit" w:eastAsia="Times New Roman" w:hAnsi="inherit"/>
                <w:color w:val="000000"/>
                <w:sz w:val="22"/>
                <w:szCs w:val="22"/>
              </w:rPr>
              <w:t>1 295,</w:t>
            </w:r>
            <w:r w:rsidRPr="00A81E09">
              <w:rPr>
                <w:rFonts w:ascii="inherit" w:eastAsia="Times New Roman" w:hAnsi="inherit"/>
                <w:color w:val="000000"/>
                <w:sz w:val="22"/>
                <w:szCs w:val="22"/>
              </w:rPr>
              <w:t>36</w:t>
            </w:r>
          </w:p>
        </w:tc>
      </w:tr>
      <w:tr w:rsidR="00255CC4" w:rsidRPr="002F551F" w:rsidTr="00BC22F8">
        <w:tc>
          <w:tcPr>
            <w:tcW w:w="3477" w:type="dxa"/>
            <w:tcBorders>
              <w:top w:val="single" w:sz="6" w:space="0" w:color="A9A9A9"/>
              <w:left w:val="single" w:sz="6" w:space="0" w:color="A9A9A9"/>
              <w:bottom w:val="single" w:sz="6" w:space="0" w:color="A9A9A9"/>
              <w:right w:val="single" w:sz="6" w:space="0" w:color="A9A9A9"/>
            </w:tcBorders>
            <w:shd w:val="clear" w:color="auto" w:fill="B8CCE4" w:themeFill="accent1" w:themeFillTint="66"/>
            <w:tcMar>
              <w:top w:w="75" w:type="dxa"/>
              <w:left w:w="75" w:type="dxa"/>
              <w:bottom w:w="75" w:type="dxa"/>
              <w:right w:w="75" w:type="dxa"/>
            </w:tcMar>
            <w:vAlign w:val="center"/>
            <w:hideMark/>
          </w:tcPr>
          <w:p w:rsidR="00255CC4" w:rsidRPr="00BC22F8" w:rsidRDefault="00255CC4" w:rsidP="00255CC4">
            <w:pPr>
              <w:spacing w:line="240" w:lineRule="auto"/>
              <w:jc w:val="left"/>
              <w:rPr>
                <w:rFonts w:ascii="inherit" w:eastAsia="Times New Roman" w:hAnsi="inherit"/>
                <w:b/>
                <w:color w:val="002060"/>
                <w:sz w:val="22"/>
                <w:szCs w:val="22"/>
              </w:rPr>
            </w:pPr>
            <w:r w:rsidRPr="00BC22F8">
              <w:rPr>
                <w:rFonts w:ascii="inherit" w:eastAsia="Times New Roman" w:hAnsi="inherit"/>
                <w:b/>
                <w:color w:val="002060"/>
                <w:sz w:val="22"/>
                <w:szCs w:val="22"/>
              </w:rPr>
              <w:t>2016</w:t>
            </w:r>
          </w:p>
        </w:tc>
        <w:tc>
          <w:tcPr>
            <w:tcW w:w="1418" w:type="dxa"/>
            <w:tcBorders>
              <w:top w:val="single" w:sz="6" w:space="0" w:color="A9A9A9"/>
              <w:left w:val="single" w:sz="6" w:space="0" w:color="A9A9A9"/>
              <w:bottom w:val="single" w:sz="6" w:space="0" w:color="A9A9A9"/>
              <w:right w:val="single" w:sz="6" w:space="0" w:color="A9A9A9"/>
            </w:tcBorders>
            <w:shd w:val="clear" w:color="auto" w:fill="FFFFFF"/>
            <w:vAlign w:val="center"/>
            <w:hideMark/>
          </w:tcPr>
          <w:p w:rsidR="00255CC4" w:rsidRPr="00A81E09" w:rsidRDefault="00255CC4" w:rsidP="00255CC4">
            <w:pPr>
              <w:spacing w:line="240" w:lineRule="auto"/>
              <w:jc w:val="center"/>
              <w:rPr>
                <w:rFonts w:ascii="inherit" w:eastAsia="Times New Roman" w:hAnsi="inherit"/>
                <w:color w:val="000000"/>
                <w:sz w:val="22"/>
                <w:szCs w:val="22"/>
              </w:rPr>
            </w:pPr>
          </w:p>
        </w:tc>
        <w:tc>
          <w:tcPr>
            <w:tcW w:w="1134" w:type="dxa"/>
            <w:tcBorders>
              <w:top w:val="single" w:sz="6" w:space="0" w:color="A9A9A9"/>
              <w:left w:val="single" w:sz="6" w:space="0" w:color="A9A9A9"/>
              <w:bottom w:val="single" w:sz="6" w:space="0" w:color="A9A9A9"/>
              <w:right w:val="single" w:sz="6" w:space="0" w:color="A9A9A9"/>
            </w:tcBorders>
            <w:shd w:val="clear" w:color="auto" w:fill="FFFFFF"/>
            <w:vAlign w:val="center"/>
            <w:hideMark/>
          </w:tcPr>
          <w:p w:rsidR="00255CC4" w:rsidRPr="00A81E09" w:rsidRDefault="00255CC4" w:rsidP="00255CC4">
            <w:pPr>
              <w:spacing w:line="240" w:lineRule="auto"/>
              <w:jc w:val="center"/>
              <w:rPr>
                <w:rFonts w:ascii="inherit" w:eastAsia="Times New Roman" w:hAnsi="inherit"/>
                <w:color w:val="000000"/>
                <w:sz w:val="22"/>
                <w:szCs w:val="22"/>
              </w:rPr>
            </w:pPr>
          </w:p>
        </w:tc>
        <w:tc>
          <w:tcPr>
            <w:tcW w:w="1276" w:type="dxa"/>
            <w:tcBorders>
              <w:top w:val="single" w:sz="6" w:space="0" w:color="A9A9A9"/>
              <w:left w:val="single" w:sz="6" w:space="0" w:color="A9A9A9"/>
              <w:bottom w:val="single" w:sz="6" w:space="0" w:color="A9A9A9"/>
              <w:right w:val="single" w:sz="6" w:space="0" w:color="A9A9A9"/>
            </w:tcBorders>
            <w:shd w:val="clear" w:color="auto" w:fill="FFFFFF"/>
            <w:vAlign w:val="center"/>
            <w:hideMark/>
          </w:tcPr>
          <w:p w:rsidR="00255CC4" w:rsidRPr="00A81E09" w:rsidRDefault="00255CC4" w:rsidP="00255CC4">
            <w:pPr>
              <w:spacing w:line="240" w:lineRule="auto"/>
              <w:jc w:val="center"/>
              <w:rPr>
                <w:rFonts w:ascii="inherit" w:eastAsia="Times New Roman" w:hAnsi="inherit"/>
                <w:color w:val="000000"/>
                <w:sz w:val="22"/>
                <w:szCs w:val="22"/>
              </w:rPr>
            </w:pPr>
          </w:p>
        </w:tc>
        <w:tc>
          <w:tcPr>
            <w:tcW w:w="1275" w:type="dxa"/>
            <w:tcBorders>
              <w:top w:val="single" w:sz="6" w:space="0" w:color="A9A9A9"/>
              <w:left w:val="single" w:sz="6" w:space="0" w:color="A9A9A9"/>
              <w:bottom w:val="single" w:sz="6" w:space="0" w:color="A9A9A9"/>
              <w:right w:val="single" w:sz="6" w:space="0" w:color="A9A9A9"/>
            </w:tcBorders>
            <w:shd w:val="clear" w:color="auto" w:fill="FFFFFF"/>
            <w:vAlign w:val="center"/>
            <w:hideMark/>
          </w:tcPr>
          <w:p w:rsidR="00255CC4" w:rsidRPr="00A81E09" w:rsidRDefault="00255CC4" w:rsidP="00255CC4">
            <w:pPr>
              <w:spacing w:line="240" w:lineRule="auto"/>
              <w:jc w:val="center"/>
              <w:rPr>
                <w:rFonts w:ascii="inherit" w:eastAsia="Times New Roman" w:hAnsi="inherit"/>
                <w:color w:val="000000"/>
                <w:sz w:val="22"/>
                <w:szCs w:val="22"/>
              </w:rPr>
            </w:pPr>
          </w:p>
        </w:tc>
        <w:tc>
          <w:tcPr>
            <w:tcW w:w="1276" w:type="dxa"/>
            <w:tcBorders>
              <w:top w:val="single" w:sz="6" w:space="0" w:color="A9A9A9"/>
              <w:left w:val="single" w:sz="6" w:space="0" w:color="A9A9A9"/>
              <w:bottom w:val="single" w:sz="6" w:space="0" w:color="A9A9A9"/>
              <w:right w:val="single" w:sz="6" w:space="0" w:color="A9A9A9"/>
            </w:tcBorders>
            <w:shd w:val="clear" w:color="auto" w:fill="FFFFFF"/>
            <w:vAlign w:val="center"/>
            <w:hideMark/>
          </w:tcPr>
          <w:p w:rsidR="00255CC4" w:rsidRPr="00A81E09" w:rsidRDefault="00255CC4" w:rsidP="00255CC4">
            <w:pPr>
              <w:spacing w:line="240" w:lineRule="auto"/>
              <w:jc w:val="center"/>
              <w:rPr>
                <w:rFonts w:ascii="inherit" w:eastAsia="Times New Roman" w:hAnsi="inherit"/>
                <w:color w:val="000000"/>
                <w:sz w:val="22"/>
                <w:szCs w:val="22"/>
              </w:rPr>
            </w:pPr>
          </w:p>
        </w:tc>
      </w:tr>
      <w:tr w:rsidR="00255CC4" w:rsidRPr="002F551F" w:rsidTr="00255CC4">
        <w:tc>
          <w:tcPr>
            <w:tcW w:w="3477" w:type="dxa"/>
            <w:tcBorders>
              <w:top w:val="single" w:sz="6" w:space="0" w:color="A9A9A9"/>
              <w:left w:val="single" w:sz="6" w:space="0" w:color="A9A9A9"/>
              <w:bottom w:val="single" w:sz="6" w:space="0" w:color="A9A9A9"/>
              <w:right w:val="single" w:sz="6" w:space="0" w:color="A9A9A9"/>
            </w:tcBorders>
            <w:shd w:val="clear" w:color="auto" w:fill="auto"/>
            <w:tcMar>
              <w:top w:w="75" w:type="dxa"/>
              <w:left w:w="150" w:type="dxa"/>
              <w:bottom w:w="75" w:type="dxa"/>
              <w:right w:w="75" w:type="dxa"/>
            </w:tcMar>
            <w:vAlign w:val="center"/>
            <w:hideMark/>
          </w:tcPr>
          <w:p w:rsidR="00255CC4" w:rsidRPr="002F551F" w:rsidRDefault="00255CC4" w:rsidP="00255CC4">
            <w:pPr>
              <w:spacing w:line="240" w:lineRule="auto"/>
              <w:jc w:val="left"/>
              <w:rPr>
                <w:rFonts w:ascii="inherit" w:eastAsia="Times New Roman" w:hAnsi="inherit"/>
                <w:sz w:val="22"/>
                <w:szCs w:val="22"/>
              </w:rPr>
            </w:pPr>
            <w:r w:rsidRPr="002F551F">
              <w:rPr>
                <w:rFonts w:ascii="inherit" w:eastAsia="Times New Roman" w:hAnsi="inherit"/>
                <w:sz w:val="22"/>
                <w:szCs w:val="22"/>
              </w:rPr>
              <w:t>Vidēji uz vienu mājsaimniecību</w:t>
            </w:r>
          </w:p>
        </w:tc>
        <w:tc>
          <w:tcPr>
            <w:tcW w:w="1418" w:type="dxa"/>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Pr>
                <w:rFonts w:ascii="inherit" w:eastAsia="Times New Roman" w:hAnsi="inherit"/>
                <w:color w:val="000000"/>
                <w:sz w:val="22"/>
                <w:szCs w:val="22"/>
              </w:rPr>
              <w:t>392,</w:t>
            </w:r>
            <w:r w:rsidRPr="00A81E09">
              <w:rPr>
                <w:rFonts w:ascii="inherit" w:eastAsia="Times New Roman" w:hAnsi="inherit"/>
                <w:color w:val="000000"/>
                <w:sz w:val="22"/>
                <w:szCs w:val="22"/>
              </w:rPr>
              <w:t>66</w:t>
            </w:r>
          </w:p>
        </w:tc>
        <w:tc>
          <w:tcPr>
            <w:tcW w:w="1134"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Pr>
                <w:rFonts w:ascii="inherit" w:eastAsia="Times New Roman" w:hAnsi="inherit"/>
                <w:color w:val="000000"/>
                <w:sz w:val="22"/>
                <w:szCs w:val="22"/>
              </w:rPr>
              <w:t>527,</w:t>
            </w:r>
            <w:r w:rsidRPr="00A81E09">
              <w:rPr>
                <w:rFonts w:ascii="inherit" w:eastAsia="Times New Roman" w:hAnsi="inherit"/>
                <w:color w:val="000000"/>
                <w:sz w:val="22"/>
                <w:szCs w:val="22"/>
              </w:rPr>
              <w:t>79</w:t>
            </w:r>
          </w:p>
        </w:tc>
        <w:tc>
          <w:tcPr>
            <w:tcW w:w="1276"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Pr>
                <w:rFonts w:ascii="inherit" w:eastAsia="Times New Roman" w:hAnsi="inherit"/>
                <w:color w:val="000000"/>
                <w:sz w:val="22"/>
                <w:szCs w:val="22"/>
              </w:rPr>
              <w:t>897,</w:t>
            </w:r>
            <w:r w:rsidRPr="00A81E09">
              <w:rPr>
                <w:rFonts w:ascii="inherit" w:eastAsia="Times New Roman" w:hAnsi="inherit"/>
                <w:color w:val="000000"/>
                <w:sz w:val="22"/>
                <w:szCs w:val="22"/>
              </w:rPr>
              <w:t>56</w:t>
            </w:r>
          </w:p>
        </w:tc>
        <w:tc>
          <w:tcPr>
            <w:tcW w:w="1275"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Pr>
                <w:rFonts w:ascii="inherit" w:eastAsia="Times New Roman" w:hAnsi="inherit"/>
                <w:color w:val="000000"/>
                <w:sz w:val="22"/>
                <w:szCs w:val="22"/>
              </w:rPr>
              <w:t>1 285,</w:t>
            </w:r>
            <w:r w:rsidRPr="00A81E09">
              <w:rPr>
                <w:rFonts w:ascii="inherit" w:eastAsia="Times New Roman" w:hAnsi="inherit"/>
                <w:color w:val="000000"/>
                <w:sz w:val="22"/>
                <w:szCs w:val="22"/>
              </w:rPr>
              <w:t>38</w:t>
            </w:r>
          </w:p>
        </w:tc>
        <w:tc>
          <w:tcPr>
            <w:tcW w:w="1276"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Pr>
                <w:rFonts w:ascii="inherit" w:eastAsia="Times New Roman" w:hAnsi="inherit"/>
                <w:color w:val="000000"/>
                <w:sz w:val="22"/>
                <w:szCs w:val="22"/>
              </w:rPr>
              <w:t>1 984,</w:t>
            </w:r>
            <w:r w:rsidRPr="00A81E09">
              <w:rPr>
                <w:rFonts w:ascii="inherit" w:eastAsia="Times New Roman" w:hAnsi="inherit"/>
                <w:color w:val="000000"/>
                <w:sz w:val="22"/>
                <w:szCs w:val="22"/>
              </w:rPr>
              <w:t>11</w:t>
            </w:r>
          </w:p>
        </w:tc>
      </w:tr>
      <w:tr w:rsidR="00255CC4" w:rsidRPr="002F551F" w:rsidTr="00255CC4">
        <w:tc>
          <w:tcPr>
            <w:tcW w:w="3477" w:type="dxa"/>
            <w:tcBorders>
              <w:top w:val="single" w:sz="6" w:space="0" w:color="A9A9A9"/>
              <w:left w:val="single" w:sz="6" w:space="0" w:color="A9A9A9"/>
              <w:bottom w:val="single" w:sz="6" w:space="0" w:color="A9A9A9"/>
              <w:right w:val="single" w:sz="6" w:space="0" w:color="A9A9A9"/>
            </w:tcBorders>
            <w:shd w:val="clear" w:color="auto" w:fill="auto"/>
            <w:tcMar>
              <w:top w:w="75" w:type="dxa"/>
              <w:left w:w="150" w:type="dxa"/>
              <w:bottom w:w="75" w:type="dxa"/>
              <w:right w:w="75" w:type="dxa"/>
            </w:tcMar>
            <w:vAlign w:val="center"/>
            <w:hideMark/>
          </w:tcPr>
          <w:p w:rsidR="00255CC4" w:rsidRPr="002F551F" w:rsidRDefault="00255CC4" w:rsidP="00255CC4">
            <w:pPr>
              <w:spacing w:line="240" w:lineRule="auto"/>
              <w:jc w:val="left"/>
              <w:rPr>
                <w:rFonts w:ascii="inherit" w:eastAsia="Times New Roman" w:hAnsi="inherit"/>
                <w:b/>
                <w:sz w:val="22"/>
                <w:szCs w:val="22"/>
              </w:rPr>
            </w:pPr>
            <w:r w:rsidRPr="002F551F">
              <w:rPr>
                <w:rFonts w:ascii="inherit" w:eastAsia="Times New Roman" w:hAnsi="inherit"/>
                <w:b/>
                <w:sz w:val="22"/>
                <w:szCs w:val="22"/>
              </w:rPr>
              <w:t>Vidēji uz vienu mājsaimniecības locekli</w:t>
            </w:r>
          </w:p>
        </w:tc>
        <w:tc>
          <w:tcPr>
            <w:tcW w:w="1418" w:type="dxa"/>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b/>
                <w:color w:val="000000"/>
                <w:sz w:val="22"/>
                <w:szCs w:val="22"/>
              </w:rPr>
            </w:pPr>
            <w:r>
              <w:rPr>
                <w:rFonts w:ascii="inherit" w:eastAsia="Times New Roman" w:hAnsi="inherit"/>
                <w:b/>
                <w:color w:val="000000"/>
                <w:sz w:val="22"/>
                <w:szCs w:val="22"/>
              </w:rPr>
              <w:t>153,</w:t>
            </w:r>
            <w:r w:rsidRPr="00A81E09">
              <w:rPr>
                <w:rFonts w:ascii="inherit" w:eastAsia="Times New Roman" w:hAnsi="inherit"/>
                <w:b/>
                <w:color w:val="000000"/>
                <w:sz w:val="22"/>
                <w:szCs w:val="22"/>
              </w:rPr>
              <w:t>71</w:t>
            </w:r>
          </w:p>
        </w:tc>
        <w:tc>
          <w:tcPr>
            <w:tcW w:w="1134"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b/>
                <w:color w:val="000000"/>
                <w:sz w:val="22"/>
                <w:szCs w:val="22"/>
              </w:rPr>
            </w:pPr>
            <w:r>
              <w:rPr>
                <w:rFonts w:ascii="inherit" w:eastAsia="Times New Roman" w:hAnsi="inherit"/>
                <w:b/>
                <w:color w:val="000000"/>
                <w:sz w:val="22"/>
                <w:szCs w:val="22"/>
              </w:rPr>
              <w:t>266,</w:t>
            </w:r>
            <w:r w:rsidRPr="00A81E09">
              <w:rPr>
                <w:rFonts w:ascii="inherit" w:eastAsia="Times New Roman" w:hAnsi="inherit"/>
                <w:b/>
                <w:color w:val="000000"/>
                <w:sz w:val="22"/>
                <w:szCs w:val="22"/>
              </w:rPr>
              <w:t>14</w:t>
            </w:r>
          </w:p>
        </w:tc>
        <w:tc>
          <w:tcPr>
            <w:tcW w:w="1276"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b/>
                <w:color w:val="000000"/>
                <w:sz w:val="22"/>
                <w:szCs w:val="22"/>
              </w:rPr>
            </w:pPr>
            <w:r>
              <w:rPr>
                <w:rFonts w:ascii="inherit" w:eastAsia="Times New Roman" w:hAnsi="inherit"/>
                <w:b/>
                <w:color w:val="000000"/>
                <w:sz w:val="22"/>
                <w:szCs w:val="22"/>
              </w:rPr>
              <w:t>359,</w:t>
            </w:r>
            <w:r w:rsidRPr="00A81E09">
              <w:rPr>
                <w:rFonts w:ascii="inherit" w:eastAsia="Times New Roman" w:hAnsi="inherit"/>
                <w:b/>
                <w:color w:val="000000"/>
                <w:sz w:val="22"/>
                <w:szCs w:val="22"/>
              </w:rPr>
              <w:t>50</w:t>
            </w:r>
          </w:p>
        </w:tc>
        <w:tc>
          <w:tcPr>
            <w:tcW w:w="1275"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b/>
                <w:color w:val="000000"/>
                <w:sz w:val="22"/>
                <w:szCs w:val="22"/>
              </w:rPr>
            </w:pPr>
            <w:r>
              <w:rPr>
                <w:rFonts w:ascii="inherit" w:eastAsia="Times New Roman" w:hAnsi="inherit"/>
                <w:b/>
                <w:color w:val="000000"/>
                <w:sz w:val="22"/>
                <w:szCs w:val="22"/>
              </w:rPr>
              <w:t>514,</w:t>
            </w:r>
            <w:r w:rsidRPr="00A81E09">
              <w:rPr>
                <w:rFonts w:ascii="inherit" w:eastAsia="Times New Roman" w:hAnsi="inherit"/>
                <w:b/>
                <w:color w:val="000000"/>
                <w:sz w:val="22"/>
                <w:szCs w:val="22"/>
              </w:rPr>
              <w:t>33</w:t>
            </w:r>
          </w:p>
        </w:tc>
        <w:tc>
          <w:tcPr>
            <w:tcW w:w="1276"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b/>
                <w:color w:val="000000"/>
                <w:sz w:val="22"/>
                <w:szCs w:val="22"/>
              </w:rPr>
            </w:pPr>
            <w:r>
              <w:rPr>
                <w:rFonts w:ascii="inherit" w:eastAsia="Times New Roman" w:hAnsi="inherit"/>
                <w:b/>
                <w:color w:val="000000"/>
                <w:sz w:val="22"/>
                <w:szCs w:val="22"/>
              </w:rPr>
              <w:t>941,</w:t>
            </w:r>
            <w:r w:rsidRPr="00A81E09">
              <w:rPr>
                <w:rFonts w:ascii="inherit" w:eastAsia="Times New Roman" w:hAnsi="inherit"/>
                <w:b/>
                <w:color w:val="000000"/>
                <w:sz w:val="22"/>
                <w:szCs w:val="22"/>
              </w:rPr>
              <w:t>57</w:t>
            </w:r>
          </w:p>
        </w:tc>
      </w:tr>
      <w:tr w:rsidR="00255CC4" w:rsidRPr="002F551F" w:rsidTr="00255CC4">
        <w:tc>
          <w:tcPr>
            <w:tcW w:w="3477" w:type="dxa"/>
            <w:tcBorders>
              <w:top w:val="single" w:sz="6" w:space="0" w:color="A9A9A9"/>
              <w:left w:val="single" w:sz="6" w:space="0" w:color="A9A9A9"/>
              <w:bottom w:val="single" w:sz="6" w:space="0" w:color="A9A9A9"/>
              <w:right w:val="single" w:sz="6" w:space="0" w:color="A9A9A9"/>
            </w:tcBorders>
            <w:shd w:val="clear" w:color="auto" w:fill="auto"/>
            <w:tcMar>
              <w:top w:w="75" w:type="dxa"/>
              <w:left w:w="150" w:type="dxa"/>
              <w:bottom w:w="75" w:type="dxa"/>
              <w:right w:w="75" w:type="dxa"/>
            </w:tcMar>
            <w:vAlign w:val="center"/>
            <w:hideMark/>
          </w:tcPr>
          <w:p w:rsidR="00255CC4" w:rsidRPr="002F551F" w:rsidRDefault="00255CC4" w:rsidP="00255CC4">
            <w:pPr>
              <w:spacing w:line="240" w:lineRule="auto"/>
              <w:jc w:val="left"/>
              <w:rPr>
                <w:rFonts w:ascii="inherit" w:eastAsia="Times New Roman" w:hAnsi="inherit"/>
                <w:sz w:val="22"/>
                <w:szCs w:val="22"/>
              </w:rPr>
            </w:pPr>
            <w:r w:rsidRPr="002F551F">
              <w:rPr>
                <w:rFonts w:ascii="inherit" w:eastAsia="Times New Roman" w:hAnsi="inherit"/>
                <w:sz w:val="22"/>
                <w:szCs w:val="22"/>
              </w:rPr>
              <w:t>Vidēji uz vienu mājsaimniecības locekli - zemākā robeža</w:t>
            </w:r>
          </w:p>
        </w:tc>
        <w:tc>
          <w:tcPr>
            <w:tcW w:w="1418" w:type="dxa"/>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sidRPr="00A81E09">
              <w:rPr>
                <w:rFonts w:ascii="inherit" w:eastAsia="Times New Roman" w:hAnsi="inherit"/>
                <w:color w:val="000000"/>
                <w:sz w:val="22"/>
                <w:szCs w:val="22"/>
              </w:rPr>
              <w:t>X</w:t>
            </w:r>
          </w:p>
        </w:tc>
        <w:tc>
          <w:tcPr>
            <w:tcW w:w="1134"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Pr>
                <w:rFonts w:ascii="inherit" w:eastAsia="Times New Roman" w:hAnsi="inherit"/>
                <w:color w:val="000000"/>
                <w:sz w:val="22"/>
                <w:szCs w:val="22"/>
              </w:rPr>
              <w:t>231,</w:t>
            </w:r>
            <w:r w:rsidRPr="00A81E09">
              <w:rPr>
                <w:rFonts w:ascii="inherit" w:eastAsia="Times New Roman" w:hAnsi="inherit"/>
                <w:color w:val="000000"/>
                <w:sz w:val="22"/>
                <w:szCs w:val="22"/>
              </w:rPr>
              <w:t>29</w:t>
            </w:r>
          </w:p>
        </w:tc>
        <w:tc>
          <w:tcPr>
            <w:tcW w:w="1276"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Pr>
                <w:rFonts w:ascii="inherit" w:eastAsia="Times New Roman" w:hAnsi="inherit"/>
                <w:color w:val="000000"/>
                <w:sz w:val="22"/>
                <w:szCs w:val="22"/>
              </w:rPr>
              <w:t>301,</w:t>
            </w:r>
            <w:r w:rsidRPr="00A81E09">
              <w:rPr>
                <w:rFonts w:ascii="inherit" w:eastAsia="Times New Roman" w:hAnsi="inherit"/>
                <w:color w:val="000000"/>
                <w:sz w:val="22"/>
                <w:szCs w:val="22"/>
              </w:rPr>
              <w:t>91</w:t>
            </w:r>
          </w:p>
        </w:tc>
        <w:tc>
          <w:tcPr>
            <w:tcW w:w="1275"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Pr>
                <w:rFonts w:ascii="inherit" w:eastAsia="Times New Roman" w:hAnsi="inherit"/>
                <w:color w:val="000000"/>
                <w:sz w:val="22"/>
                <w:szCs w:val="22"/>
              </w:rPr>
              <w:t>422,</w:t>
            </w:r>
            <w:r w:rsidRPr="00A81E09">
              <w:rPr>
                <w:rFonts w:ascii="inherit" w:eastAsia="Times New Roman" w:hAnsi="inherit"/>
                <w:color w:val="000000"/>
                <w:sz w:val="22"/>
                <w:szCs w:val="22"/>
              </w:rPr>
              <w:t>47</w:t>
            </w:r>
          </w:p>
        </w:tc>
        <w:tc>
          <w:tcPr>
            <w:tcW w:w="1276"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Pr>
                <w:rFonts w:ascii="inherit" w:eastAsia="Times New Roman" w:hAnsi="inherit"/>
                <w:color w:val="000000"/>
                <w:sz w:val="22"/>
                <w:szCs w:val="22"/>
              </w:rPr>
              <w:t>634,</w:t>
            </w:r>
            <w:r w:rsidRPr="00A81E09">
              <w:rPr>
                <w:rFonts w:ascii="inherit" w:eastAsia="Times New Roman" w:hAnsi="inherit"/>
                <w:color w:val="000000"/>
                <w:sz w:val="22"/>
                <w:szCs w:val="22"/>
              </w:rPr>
              <w:t>00</w:t>
            </w:r>
          </w:p>
        </w:tc>
      </w:tr>
      <w:tr w:rsidR="00255CC4" w:rsidRPr="002F551F" w:rsidTr="00255CC4">
        <w:tc>
          <w:tcPr>
            <w:tcW w:w="3477" w:type="dxa"/>
            <w:tcBorders>
              <w:top w:val="single" w:sz="6" w:space="0" w:color="A9A9A9"/>
              <w:left w:val="single" w:sz="6" w:space="0" w:color="A9A9A9"/>
              <w:bottom w:val="single" w:sz="6" w:space="0" w:color="A9A9A9"/>
              <w:right w:val="single" w:sz="6" w:space="0" w:color="A9A9A9"/>
            </w:tcBorders>
            <w:shd w:val="clear" w:color="auto" w:fill="auto"/>
            <w:tcMar>
              <w:top w:w="75" w:type="dxa"/>
              <w:left w:w="150" w:type="dxa"/>
              <w:bottom w:w="75" w:type="dxa"/>
              <w:right w:w="75" w:type="dxa"/>
            </w:tcMar>
            <w:vAlign w:val="center"/>
            <w:hideMark/>
          </w:tcPr>
          <w:p w:rsidR="00255CC4" w:rsidRPr="002F551F" w:rsidRDefault="00255CC4" w:rsidP="00255CC4">
            <w:pPr>
              <w:spacing w:line="240" w:lineRule="auto"/>
              <w:jc w:val="left"/>
              <w:rPr>
                <w:rFonts w:ascii="inherit" w:eastAsia="Times New Roman" w:hAnsi="inherit"/>
                <w:sz w:val="22"/>
                <w:szCs w:val="22"/>
              </w:rPr>
            </w:pPr>
            <w:r w:rsidRPr="002F551F">
              <w:rPr>
                <w:rFonts w:ascii="inherit" w:eastAsia="Times New Roman" w:hAnsi="inherit"/>
                <w:sz w:val="22"/>
                <w:szCs w:val="22"/>
              </w:rPr>
              <w:t xml:space="preserve">Vidēji uz vienu mājsaimniecības </w:t>
            </w:r>
            <w:r w:rsidRPr="002F551F">
              <w:rPr>
                <w:rFonts w:ascii="inherit" w:eastAsia="Times New Roman" w:hAnsi="inherit"/>
                <w:sz w:val="22"/>
                <w:szCs w:val="22"/>
              </w:rPr>
              <w:lastRenderedPageBreak/>
              <w:t>locekli - augstākā robeža</w:t>
            </w:r>
          </w:p>
        </w:tc>
        <w:tc>
          <w:tcPr>
            <w:tcW w:w="1418" w:type="dxa"/>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Pr>
                <w:rFonts w:ascii="inherit" w:eastAsia="Times New Roman" w:hAnsi="inherit"/>
                <w:color w:val="000000"/>
                <w:sz w:val="22"/>
                <w:szCs w:val="22"/>
              </w:rPr>
              <w:lastRenderedPageBreak/>
              <w:t>231,</w:t>
            </w:r>
            <w:r w:rsidRPr="00A81E09">
              <w:rPr>
                <w:rFonts w:ascii="inherit" w:eastAsia="Times New Roman" w:hAnsi="inherit"/>
                <w:color w:val="000000"/>
                <w:sz w:val="22"/>
                <w:szCs w:val="22"/>
              </w:rPr>
              <w:t>28</w:t>
            </w:r>
          </w:p>
        </w:tc>
        <w:tc>
          <w:tcPr>
            <w:tcW w:w="1134"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Pr>
                <w:rFonts w:ascii="inherit" w:eastAsia="Times New Roman" w:hAnsi="inherit"/>
                <w:color w:val="000000"/>
                <w:sz w:val="22"/>
                <w:szCs w:val="22"/>
              </w:rPr>
              <w:t>301,</w:t>
            </w:r>
            <w:r w:rsidRPr="00A81E09">
              <w:rPr>
                <w:rFonts w:ascii="inherit" w:eastAsia="Times New Roman" w:hAnsi="inherit"/>
                <w:color w:val="000000"/>
                <w:sz w:val="22"/>
                <w:szCs w:val="22"/>
              </w:rPr>
              <w:t>90</w:t>
            </w:r>
          </w:p>
        </w:tc>
        <w:tc>
          <w:tcPr>
            <w:tcW w:w="1276"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Pr>
                <w:rFonts w:ascii="inherit" w:eastAsia="Times New Roman" w:hAnsi="inherit"/>
                <w:color w:val="000000"/>
                <w:sz w:val="22"/>
                <w:szCs w:val="22"/>
              </w:rPr>
              <w:t>422,</w:t>
            </w:r>
            <w:r w:rsidRPr="00A81E09">
              <w:rPr>
                <w:rFonts w:ascii="inherit" w:eastAsia="Times New Roman" w:hAnsi="inherit"/>
                <w:color w:val="000000"/>
                <w:sz w:val="22"/>
                <w:szCs w:val="22"/>
              </w:rPr>
              <w:t>46</w:t>
            </w:r>
          </w:p>
        </w:tc>
        <w:tc>
          <w:tcPr>
            <w:tcW w:w="1275"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Pr>
                <w:rFonts w:ascii="inherit" w:eastAsia="Times New Roman" w:hAnsi="inherit"/>
                <w:color w:val="000000"/>
                <w:sz w:val="22"/>
                <w:szCs w:val="22"/>
              </w:rPr>
              <w:t>633,</w:t>
            </w:r>
            <w:r w:rsidRPr="00A81E09">
              <w:rPr>
                <w:rFonts w:ascii="inherit" w:eastAsia="Times New Roman" w:hAnsi="inherit"/>
                <w:color w:val="000000"/>
                <w:sz w:val="22"/>
                <w:szCs w:val="22"/>
              </w:rPr>
              <w:t>99</w:t>
            </w:r>
          </w:p>
        </w:tc>
        <w:tc>
          <w:tcPr>
            <w:tcW w:w="1276"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sidRPr="00A81E09">
              <w:rPr>
                <w:rFonts w:ascii="inherit" w:eastAsia="Times New Roman" w:hAnsi="inherit"/>
                <w:color w:val="000000"/>
                <w:sz w:val="22"/>
                <w:szCs w:val="22"/>
              </w:rPr>
              <w:t>X</w:t>
            </w:r>
          </w:p>
        </w:tc>
      </w:tr>
      <w:tr w:rsidR="00255CC4" w:rsidRPr="002F551F" w:rsidTr="00255CC4">
        <w:tc>
          <w:tcPr>
            <w:tcW w:w="3477" w:type="dxa"/>
            <w:tcBorders>
              <w:top w:val="single" w:sz="6" w:space="0" w:color="A9A9A9"/>
              <w:left w:val="single" w:sz="6" w:space="0" w:color="A9A9A9"/>
              <w:bottom w:val="single" w:sz="6" w:space="0" w:color="A9A9A9"/>
              <w:right w:val="single" w:sz="6" w:space="0" w:color="A9A9A9"/>
            </w:tcBorders>
            <w:shd w:val="clear" w:color="auto" w:fill="auto"/>
            <w:tcMar>
              <w:top w:w="75" w:type="dxa"/>
              <w:left w:w="150" w:type="dxa"/>
              <w:bottom w:w="75" w:type="dxa"/>
              <w:right w:w="75" w:type="dxa"/>
            </w:tcMar>
            <w:vAlign w:val="center"/>
            <w:hideMark/>
          </w:tcPr>
          <w:p w:rsidR="00255CC4" w:rsidRPr="002F551F" w:rsidRDefault="00255CC4" w:rsidP="00255CC4">
            <w:pPr>
              <w:spacing w:line="240" w:lineRule="auto"/>
              <w:jc w:val="left"/>
              <w:rPr>
                <w:rFonts w:ascii="inherit" w:eastAsia="Times New Roman" w:hAnsi="inherit"/>
                <w:sz w:val="22"/>
                <w:szCs w:val="22"/>
              </w:rPr>
            </w:pPr>
            <w:r w:rsidRPr="002F551F">
              <w:rPr>
                <w:rFonts w:ascii="inherit" w:eastAsia="Times New Roman" w:hAnsi="inherit"/>
                <w:sz w:val="22"/>
                <w:szCs w:val="22"/>
              </w:rPr>
              <w:lastRenderedPageBreak/>
              <w:t>Vidēji uz vienu ekvivalento patērētāju</w:t>
            </w:r>
          </w:p>
        </w:tc>
        <w:tc>
          <w:tcPr>
            <w:tcW w:w="1418" w:type="dxa"/>
            <w:tcBorders>
              <w:top w:val="single" w:sz="6" w:space="0" w:color="A9A9A9"/>
              <w:left w:val="single" w:sz="6" w:space="0" w:color="A9A9A9"/>
              <w:bottom w:val="single" w:sz="6" w:space="0" w:color="A9A9A9"/>
              <w:right w:val="single" w:sz="6" w:space="0" w:color="A9A9A9"/>
            </w:tcBorders>
            <w:shd w:val="clear" w:color="auto" w:fill="FFFFFF"/>
            <w:noWrap/>
            <w:tcMar>
              <w:top w:w="75" w:type="dxa"/>
              <w:left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Pr>
                <w:rFonts w:ascii="inherit" w:eastAsia="Times New Roman" w:hAnsi="inherit"/>
                <w:color w:val="000000"/>
                <w:sz w:val="22"/>
                <w:szCs w:val="22"/>
              </w:rPr>
              <w:t>248,</w:t>
            </w:r>
            <w:r w:rsidRPr="00A81E09">
              <w:rPr>
                <w:rFonts w:ascii="inherit" w:eastAsia="Times New Roman" w:hAnsi="inherit"/>
                <w:color w:val="000000"/>
                <w:sz w:val="22"/>
                <w:szCs w:val="22"/>
              </w:rPr>
              <w:t>54</w:t>
            </w:r>
          </w:p>
        </w:tc>
        <w:tc>
          <w:tcPr>
            <w:tcW w:w="1134"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Pr>
                <w:rFonts w:ascii="inherit" w:eastAsia="Times New Roman" w:hAnsi="inherit"/>
                <w:color w:val="000000"/>
                <w:sz w:val="22"/>
                <w:szCs w:val="22"/>
              </w:rPr>
              <w:t>388,</w:t>
            </w:r>
            <w:r w:rsidRPr="00A81E09">
              <w:rPr>
                <w:rFonts w:ascii="inherit" w:eastAsia="Times New Roman" w:hAnsi="inherit"/>
                <w:color w:val="000000"/>
                <w:sz w:val="22"/>
                <w:szCs w:val="22"/>
              </w:rPr>
              <w:t>06</w:t>
            </w:r>
          </w:p>
        </w:tc>
        <w:tc>
          <w:tcPr>
            <w:tcW w:w="1276"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Pr>
                <w:rFonts w:ascii="inherit" w:eastAsia="Times New Roman" w:hAnsi="inherit"/>
                <w:color w:val="000000"/>
                <w:sz w:val="22"/>
                <w:szCs w:val="22"/>
              </w:rPr>
              <w:t>561,</w:t>
            </w:r>
            <w:r w:rsidRPr="00A81E09">
              <w:rPr>
                <w:rFonts w:ascii="inherit" w:eastAsia="Times New Roman" w:hAnsi="inherit"/>
                <w:color w:val="000000"/>
                <w:sz w:val="22"/>
                <w:szCs w:val="22"/>
              </w:rPr>
              <w:t>08</w:t>
            </w:r>
          </w:p>
        </w:tc>
        <w:tc>
          <w:tcPr>
            <w:tcW w:w="1275"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Pr>
                <w:rFonts w:ascii="inherit" w:eastAsia="Times New Roman" w:hAnsi="inherit"/>
                <w:color w:val="000000"/>
                <w:sz w:val="22"/>
                <w:szCs w:val="22"/>
              </w:rPr>
              <w:t>786,</w:t>
            </w:r>
            <w:r w:rsidRPr="00A81E09">
              <w:rPr>
                <w:rFonts w:ascii="inherit" w:eastAsia="Times New Roman" w:hAnsi="inherit"/>
                <w:color w:val="000000"/>
                <w:sz w:val="22"/>
                <w:szCs w:val="22"/>
              </w:rPr>
              <w:t>46</w:t>
            </w:r>
          </w:p>
        </w:tc>
        <w:tc>
          <w:tcPr>
            <w:tcW w:w="1276" w:type="dxa"/>
            <w:tcBorders>
              <w:top w:val="single" w:sz="6" w:space="0" w:color="A9A9A9"/>
              <w:left w:val="single" w:sz="6" w:space="0" w:color="A9A9A9"/>
              <w:bottom w:val="single" w:sz="6" w:space="0" w:color="A9A9A9"/>
              <w:right w:val="single" w:sz="6" w:space="0" w:color="A9A9A9"/>
            </w:tcBorders>
            <w:shd w:val="clear" w:color="auto" w:fill="FFFFFF"/>
            <w:noWrap/>
            <w:tcMar>
              <w:top w:w="75" w:type="dxa"/>
              <w:bottom w:w="75" w:type="dxa"/>
              <w:right w:w="75" w:type="dxa"/>
            </w:tcMar>
            <w:vAlign w:val="center"/>
            <w:hideMark/>
          </w:tcPr>
          <w:p w:rsidR="00255CC4" w:rsidRPr="00A81E09" w:rsidRDefault="00255CC4" w:rsidP="00255CC4">
            <w:pPr>
              <w:spacing w:line="240" w:lineRule="auto"/>
              <w:jc w:val="center"/>
              <w:rPr>
                <w:rFonts w:ascii="inherit" w:eastAsia="Times New Roman" w:hAnsi="inherit"/>
                <w:color w:val="000000"/>
                <w:sz w:val="22"/>
                <w:szCs w:val="22"/>
              </w:rPr>
            </w:pPr>
            <w:r>
              <w:rPr>
                <w:rFonts w:ascii="inherit" w:eastAsia="Times New Roman" w:hAnsi="inherit"/>
                <w:color w:val="000000"/>
                <w:sz w:val="22"/>
                <w:szCs w:val="22"/>
              </w:rPr>
              <w:t>1 340,</w:t>
            </w:r>
            <w:r w:rsidRPr="00A81E09">
              <w:rPr>
                <w:rFonts w:ascii="inherit" w:eastAsia="Times New Roman" w:hAnsi="inherit"/>
                <w:color w:val="000000"/>
                <w:sz w:val="22"/>
                <w:szCs w:val="22"/>
              </w:rPr>
              <w:t>54</w:t>
            </w:r>
          </w:p>
        </w:tc>
      </w:tr>
    </w:tbl>
    <w:p w:rsidR="00255CC4" w:rsidRPr="00EE14A7" w:rsidRDefault="00255CC4" w:rsidP="00255CC4">
      <w:pPr>
        <w:pStyle w:val="ListParagraph"/>
        <w:ind w:left="0"/>
        <w:rPr>
          <w:rFonts w:ascii="Verdana" w:hAnsi="Verdana"/>
          <w:b/>
          <w:bCs/>
          <w:color w:val="222222"/>
          <w:sz w:val="20"/>
          <w:szCs w:val="20"/>
          <w:shd w:val="clear" w:color="auto" w:fill="FFFFFF"/>
        </w:rPr>
      </w:pPr>
      <w:r w:rsidRPr="00EE14A7">
        <w:rPr>
          <w:bCs/>
          <w:sz w:val="20"/>
          <w:szCs w:val="20"/>
        </w:rPr>
        <w:t xml:space="preserve">Avots: CSP, </w:t>
      </w:r>
      <w:r>
        <w:rPr>
          <w:bCs/>
          <w:sz w:val="20"/>
          <w:szCs w:val="20"/>
        </w:rPr>
        <w:t>„</w:t>
      </w:r>
      <w:r w:rsidRPr="00EE14A7">
        <w:rPr>
          <w:bCs/>
          <w:sz w:val="20"/>
          <w:szCs w:val="20"/>
        </w:rPr>
        <w:t>IIG090. Mājsaimniecību rīcībā esošie ienākumi kvintiļu grupās (</w:t>
      </w:r>
      <w:r>
        <w:rPr>
          <w:bCs/>
          <w:sz w:val="20"/>
          <w:szCs w:val="20"/>
        </w:rPr>
        <w:t>EUR</w:t>
      </w:r>
      <w:r w:rsidRPr="00EE14A7">
        <w:rPr>
          <w:bCs/>
          <w:sz w:val="20"/>
          <w:szCs w:val="20"/>
        </w:rPr>
        <w:t>, mēnesī)</w:t>
      </w:r>
      <w:r>
        <w:rPr>
          <w:bCs/>
          <w:sz w:val="20"/>
          <w:szCs w:val="20"/>
        </w:rPr>
        <w:t>”</w:t>
      </w:r>
    </w:p>
    <w:p w:rsidR="00255CC4" w:rsidRDefault="00255CC4" w:rsidP="00255CC4">
      <w:pPr>
        <w:pStyle w:val="ListParagraph"/>
        <w:ind w:left="0"/>
        <w:rPr>
          <w:bCs/>
        </w:rPr>
      </w:pPr>
    </w:p>
    <w:p w:rsidR="00255CC4" w:rsidRPr="00870F14" w:rsidRDefault="00255CC4" w:rsidP="00255CC4">
      <w:pPr>
        <w:pStyle w:val="Caption"/>
        <w:spacing w:before="0" w:after="0"/>
        <w:jc w:val="both"/>
        <w:rPr>
          <w:b w:val="0"/>
          <w:bCs w:val="0"/>
          <w:color w:val="auto"/>
          <w:szCs w:val="24"/>
        </w:rPr>
      </w:pPr>
      <w:r>
        <w:rPr>
          <w:b w:val="0"/>
          <w:bCs w:val="0"/>
          <w:color w:val="auto"/>
          <w:szCs w:val="24"/>
        </w:rPr>
        <w:t>Mazākā apmērā ienākumu apjoms</w:t>
      </w:r>
      <w:r w:rsidR="000675B4">
        <w:rPr>
          <w:b w:val="0"/>
          <w:bCs w:val="0"/>
          <w:color w:val="auto"/>
          <w:szCs w:val="24"/>
        </w:rPr>
        <w:t xml:space="preserve"> absolūtajos skaitļos</w:t>
      </w:r>
      <w:r>
        <w:rPr>
          <w:b w:val="0"/>
          <w:bCs w:val="0"/>
          <w:color w:val="auto"/>
          <w:szCs w:val="24"/>
        </w:rPr>
        <w:t xml:space="preserve"> pieaudzis zemākajās kvintilēs – 1., 2. kvintiļu grupās. Ja 1.kvintilē šis pieaugums gada laikā vidēji uz vienu mājsaimniecības locekli ir bijis 4,2 EUR (jeb par 2,8%), 2. kvintilē 9,3 EUR (jeb par 3,6%), 3. kvintilē 19,34 ER (jeb par 5,7%), 4. kvintilē tie bija 31,02 EUR (jeb par 6,4%), 5. kvintilē 45,97 EUR (jeb par 5,1%). Pieauguma aprēķins procentuāli parāda, ka pēc būtības vislielākais ienākumu pieaugums uz vienu mājsaimniecības locekli ir bijis 4. kvintilē. Taču, ja 3.-5. kvintiļu grupās pieaugums atšķiras par 0,7 līdz 1,3 procentpunktiem, tad </w:t>
      </w:r>
      <w:r w:rsidRPr="00870F14">
        <w:rPr>
          <w:b w:val="0"/>
          <w:bCs w:val="0"/>
          <w:color w:val="auto"/>
          <w:szCs w:val="24"/>
        </w:rPr>
        <w:t>salīdzinājumā ar 1.-2.</w:t>
      </w:r>
      <w:r>
        <w:rPr>
          <w:b w:val="0"/>
          <w:bCs w:val="0"/>
          <w:color w:val="auto"/>
          <w:szCs w:val="24"/>
        </w:rPr>
        <w:t xml:space="preserve"> </w:t>
      </w:r>
      <w:r w:rsidRPr="00870F14">
        <w:rPr>
          <w:b w:val="0"/>
          <w:bCs w:val="0"/>
          <w:color w:val="auto"/>
          <w:szCs w:val="24"/>
        </w:rPr>
        <w:t>kvintiļu grupu no augstākā ienākumu pieauguma līmeņa 4.</w:t>
      </w:r>
      <w:r>
        <w:rPr>
          <w:b w:val="0"/>
          <w:bCs w:val="0"/>
          <w:color w:val="auto"/>
          <w:szCs w:val="24"/>
        </w:rPr>
        <w:t xml:space="preserve"> </w:t>
      </w:r>
      <w:r w:rsidRPr="00870F14">
        <w:rPr>
          <w:b w:val="0"/>
          <w:bCs w:val="0"/>
          <w:color w:val="auto"/>
          <w:szCs w:val="24"/>
        </w:rPr>
        <w:t xml:space="preserve">kvintilē tas atšķiras par 2,8 līdz 3,6 procentpunktiem. </w:t>
      </w:r>
      <w:r>
        <w:rPr>
          <w:b w:val="0"/>
          <w:bCs w:val="0"/>
          <w:color w:val="auto"/>
          <w:szCs w:val="24"/>
        </w:rPr>
        <w:t>Pieauguma apmērs iezīmē vispārēju tendenci – jo augstāka kvintiles grupa, jo lielāks ienākumu pieauguma apmērs. Vienlaikus jānorāda, ka šāda tendence ir attiecināma uz pirmajām četrām kvintilēm, jo 5. kvintiles ienākumu pieaugums laikā no 2015. gada līdz 2016. gadam ir trešais augstākais, ierindojoties starp 2. kvintili un 3. kvintili. 2017. gada dati šo tendenci maina (sk. 1.1</w:t>
      </w:r>
      <w:r w:rsidR="00446171">
        <w:rPr>
          <w:b w:val="0"/>
          <w:bCs w:val="0"/>
          <w:color w:val="auto"/>
          <w:szCs w:val="24"/>
        </w:rPr>
        <w:t>3</w:t>
      </w:r>
      <w:r>
        <w:rPr>
          <w:b w:val="0"/>
          <w:bCs w:val="0"/>
          <w:color w:val="auto"/>
          <w:szCs w:val="24"/>
        </w:rPr>
        <w:t xml:space="preserve">. tabulu). </w:t>
      </w:r>
    </w:p>
    <w:p w:rsidR="00255CC4" w:rsidRPr="001C1A95" w:rsidRDefault="00AD3EDD" w:rsidP="008C6B83">
      <w:pPr>
        <w:pStyle w:val="Caption"/>
      </w:pPr>
      <w:r>
        <w:fldChar w:fldCharType="begin"/>
      </w:r>
      <w:r w:rsidR="000F1524">
        <w:instrText xml:space="preserve"> STYLEREF 1 \s </w:instrText>
      </w:r>
      <w:r>
        <w:fldChar w:fldCharType="separate"/>
      </w:r>
      <w:bookmarkStart w:id="206" w:name="_Toc6857653"/>
      <w:r w:rsidR="00224B50">
        <w:rPr>
          <w:noProof/>
        </w:rPr>
        <w:t>1</w:t>
      </w:r>
      <w:r>
        <w:rPr>
          <w:noProof/>
        </w:rPr>
        <w:fldChar w:fldCharType="end"/>
      </w:r>
      <w:r w:rsidR="00A46B54">
        <w:t>.</w:t>
      </w:r>
      <w:r>
        <w:fldChar w:fldCharType="begin"/>
      </w:r>
      <w:r w:rsidR="000F1524">
        <w:instrText xml:space="preserve"> SEQ Tabula \* ARABIC \s 1 </w:instrText>
      </w:r>
      <w:r>
        <w:fldChar w:fldCharType="separate"/>
      </w:r>
      <w:r w:rsidR="00224B50">
        <w:rPr>
          <w:noProof/>
        </w:rPr>
        <w:t>1</w:t>
      </w:r>
      <w:r>
        <w:rPr>
          <w:noProof/>
        </w:rPr>
        <w:fldChar w:fldCharType="end"/>
      </w:r>
      <w:r w:rsidR="00446171">
        <w:rPr>
          <w:noProof/>
        </w:rPr>
        <w:t>4</w:t>
      </w:r>
      <w:r w:rsidR="00255CC4">
        <w:t xml:space="preserve">. tabula. </w:t>
      </w:r>
      <w:r w:rsidR="00255CC4" w:rsidRPr="001C1A95">
        <w:t xml:space="preserve">Mājsaimniecību rīcībā esošie ienākumi </w:t>
      </w:r>
      <w:r w:rsidR="00255CC4">
        <w:t xml:space="preserve">(EUR mēnesī) </w:t>
      </w:r>
      <w:r w:rsidR="00255CC4" w:rsidRPr="001C1A95">
        <w:t xml:space="preserve">kvintiļu grupās 2014. – 2017. gadā uz vienu </w:t>
      </w:r>
      <w:r w:rsidR="00255CC4" w:rsidRPr="001C1A95">
        <w:rPr>
          <w:rFonts w:hint="eastAsia"/>
        </w:rPr>
        <w:t>mājsaimniecības</w:t>
      </w:r>
      <w:r w:rsidR="00255CC4" w:rsidRPr="001C1A95">
        <w:t xml:space="preserve"> locekli</w:t>
      </w:r>
      <w:bookmarkEnd w:id="206"/>
    </w:p>
    <w:tbl>
      <w:tblPr>
        <w:tblStyle w:val="TableGrid"/>
        <w:tblW w:w="9606" w:type="dxa"/>
        <w:tblLook w:val="04A0"/>
      </w:tblPr>
      <w:tblGrid>
        <w:gridCol w:w="1526"/>
        <w:gridCol w:w="992"/>
        <w:gridCol w:w="851"/>
        <w:gridCol w:w="850"/>
        <w:gridCol w:w="851"/>
        <w:gridCol w:w="1559"/>
        <w:gridCol w:w="1559"/>
        <w:gridCol w:w="1418"/>
      </w:tblGrid>
      <w:tr w:rsidR="00255CC4" w:rsidRPr="00BC22F8" w:rsidTr="00BC22F8">
        <w:tc>
          <w:tcPr>
            <w:tcW w:w="1526" w:type="dxa"/>
            <w:shd w:val="clear" w:color="auto" w:fill="B8CCE4" w:themeFill="accent1" w:themeFillTint="66"/>
          </w:tcPr>
          <w:p w:rsidR="00255CC4" w:rsidRPr="00BC22F8" w:rsidRDefault="00255CC4" w:rsidP="00255CC4">
            <w:pPr>
              <w:rPr>
                <w:rFonts w:eastAsia="Times New Roman"/>
                <w:b/>
                <w:color w:val="002060"/>
                <w:sz w:val="22"/>
                <w:szCs w:val="22"/>
              </w:rPr>
            </w:pPr>
          </w:p>
          <w:p w:rsidR="00255CC4" w:rsidRPr="00BC22F8" w:rsidRDefault="00255CC4" w:rsidP="00255CC4">
            <w:pPr>
              <w:rPr>
                <w:rFonts w:eastAsia="Times New Roman"/>
                <w:b/>
                <w:color w:val="002060"/>
                <w:sz w:val="22"/>
                <w:szCs w:val="22"/>
              </w:rPr>
            </w:pPr>
            <w:r w:rsidRPr="00BC22F8">
              <w:rPr>
                <w:rFonts w:eastAsia="Times New Roman"/>
                <w:b/>
                <w:color w:val="002060"/>
                <w:sz w:val="22"/>
                <w:szCs w:val="22"/>
              </w:rPr>
              <w:t>Kvintiļu grupa</w:t>
            </w:r>
          </w:p>
        </w:tc>
        <w:tc>
          <w:tcPr>
            <w:tcW w:w="992" w:type="dxa"/>
            <w:shd w:val="clear" w:color="auto" w:fill="B8CCE4" w:themeFill="accent1" w:themeFillTint="66"/>
            <w:vAlign w:val="center"/>
          </w:tcPr>
          <w:p w:rsidR="00255CC4" w:rsidRPr="00BC22F8" w:rsidRDefault="00255CC4" w:rsidP="00255CC4">
            <w:pPr>
              <w:jc w:val="center"/>
              <w:rPr>
                <w:rFonts w:eastAsia="Times New Roman"/>
                <w:b/>
                <w:color w:val="002060"/>
                <w:sz w:val="22"/>
                <w:szCs w:val="22"/>
              </w:rPr>
            </w:pPr>
          </w:p>
          <w:p w:rsidR="00255CC4" w:rsidRPr="00BC22F8" w:rsidRDefault="00255CC4" w:rsidP="00255CC4">
            <w:pPr>
              <w:jc w:val="center"/>
              <w:rPr>
                <w:rFonts w:eastAsia="Times New Roman"/>
                <w:b/>
                <w:color w:val="002060"/>
                <w:sz w:val="22"/>
                <w:szCs w:val="22"/>
              </w:rPr>
            </w:pPr>
            <w:r w:rsidRPr="00BC22F8">
              <w:rPr>
                <w:rFonts w:eastAsia="Times New Roman"/>
                <w:b/>
                <w:color w:val="002060"/>
                <w:sz w:val="22"/>
                <w:szCs w:val="22"/>
              </w:rPr>
              <w:t>2014</w:t>
            </w:r>
          </w:p>
        </w:tc>
        <w:tc>
          <w:tcPr>
            <w:tcW w:w="851" w:type="dxa"/>
            <w:shd w:val="clear" w:color="auto" w:fill="B8CCE4" w:themeFill="accent1" w:themeFillTint="66"/>
            <w:vAlign w:val="center"/>
          </w:tcPr>
          <w:p w:rsidR="00255CC4" w:rsidRPr="00BC22F8" w:rsidRDefault="00255CC4" w:rsidP="00255CC4">
            <w:pPr>
              <w:jc w:val="center"/>
              <w:rPr>
                <w:rFonts w:eastAsia="Times New Roman"/>
                <w:b/>
                <w:color w:val="002060"/>
                <w:sz w:val="22"/>
                <w:szCs w:val="22"/>
              </w:rPr>
            </w:pPr>
          </w:p>
          <w:p w:rsidR="00255CC4" w:rsidRPr="00BC22F8" w:rsidRDefault="00255CC4" w:rsidP="00255CC4">
            <w:pPr>
              <w:jc w:val="center"/>
              <w:rPr>
                <w:rFonts w:eastAsia="Times New Roman"/>
                <w:b/>
                <w:color w:val="002060"/>
                <w:sz w:val="22"/>
                <w:szCs w:val="22"/>
              </w:rPr>
            </w:pPr>
            <w:r w:rsidRPr="00BC22F8">
              <w:rPr>
                <w:rFonts w:eastAsia="Times New Roman"/>
                <w:b/>
                <w:color w:val="002060"/>
                <w:sz w:val="22"/>
                <w:szCs w:val="22"/>
              </w:rPr>
              <w:t>2015</w:t>
            </w:r>
          </w:p>
        </w:tc>
        <w:tc>
          <w:tcPr>
            <w:tcW w:w="850" w:type="dxa"/>
            <w:shd w:val="clear" w:color="auto" w:fill="B8CCE4" w:themeFill="accent1" w:themeFillTint="66"/>
            <w:vAlign w:val="center"/>
          </w:tcPr>
          <w:p w:rsidR="00255CC4" w:rsidRPr="00BC22F8" w:rsidRDefault="00255CC4" w:rsidP="00255CC4">
            <w:pPr>
              <w:jc w:val="center"/>
              <w:rPr>
                <w:rFonts w:eastAsia="Times New Roman"/>
                <w:b/>
                <w:color w:val="002060"/>
                <w:sz w:val="22"/>
                <w:szCs w:val="22"/>
              </w:rPr>
            </w:pPr>
          </w:p>
          <w:p w:rsidR="00255CC4" w:rsidRPr="00BC22F8" w:rsidRDefault="00255CC4" w:rsidP="00255CC4">
            <w:pPr>
              <w:jc w:val="center"/>
              <w:rPr>
                <w:rFonts w:eastAsia="Times New Roman"/>
                <w:b/>
                <w:color w:val="002060"/>
                <w:sz w:val="22"/>
                <w:szCs w:val="22"/>
              </w:rPr>
            </w:pPr>
            <w:r w:rsidRPr="00BC22F8">
              <w:rPr>
                <w:rFonts w:eastAsia="Times New Roman"/>
                <w:b/>
                <w:color w:val="002060"/>
                <w:sz w:val="22"/>
                <w:szCs w:val="22"/>
              </w:rPr>
              <w:t>2016</w:t>
            </w:r>
          </w:p>
        </w:tc>
        <w:tc>
          <w:tcPr>
            <w:tcW w:w="851" w:type="dxa"/>
            <w:shd w:val="clear" w:color="auto" w:fill="B8CCE4" w:themeFill="accent1" w:themeFillTint="66"/>
            <w:vAlign w:val="center"/>
          </w:tcPr>
          <w:p w:rsidR="00255CC4" w:rsidRPr="00BC22F8" w:rsidRDefault="00255CC4" w:rsidP="00255CC4">
            <w:pPr>
              <w:jc w:val="center"/>
              <w:rPr>
                <w:rFonts w:eastAsia="Times New Roman"/>
                <w:b/>
                <w:color w:val="002060"/>
                <w:sz w:val="22"/>
                <w:szCs w:val="22"/>
              </w:rPr>
            </w:pPr>
          </w:p>
          <w:p w:rsidR="00255CC4" w:rsidRPr="00BC22F8" w:rsidRDefault="00255CC4" w:rsidP="00255CC4">
            <w:pPr>
              <w:jc w:val="center"/>
              <w:rPr>
                <w:rFonts w:eastAsia="Times New Roman"/>
                <w:b/>
                <w:color w:val="002060"/>
                <w:sz w:val="22"/>
                <w:szCs w:val="22"/>
              </w:rPr>
            </w:pPr>
            <w:r w:rsidRPr="00BC22F8">
              <w:rPr>
                <w:rFonts w:eastAsia="Times New Roman"/>
                <w:b/>
                <w:color w:val="002060"/>
                <w:sz w:val="22"/>
                <w:szCs w:val="22"/>
              </w:rPr>
              <w:t>2017</w:t>
            </w:r>
          </w:p>
        </w:tc>
        <w:tc>
          <w:tcPr>
            <w:tcW w:w="1559" w:type="dxa"/>
            <w:shd w:val="clear" w:color="auto" w:fill="B8CCE4" w:themeFill="accent1" w:themeFillTint="66"/>
          </w:tcPr>
          <w:p w:rsidR="00255CC4" w:rsidRPr="00BC22F8" w:rsidRDefault="00255CC4" w:rsidP="00255CC4">
            <w:pPr>
              <w:jc w:val="left"/>
              <w:rPr>
                <w:rFonts w:eastAsia="Times New Roman"/>
                <w:b/>
                <w:color w:val="002060"/>
                <w:sz w:val="22"/>
                <w:szCs w:val="22"/>
              </w:rPr>
            </w:pPr>
            <w:r w:rsidRPr="00BC22F8">
              <w:rPr>
                <w:rFonts w:eastAsia="Times New Roman"/>
                <w:b/>
                <w:bCs/>
                <w:color w:val="002060"/>
                <w:sz w:val="22"/>
                <w:szCs w:val="22"/>
              </w:rPr>
              <w:t>Ienākumu pieaugums 2015.</w:t>
            </w:r>
            <w:r w:rsidRPr="00BC22F8">
              <w:rPr>
                <w:rFonts w:eastAsia="Times New Roman"/>
                <w:b/>
                <w:color w:val="002060"/>
                <w:sz w:val="22"/>
                <w:szCs w:val="22"/>
              </w:rPr>
              <w:t> </w:t>
            </w:r>
            <w:r w:rsidRPr="00BC22F8">
              <w:rPr>
                <w:rFonts w:eastAsia="Times New Roman"/>
                <w:b/>
                <w:bCs/>
                <w:color w:val="002060"/>
                <w:sz w:val="22"/>
                <w:szCs w:val="22"/>
              </w:rPr>
              <w:t>g. pret 2014.</w:t>
            </w:r>
            <w:r w:rsidRPr="00BC22F8">
              <w:rPr>
                <w:rFonts w:eastAsia="Times New Roman"/>
                <w:b/>
                <w:color w:val="002060"/>
                <w:sz w:val="22"/>
                <w:szCs w:val="22"/>
              </w:rPr>
              <w:t> </w:t>
            </w:r>
            <w:r w:rsidRPr="00BC22F8">
              <w:rPr>
                <w:rFonts w:eastAsia="Times New Roman"/>
                <w:b/>
                <w:bCs/>
                <w:color w:val="002060"/>
                <w:sz w:val="22"/>
                <w:szCs w:val="22"/>
              </w:rPr>
              <w:t>g., %</w:t>
            </w:r>
          </w:p>
        </w:tc>
        <w:tc>
          <w:tcPr>
            <w:tcW w:w="1559" w:type="dxa"/>
            <w:shd w:val="clear" w:color="auto" w:fill="B8CCE4" w:themeFill="accent1" w:themeFillTint="66"/>
          </w:tcPr>
          <w:p w:rsidR="00255CC4" w:rsidRPr="00BC22F8" w:rsidRDefault="00255CC4" w:rsidP="00917A17">
            <w:pPr>
              <w:jc w:val="left"/>
              <w:rPr>
                <w:rFonts w:eastAsia="Times New Roman"/>
                <w:b/>
                <w:color w:val="002060"/>
                <w:sz w:val="22"/>
                <w:szCs w:val="22"/>
              </w:rPr>
            </w:pPr>
            <w:r w:rsidRPr="00BC22F8">
              <w:rPr>
                <w:rFonts w:eastAsia="Times New Roman"/>
                <w:b/>
                <w:bCs/>
                <w:color w:val="002060"/>
                <w:sz w:val="22"/>
                <w:szCs w:val="22"/>
              </w:rPr>
              <w:t>Ienākumu pieaugums 201</w:t>
            </w:r>
            <w:r w:rsidR="00917A17" w:rsidRPr="00BC22F8">
              <w:rPr>
                <w:rFonts w:eastAsia="Times New Roman"/>
                <w:b/>
                <w:bCs/>
                <w:color w:val="002060"/>
                <w:sz w:val="22"/>
                <w:szCs w:val="22"/>
              </w:rPr>
              <w:t>6</w:t>
            </w:r>
            <w:r w:rsidRPr="00BC22F8">
              <w:rPr>
                <w:rFonts w:eastAsia="Times New Roman"/>
                <w:b/>
                <w:bCs/>
                <w:color w:val="002060"/>
                <w:sz w:val="22"/>
                <w:szCs w:val="22"/>
              </w:rPr>
              <w:t>.</w:t>
            </w:r>
            <w:r w:rsidRPr="00BC22F8">
              <w:rPr>
                <w:rFonts w:eastAsia="Times New Roman"/>
                <w:b/>
                <w:color w:val="002060"/>
                <w:sz w:val="22"/>
                <w:szCs w:val="22"/>
              </w:rPr>
              <w:t> </w:t>
            </w:r>
            <w:r w:rsidRPr="00BC22F8">
              <w:rPr>
                <w:rFonts w:eastAsia="Times New Roman"/>
                <w:b/>
                <w:bCs/>
                <w:color w:val="002060"/>
                <w:sz w:val="22"/>
                <w:szCs w:val="22"/>
              </w:rPr>
              <w:t>g. pret 201</w:t>
            </w:r>
            <w:r w:rsidR="00917A17" w:rsidRPr="00BC22F8">
              <w:rPr>
                <w:rFonts w:eastAsia="Times New Roman"/>
                <w:b/>
                <w:bCs/>
                <w:color w:val="002060"/>
                <w:sz w:val="22"/>
                <w:szCs w:val="22"/>
              </w:rPr>
              <w:t>5</w:t>
            </w:r>
            <w:r w:rsidRPr="00BC22F8">
              <w:rPr>
                <w:rFonts w:eastAsia="Times New Roman"/>
                <w:b/>
                <w:bCs/>
                <w:color w:val="002060"/>
                <w:sz w:val="22"/>
                <w:szCs w:val="22"/>
              </w:rPr>
              <w:t>.</w:t>
            </w:r>
            <w:r w:rsidRPr="00BC22F8">
              <w:rPr>
                <w:rFonts w:eastAsia="Times New Roman"/>
                <w:b/>
                <w:color w:val="002060"/>
                <w:sz w:val="22"/>
                <w:szCs w:val="22"/>
              </w:rPr>
              <w:t> </w:t>
            </w:r>
            <w:r w:rsidRPr="00BC22F8">
              <w:rPr>
                <w:rFonts w:eastAsia="Times New Roman"/>
                <w:b/>
                <w:bCs/>
                <w:color w:val="002060"/>
                <w:sz w:val="22"/>
                <w:szCs w:val="22"/>
              </w:rPr>
              <w:t>g., %</w:t>
            </w:r>
          </w:p>
        </w:tc>
        <w:tc>
          <w:tcPr>
            <w:tcW w:w="1418" w:type="dxa"/>
            <w:shd w:val="clear" w:color="auto" w:fill="B8CCE4" w:themeFill="accent1" w:themeFillTint="66"/>
          </w:tcPr>
          <w:p w:rsidR="00255CC4" w:rsidRPr="00BC22F8" w:rsidRDefault="00255CC4" w:rsidP="00917A17">
            <w:pPr>
              <w:jc w:val="left"/>
              <w:rPr>
                <w:rFonts w:eastAsia="Times New Roman"/>
                <w:b/>
                <w:color w:val="002060"/>
                <w:sz w:val="22"/>
                <w:szCs w:val="22"/>
              </w:rPr>
            </w:pPr>
            <w:r w:rsidRPr="00BC22F8">
              <w:rPr>
                <w:rFonts w:eastAsia="Times New Roman"/>
                <w:b/>
                <w:bCs/>
                <w:color w:val="002060"/>
                <w:sz w:val="22"/>
                <w:szCs w:val="22"/>
              </w:rPr>
              <w:t>Ienākumu pieaugums 201</w:t>
            </w:r>
            <w:r w:rsidR="00917A17" w:rsidRPr="00BC22F8">
              <w:rPr>
                <w:rFonts w:eastAsia="Times New Roman"/>
                <w:b/>
                <w:bCs/>
                <w:color w:val="002060"/>
                <w:sz w:val="22"/>
                <w:szCs w:val="22"/>
              </w:rPr>
              <w:t>7</w:t>
            </w:r>
            <w:r w:rsidRPr="00BC22F8">
              <w:rPr>
                <w:rFonts w:eastAsia="Times New Roman"/>
                <w:b/>
                <w:bCs/>
                <w:color w:val="002060"/>
                <w:sz w:val="22"/>
                <w:szCs w:val="22"/>
              </w:rPr>
              <w:t>.</w:t>
            </w:r>
            <w:r w:rsidRPr="00BC22F8">
              <w:rPr>
                <w:rFonts w:eastAsia="Times New Roman"/>
                <w:b/>
                <w:color w:val="002060"/>
                <w:sz w:val="22"/>
                <w:szCs w:val="22"/>
              </w:rPr>
              <w:t> </w:t>
            </w:r>
            <w:r w:rsidRPr="00BC22F8">
              <w:rPr>
                <w:rFonts w:eastAsia="Times New Roman"/>
                <w:b/>
                <w:bCs/>
                <w:color w:val="002060"/>
                <w:sz w:val="22"/>
                <w:szCs w:val="22"/>
              </w:rPr>
              <w:t>g. pret 201</w:t>
            </w:r>
            <w:r w:rsidR="00917A17" w:rsidRPr="00BC22F8">
              <w:rPr>
                <w:rFonts w:eastAsia="Times New Roman"/>
                <w:b/>
                <w:bCs/>
                <w:color w:val="002060"/>
                <w:sz w:val="22"/>
                <w:szCs w:val="22"/>
              </w:rPr>
              <w:t>6</w:t>
            </w:r>
            <w:r w:rsidRPr="00BC22F8">
              <w:rPr>
                <w:rFonts w:eastAsia="Times New Roman"/>
                <w:b/>
                <w:bCs/>
                <w:color w:val="002060"/>
                <w:sz w:val="22"/>
                <w:szCs w:val="22"/>
              </w:rPr>
              <w:t>.</w:t>
            </w:r>
            <w:r w:rsidRPr="00BC22F8">
              <w:rPr>
                <w:rFonts w:eastAsia="Times New Roman"/>
                <w:b/>
                <w:color w:val="002060"/>
                <w:sz w:val="22"/>
                <w:szCs w:val="22"/>
              </w:rPr>
              <w:t> </w:t>
            </w:r>
            <w:r w:rsidRPr="00BC22F8">
              <w:rPr>
                <w:rFonts w:eastAsia="Times New Roman"/>
                <w:b/>
                <w:bCs/>
                <w:color w:val="002060"/>
                <w:sz w:val="22"/>
                <w:szCs w:val="22"/>
              </w:rPr>
              <w:t>g., %</w:t>
            </w:r>
          </w:p>
        </w:tc>
      </w:tr>
      <w:tr w:rsidR="00255CC4" w:rsidRPr="001C1A95" w:rsidTr="00255CC4">
        <w:tc>
          <w:tcPr>
            <w:tcW w:w="1526" w:type="dxa"/>
            <w:vAlign w:val="center"/>
          </w:tcPr>
          <w:p w:rsidR="00255CC4" w:rsidRPr="001C1A95" w:rsidRDefault="00255CC4" w:rsidP="00255CC4">
            <w:pPr>
              <w:spacing w:line="240" w:lineRule="auto"/>
              <w:rPr>
                <w:rFonts w:eastAsia="Times New Roman"/>
                <w:color w:val="000000"/>
                <w:sz w:val="22"/>
                <w:szCs w:val="22"/>
              </w:rPr>
            </w:pPr>
            <w:r w:rsidRPr="001C1A95">
              <w:rPr>
                <w:rFonts w:eastAsia="Times New Roman"/>
                <w:color w:val="000000"/>
                <w:sz w:val="22"/>
                <w:szCs w:val="22"/>
              </w:rPr>
              <w:t>1.kvintile (trūcīgākā)</w:t>
            </w:r>
          </w:p>
        </w:tc>
        <w:tc>
          <w:tcPr>
            <w:tcW w:w="992" w:type="dxa"/>
            <w:vAlign w:val="center"/>
          </w:tcPr>
          <w:p w:rsidR="00255CC4" w:rsidRPr="001C1A95" w:rsidRDefault="00255CC4" w:rsidP="00255CC4">
            <w:pPr>
              <w:spacing w:line="240" w:lineRule="auto"/>
              <w:ind w:right="-1"/>
              <w:jc w:val="center"/>
              <w:rPr>
                <w:rFonts w:eastAsia="Times New Roman"/>
                <w:sz w:val="22"/>
                <w:szCs w:val="22"/>
              </w:rPr>
            </w:pPr>
            <w:r w:rsidRPr="001C1A95">
              <w:rPr>
                <w:rFonts w:eastAsia="Times New Roman"/>
                <w:sz w:val="22"/>
                <w:szCs w:val="22"/>
              </w:rPr>
              <w:t>135</w:t>
            </w:r>
          </w:p>
        </w:tc>
        <w:tc>
          <w:tcPr>
            <w:tcW w:w="851" w:type="dxa"/>
            <w:vAlign w:val="center"/>
          </w:tcPr>
          <w:p w:rsidR="00255CC4" w:rsidRPr="001C1A95" w:rsidRDefault="00255CC4" w:rsidP="00255CC4">
            <w:pPr>
              <w:spacing w:line="240" w:lineRule="auto"/>
              <w:ind w:right="-1"/>
              <w:jc w:val="center"/>
              <w:rPr>
                <w:rFonts w:eastAsia="Times New Roman"/>
                <w:sz w:val="22"/>
                <w:szCs w:val="22"/>
              </w:rPr>
            </w:pPr>
            <w:r w:rsidRPr="001C1A95">
              <w:rPr>
                <w:rFonts w:eastAsia="Times New Roman"/>
                <w:sz w:val="22"/>
                <w:szCs w:val="22"/>
              </w:rPr>
              <w:t>150</w:t>
            </w:r>
          </w:p>
        </w:tc>
        <w:tc>
          <w:tcPr>
            <w:tcW w:w="850" w:type="dxa"/>
            <w:vAlign w:val="center"/>
          </w:tcPr>
          <w:p w:rsidR="00255CC4" w:rsidRPr="001C1A95" w:rsidRDefault="00255CC4" w:rsidP="00255CC4">
            <w:pPr>
              <w:spacing w:line="240" w:lineRule="auto"/>
              <w:jc w:val="center"/>
              <w:rPr>
                <w:rFonts w:eastAsia="Times New Roman"/>
                <w:sz w:val="22"/>
                <w:szCs w:val="22"/>
              </w:rPr>
            </w:pPr>
            <w:r w:rsidRPr="001C1A95">
              <w:rPr>
                <w:rFonts w:eastAsia="Times New Roman"/>
                <w:sz w:val="22"/>
                <w:szCs w:val="22"/>
              </w:rPr>
              <w:t>154</w:t>
            </w:r>
          </w:p>
        </w:tc>
        <w:tc>
          <w:tcPr>
            <w:tcW w:w="851" w:type="dxa"/>
            <w:vAlign w:val="center"/>
          </w:tcPr>
          <w:p w:rsidR="00255CC4" w:rsidRPr="001C1A95" w:rsidRDefault="00255CC4" w:rsidP="00255CC4">
            <w:pPr>
              <w:spacing w:line="240" w:lineRule="auto"/>
              <w:jc w:val="center"/>
              <w:rPr>
                <w:rFonts w:eastAsia="Times New Roman"/>
                <w:sz w:val="22"/>
                <w:szCs w:val="22"/>
              </w:rPr>
            </w:pPr>
            <w:r>
              <w:rPr>
                <w:rFonts w:eastAsia="Times New Roman"/>
                <w:sz w:val="22"/>
                <w:szCs w:val="22"/>
              </w:rPr>
              <w:t>162</w:t>
            </w:r>
          </w:p>
        </w:tc>
        <w:tc>
          <w:tcPr>
            <w:tcW w:w="1559" w:type="dxa"/>
            <w:vAlign w:val="center"/>
          </w:tcPr>
          <w:p w:rsidR="00255CC4" w:rsidRPr="002C37BF" w:rsidRDefault="00255CC4" w:rsidP="00255CC4">
            <w:pPr>
              <w:spacing w:line="240" w:lineRule="auto"/>
              <w:jc w:val="center"/>
              <w:rPr>
                <w:rFonts w:eastAsia="Times New Roman"/>
                <w:b/>
                <w:sz w:val="22"/>
                <w:szCs w:val="22"/>
              </w:rPr>
            </w:pPr>
            <w:r w:rsidRPr="002C37BF">
              <w:rPr>
                <w:rFonts w:eastAsia="Times New Roman"/>
                <w:b/>
                <w:sz w:val="22"/>
                <w:szCs w:val="22"/>
              </w:rPr>
              <w:t>11</w:t>
            </w:r>
          </w:p>
        </w:tc>
        <w:tc>
          <w:tcPr>
            <w:tcW w:w="1559" w:type="dxa"/>
            <w:vAlign w:val="center"/>
          </w:tcPr>
          <w:p w:rsidR="00255CC4" w:rsidRPr="002C37BF" w:rsidRDefault="00255CC4" w:rsidP="00255CC4">
            <w:pPr>
              <w:spacing w:line="240" w:lineRule="auto"/>
              <w:jc w:val="center"/>
              <w:rPr>
                <w:rFonts w:eastAsia="Times New Roman"/>
                <w:b/>
                <w:color w:val="FF0000"/>
                <w:sz w:val="22"/>
                <w:szCs w:val="22"/>
              </w:rPr>
            </w:pPr>
            <w:r w:rsidRPr="002C37BF">
              <w:rPr>
                <w:rFonts w:eastAsia="Times New Roman"/>
                <w:b/>
                <w:color w:val="FF0000"/>
                <w:sz w:val="22"/>
                <w:szCs w:val="22"/>
              </w:rPr>
              <w:t>2,8</w:t>
            </w:r>
          </w:p>
        </w:tc>
        <w:tc>
          <w:tcPr>
            <w:tcW w:w="1418" w:type="dxa"/>
            <w:vAlign w:val="center"/>
          </w:tcPr>
          <w:p w:rsidR="00255CC4" w:rsidRPr="002C37BF" w:rsidRDefault="00255CC4" w:rsidP="00255CC4">
            <w:pPr>
              <w:spacing w:line="240" w:lineRule="auto"/>
              <w:jc w:val="center"/>
              <w:rPr>
                <w:rFonts w:eastAsia="Times New Roman"/>
                <w:b/>
                <w:color w:val="FF0000"/>
                <w:sz w:val="22"/>
                <w:szCs w:val="22"/>
              </w:rPr>
            </w:pPr>
            <w:r w:rsidRPr="002C37BF">
              <w:rPr>
                <w:rFonts w:eastAsia="Times New Roman"/>
                <w:b/>
                <w:color w:val="FF0000"/>
                <w:sz w:val="22"/>
                <w:szCs w:val="22"/>
              </w:rPr>
              <w:t>5,2</w:t>
            </w:r>
          </w:p>
        </w:tc>
      </w:tr>
      <w:tr w:rsidR="00255CC4" w:rsidRPr="001C1A95" w:rsidTr="00255CC4">
        <w:trPr>
          <w:trHeight w:val="471"/>
        </w:trPr>
        <w:tc>
          <w:tcPr>
            <w:tcW w:w="1526" w:type="dxa"/>
            <w:vAlign w:val="center"/>
          </w:tcPr>
          <w:p w:rsidR="00255CC4" w:rsidRPr="001C1A95" w:rsidRDefault="00255CC4" w:rsidP="00255CC4">
            <w:pPr>
              <w:spacing w:line="240" w:lineRule="auto"/>
              <w:rPr>
                <w:rFonts w:eastAsia="Times New Roman"/>
                <w:color w:val="000000"/>
                <w:sz w:val="22"/>
                <w:szCs w:val="22"/>
              </w:rPr>
            </w:pPr>
            <w:r w:rsidRPr="001C1A95">
              <w:rPr>
                <w:rFonts w:eastAsia="Times New Roman"/>
                <w:color w:val="000000"/>
                <w:sz w:val="22"/>
                <w:szCs w:val="22"/>
              </w:rPr>
              <w:t xml:space="preserve">2.kvintile </w:t>
            </w:r>
          </w:p>
        </w:tc>
        <w:tc>
          <w:tcPr>
            <w:tcW w:w="992" w:type="dxa"/>
            <w:vAlign w:val="center"/>
          </w:tcPr>
          <w:p w:rsidR="00255CC4" w:rsidRPr="001C1A95" w:rsidRDefault="00255CC4" w:rsidP="00255CC4">
            <w:pPr>
              <w:spacing w:line="240" w:lineRule="auto"/>
              <w:ind w:right="-1"/>
              <w:jc w:val="center"/>
              <w:rPr>
                <w:rFonts w:eastAsia="Times New Roman"/>
                <w:sz w:val="22"/>
                <w:szCs w:val="22"/>
              </w:rPr>
            </w:pPr>
            <w:r w:rsidRPr="001C1A95">
              <w:rPr>
                <w:rFonts w:eastAsia="Times New Roman"/>
                <w:sz w:val="22"/>
                <w:szCs w:val="22"/>
              </w:rPr>
              <w:t>245</w:t>
            </w:r>
          </w:p>
        </w:tc>
        <w:tc>
          <w:tcPr>
            <w:tcW w:w="851" w:type="dxa"/>
            <w:vAlign w:val="center"/>
          </w:tcPr>
          <w:p w:rsidR="00255CC4" w:rsidRPr="001C1A95" w:rsidRDefault="00255CC4" w:rsidP="00255CC4">
            <w:pPr>
              <w:spacing w:line="240" w:lineRule="auto"/>
              <w:ind w:right="-1"/>
              <w:jc w:val="center"/>
              <w:rPr>
                <w:rFonts w:eastAsia="Times New Roman"/>
                <w:sz w:val="22"/>
                <w:szCs w:val="22"/>
              </w:rPr>
            </w:pPr>
            <w:r w:rsidRPr="001C1A95">
              <w:rPr>
                <w:rFonts w:eastAsia="Times New Roman"/>
                <w:sz w:val="22"/>
                <w:szCs w:val="22"/>
              </w:rPr>
              <w:t>257</w:t>
            </w:r>
          </w:p>
        </w:tc>
        <w:tc>
          <w:tcPr>
            <w:tcW w:w="850" w:type="dxa"/>
            <w:vAlign w:val="center"/>
          </w:tcPr>
          <w:p w:rsidR="00255CC4" w:rsidRPr="001C1A95" w:rsidRDefault="00255CC4" w:rsidP="00255CC4">
            <w:pPr>
              <w:spacing w:line="240" w:lineRule="auto"/>
              <w:jc w:val="center"/>
              <w:rPr>
                <w:rFonts w:eastAsia="Times New Roman"/>
                <w:sz w:val="22"/>
                <w:szCs w:val="22"/>
              </w:rPr>
            </w:pPr>
            <w:r w:rsidRPr="001C1A95">
              <w:rPr>
                <w:rFonts w:eastAsia="Times New Roman"/>
                <w:sz w:val="22"/>
                <w:szCs w:val="22"/>
              </w:rPr>
              <w:t>266</w:t>
            </w:r>
          </w:p>
        </w:tc>
        <w:tc>
          <w:tcPr>
            <w:tcW w:w="851" w:type="dxa"/>
            <w:vAlign w:val="center"/>
          </w:tcPr>
          <w:p w:rsidR="00255CC4" w:rsidRPr="001C1A95" w:rsidRDefault="00255CC4" w:rsidP="00255CC4">
            <w:pPr>
              <w:spacing w:line="240" w:lineRule="auto"/>
              <w:jc w:val="center"/>
              <w:rPr>
                <w:rFonts w:eastAsia="Times New Roman"/>
                <w:sz w:val="22"/>
                <w:szCs w:val="22"/>
              </w:rPr>
            </w:pPr>
            <w:r w:rsidRPr="001C1A95">
              <w:rPr>
                <w:rFonts w:eastAsia="Times New Roman"/>
                <w:sz w:val="22"/>
                <w:szCs w:val="22"/>
              </w:rPr>
              <w:t>2</w:t>
            </w:r>
            <w:r>
              <w:rPr>
                <w:rFonts w:eastAsia="Times New Roman"/>
                <w:sz w:val="22"/>
                <w:szCs w:val="22"/>
              </w:rPr>
              <w:t>85</w:t>
            </w:r>
          </w:p>
        </w:tc>
        <w:tc>
          <w:tcPr>
            <w:tcW w:w="1559" w:type="dxa"/>
            <w:vAlign w:val="center"/>
          </w:tcPr>
          <w:p w:rsidR="00255CC4" w:rsidRPr="002C37BF" w:rsidRDefault="00255CC4" w:rsidP="00255CC4">
            <w:pPr>
              <w:spacing w:line="240" w:lineRule="auto"/>
              <w:jc w:val="center"/>
              <w:rPr>
                <w:rFonts w:eastAsia="Times New Roman"/>
                <w:b/>
                <w:color w:val="FF0000"/>
                <w:sz w:val="22"/>
                <w:szCs w:val="22"/>
              </w:rPr>
            </w:pPr>
            <w:r w:rsidRPr="002C37BF">
              <w:rPr>
                <w:rFonts w:eastAsia="Times New Roman"/>
                <w:b/>
                <w:color w:val="FF0000"/>
                <w:sz w:val="22"/>
                <w:szCs w:val="22"/>
              </w:rPr>
              <w:t>4,9</w:t>
            </w:r>
          </w:p>
        </w:tc>
        <w:tc>
          <w:tcPr>
            <w:tcW w:w="1559" w:type="dxa"/>
            <w:vAlign w:val="center"/>
          </w:tcPr>
          <w:p w:rsidR="00255CC4" w:rsidRPr="00E34A1C" w:rsidRDefault="00255CC4" w:rsidP="00255CC4">
            <w:pPr>
              <w:spacing w:line="240" w:lineRule="auto"/>
              <w:jc w:val="center"/>
              <w:rPr>
                <w:rFonts w:eastAsia="Times New Roman"/>
                <w:sz w:val="22"/>
                <w:szCs w:val="22"/>
              </w:rPr>
            </w:pPr>
            <w:r w:rsidRPr="00E34A1C">
              <w:rPr>
                <w:rFonts w:eastAsia="Times New Roman"/>
                <w:sz w:val="22"/>
                <w:szCs w:val="22"/>
              </w:rPr>
              <w:t>3,6</w:t>
            </w:r>
          </w:p>
        </w:tc>
        <w:tc>
          <w:tcPr>
            <w:tcW w:w="1418" w:type="dxa"/>
            <w:vAlign w:val="center"/>
          </w:tcPr>
          <w:p w:rsidR="00255CC4" w:rsidRPr="00E34A1C" w:rsidRDefault="00255CC4" w:rsidP="00255CC4">
            <w:pPr>
              <w:spacing w:line="240" w:lineRule="auto"/>
              <w:jc w:val="center"/>
              <w:rPr>
                <w:rFonts w:eastAsia="Times New Roman"/>
                <w:sz w:val="22"/>
                <w:szCs w:val="22"/>
              </w:rPr>
            </w:pPr>
            <w:r>
              <w:rPr>
                <w:rFonts w:eastAsia="Times New Roman"/>
                <w:sz w:val="22"/>
                <w:szCs w:val="22"/>
              </w:rPr>
              <w:t>7,1</w:t>
            </w:r>
          </w:p>
        </w:tc>
      </w:tr>
      <w:tr w:rsidR="00255CC4" w:rsidRPr="001C1A95" w:rsidTr="00255CC4">
        <w:trPr>
          <w:trHeight w:val="563"/>
        </w:trPr>
        <w:tc>
          <w:tcPr>
            <w:tcW w:w="1526" w:type="dxa"/>
            <w:vAlign w:val="center"/>
          </w:tcPr>
          <w:p w:rsidR="00255CC4" w:rsidRPr="001C1A95" w:rsidRDefault="00255CC4" w:rsidP="00255CC4">
            <w:pPr>
              <w:spacing w:line="240" w:lineRule="auto"/>
              <w:rPr>
                <w:rFonts w:eastAsia="Times New Roman"/>
                <w:color w:val="000000"/>
                <w:sz w:val="22"/>
                <w:szCs w:val="22"/>
              </w:rPr>
            </w:pPr>
            <w:r w:rsidRPr="001C1A95">
              <w:rPr>
                <w:rFonts w:eastAsia="Times New Roman"/>
                <w:color w:val="000000"/>
                <w:sz w:val="22"/>
                <w:szCs w:val="22"/>
              </w:rPr>
              <w:t>3.kvintile</w:t>
            </w:r>
          </w:p>
        </w:tc>
        <w:tc>
          <w:tcPr>
            <w:tcW w:w="992" w:type="dxa"/>
            <w:vAlign w:val="center"/>
          </w:tcPr>
          <w:p w:rsidR="00255CC4" w:rsidRPr="001C1A95" w:rsidRDefault="00255CC4" w:rsidP="00255CC4">
            <w:pPr>
              <w:spacing w:line="240" w:lineRule="auto"/>
              <w:ind w:right="-1"/>
              <w:jc w:val="center"/>
              <w:rPr>
                <w:rFonts w:eastAsia="Times New Roman"/>
                <w:sz w:val="22"/>
                <w:szCs w:val="22"/>
              </w:rPr>
            </w:pPr>
            <w:r w:rsidRPr="001C1A95">
              <w:rPr>
                <w:rFonts w:eastAsia="Times New Roman"/>
                <w:sz w:val="22"/>
                <w:szCs w:val="22"/>
              </w:rPr>
              <w:t>317</w:t>
            </w:r>
          </w:p>
        </w:tc>
        <w:tc>
          <w:tcPr>
            <w:tcW w:w="851" w:type="dxa"/>
            <w:vAlign w:val="center"/>
          </w:tcPr>
          <w:p w:rsidR="00255CC4" w:rsidRPr="001C1A95" w:rsidRDefault="00255CC4" w:rsidP="00255CC4">
            <w:pPr>
              <w:spacing w:line="240" w:lineRule="auto"/>
              <w:ind w:right="-1"/>
              <w:jc w:val="center"/>
              <w:rPr>
                <w:rFonts w:eastAsia="Times New Roman"/>
                <w:sz w:val="22"/>
                <w:szCs w:val="22"/>
              </w:rPr>
            </w:pPr>
            <w:r w:rsidRPr="001C1A95">
              <w:rPr>
                <w:rFonts w:eastAsia="Times New Roman"/>
                <w:sz w:val="22"/>
                <w:szCs w:val="22"/>
              </w:rPr>
              <w:t>340</w:t>
            </w:r>
          </w:p>
        </w:tc>
        <w:tc>
          <w:tcPr>
            <w:tcW w:w="850" w:type="dxa"/>
            <w:vAlign w:val="center"/>
          </w:tcPr>
          <w:p w:rsidR="00255CC4" w:rsidRPr="001C1A95" w:rsidRDefault="00255CC4" w:rsidP="00255CC4">
            <w:pPr>
              <w:spacing w:line="240" w:lineRule="auto"/>
              <w:jc w:val="center"/>
              <w:rPr>
                <w:rFonts w:eastAsia="Times New Roman"/>
                <w:sz w:val="22"/>
                <w:szCs w:val="22"/>
              </w:rPr>
            </w:pPr>
            <w:r w:rsidRPr="001C1A95">
              <w:rPr>
                <w:rFonts w:eastAsia="Times New Roman"/>
                <w:sz w:val="22"/>
                <w:szCs w:val="22"/>
              </w:rPr>
              <w:t>360</w:t>
            </w:r>
          </w:p>
        </w:tc>
        <w:tc>
          <w:tcPr>
            <w:tcW w:w="851" w:type="dxa"/>
            <w:vAlign w:val="center"/>
          </w:tcPr>
          <w:p w:rsidR="00255CC4" w:rsidRPr="001C1A95" w:rsidRDefault="00255CC4" w:rsidP="00255CC4">
            <w:pPr>
              <w:spacing w:line="240" w:lineRule="auto"/>
              <w:jc w:val="center"/>
              <w:rPr>
                <w:rFonts w:eastAsia="Times New Roman"/>
                <w:sz w:val="22"/>
                <w:szCs w:val="22"/>
              </w:rPr>
            </w:pPr>
            <w:r>
              <w:rPr>
                <w:rFonts w:eastAsia="Times New Roman"/>
                <w:sz w:val="22"/>
                <w:szCs w:val="22"/>
              </w:rPr>
              <w:t>401</w:t>
            </w:r>
          </w:p>
        </w:tc>
        <w:tc>
          <w:tcPr>
            <w:tcW w:w="1559" w:type="dxa"/>
            <w:vAlign w:val="center"/>
          </w:tcPr>
          <w:p w:rsidR="00255CC4" w:rsidRPr="00E34A1C" w:rsidRDefault="00255CC4" w:rsidP="00255CC4">
            <w:pPr>
              <w:spacing w:line="240" w:lineRule="auto"/>
              <w:jc w:val="center"/>
              <w:rPr>
                <w:rFonts w:eastAsia="Times New Roman"/>
                <w:sz w:val="22"/>
                <w:szCs w:val="22"/>
              </w:rPr>
            </w:pPr>
            <w:r>
              <w:rPr>
                <w:rFonts w:eastAsia="Times New Roman"/>
                <w:sz w:val="22"/>
                <w:szCs w:val="22"/>
              </w:rPr>
              <w:t>7,3</w:t>
            </w:r>
          </w:p>
        </w:tc>
        <w:tc>
          <w:tcPr>
            <w:tcW w:w="1559" w:type="dxa"/>
            <w:vAlign w:val="center"/>
          </w:tcPr>
          <w:p w:rsidR="00255CC4" w:rsidRPr="002C37BF" w:rsidRDefault="00255CC4" w:rsidP="00255CC4">
            <w:pPr>
              <w:spacing w:line="240" w:lineRule="auto"/>
              <w:jc w:val="center"/>
              <w:rPr>
                <w:rFonts w:eastAsia="Times New Roman"/>
                <w:b/>
                <w:sz w:val="22"/>
                <w:szCs w:val="22"/>
              </w:rPr>
            </w:pPr>
            <w:r w:rsidRPr="002C37BF">
              <w:rPr>
                <w:rFonts w:eastAsia="Times New Roman"/>
                <w:b/>
                <w:sz w:val="22"/>
                <w:szCs w:val="22"/>
              </w:rPr>
              <w:t>5,7</w:t>
            </w:r>
          </w:p>
        </w:tc>
        <w:tc>
          <w:tcPr>
            <w:tcW w:w="1418" w:type="dxa"/>
            <w:vAlign w:val="center"/>
          </w:tcPr>
          <w:p w:rsidR="00255CC4" w:rsidRPr="00E34A1C" w:rsidRDefault="00255CC4" w:rsidP="00255CC4">
            <w:pPr>
              <w:spacing w:line="240" w:lineRule="auto"/>
              <w:jc w:val="center"/>
              <w:rPr>
                <w:rFonts w:eastAsia="Times New Roman"/>
                <w:sz w:val="22"/>
                <w:szCs w:val="22"/>
              </w:rPr>
            </w:pPr>
            <w:r>
              <w:rPr>
                <w:rFonts w:eastAsia="Times New Roman"/>
                <w:sz w:val="22"/>
                <w:szCs w:val="22"/>
              </w:rPr>
              <w:t>11,4</w:t>
            </w:r>
          </w:p>
        </w:tc>
      </w:tr>
      <w:tr w:rsidR="00255CC4" w:rsidRPr="001C1A95" w:rsidTr="00255CC4">
        <w:trPr>
          <w:trHeight w:val="569"/>
        </w:trPr>
        <w:tc>
          <w:tcPr>
            <w:tcW w:w="1526" w:type="dxa"/>
            <w:vAlign w:val="center"/>
          </w:tcPr>
          <w:p w:rsidR="00255CC4" w:rsidRPr="001C1A95" w:rsidRDefault="00255CC4" w:rsidP="00255CC4">
            <w:pPr>
              <w:spacing w:line="240" w:lineRule="auto"/>
              <w:rPr>
                <w:rFonts w:eastAsia="Times New Roman"/>
                <w:color w:val="000000"/>
                <w:sz w:val="22"/>
                <w:szCs w:val="22"/>
              </w:rPr>
            </w:pPr>
            <w:r w:rsidRPr="001C1A95">
              <w:rPr>
                <w:rFonts w:eastAsia="Times New Roman"/>
                <w:color w:val="000000"/>
                <w:sz w:val="22"/>
                <w:szCs w:val="22"/>
              </w:rPr>
              <w:t>4.kvintile</w:t>
            </w:r>
          </w:p>
        </w:tc>
        <w:tc>
          <w:tcPr>
            <w:tcW w:w="992" w:type="dxa"/>
            <w:vAlign w:val="center"/>
          </w:tcPr>
          <w:p w:rsidR="00255CC4" w:rsidRPr="001C1A95" w:rsidRDefault="00255CC4" w:rsidP="00255CC4">
            <w:pPr>
              <w:spacing w:line="240" w:lineRule="auto"/>
              <w:ind w:right="-1"/>
              <w:jc w:val="center"/>
              <w:rPr>
                <w:rFonts w:eastAsia="Times New Roman"/>
                <w:sz w:val="22"/>
                <w:szCs w:val="22"/>
              </w:rPr>
            </w:pPr>
            <w:r w:rsidRPr="001C1A95">
              <w:rPr>
                <w:rFonts w:eastAsia="Times New Roman"/>
                <w:sz w:val="22"/>
                <w:szCs w:val="22"/>
              </w:rPr>
              <w:t>449</w:t>
            </w:r>
          </w:p>
        </w:tc>
        <w:tc>
          <w:tcPr>
            <w:tcW w:w="851" w:type="dxa"/>
            <w:vAlign w:val="center"/>
          </w:tcPr>
          <w:p w:rsidR="00255CC4" w:rsidRPr="001C1A95" w:rsidRDefault="00255CC4" w:rsidP="00255CC4">
            <w:pPr>
              <w:spacing w:line="240" w:lineRule="auto"/>
              <w:ind w:right="-1"/>
              <w:jc w:val="center"/>
              <w:rPr>
                <w:rFonts w:eastAsia="Times New Roman"/>
                <w:sz w:val="22"/>
                <w:szCs w:val="22"/>
              </w:rPr>
            </w:pPr>
            <w:r w:rsidRPr="001C1A95">
              <w:rPr>
                <w:rFonts w:eastAsia="Times New Roman"/>
                <w:sz w:val="22"/>
                <w:szCs w:val="22"/>
              </w:rPr>
              <w:t>483</w:t>
            </w:r>
          </w:p>
        </w:tc>
        <w:tc>
          <w:tcPr>
            <w:tcW w:w="850" w:type="dxa"/>
            <w:vAlign w:val="center"/>
          </w:tcPr>
          <w:p w:rsidR="00255CC4" w:rsidRPr="001C1A95" w:rsidRDefault="00255CC4" w:rsidP="00255CC4">
            <w:pPr>
              <w:spacing w:line="240" w:lineRule="auto"/>
              <w:jc w:val="center"/>
              <w:rPr>
                <w:rFonts w:eastAsia="Times New Roman"/>
                <w:sz w:val="22"/>
                <w:szCs w:val="22"/>
              </w:rPr>
            </w:pPr>
            <w:r w:rsidRPr="001C1A95">
              <w:rPr>
                <w:rFonts w:eastAsia="Times New Roman"/>
                <w:sz w:val="22"/>
                <w:szCs w:val="22"/>
              </w:rPr>
              <w:t>514</w:t>
            </w:r>
          </w:p>
        </w:tc>
        <w:tc>
          <w:tcPr>
            <w:tcW w:w="851" w:type="dxa"/>
            <w:vAlign w:val="center"/>
          </w:tcPr>
          <w:p w:rsidR="00255CC4" w:rsidRPr="001C1A95" w:rsidRDefault="00255CC4" w:rsidP="00255CC4">
            <w:pPr>
              <w:spacing w:line="240" w:lineRule="auto"/>
              <w:jc w:val="center"/>
              <w:rPr>
                <w:rFonts w:eastAsia="Times New Roman"/>
                <w:sz w:val="22"/>
                <w:szCs w:val="22"/>
              </w:rPr>
            </w:pPr>
            <w:r w:rsidRPr="001C1A95">
              <w:rPr>
                <w:rFonts w:eastAsia="Times New Roman"/>
                <w:sz w:val="22"/>
                <w:szCs w:val="22"/>
              </w:rPr>
              <w:t>5</w:t>
            </w:r>
            <w:r>
              <w:rPr>
                <w:rFonts w:eastAsia="Times New Roman"/>
                <w:sz w:val="22"/>
                <w:szCs w:val="22"/>
              </w:rPr>
              <w:t>72</w:t>
            </w:r>
          </w:p>
        </w:tc>
        <w:tc>
          <w:tcPr>
            <w:tcW w:w="1559" w:type="dxa"/>
            <w:vAlign w:val="center"/>
          </w:tcPr>
          <w:p w:rsidR="00255CC4" w:rsidRPr="00E34A1C" w:rsidRDefault="00255CC4" w:rsidP="00255CC4">
            <w:pPr>
              <w:spacing w:line="240" w:lineRule="auto"/>
              <w:jc w:val="center"/>
              <w:rPr>
                <w:rFonts w:eastAsia="Times New Roman"/>
                <w:sz w:val="22"/>
                <w:szCs w:val="22"/>
              </w:rPr>
            </w:pPr>
            <w:r w:rsidRPr="00E34A1C">
              <w:rPr>
                <w:rFonts w:eastAsia="Times New Roman"/>
                <w:sz w:val="22"/>
                <w:szCs w:val="22"/>
              </w:rPr>
              <w:t>6,4</w:t>
            </w:r>
          </w:p>
        </w:tc>
        <w:tc>
          <w:tcPr>
            <w:tcW w:w="1559" w:type="dxa"/>
            <w:vAlign w:val="center"/>
          </w:tcPr>
          <w:p w:rsidR="00255CC4" w:rsidRPr="00E34A1C" w:rsidRDefault="00255CC4" w:rsidP="00255CC4">
            <w:pPr>
              <w:spacing w:line="240" w:lineRule="auto"/>
              <w:jc w:val="center"/>
              <w:rPr>
                <w:rFonts w:eastAsia="Times New Roman"/>
                <w:sz w:val="22"/>
                <w:szCs w:val="22"/>
              </w:rPr>
            </w:pPr>
            <w:r w:rsidRPr="00E34A1C">
              <w:rPr>
                <w:rFonts w:eastAsia="Times New Roman"/>
                <w:sz w:val="22"/>
                <w:szCs w:val="22"/>
              </w:rPr>
              <w:t>6,4</w:t>
            </w:r>
          </w:p>
        </w:tc>
        <w:tc>
          <w:tcPr>
            <w:tcW w:w="1418" w:type="dxa"/>
            <w:vAlign w:val="center"/>
          </w:tcPr>
          <w:p w:rsidR="00255CC4" w:rsidRPr="00E34A1C" w:rsidRDefault="00255CC4" w:rsidP="00255CC4">
            <w:pPr>
              <w:spacing w:line="240" w:lineRule="auto"/>
              <w:jc w:val="center"/>
              <w:rPr>
                <w:rFonts w:eastAsia="Times New Roman"/>
                <w:sz w:val="22"/>
                <w:szCs w:val="22"/>
              </w:rPr>
            </w:pPr>
            <w:r>
              <w:rPr>
                <w:rFonts w:eastAsia="Times New Roman"/>
                <w:sz w:val="22"/>
                <w:szCs w:val="22"/>
              </w:rPr>
              <w:t>11,3</w:t>
            </w:r>
          </w:p>
        </w:tc>
      </w:tr>
      <w:tr w:rsidR="00255CC4" w:rsidRPr="001C1A95" w:rsidTr="00255CC4">
        <w:tc>
          <w:tcPr>
            <w:tcW w:w="1526" w:type="dxa"/>
            <w:vAlign w:val="center"/>
          </w:tcPr>
          <w:p w:rsidR="00255CC4" w:rsidRPr="001C1A95" w:rsidRDefault="00255CC4" w:rsidP="00255CC4">
            <w:pPr>
              <w:spacing w:line="240" w:lineRule="auto"/>
              <w:rPr>
                <w:rFonts w:eastAsia="Times New Roman"/>
                <w:color w:val="000000"/>
                <w:sz w:val="22"/>
                <w:szCs w:val="22"/>
              </w:rPr>
            </w:pPr>
            <w:r w:rsidRPr="001C1A95">
              <w:rPr>
                <w:rFonts w:eastAsia="Times New Roman"/>
                <w:color w:val="000000"/>
                <w:sz w:val="22"/>
                <w:szCs w:val="22"/>
              </w:rPr>
              <w:t>5.kvintile</w:t>
            </w:r>
            <w:r>
              <w:rPr>
                <w:rFonts w:eastAsia="Times New Roman"/>
                <w:color w:val="000000"/>
                <w:sz w:val="22"/>
                <w:szCs w:val="22"/>
              </w:rPr>
              <w:t xml:space="preserve"> (turīgākā)</w:t>
            </w:r>
          </w:p>
        </w:tc>
        <w:tc>
          <w:tcPr>
            <w:tcW w:w="992" w:type="dxa"/>
            <w:vAlign w:val="center"/>
          </w:tcPr>
          <w:p w:rsidR="00255CC4" w:rsidRPr="001C1A95" w:rsidRDefault="00255CC4" w:rsidP="00255CC4">
            <w:pPr>
              <w:spacing w:line="240" w:lineRule="auto"/>
              <w:ind w:right="-1"/>
              <w:jc w:val="center"/>
              <w:rPr>
                <w:rFonts w:eastAsia="Times New Roman"/>
                <w:sz w:val="22"/>
                <w:szCs w:val="22"/>
              </w:rPr>
            </w:pPr>
            <w:r w:rsidRPr="001C1A95">
              <w:rPr>
                <w:rFonts w:eastAsia="Times New Roman"/>
                <w:sz w:val="22"/>
                <w:szCs w:val="22"/>
              </w:rPr>
              <w:t>847</w:t>
            </w:r>
          </w:p>
        </w:tc>
        <w:tc>
          <w:tcPr>
            <w:tcW w:w="851" w:type="dxa"/>
            <w:vAlign w:val="center"/>
          </w:tcPr>
          <w:p w:rsidR="00255CC4" w:rsidRPr="001C1A95" w:rsidRDefault="00255CC4" w:rsidP="00255CC4">
            <w:pPr>
              <w:spacing w:line="240" w:lineRule="auto"/>
              <w:ind w:right="-1"/>
              <w:jc w:val="center"/>
              <w:rPr>
                <w:rFonts w:eastAsia="Times New Roman"/>
                <w:sz w:val="22"/>
                <w:szCs w:val="22"/>
              </w:rPr>
            </w:pPr>
            <w:r w:rsidRPr="001C1A95">
              <w:rPr>
                <w:rFonts w:eastAsia="Times New Roman"/>
                <w:sz w:val="22"/>
                <w:szCs w:val="22"/>
              </w:rPr>
              <w:t>896</w:t>
            </w:r>
          </w:p>
        </w:tc>
        <w:tc>
          <w:tcPr>
            <w:tcW w:w="850" w:type="dxa"/>
            <w:vAlign w:val="center"/>
          </w:tcPr>
          <w:p w:rsidR="00255CC4" w:rsidRPr="001C1A95" w:rsidRDefault="00255CC4" w:rsidP="00255CC4">
            <w:pPr>
              <w:spacing w:line="240" w:lineRule="auto"/>
              <w:jc w:val="center"/>
              <w:rPr>
                <w:rFonts w:eastAsia="Times New Roman"/>
                <w:sz w:val="22"/>
                <w:szCs w:val="22"/>
              </w:rPr>
            </w:pPr>
            <w:r w:rsidRPr="001C1A95">
              <w:rPr>
                <w:rFonts w:eastAsia="Times New Roman"/>
                <w:sz w:val="22"/>
                <w:szCs w:val="22"/>
              </w:rPr>
              <w:t>942</w:t>
            </w:r>
          </w:p>
        </w:tc>
        <w:tc>
          <w:tcPr>
            <w:tcW w:w="851" w:type="dxa"/>
            <w:vAlign w:val="center"/>
          </w:tcPr>
          <w:p w:rsidR="00255CC4" w:rsidRPr="001C1A95" w:rsidRDefault="00255CC4" w:rsidP="00255CC4">
            <w:pPr>
              <w:spacing w:line="240" w:lineRule="auto"/>
              <w:jc w:val="center"/>
              <w:rPr>
                <w:rFonts w:eastAsia="Times New Roman"/>
                <w:sz w:val="22"/>
                <w:szCs w:val="22"/>
              </w:rPr>
            </w:pPr>
            <w:r>
              <w:rPr>
                <w:rFonts w:eastAsia="Times New Roman"/>
                <w:sz w:val="22"/>
                <w:szCs w:val="22"/>
              </w:rPr>
              <w:t>1076</w:t>
            </w:r>
          </w:p>
        </w:tc>
        <w:tc>
          <w:tcPr>
            <w:tcW w:w="1559" w:type="dxa"/>
            <w:vAlign w:val="center"/>
          </w:tcPr>
          <w:p w:rsidR="00255CC4" w:rsidRPr="00E34A1C" w:rsidRDefault="00255CC4" w:rsidP="00255CC4">
            <w:pPr>
              <w:spacing w:line="240" w:lineRule="auto"/>
              <w:jc w:val="center"/>
              <w:rPr>
                <w:rFonts w:eastAsia="Times New Roman"/>
                <w:sz w:val="22"/>
                <w:szCs w:val="22"/>
              </w:rPr>
            </w:pPr>
            <w:r>
              <w:rPr>
                <w:rFonts w:eastAsia="Times New Roman"/>
                <w:sz w:val="22"/>
                <w:szCs w:val="22"/>
              </w:rPr>
              <w:t>7,6</w:t>
            </w:r>
          </w:p>
        </w:tc>
        <w:tc>
          <w:tcPr>
            <w:tcW w:w="1559" w:type="dxa"/>
            <w:vAlign w:val="center"/>
          </w:tcPr>
          <w:p w:rsidR="00255CC4" w:rsidRPr="00E34A1C" w:rsidRDefault="00255CC4" w:rsidP="00255CC4">
            <w:pPr>
              <w:spacing w:line="240" w:lineRule="auto"/>
              <w:jc w:val="center"/>
              <w:rPr>
                <w:rFonts w:eastAsia="Times New Roman"/>
                <w:sz w:val="22"/>
                <w:szCs w:val="22"/>
              </w:rPr>
            </w:pPr>
            <w:r w:rsidRPr="00E34A1C">
              <w:rPr>
                <w:rFonts w:eastAsia="Times New Roman"/>
                <w:sz w:val="22"/>
                <w:szCs w:val="22"/>
              </w:rPr>
              <w:t>5,1</w:t>
            </w:r>
          </w:p>
        </w:tc>
        <w:tc>
          <w:tcPr>
            <w:tcW w:w="1418" w:type="dxa"/>
            <w:vAlign w:val="center"/>
          </w:tcPr>
          <w:p w:rsidR="00255CC4" w:rsidRPr="002C37BF" w:rsidRDefault="00255CC4" w:rsidP="00255CC4">
            <w:pPr>
              <w:spacing w:line="240" w:lineRule="auto"/>
              <w:jc w:val="center"/>
              <w:rPr>
                <w:rFonts w:eastAsia="Times New Roman"/>
                <w:b/>
                <w:sz w:val="22"/>
                <w:szCs w:val="22"/>
              </w:rPr>
            </w:pPr>
            <w:r w:rsidRPr="002C37BF">
              <w:rPr>
                <w:rFonts w:eastAsia="Times New Roman"/>
                <w:b/>
                <w:sz w:val="22"/>
                <w:szCs w:val="22"/>
              </w:rPr>
              <w:t>14,2</w:t>
            </w:r>
          </w:p>
        </w:tc>
      </w:tr>
      <w:tr w:rsidR="00255CC4" w:rsidRPr="001C1A95" w:rsidTr="00255CC4">
        <w:trPr>
          <w:trHeight w:val="375"/>
        </w:trPr>
        <w:tc>
          <w:tcPr>
            <w:tcW w:w="1526" w:type="dxa"/>
            <w:vAlign w:val="center"/>
          </w:tcPr>
          <w:p w:rsidR="00255CC4" w:rsidRPr="00FA0FA2" w:rsidRDefault="00255CC4" w:rsidP="00255CC4">
            <w:pPr>
              <w:spacing w:line="240" w:lineRule="auto"/>
              <w:rPr>
                <w:rFonts w:eastAsia="Times New Roman"/>
                <w:b/>
                <w:color w:val="000000"/>
                <w:sz w:val="22"/>
                <w:szCs w:val="22"/>
              </w:rPr>
            </w:pPr>
            <w:r w:rsidRPr="00FA0FA2">
              <w:rPr>
                <w:rFonts w:eastAsia="Times New Roman"/>
                <w:b/>
                <w:color w:val="000000"/>
                <w:sz w:val="22"/>
                <w:szCs w:val="22"/>
              </w:rPr>
              <w:t>Vidēji valstī</w:t>
            </w:r>
          </w:p>
        </w:tc>
        <w:tc>
          <w:tcPr>
            <w:tcW w:w="992" w:type="dxa"/>
            <w:vAlign w:val="center"/>
          </w:tcPr>
          <w:p w:rsidR="00255CC4" w:rsidRPr="001C1A95" w:rsidRDefault="00255CC4" w:rsidP="00255CC4">
            <w:pPr>
              <w:spacing w:line="240" w:lineRule="auto"/>
              <w:ind w:right="-1"/>
              <w:jc w:val="center"/>
              <w:rPr>
                <w:rFonts w:eastAsia="Times New Roman"/>
                <w:sz w:val="22"/>
                <w:szCs w:val="22"/>
              </w:rPr>
            </w:pPr>
            <w:r w:rsidRPr="001C1A95">
              <w:rPr>
                <w:rFonts w:eastAsia="Times New Roman"/>
                <w:sz w:val="22"/>
                <w:szCs w:val="22"/>
              </w:rPr>
              <w:t>387</w:t>
            </w:r>
          </w:p>
        </w:tc>
        <w:tc>
          <w:tcPr>
            <w:tcW w:w="851" w:type="dxa"/>
            <w:vAlign w:val="center"/>
          </w:tcPr>
          <w:p w:rsidR="00255CC4" w:rsidRPr="001C1A95" w:rsidRDefault="00255CC4" w:rsidP="00255CC4">
            <w:pPr>
              <w:spacing w:line="240" w:lineRule="auto"/>
              <w:ind w:right="-1"/>
              <w:jc w:val="center"/>
              <w:rPr>
                <w:rFonts w:eastAsia="Times New Roman"/>
                <w:sz w:val="22"/>
                <w:szCs w:val="22"/>
              </w:rPr>
            </w:pPr>
            <w:r w:rsidRPr="001C1A95">
              <w:rPr>
                <w:rFonts w:eastAsia="Times New Roman"/>
                <w:sz w:val="22"/>
                <w:szCs w:val="22"/>
              </w:rPr>
              <w:t>417</w:t>
            </w:r>
          </w:p>
        </w:tc>
        <w:tc>
          <w:tcPr>
            <w:tcW w:w="850" w:type="dxa"/>
            <w:vAlign w:val="center"/>
          </w:tcPr>
          <w:p w:rsidR="00255CC4" w:rsidRPr="001C1A95" w:rsidRDefault="00255CC4" w:rsidP="00255CC4">
            <w:pPr>
              <w:spacing w:line="240" w:lineRule="auto"/>
              <w:jc w:val="center"/>
              <w:rPr>
                <w:rFonts w:eastAsia="Times New Roman"/>
                <w:sz w:val="22"/>
                <w:szCs w:val="22"/>
              </w:rPr>
            </w:pPr>
            <w:r w:rsidRPr="001C1A95">
              <w:rPr>
                <w:rFonts w:eastAsia="Times New Roman"/>
                <w:sz w:val="22"/>
                <w:szCs w:val="22"/>
              </w:rPr>
              <w:t>437</w:t>
            </w:r>
          </w:p>
        </w:tc>
        <w:tc>
          <w:tcPr>
            <w:tcW w:w="851" w:type="dxa"/>
            <w:vAlign w:val="center"/>
          </w:tcPr>
          <w:p w:rsidR="00255CC4" w:rsidRPr="001C1A95" w:rsidRDefault="00255CC4" w:rsidP="00255CC4">
            <w:pPr>
              <w:spacing w:line="240" w:lineRule="auto"/>
              <w:jc w:val="center"/>
              <w:rPr>
                <w:rFonts w:eastAsia="Times New Roman"/>
                <w:sz w:val="22"/>
                <w:szCs w:val="22"/>
              </w:rPr>
            </w:pPr>
            <w:r w:rsidRPr="001C1A95">
              <w:rPr>
                <w:rFonts w:eastAsia="Times New Roman"/>
                <w:sz w:val="22"/>
                <w:szCs w:val="22"/>
              </w:rPr>
              <w:t>4</w:t>
            </w:r>
            <w:r>
              <w:rPr>
                <w:rFonts w:eastAsia="Times New Roman"/>
                <w:sz w:val="22"/>
                <w:szCs w:val="22"/>
              </w:rPr>
              <w:t>89</w:t>
            </w:r>
          </w:p>
        </w:tc>
        <w:tc>
          <w:tcPr>
            <w:tcW w:w="1559" w:type="dxa"/>
            <w:vAlign w:val="center"/>
          </w:tcPr>
          <w:p w:rsidR="00255CC4" w:rsidRPr="00E34A1C" w:rsidRDefault="00255CC4" w:rsidP="00255CC4">
            <w:pPr>
              <w:spacing w:line="240" w:lineRule="auto"/>
              <w:jc w:val="center"/>
              <w:rPr>
                <w:rFonts w:eastAsia="Times New Roman"/>
                <w:sz w:val="22"/>
                <w:szCs w:val="22"/>
              </w:rPr>
            </w:pPr>
            <w:r>
              <w:rPr>
                <w:rFonts w:eastAsia="Times New Roman"/>
                <w:sz w:val="22"/>
                <w:szCs w:val="22"/>
              </w:rPr>
              <w:t>7,8</w:t>
            </w:r>
          </w:p>
        </w:tc>
        <w:tc>
          <w:tcPr>
            <w:tcW w:w="1559" w:type="dxa"/>
            <w:vAlign w:val="center"/>
          </w:tcPr>
          <w:p w:rsidR="00255CC4" w:rsidRPr="00E34A1C" w:rsidRDefault="00255CC4" w:rsidP="00255CC4">
            <w:pPr>
              <w:spacing w:line="240" w:lineRule="auto"/>
              <w:jc w:val="center"/>
              <w:rPr>
                <w:rFonts w:eastAsia="Times New Roman"/>
                <w:sz w:val="22"/>
                <w:szCs w:val="22"/>
              </w:rPr>
            </w:pPr>
            <w:r w:rsidRPr="00E34A1C">
              <w:rPr>
                <w:rFonts w:eastAsia="Times New Roman"/>
                <w:sz w:val="22"/>
                <w:szCs w:val="22"/>
              </w:rPr>
              <w:t>4,9</w:t>
            </w:r>
          </w:p>
        </w:tc>
        <w:tc>
          <w:tcPr>
            <w:tcW w:w="1418" w:type="dxa"/>
            <w:vAlign w:val="center"/>
          </w:tcPr>
          <w:p w:rsidR="00255CC4" w:rsidRPr="00E34A1C" w:rsidRDefault="00255CC4" w:rsidP="00255CC4">
            <w:pPr>
              <w:spacing w:line="240" w:lineRule="auto"/>
              <w:jc w:val="center"/>
              <w:rPr>
                <w:rFonts w:eastAsia="Times New Roman"/>
                <w:sz w:val="22"/>
                <w:szCs w:val="22"/>
              </w:rPr>
            </w:pPr>
            <w:r>
              <w:rPr>
                <w:rFonts w:eastAsia="Times New Roman"/>
                <w:sz w:val="22"/>
                <w:szCs w:val="22"/>
              </w:rPr>
              <w:t>12</w:t>
            </w:r>
          </w:p>
        </w:tc>
      </w:tr>
    </w:tbl>
    <w:p w:rsidR="00255CC4" w:rsidRPr="00F13BE5" w:rsidRDefault="00255CC4" w:rsidP="00255CC4">
      <w:pPr>
        <w:spacing w:line="240" w:lineRule="auto"/>
        <w:ind w:right="249"/>
        <w:rPr>
          <w:rFonts w:eastAsia="Times New Roman"/>
          <w:color w:val="000000"/>
          <w:sz w:val="20"/>
          <w:szCs w:val="20"/>
        </w:rPr>
      </w:pPr>
      <w:r w:rsidRPr="00F13BE5">
        <w:rPr>
          <w:rFonts w:eastAsia="Times New Roman"/>
          <w:color w:val="000000"/>
          <w:sz w:val="20"/>
          <w:szCs w:val="20"/>
        </w:rPr>
        <w:t>Avots: CSP, „IIG090. Mājsaimniecību rīcībā esošie ienākumi kvintiļu grupās (</w:t>
      </w:r>
      <w:r>
        <w:rPr>
          <w:rFonts w:eastAsia="Times New Roman"/>
          <w:color w:val="000000"/>
          <w:sz w:val="20"/>
          <w:szCs w:val="20"/>
        </w:rPr>
        <w:t>EUR</w:t>
      </w:r>
      <w:r w:rsidRPr="00F13BE5">
        <w:rPr>
          <w:rFonts w:eastAsia="Times New Roman"/>
          <w:color w:val="000000"/>
          <w:sz w:val="20"/>
          <w:szCs w:val="20"/>
        </w:rPr>
        <w:t>, mēnesī)”, „IIG040. Mājsaimniecību rīcībā esošie ienākumi (</w:t>
      </w:r>
      <w:r>
        <w:rPr>
          <w:rFonts w:eastAsia="Times New Roman"/>
          <w:color w:val="000000"/>
          <w:sz w:val="20"/>
          <w:szCs w:val="20"/>
        </w:rPr>
        <w:t>EUR</w:t>
      </w:r>
      <w:r w:rsidRPr="00F13BE5">
        <w:rPr>
          <w:rFonts w:eastAsia="Times New Roman"/>
          <w:color w:val="000000"/>
          <w:sz w:val="20"/>
          <w:szCs w:val="20"/>
        </w:rPr>
        <w:t>, mēnesī)”</w:t>
      </w:r>
    </w:p>
    <w:p w:rsidR="00255CC4" w:rsidRDefault="00255CC4" w:rsidP="00255CC4">
      <w:pPr>
        <w:pStyle w:val="ListParagraph"/>
        <w:ind w:left="0"/>
        <w:rPr>
          <w:bCs/>
        </w:rPr>
      </w:pPr>
    </w:p>
    <w:p w:rsidR="00373D88" w:rsidRDefault="00373D88" w:rsidP="00373D88">
      <w:r>
        <w:t>1.1</w:t>
      </w:r>
      <w:r w:rsidR="00446171">
        <w:t>4</w:t>
      </w:r>
      <w:r>
        <w:t xml:space="preserve">. tabulā ir apkopoti kvintiļu grupas raksturojošie dati </w:t>
      </w:r>
      <w:r w:rsidR="000675B4">
        <w:t xml:space="preserve">absolūtajos skaitļos </w:t>
      </w:r>
      <w:r>
        <w:t xml:space="preserve">uz vienu mājsaimniecības locekli, norādot gan vidējos kvintiļu grupas ienākumus mēnesī, gan procentuāli noteikto izmaiņu apmēru attiecībā pret iepriekšējo gadu. Šie aprēķini parāda, ka 2015. gadā attiecībā pret 2014. gadu ienākumi uz vienu mājsaimniecības locekli vislielākā apmērā pieauga 1. kvintilē (par 11%), savukārt vismazākā apmērā  – 2. kvintilē (par 4,9%). Situācija mainījās 2016. gadā, kad vislielākais pieaugums bija 3. kvintilē (par 5,7%), bet viszemākais – 1.kvintilē (par 2,8%). Tendence </w:t>
      </w:r>
      <w:r>
        <w:lastRenderedPageBreak/>
        <w:t xml:space="preserve">turpinājās 2017. gadā, taču pieauguma apmērs jau bija lielāks, proti, attiecībā pret 2016. gadu vislielākais pieaugums ir 5. kvintilē (par 14,2%), viszemākais – 1. kvintilē (par 5,2%). </w:t>
      </w:r>
    </w:p>
    <w:p w:rsidR="00373D88" w:rsidRDefault="00373D88" w:rsidP="00373D88"/>
    <w:p w:rsidR="00373D88" w:rsidRDefault="00373D88" w:rsidP="00373D88">
      <w:r>
        <w:t xml:space="preserve">Kopumā šie rādītāji atklāj, ka ienākumu pieauguma dinamika ir nevienmērīga (katru gadu lielākais pieaugums ir vērojams atšķirīgā kvintiles grupā) un nevienlīdzīga (pieauguma apmērs nav proporcionāli vienāds visās grupās). Laikā no 2014. gada līdz 2016. gadam iedzīvotājiem, kuru ienākumi </w:t>
      </w:r>
      <w:r w:rsidR="000675B4">
        <w:t xml:space="preserve">absolūtajos skaitļos </w:t>
      </w:r>
      <w:r>
        <w:t xml:space="preserve">atbilst 1. kvintilei, ienākumu pieaugums uz vienu mājsaimniecības locekli 19 EUR mēnesī apmērā ir 5 reizes mazāks nekā tas ir iedzīvotājiem, kuru ienākumi uz vienu mājsaimniecības locekli mēnesī atbilst turīgākajai jeb 5. kvintilei, kurā šajā periodā kopējais ienākumu pieaugums bijis 95 EUR apmērā. </w:t>
      </w:r>
    </w:p>
    <w:p w:rsidR="00373D88" w:rsidRDefault="00373D88" w:rsidP="00EB54AA"/>
    <w:p w:rsidR="00255CC4" w:rsidRDefault="00255CC4" w:rsidP="00EB54AA">
      <w:r>
        <w:t>Analizējot ienākumu kvintiļu grupas uz vienu ekvivalento patērētāju (</w:t>
      </w:r>
      <w:r w:rsidR="006E1579">
        <w:t>1.1</w:t>
      </w:r>
      <w:r w:rsidR="00446171">
        <w:t>5</w:t>
      </w:r>
      <w:r>
        <w:t xml:space="preserve">. tabula), redzams, ka kopējās tendences ir līdzīgas kā uz vienu mājsaimniecības locekli. Tomēr var konstatēt arī vairākas atšķirības pieauguma apmērā. </w:t>
      </w:r>
    </w:p>
    <w:p w:rsidR="00F34A88" w:rsidRDefault="00F34A88" w:rsidP="00EB54AA"/>
    <w:p w:rsidR="00F34A88" w:rsidRPr="00FA0FA2" w:rsidRDefault="00F34A88" w:rsidP="00F34A88">
      <w:pPr>
        <w:rPr>
          <w:color w:val="FF0000"/>
        </w:rPr>
      </w:pPr>
      <w:r>
        <w:t xml:space="preserve">Pirmkārt, ienākumu apmērs uz vienu vienību (šajā gadījumā ekvivalento patērētāju) ir būtiski lielāks. Datu interpretācijā jāņem vērā, ka pielietota ir OECD modificētā ekvivalences skala (1; 0,5; 0,3), kas paredz, ka, piemēram, ekvivalentais mājsaimniecības lielums divu pieaugušo un divu bērnu vecumā līdz 14 gadiem ģimenei ir 2,1 ekvivalentais patērētājs (pieaugušais). Tātad, ja mājsaimniecības ienākumi ir 220 EUR mēnesī, tad šajā ģimenē uz vienu mājsaimniecības locekli ir 55 EUR, bet uz vienu ekvivalento patērētāju 105 EUR. Piemērojot nemodificēto ekvivalences skalu (1; 0,7; 0,5) tie ir 81 EUR mēnesi uz vienu ekvivalento patērētāju. Otrkārt, atšķirīgs ir pieauguma apmērs, kas ir lielāks uz vienu ekvivalento patērētāju nekā uz vienu mājsaimniecības locekli, kas arī skaidrojams ar pielietoto metodoloģiju. Treškārt, divos gadījumos atšķiras arī kvintiļu grupas, kurās ir konstatēts attiecīgajā gadā zemākais ienākumu pieauguma apmērs. Attiecībā pret 2014. gadu 2015. gadā zemākais ienākumu pieaugums uz vienu ekvivalento patērētāju ir bijis 5. kvintilē,  2016. gadā – 2. kvintilē.  </w:t>
      </w:r>
    </w:p>
    <w:p w:rsidR="00255CC4" w:rsidRPr="001C1A95" w:rsidRDefault="00AD3EDD" w:rsidP="008C6B83">
      <w:pPr>
        <w:pStyle w:val="Caption"/>
      </w:pPr>
      <w:r>
        <w:fldChar w:fldCharType="begin"/>
      </w:r>
      <w:r w:rsidR="000F1524">
        <w:instrText xml:space="preserve"> STYLEREF 1 \s </w:instrText>
      </w:r>
      <w:r>
        <w:fldChar w:fldCharType="separate"/>
      </w:r>
      <w:bookmarkStart w:id="207" w:name="_Toc6857654"/>
      <w:r w:rsidR="00224B50">
        <w:rPr>
          <w:noProof/>
        </w:rPr>
        <w:t>1</w:t>
      </w:r>
      <w:r>
        <w:rPr>
          <w:noProof/>
        </w:rPr>
        <w:fldChar w:fldCharType="end"/>
      </w:r>
      <w:r w:rsidR="00A46B54">
        <w:t>.</w:t>
      </w:r>
      <w:r w:rsidR="009B24CF">
        <w:t>1</w:t>
      </w:r>
      <w:r w:rsidR="00446171">
        <w:t>5</w:t>
      </w:r>
      <w:r w:rsidR="00255CC4">
        <w:t xml:space="preserve">. tabula. </w:t>
      </w:r>
      <w:r w:rsidR="00255CC4" w:rsidRPr="001C1A95">
        <w:t xml:space="preserve">Mājsaimniecību rīcībā esošie ienākumi </w:t>
      </w:r>
      <w:r w:rsidR="00255CC4">
        <w:t xml:space="preserve">(EUR mēnesī) </w:t>
      </w:r>
      <w:r w:rsidR="00255CC4" w:rsidRPr="001C1A95">
        <w:t xml:space="preserve">kvintiļu grupās 2014. – 2017. gadā uz </w:t>
      </w:r>
      <w:r w:rsidR="00255CC4">
        <w:t>vienu ekvivalento patērētāju</w:t>
      </w:r>
      <w:bookmarkEnd w:id="207"/>
    </w:p>
    <w:tbl>
      <w:tblPr>
        <w:tblStyle w:val="TableGrid"/>
        <w:tblW w:w="9606" w:type="dxa"/>
        <w:tblLook w:val="04A0"/>
      </w:tblPr>
      <w:tblGrid>
        <w:gridCol w:w="1459"/>
        <w:gridCol w:w="980"/>
        <w:gridCol w:w="931"/>
        <w:gridCol w:w="931"/>
        <w:gridCol w:w="931"/>
        <w:gridCol w:w="1496"/>
        <w:gridCol w:w="1496"/>
        <w:gridCol w:w="1382"/>
      </w:tblGrid>
      <w:tr w:rsidR="00255CC4" w:rsidRPr="00BC22F8" w:rsidTr="00BC22F8">
        <w:tc>
          <w:tcPr>
            <w:tcW w:w="1459" w:type="dxa"/>
            <w:shd w:val="clear" w:color="auto" w:fill="B8CCE4" w:themeFill="accent1" w:themeFillTint="66"/>
          </w:tcPr>
          <w:p w:rsidR="00255CC4" w:rsidRPr="00BC22F8" w:rsidRDefault="00255CC4" w:rsidP="00255CC4">
            <w:pPr>
              <w:rPr>
                <w:rFonts w:eastAsia="Times New Roman"/>
                <w:b/>
                <w:color w:val="002060"/>
                <w:sz w:val="22"/>
                <w:szCs w:val="22"/>
              </w:rPr>
            </w:pPr>
          </w:p>
          <w:p w:rsidR="00255CC4" w:rsidRPr="00BC22F8" w:rsidRDefault="00255CC4" w:rsidP="00255CC4">
            <w:pPr>
              <w:rPr>
                <w:rFonts w:eastAsia="Times New Roman"/>
                <w:b/>
                <w:color w:val="002060"/>
                <w:sz w:val="22"/>
                <w:szCs w:val="22"/>
              </w:rPr>
            </w:pPr>
            <w:r w:rsidRPr="00BC22F8">
              <w:rPr>
                <w:rFonts w:eastAsia="Times New Roman"/>
                <w:b/>
                <w:color w:val="002060"/>
                <w:sz w:val="22"/>
                <w:szCs w:val="22"/>
              </w:rPr>
              <w:t>Kvintiļu grupa</w:t>
            </w:r>
          </w:p>
          <w:p w:rsidR="00255CC4" w:rsidRPr="00BC22F8" w:rsidRDefault="00255CC4" w:rsidP="00255CC4">
            <w:pPr>
              <w:rPr>
                <w:rFonts w:eastAsia="Times New Roman"/>
                <w:b/>
                <w:color w:val="002060"/>
                <w:sz w:val="22"/>
                <w:szCs w:val="22"/>
              </w:rPr>
            </w:pPr>
          </w:p>
        </w:tc>
        <w:tc>
          <w:tcPr>
            <w:tcW w:w="980" w:type="dxa"/>
            <w:shd w:val="clear" w:color="auto" w:fill="B8CCE4" w:themeFill="accent1" w:themeFillTint="66"/>
            <w:vAlign w:val="center"/>
          </w:tcPr>
          <w:p w:rsidR="00255CC4" w:rsidRPr="00BC22F8" w:rsidRDefault="00255CC4" w:rsidP="00255CC4">
            <w:pPr>
              <w:jc w:val="center"/>
              <w:rPr>
                <w:rFonts w:eastAsia="Times New Roman"/>
                <w:b/>
                <w:color w:val="002060"/>
                <w:sz w:val="22"/>
                <w:szCs w:val="22"/>
              </w:rPr>
            </w:pPr>
            <w:r w:rsidRPr="00BC22F8">
              <w:rPr>
                <w:rFonts w:eastAsia="Times New Roman"/>
                <w:b/>
                <w:color w:val="002060"/>
                <w:sz w:val="22"/>
                <w:szCs w:val="22"/>
              </w:rPr>
              <w:t>2014</w:t>
            </w:r>
          </w:p>
        </w:tc>
        <w:tc>
          <w:tcPr>
            <w:tcW w:w="931" w:type="dxa"/>
            <w:shd w:val="clear" w:color="auto" w:fill="B8CCE4" w:themeFill="accent1" w:themeFillTint="66"/>
            <w:vAlign w:val="center"/>
          </w:tcPr>
          <w:p w:rsidR="00255CC4" w:rsidRPr="00BC22F8" w:rsidRDefault="00255CC4" w:rsidP="00255CC4">
            <w:pPr>
              <w:jc w:val="center"/>
              <w:rPr>
                <w:rFonts w:eastAsia="Times New Roman"/>
                <w:b/>
                <w:color w:val="002060"/>
                <w:sz w:val="22"/>
                <w:szCs w:val="22"/>
              </w:rPr>
            </w:pPr>
            <w:r w:rsidRPr="00BC22F8">
              <w:rPr>
                <w:rFonts w:eastAsia="Times New Roman"/>
                <w:b/>
                <w:color w:val="002060"/>
                <w:sz w:val="22"/>
                <w:szCs w:val="22"/>
              </w:rPr>
              <w:t>2015</w:t>
            </w:r>
          </w:p>
        </w:tc>
        <w:tc>
          <w:tcPr>
            <w:tcW w:w="931" w:type="dxa"/>
            <w:shd w:val="clear" w:color="auto" w:fill="B8CCE4" w:themeFill="accent1" w:themeFillTint="66"/>
            <w:vAlign w:val="center"/>
          </w:tcPr>
          <w:p w:rsidR="00255CC4" w:rsidRPr="00BC22F8" w:rsidRDefault="00255CC4" w:rsidP="00255CC4">
            <w:pPr>
              <w:jc w:val="center"/>
              <w:rPr>
                <w:rFonts w:eastAsia="Times New Roman"/>
                <w:b/>
                <w:color w:val="002060"/>
                <w:sz w:val="22"/>
                <w:szCs w:val="22"/>
              </w:rPr>
            </w:pPr>
            <w:r w:rsidRPr="00BC22F8">
              <w:rPr>
                <w:rFonts w:eastAsia="Times New Roman"/>
                <w:b/>
                <w:color w:val="002060"/>
                <w:sz w:val="22"/>
                <w:szCs w:val="22"/>
              </w:rPr>
              <w:t>2016</w:t>
            </w:r>
          </w:p>
        </w:tc>
        <w:tc>
          <w:tcPr>
            <w:tcW w:w="931" w:type="dxa"/>
            <w:shd w:val="clear" w:color="auto" w:fill="B8CCE4" w:themeFill="accent1" w:themeFillTint="66"/>
            <w:vAlign w:val="center"/>
          </w:tcPr>
          <w:p w:rsidR="00255CC4" w:rsidRPr="00BC22F8" w:rsidRDefault="00255CC4" w:rsidP="00255CC4">
            <w:pPr>
              <w:jc w:val="center"/>
              <w:rPr>
                <w:rFonts w:eastAsia="Times New Roman"/>
                <w:b/>
                <w:color w:val="002060"/>
                <w:sz w:val="22"/>
                <w:szCs w:val="22"/>
              </w:rPr>
            </w:pPr>
            <w:r w:rsidRPr="00BC22F8">
              <w:rPr>
                <w:rFonts w:eastAsia="Times New Roman"/>
                <w:b/>
                <w:color w:val="002060"/>
                <w:sz w:val="22"/>
                <w:szCs w:val="22"/>
              </w:rPr>
              <w:t>2017</w:t>
            </w:r>
          </w:p>
        </w:tc>
        <w:tc>
          <w:tcPr>
            <w:tcW w:w="1496" w:type="dxa"/>
            <w:shd w:val="clear" w:color="auto" w:fill="B8CCE4" w:themeFill="accent1" w:themeFillTint="66"/>
          </w:tcPr>
          <w:p w:rsidR="00255CC4" w:rsidRPr="00BC22F8" w:rsidRDefault="00255CC4" w:rsidP="00255CC4">
            <w:pPr>
              <w:jc w:val="left"/>
              <w:rPr>
                <w:rFonts w:eastAsia="Times New Roman"/>
                <w:b/>
                <w:color w:val="002060"/>
                <w:sz w:val="22"/>
                <w:szCs w:val="22"/>
              </w:rPr>
            </w:pPr>
            <w:r w:rsidRPr="00BC22F8">
              <w:rPr>
                <w:rFonts w:eastAsia="Times New Roman"/>
                <w:b/>
                <w:bCs/>
                <w:color w:val="002060"/>
                <w:sz w:val="22"/>
                <w:szCs w:val="22"/>
              </w:rPr>
              <w:t>Ienākumu pieaugums 2015.</w:t>
            </w:r>
            <w:r w:rsidRPr="00BC22F8">
              <w:rPr>
                <w:rFonts w:eastAsia="Times New Roman"/>
                <w:b/>
                <w:color w:val="002060"/>
                <w:sz w:val="22"/>
                <w:szCs w:val="22"/>
              </w:rPr>
              <w:t> </w:t>
            </w:r>
            <w:r w:rsidRPr="00BC22F8">
              <w:rPr>
                <w:rFonts w:eastAsia="Times New Roman"/>
                <w:b/>
                <w:bCs/>
                <w:color w:val="002060"/>
                <w:sz w:val="22"/>
                <w:szCs w:val="22"/>
              </w:rPr>
              <w:t>g. pret 2014.</w:t>
            </w:r>
            <w:r w:rsidRPr="00BC22F8">
              <w:rPr>
                <w:rFonts w:eastAsia="Times New Roman"/>
                <w:b/>
                <w:color w:val="002060"/>
                <w:sz w:val="22"/>
                <w:szCs w:val="22"/>
              </w:rPr>
              <w:t> </w:t>
            </w:r>
            <w:r w:rsidRPr="00BC22F8">
              <w:rPr>
                <w:rFonts w:eastAsia="Times New Roman"/>
                <w:b/>
                <w:bCs/>
                <w:color w:val="002060"/>
                <w:sz w:val="22"/>
                <w:szCs w:val="22"/>
              </w:rPr>
              <w:t>g., %</w:t>
            </w:r>
          </w:p>
        </w:tc>
        <w:tc>
          <w:tcPr>
            <w:tcW w:w="1496" w:type="dxa"/>
            <w:shd w:val="clear" w:color="auto" w:fill="B8CCE4" w:themeFill="accent1" w:themeFillTint="66"/>
          </w:tcPr>
          <w:p w:rsidR="00255CC4" w:rsidRPr="00BC22F8" w:rsidRDefault="00255CC4" w:rsidP="001C29AD">
            <w:pPr>
              <w:jc w:val="left"/>
              <w:rPr>
                <w:rFonts w:eastAsia="Times New Roman"/>
                <w:b/>
                <w:color w:val="002060"/>
                <w:sz w:val="22"/>
                <w:szCs w:val="22"/>
              </w:rPr>
            </w:pPr>
            <w:r w:rsidRPr="00BC22F8">
              <w:rPr>
                <w:rFonts w:eastAsia="Times New Roman"/>
                <w:b/>
                <w:bCs/>
                <w:color w:val="002060"/>
                <w:sz w:val="22"/>
                <w:szCs w:val="22"/>
              </w:rPr>
              <w:t>Ienākumu pieaugums 201</w:t>
            </w:r>
            <w:r w:rsidR="001C29AD" w:rsidRPr="00BC22F8">
              <w:rPr>
                <w:rFonts w:eastAsia="Times New Roman"/>
                <w:b/>
                <w:bCs/>
                <w:color w:val="002060"/>
                <w:sz w:val="22"/>
                <w:szCs w:val="22"/>
              </w:rPr>
              <w:t>6</w:t>
            </w:r>
            <w:r w:rsidRPr="00BC22F8">
              <w:rPr>
                <w:rFonts w:eastAsia="Times New Roman"/>
                <w:b/>
                <w:bCs/>
                <w:color w:val="002060"/>
                <w:sz w:val="22"/>
                <w:szCs w:val="22"/>
              </w:rPr>
              <w:t>.</w:t>
            </w:r>
            <w:r w:rsidRPr="00BC22F8">
              <w:rPr>
                <w:rFonts w:eastAsia="Times New Roman"/>
                <w:b/>
                <w:color w:val="002060"/>
                <w:sz w:val="22"/>
                <w:szCs w:val="22"/>
              </w:rPr>
              <w:t> </w:t>
            </w:r>
            <w:r w:rsidRPr="00BC22F8">
              <w:rPr>
                <w:rFonts w:eastAsia="Times New Roman"/>
                <w:b/>
                <w:bCs/>
                <w:color w:val="002060"/>
                <w:sz w:val="22"/>
                <w:szCs w:val="22"/>
              </w:rPr>
              <w:t>g. pret 201</w:t>
            </w:r>
            <w:r w:rsidR="001C29AD" w:rsidRPr="00BC22F8">
              <w:rPr>
                <w:rFonts w:eastAsia="Times New Roman"/>
                <w:b/>
                <w:bCs/>
                <w:color w:val="002060"/>
                <w:sz w:val="22"/>
                <w:szCs w:val="22"/>
              </w:rPr>
              <w:t>5</w:t>
            </w:r>
            <w:r w:rsidRPr="00BC22F8">
              <w:rPr>
                <w:rFonts w:eastAsia="Times New Roman"/>
                <w:b/>
                <w:bCs/>
                <w:color w:val="002060"/>
                <w:sz w:val="22"/>
                <w:szCs w:val="22"/>
              </w:rPr>
              <w:t>.</w:t>
            </w:r>
            <w:r w:rsidRPr="00BC22F8">
              <w:rPr>
                <w:rFonts w:eastAsia="Times New Roman"/>
                <w:b/>
                <w:color w:val="002060"/>
                <w:sz w:val="22"/>
                <w:szCs w:val="22"/>
              </w:rPr>
              <w:t> </w:t>
            </w:r>
            <w:r w:rsidRPr="00BC22F8">
              <w:rPr>
                <w:rFonts w:eastAsia="Times New Roman"/>
                <w:b/>
                <w:bCs/>
                <w:color w:val="002060"/>
                <w:sz w:val="22"/>
                <w:szCs w:val="22"/>
              </w:rPr>
              <w:t>g., %</w:t>
            </w:r>
          </w:p>
        </w:tc>
        <w:tc>
          <w:tcPr>
            <w:tcW w:w="1382" w:type="dxa"/>
            <w:shd w:val="clear" w:color="auto" w:fill="B8CCE4" w:themeFill="accent1" w:themeFillTint="66"/>
          </w:tcPr>
          <w:p w:rsidR="00255CC4" w:rsidRPr="00BC22F8" w:rsidRDefault="00255CC4" w:rsidP="001C29AD">
            <w:pPr>
              <w:jc w:val="left"/>
              <w:rPr>
                <w:rFonts w:eastAsia="Times New Roman"/>
                <w:b/>
                <w:color w:val="002060"/>
                <w:sz w:val="22"/>
                <w:szCs w:val="22"/>
              </w:rPr>
            </w:pPr>
            <w:r w:rsidRPr="00BC22F8">
              <w:rPr>
                <w:rFonts w:eastAsia="Times New Roman"/>
                <w:b/>
                <w:bCs/>
                <w:color w:val="002060"/>
                <w:sz w:val="22"/>
                <w:szCs w:val="22"/>
              </w:rPr>
              <w:t>Ienākumu pieaugums 201</w:t>
            </w:r>
            <w:r w:rsidR="001C29AD" w:rsidRPr="00BC22F8">
              <w:rPr>
                <w:rFonts w:eastAsia="Times New Roman"/>
                <w:b/>
                <w:bCs/>
                <w:color w:val="002060"/>
                <w:sz w:val="22"/>
                <w:szCs w:val="22"/>
              </w:rPr>
              <w:t>7</w:t>
            </w:r>
            <w:r w:rsidRPr="00BC22F8">
              <w:rPr>
                <w:rFonts w:eastAsia="Times New Roman"/>
                <w:b/>
                <w:bCs/>
                <w:color w:val="002060"/>
                <w:sz w:val="22"/>
                <w:szCs w:val="22"/>
              </w:rPr>
              <w:t>.</w:t>
            </w:r>
            <w:r w:rsidRPr="00BC22F8">
              <w:rPr>
                <w:rFonts w:eastAsia="Times New Roman"/>
                <w:b/>
                <w:color w:val="002060"/>
                <w:sz w:val="22"/>
                <w:szCs w:val="22"/>
              </w:rPr>
              <w:t> </w:t>
            </w:r>
            <w:r w:rsidRPr="00BC22F8">
              <w:rPr>
                <w:rFonts w:eastAsia="Times New Roman"/>
                <w:b/>
                <w:bCs/>
                <w:color w:val="002060"/>
                <w:sz w:val="22"/>
                <w:szCs w:val="22"/>
              </w:rPr>
              <w:t>g. pret 201</w:t>
            </w:r>
            <w:r w:rsidR="001C29AD" w:rsidRPr="00BC22F8">
              <w:rPr>
                <w:rFonts w:eastAsia="Times New Roman"/>
                <w:b/>
                <w:bCs/>
                <w:color w:val="002060"/>
                <w:sz w:val="22"/>
                <w:szCs w:val="22"/>
              </w:rPr>
              <w:t>6</w:t>
            </w:r>
            <w:r w:rsidRPr="00BC22F8">
              <w:rPr>
                <w:rFonts w:eastAsia="Times New Roman"/>
                <w:b/>
                <w:bCs/>
                <w:color w:val="002060"/>
                <w:sz w:val="22"/>
                <w:szCs w:val="22"/>
              </w:rPr>
              <w:t>.</w:t>
            </w:r>
            <w:r w:rsidRPr="00BC22F8">
              <w:rPr>
                <w:rFonts w:eastAsia="Times New Roman"/>
                <w:b/>
                <w:color w:val="002060"/>
                <w:sz w:val="22"/>
                <w:szCs w:val="22"/>
              </w:rPr>
              <w:t> </w:t>
            </w:r>
            <w:r w:rsidRPr="00BC22F8">
              <w:rPr>
                <w:rFonts w:eastAsia="Times New Roman"/>
                <w:b/>
                <w:bCs/>
                <w:color w:val="002060"/>
                <w:sz w:val="22"/>
                <w:szCs w:val="22"/>
              </w:rPr>
              <w:t>g., %</w:t>
            </w:r>
          </w:p>
        </w:tc>
      </w:tr>
      <w:tr w:rsidR="00255CC4" w:rsidRPr="00126C5C" w:rsidTr="00255CC4">
        <w:tc>
          <w:tcPr>
            <w:tcW w:w="1459" w:type="dxa"/>
            <w:vAlign w:val="center"/>
          </w:tcPr>
          <w:p w:rsidR="00255CC4" w:rsidRPr="00126C5C" w:rsidRDefault="00255CC4" w:rsidP="00255CC4">
            <w:pPr>
              <w:rPr>
                <w:rFonts w:eastAsia="Times New Roman"/>
                <w:color w:val="000000"/>
                <w:sz w:val="22"/>
                <w:szCs w:val="22"/>
              </w:rPr>
            </w:pPr>
            <w:r w:rsidRPr="00126C5C">
              <w:rPr>
                <w:rFonts w:eastAsia="Times New Roman"/>
                <w:color w:val="000000"/>
                <w:sz w:val="22"/>
                <w:szCs w:val="22"/>
              </w:rPr>
              <w:t>1.kvintile (trūcīgākā)</w:t>
            </w:r>
          </w:p>
        </w:tc>
        <w:tc>
          <w:tcPr>
            <w:tcW w:w="980" w:type="dxa"/>
            <w:vAlign w:val="center"/>
          </w:tcPr>
          <w:p w:rsidR="00255CC4" w:rsidRPr="00126C5C" w:rsidRDefault="00255CC4" w:rsidP="00255CC4">
            <w:pPr>
              <w:jc w:val="center"/>
              <w:rPr>
                <w:color w:val="000000"/>
                <w:sz w:val="22"/>
                <w:szCs w:val="22"/>
              </w:rPr>
            </w:pPr>
            <w:r w:rsidRPr="00126C5C">
              <w:rPr>
                <w:color w:val="000000"/>
                <w:sz w:val="22"/>
                <w:szCs w:val="22"/>
              </w:rPr>
              <w:t>219,08</w:t>
            </w:r>
          </w:p>
        </w:tc>
        <w:tc>
          <w:tcPr>
            <w:tcW w:w="931" w:type="dxa"/>
            <w:vAlign w:val="center"/>
          </w:tcPr>
          <w:p w:rsidR="00255CC4" w:rsidRPr="00126C5C" w:rsidRDefault="00255CC4" w:rsidP="00255CC4">
            <w:pPr>
              <w:jc w:val="center"/>
              <w:rPr>
                <w:color w:val="000000"/>
                <w:sz w:val="22"/>
                <w:szCs w:val="22"/>
              </w:rPr>
            </w:pPr>
            <w:r w:rsidRPr="00126C5C">
              <w:rPr>
                <w:color w:val="000000"/>
                <w:sz w:val="22"/>
                <w:szCs w:val="22"/>
              </w:rPr>
              <w:t>239,05</w:t>
            </w:r>
          </w:p>
        </w:tc>
        <w:tc>
          <w:tcPr>
            <w:tcW w:w="931" w:type="dxa"/>
            <w:vAlign w:val="center"/>
          </w:tcPr>
          <w:p w:rsidR="00255CC4" w:rsidRPr="00126C5C" w:rsidRDefault="00255CC4" w:rsidP="00255CC4">
            <w:pPr>
              <w:jc w:val="center"/>
              <w:rPr>
                <w:color w:val="000000"/>
                <w:sz w:val="22"/>
                <w:szCs w:val="22"/>
              </w:rPr>
            </w:pPr>
            <w:r w:rsidRPr="00126C5C">
              <w:rPr>
                <w:color w:val="000000"/>
                <w:sz w:val="22"/>
                <w:szCs w:val="22"/>
              </w:rPr>
              <w:t>248,54</w:t>
            </w:r>
          </w:p>
        </w:tc>
        <w:tc>
          <w:tcPr>
            <w:tcW w:w="931" w:type="dxa"/>
            <w:vAlign w:val="center"/>
          </w:tcPr>
          <w:p w:rsidR="00255CC4" w:rsidRPr="00126C5C" w:rsidRDefault="00255CC4" w:rsidP="00255CC4">
            <w:pPr>
              <w:jc w:val="center"/>
              <w:rPr>
                <w:color w:val="000000"/>
                <w:sz w:val="22"/>
                <w:szCs w:val="22"/>
              </w:rPr>
            </w:pPr>
            <w:r w:rsidRPr="00126C5C">
              <w:rPr>
                <w:color w:val="000000"/>
                <w:sz w:val="22"/>
                <w:szCs w:val="22"/>
              </w:rPr>
              <w:t>255,37</w:t>
            </w:r>
          </w:p>
        </w:tc>
        <w:tc>
          <w:tcPr>
            <w:tcW w:w="1496" w:type="dxa"/>
            <w:vAlign w:val="center"/>
          </w:tcPr>
          <w:p w:rsidR="00255CC4" w:rsidRPr="00126C5C" w:rsidRDefault="00255CC4" w:rsidP="00255CC4">
            <w:pPr>
              <w:jc w:val="center"/>
              <w:rPr>
                <w:b/>
                <w:bCs/>
                <w:color w:val="000000"/>
                <w:sz w:val="22"/>
                <w:szCs w:val="22"/>
              </w:rPr>
            </w:pPr>
            <w:r w:rsidRPr="00126C5C">
              <w:rPr>
                <w:b/>
                <w:bCs/>
                <w:color w:val="000000"/>
                <w:sz w:val="22"/>
                <w:szCs w:val="22"/>
              </w:rPr>
              <w:t>9,1</w:t>
            </w:r>
          </w:p>
        </w:tc>
        <w:tc>
          <w:tcPr>
            <w:tcW w:w="1496" w:type="dxa"/>
            <w:vAlign w:val="center"/>
          </w:tcPr>
          <w:p w:rsidR="00255CC4" w:rsidRPr="00126C5C" w:rsidRDefault="00255CC4" w:rsidP="00255CC4">
            <w:pPr>
              <w:jc w:val="center"/>
              <w:rPr>
                <w:bCs/>
                <w:sz w:val="22"/>
                <w:szCs w:val="22"/>
              </w:rPr>
            </w:pPr>
            <w:r w:rsidRPr="00126C5C">
              <w:rPr>
                <w:bCs/>
                <w:sz w:val="22"/>
                <w:szCs w:val="22"/>
              </w:rPr>
              <w:t>4,0</w:t>
            </w:r>
          </w:p>
        </w:tc>
        <w:tc>
          <w:tcPr>
            <w:tcW w:w="1382" w:type="dxa"/>
            <w:vAlign w:val="center"/>
          </w:tcPr>
          <w:p w:rsidR="00255CC4" w:rsidRPr="00126C5C" w:rsidRDefault="00255CC4" w:rsidP="00255CC4">
            <w:pPr>
              <w:jc w:val="center"/>
              <w:rPr>
                <w:b/>
                <w:bCs/>
                <w:color w:val="FF0000"/>
                <w:sz w:val="22"/>
                <w:szCs w:val="22"/>
              </w:rPr>
            </w:pPr>
            <w:r w:rsidRPr="00126C5C">
              <w:rPr>
                <w:b/>
                <w:bCs/>
                <w:color w:val="FF0000"/>
                <w:sz w:val="22"/>
                <w:szCs w:val="22"/>
              </w:rPr>
              <w:t>2,7</w:t>
            </w:r>
          </w:p>
        </w:tc>
      </w:tr>
      <w:tr w:rsidR="00255CC4" w:rsidRPr="00126C5C" w:rsidTr="00255CC4">
        <w:trPr>
          <w:trHeight w:val="466"/>
        </w:trPr>
        <w:tc>
          <w:tcPr>
            <w:tcW w:w="1459" w:type="dxa"/>
            <w:vAlign w:val="center"/>
          </w:tcPr>
          <w:p w:rsidR="00255CC4" w:rsidRPr="00126C5C" w:rsidRDefault="00255CC4" w:rsidP="00255CC4">
            <w:pPr>
              <w:rPr>
                <w:rFonts w:eastAsia="Times New Roman"/>
                <w:color w:val="000000"/>
                <w:sz w:val="22"/>
                <w:szCs w:val="22"/>
              </w:rPr>
            </w:pPr>
            <w:r w:rsidRPr="00126C5C">
              <w:rPr>
                <w:rFonts w:eastAsia="Times New Roman"/>
                <w:color w:val="000000"/>
                <w:sz w:val="22"/>
                <w:szCs w:val="22"/>
              </w:rPr>
              <w:t xml:space="preserve">2.kvintile </w:t>
            </w:r>
          </w:p>
        </w:tc>
        <w:tc>
          <w:tcPr>
            <w:tcW w:w="980" w:type="dxa"/>
            <w:vAlign w:val="center"/>
          </w:tcPr>
          <w:p w:rsidR="00255CC4" w:rsidRPr="00126C5C" w:rsidRDefault="00255CC4" w:rsidP="00255CC4">
            <w:pPr>
              <w:jc w:val="center"/>
              <w:rPr>
                <w:color w:val="000000"/>
                <w:sz w:val="22"/>
                <w:szCs w:val="22"/>
              </w:rPr>
            </w:pPr>
            <w:r w:rsidRPr="00126C5C">
              <w:rPr>
                <w:color w:val="000000"/>
                <w:sz w:val="22"/>
                <w:szCs w:val="22"/>
              </w:rPr>
              <w:t>360,33</w:t>
            </w:r>
          </w:p>
        </w:tc>
        <w:tc>
          <w:tcPr>
            <w:tcW w:w="931" w:type="dxa"/>
            <w:vAlign w:val="center"/>
          </w:tcPr>
          <w:p w:rsidR="00255CC4" w:rsidRPr="00126C5C" w:rsidRDefault="00255CC4" w:rsidP="00255CC4">
            <w:pPr>
              <w:jc w:val="center"/>
              <w:rPr>
                <w:color w:val="000000"/>
                <w:sz w:val="22"/>
                <w:szCs w:val="22"/>
              </w:rPr>
            </w:pPr>
            <w:r w:rsidRPr="00126C5C">
              <w:rPr>
                <w:color w:val="000000"/>
                <w:sz w:val="22"/>
                <w:szCs w:val="22"/>
              </w:rPr>
              <w:t>384,08</w:t>
            </w:r>
          </w:p>
        </w:tc>
        <w:tc>
          <w:tcPr>
            <w:tcW w:w="931" w:type="dxa"/>
            <w:vAlign w:val="center"/>
          </w:tcPr>
          <w:p w:rsidR="00255CC4" w:rsidRPr="00126C5C" w:rsidRDefault="00255CC4" w:rsidP="00255CC4">
            <w:pPr>
              <w:jc w:val="center"/>
              <w:rPr>
                <w:color w:val="000000"/>
                <w:sz w:val="22"/>
                <w:szCs w:val="22"/>
              </w:rPr>
            </w:pPr>
            <w:r w:rsidRPr="00126C5C">
              <w:rPr>
                <w:color w:val="000000"/>
                <w:sz w:val="22"/>
                <w:szCs w:val="22"/>
              </w:rPr>
              <w:t>388,06</w:t>
            </w:r>
          </w:p>
        </w:tc>
        <w:tc>
          <w:tcPr>
            <w:tcW w:w="931" w:type="dxa"/>
            <w:vAlign w:val="center"/>
          </w:tcPr>
          <w:p w:rsidR="00255CC4" w:rsidRPr="00126C5C" w:rsidRDefault="00255CC4" w:rsidP="00255CC4">
            <w:pPr>
              <w:jc w:val="center"/>
              <w:rPr>
                <w:color w:val="000000"/>
                <w:sz w:val="22"/>
                <w:szCs w:val="22"/>
              </w:rPr>
            </w:pPr>
            <w:r w:rsidRPr="00126C5C">
              <w:rPr>
                <w:color w:val="000000"/>
                <w:sz w:val="22"/>
                <w:szCs w:val="22"/>
              </w:rPr>
              <w:t>426,3</w:t>
            </w:r>
          </w:p>
        </w:tc>
        <w:tc>
          <w:tcPr>
            <w:tcW w:w="1496" w:type="dxa"/>
            <w:vAlign w:val="center"/>
          </w:tcPr>
          <w:p w:rsidR="00255CC4" w:rsidRPr="00126C5C" w:rsidRDefault="00255CC4" w:rsidP="00255CC4">
            <w:pPr>
              <w:jc w:val="center"/>
              <w:rPr>
                <w:bCs/>
                <w:sz w:val="22"/>
                <w:szCs w:val="22"/>
              </w:rPr>
            </w:pPr>
            <w:r w:rsidRPr="00126C5C">
              <w:rPr>
                <w:bCs/>
                <w:sz w:val="22"/>
                <w:szCs w:val="22"/>
              </w:rPr>
              <w:t>6,6</w:t>
            </w:r>
          </w:p>
        </w:tc>
        <w:tc>
          <w:tcPr>
            <w:tcW w:w="1496" w:type="dxa"/>
            <w:vAlign w:val="center"/>
          </w:tcPr>
          <w:p w:rsidR="00255CC4" w:rsidRPr="00126C5C" w:rsidRDefault="00255CC4" w:rsidP="00255CC4">
            <w:pPr>
              <w:jc w:val="center"/>
              <w:rPr>
                <w:b/>
                <w:color w:val="FF0000"/>
                <w:sz w:val="22"/>
                <w:szCs w:val="22"/>
              </w:rPr>
            </w:pPr>
            <w:r w:rsidRPr="00126C5C">
              <w:rPr>
                <w:b/>
                <w:color w:val="FF0000"/>
                <w:sz w:val="22"/>
                <w:szCs w:val="22"/>
              </w:rPr>
              <w:t>1,0</w:t>
            </w:r>
          </w:p>
        </w:tc>
        <w:tc>
          <w:tcPr>
            <w:tcW w:w="1382" w:type="dxa"/>
            <w:vAlign w:val="center"/>
          </w:tcPr>
          <w:p w:rsidR="00255CC4" w:rsidRPr="00126C5C" w:rsidRDefault="00255CC4" w:rsidP="00255CC4">
            <w:pPr>
              <w:jc w:val="center"/>
              <w:rPr>
                <w:color w:val="000000"/>
                <w:sz w:val="22"/>
                <w:szCs w:val="22"/>
              </w:rPr>
            </w:pPr>
            <w:r w:rsidRPr="00126C5C">
              <w:rPr>
                <w:color w:val="000000"/>
                <w:sz w:val="22"/>
                <w:szCs w:val="22"/>
              </w:rPr>
              <w:t>9,9</w:t>
            </w:r>
          </w:p>
        </w:tc>
      </w:tr>
      <w:tr w:rsidR="00255CC4" w:rsidRPr="00126C5C" w:rsidTr="00255CC4">
        <w:trPr>
          <w:trHeight w:val="416"/>
        </w:trPr>
        <w:tc>
          <w:tcPr>
            <w:tcW w:w="1459" w:type="dxa"/>
            <w:vAlign w:val="center"/>
          </w:tcPr>
          <w:p w:rsidR="00255CC4" w:rsidRPr="00126C5C" w:rsidRDefault="00255CC4" w:rsidP="00255CC4">
            <w:pPr>
              <w:rPr>
                <w:rFonts w:eastAsia="Times New Roman"/>
                <w:color w:val="000000"/>
                <w:sz w:val="22"/>
                <w:szCs w:val="22"/>
              </w:rPr>
            </w:pPr>
            <w:r w:rsidRPr="00126C5C">
              <w:rPr>
                <w:rFonts w:eastAsia="Times New Roman"/>
                <w:color w:val="000000"/>
                <w:sz w:val="22"/>
                <w:szCs w:val="22"/>
              </w:rPr>
              <w:t>3.kvintile</w:t>
            </w:r>
          </w:p>
        </w:tc>
        <w:tc>
          <w:tcPr>
            <w:tcW w:w="980" w:type="dxa"/>
            <w:vAlign w:val="center"/>
          </w:tcPr>
          <w:p w:rsidR="00255CC4" w:rsidRPr="00126C5C" w:rsidRDefault="00255CC4" w:rsidP="00255CC4">
            <w:pPr>
              <w:jc w:val="center"/>
              <w:rPr>
                <w:color w:val="000000"/>
                <w:sz w:val="22"/>
                <w:szCs w:val="22"/>
              </w:rPr>
            </w:pPr>
            <w:r w:rsidRPr="00126C5C">
              <w:rPr>
                <w:color w:val="000000"/>
                <w:sz w:val="22"/>
                <w:szCs w:val="22"/>
              </w:rPr>
              <w:t>488,48</w:t>
            </w:r>
          </w:p>
        </w:tc>
        <w:tc>
          <w:tcPr>
            <w:tcW w:w="931" w:type="dxa"/>
            <w:vAlign w:val="center"/>
          </w:tcPr>
          <w:p w:rsidR="00255CC4" w:rsidRPr="00126C5C" w:rsidRDefault="00255CC4" w:rsidP="00255CC4">
            <w:pPr>
              <w:jc w:val="center"/>
              <w:rPr>
                <w:color w:val="000000"/>
                <w:sz w:val="22"/>
                <w:szCs w:val="22"/>
              </w:rPr>
            </w:pPr>
            <w:r w:rsidRPr="00126C5C">
              <w:rPr>
                <w:color w:val="000000"/>
                <w:sz w:val="22"/>
                <w:szCs w:val="22"/>
              </w:rPr>
              <w:t>524,87</w:t>
            </w:r>
          </w:p>
        </w:tc>
        <w:tc>
          <w:tcPr>
            <w:tcW w:w="931" w:type="dxa"/>
            <w:vAlign w:val="center"/>
          </w:tcPr>
          <w:p w:rsidR="00255CC4" w:rsidRPr="00126C5C" w:rsidRDefault="00255CC4" w:rsidP="00255CC4">
            <w:pPr>
              <w:jc w:val="center"/>
              <w:rPr>
                <w:color w:val="000000"/>
                <w:sz w:val="22"/>
                <w:szCs w:val="22"/>
              </w:rPr>
            </w:pPr>
            <w:r w:rsidRPr="00126C5C">
              <w:rPr>
                <w:color w:val="000000"/>
                <w:sz w:val="22"/>
                <w:szCs w:val="22"/>
              </w:rPr>
              <w:t>561,08</w:t>
            </w:r>
          </w:p>
        </w:tc>
        <w:tc>
          <w:tcPr>
            <w:tcW w:w="931" w:type="dxa"/>
            <w:vAlign w:val="center"/>
          </w:tcPr>
          <w:p w:rsidR="00255CC4" w:rsidRPr="00126C5C" w:rsidRDefault="00255CC4" w:rsidP="00255CC4">
            <w:pPr>
              <w:jc w:val="center"/>
              <w:rPr>
                <w:color w:val="000000"/>
                <w:sz w:val="22"/>
                <w:szCs w:val="22"/>
              </w:rPr>
            </w:pPr>
            <w:r w:rsidRPr="00126C5C">
              <w:rPr>
                <w:color w:val="000000"/>
                <w:sz w:val="22"/>
                <w:szCs w:val="22"/>
              </w:rPr>
              <w:t>627,94</w:t>
            </w:r>
          </w:p>
        </w:tc>
        <w:tc>
          <w:tcPr>
            <w:tcW w:w="1496" w:type="dxa"/>
            <w:vAlign w:val="center"/>
          </w:tcPr>
          <w:p w:rsidR="00255CC4" w:rsidRPr="00126C5C" w:rsidRDefault="00255CC4" w:rsidP="00255CC4">
            <w:pPr>
              <w:jc w:val="center"/>
              <w:rPr>
                <w:color w:val="000000"/>
                <w:sz w:val="22"/>
                <w:szCs w:val="22"/>
              </w:rPr>
            </w:pPr>
            <w:r w:rsidRPr="00126C5C">
              <w:rPr>
                <w:color w:val="000000"/>
                <w:sz w:val="22"/>
                <w:szCs w:val="22"/>
              </w:rPr>
              <w:t>7,4</w:t>
            </w:r>
          </w:p>
        </w:tc>
        <w:tc>
          <w:tcPr>
            <w:tcW w:w="1496" w:type="dxa"/>
            <w:vAlign w:val="center"/>
          </w:tcPr>
          <w:p w:rsidR="00255CC4" w:rsidRPr="00126C5C" w:rsidRDefault="00255CC4" w:rsidP="00255CC4">
            <w:pPr>
              <w:jc w:val="center"/>
              <w:rPr>
                <w:b/>
                <w:bCs/>
                <w:color w:val="000000"/>
                <w:sz w:val="22"/>
                <w:szCs w:val="22"/>
              </w:rPr>
            </w:pPr>
            <w:r w:rsidRPr="00126C5C">
              <w:rPr>
                <w:b/>
                <w:bCs/>
                <w:color w:val="000000"/>
                <w:sz w:val="22"/>
                <w:szCs w:val="22"/>
              </w:rPr>
              <w:t>6,9</w:t>
            </w:r>
          </w:p>
        </w:tc>
        <w:tc>
          <w:tcPr>
            <w:tcW w:w="1382" w:type="dxa"/>
            <w:vAlign w:val="center"/>
          </w:tcPr>
          <w:p w:rsidR="00255CC4" w:rsidRPr="00126C5C" w:rsidRDefault="00255CC4" w:rsidP="00255CC4">
            <w:pPr>
              <w:jc w:val="center"/>
              <w:rPr>
                <w:color w:val="000000"/>
                <w:sz w:val="22"/>
                <w:szCs w:val="22"/>
              </w:rPr>
            </w:pPr>
            <w:r w:rsidRPr="00126C5C">
              <w:rPr>
                <w:color w:val="000000"/>
                <w:sz w:val="22"/>
                <w:szCs w:val="22"/>
              </w:rPr>
              <w:t>11,9</w:t>
            </w:r>
          </w:p>
        </w:tc>
      </w:tr>
      <w:tr w:rsidR="00255CC4" w:rsidRPr="00126C5C" w:rsidTr="00255CC4">
        <w:trPr>
          <w:trHeight w:val="421"/>
        </w:trPr>
        <w:tc>
          <w:tcPr>
            <w:tcW w:w="1459" w:type="dxa"/>
            <w:vAlign w:val="center"/>
          </w:tcPr>
          <w:p w:rsidR="00255CC4" w:rsidRPr="00126C5C" w:rsidRDefault="00255CC4" w:rsidP="00255CC4">
            <w:pPr>
              <w:rPr>
                <w:rFonts w:eastAsia="Times New Roman"/>
                <w:color w:val="000000"/>
                <w:sz w:val="22"/>
                <w:szCs w:val="22"/>
              </w:rPr>
            </w:pPr>
            <w:r w:rsidRPr="00126C5C">
              <w:rPr>
                <w:rFonts w:eastAsia="Times New Roman"/>
                <w:color w:val="000000"/>
                <w:sz w:val="22"/>
                <w:szCs w:val="22"/>
              </w:rPr>
              <w:t>4.kvintile</w:t>
            </w:r>
          </w:p>
        </w:tc>
        <w:tc>
          <w:tcPr>
            <w:tcW w:w="980" w:type="dxa"/>
            <w:vAlign w:val="center"/>
          </w:tcPr>
          <w:p w:rsidR="00255CC4" w:rsidRPr="00126C5C" w:rsidRDefault="00255CC4" w:rsidP="00255CC4">
            <w:pPr>
              <w:jc w:val="center"/>
              <w:rPr>
                <w:color w:val="000000"/>
                <w:sz w:val="22"/>
                <w:szCs w:val="22"/>
              </w:rPr>
            </w:pPr>
            <w:r w:rsidRPr="00126C5C">
              <w:rPr>
                <w:color w:val="000000"/>
                <w:sz w:val="22"/>
                <w:szCs w:val="22"/>
              </w:rPr>
              <w:t>689,63</w:t>
            </w:r>
          </w:p>
        </w:tc>
        <w:tc>
          <w:tcPr>
            <w:tcW w:w="931" w:type="dxa"/>
            <w:vAlign w:val="center"/>
          </w:tcPr>
          <w:p w:rsidR="00255CC4" w:rsidRPr="00126C5C" w:rsidRDefault="00255CC4" w:rsidP="00255CC4">
            <w:pPr>
              <w:jc w:val="center"/>
              <w:rPr>
                <w:color w:val="000000"/>
                <w:sz w:val="22"/>
                <w:szCs w:val="22"/>
              </w:rPr>
            </w:pPr>
            <w:r w:rsidRPr="00126C5C">
              <w:rPr>
                <w:color w:val="000000"/>
                <w:sz w:val="22"/>
                <w:szCs w:val="22"/>
              </w:rPr>
              <w:t>748,8</w:t>
            </w:r>
          </w:p>
        </w:tc>
        <w:tc>
          <w:tcPr>
            <w:tcW w:w="931" w:type="dxa"/>
            <w:vAlign w:val="center"/>
          </w:tcPr>
          <w:p w:rsidR="00255CC4" w:rsidRPr="00126C5C" w:rsidRDefault="00255CC4" w:rsidP="00255CC4">
            <w:pPr>
              <w:jc w:val="center"/>
              <w:rPr>
                <w:color w:val="000000"/>
                <w:sz w:val="22"/>
                <w:szCs w:val="22"/>
              </w:rPr>
            </w:pPr>
            <w:r w:rsidRPr="00126C5C">
              <w:rPr>
                <w:color w:val="000000"/>
                <w:sz w:val="22"/>
                <w:szCs w:val="22"/>
              </w:rPr>
              <w:t>786,46</w:t>
            </w:r>
          </w:p>
        </w:tc>
        <w:tc>
          <w:tcPr>
            <w:tcW w:w="931" w:type="dxa"/>
            <w:vAlign w:val="center"/>
          </w:tcPr>
          <w:p w:rsidR="00255CC4" w:rsidRPr="00126C5C" w:rsidRDefault="00255CC4" w:rsidP="00255CC4">
            <w:pPr>
              <w:jc w:val="center"/>
              <w:rPr>
                <w:color w:val="000000"/>
                <w:sz w:val="22"/>
                <w:szCs w:val="22"/>
              </w:rPr>
            </w:pPr>
            <w:r w:rsidRPr="00126C5C">
              <w:rPr>
                <w:color w:val="000000"/>
                <w:sz w:val="22"/>
                <w:szCs w:val="22"/>
              </w:rPr>
              <w:t>868,29</w:t>
            </w:r>
          </w:p>
        </w:tc>
        <w:tc>
          <w:tcPr>
            <w:tcW w:w="1496" w:type="dxa"/>
            <w:vAlign w:val="center"/>
          </w:tcPr>
          <w:p w:rsidR="00255CC4" w:rsidRPr="00126C5C" w:rsidRDefault="00255CC4" w:rsidP="00255CC4">
            <w:pPr>
              <w:jc w:val="center"/>
              <w:rPr>
                <w:color w:val="000000"/>
                <w:sz w:val="22"/>
                <w:szCs w:val="22"/>
              </w:rPr>
            </w:pPr>
            <w:r w:rsidRPr="00126C5C">
              <w:rPr>
                <w:color w:val="000000"/>
                <w:sz w:val="22"/>
                <w:szCs w:val="22"/>
              </w:rPr>
              <w:t>8,6</w:t>
            </w:r>
          </w:p>
        </w:tc>
        <w:tc>
          <w:tcPr>
            <w:tcW w:w="1496" w:type="dxa"/>
            <w:vAlign w:val="center"/>
          </w:tcPr>
          <w:p w:rsidR="00255CC4" w:rsidRPr="00126C5C" w:rsidRDefault="00255CC4" w:rsidP="00255CC4">
            <w:pPr>
              <w:jc w:val="center"/>
              <w:rPr>
                <w:color w:val="000000"/>
                <w:sz w:val="22"/>
                <w:szCs w:val="22"/>
              </w:rPr>
            </w:pPr>
            <w:r w:rsidRPr="00126C5C">
              <w:rPr>
                <w:color w:val="000000"/>
                <w:sz w:val="22"/>
                <w:szCs w:val="22"/>
              </w:rPr>
              <w:t>5,0</w:t>
            </w:r>
          </w:p>
        </w:tc>
        <w:tc>
          <w:tcPr>
            <w:tcW w:w="1382" w:type="dxa"/>
            <w:vAlign w:val="center"/>
          </w:tcPr>
          <w:p w:rsidR="00255CC4" w:rsidRPr="00126C5C" w:rsidRDefault="00255CC4" w:rsidP="00255CC4">
            <w:pPr>
              <w:jc w:val="center"/>
              <w:rPr>
                <w:color w:val="000000"/>
                <w:sz w:val="22"/>
                <w:szCs w:val="22"/>
              </w:rPr>
            </w:pPr>
            <w:r w:rsidRPr="00126C5C">
              <w:rPr>
                <w:color w:val="000000"/>
                <w:sz w:val="22"/>
                <w:szCs w:val="22"/>
              </w:rPr>
              <w:t>10,4</w:t>
            </w:r>
          </w:p>
        </w:tc>
      </w:tr>
      <w:tr w:rsidR="00255CC4" w:rsidRPr="00126C5C" w:rsidTr="00255CC4">
        <w:tc>
          <w:tcPr>
            <w:tcW w:w="1459" w:type="dxa"/>
            <w:vAlign w:val="center"/>
          </w:tcPr>
          <w:p w:rsidR="00255CC4" w:rsidRPr="00126C5C" w:rsidRDefault="00255CC4" w:rsidP="00255CC4">
            <w:pPr>
              <w:rPr>
                <w:rFonts w:eastAsia="Times New Roman"/>
                <w:color w:val="000000"/>
                <w:sz w:val="22"/>
                <w:szCs w:val="22"/>
              </w:rPr>
            </w:pPr>
            <w:r w:rsidRPr="00126C5C">
              <w:rPr>
                <w:rFonts w:eastAsia="Times New Roman"/>
                <w:color w:val="000000"/>
                <w:sz w:val="22"/>
                <w:szCs w:val="22"/>
              </w:rPr>
              <w:t>5.kvintile (turīgākā)</w:t>
            </w:r>
          </w:p>
        </w:tc>
        <w:tc>
          <w:tcPr>
            <w:tcW w:w="980" w:type="dxa"/>
            <w:vAlign w:val="center"/>
          </w:tcPr>
          <w:p w:rsidR="00255CC4" w:rsidRPr="00126C5C" w:rsidRDefault="00255CC4" w:rsidP="00255CC4">
            <w:pPr>
              <w:jc w:val="center"/>
              <w:rPr>
                <w:color w:val="000000"/>
                <w:sz w:val="22"/>
                <w:szCs w:val="22"/>
              </w:rPr>
            </w:pPr>
            <w:r w:rsidRPr="00126C5C">
              <w:rPr>
                <w:color w:val="000000"/>
                <w:sz w:val="22"/>
                <w:szCs w:val="22"/>
              </w:rPr>
              <w:t>1226,62</w:t>
            </w:r>
          </w:p>
        </w:tc>
        <w:tc>
          <w:tcPr>
            <w:tcW w:w="931" w:type="dxa"/>
            <w:vAlign w:val="center"/>
          </w:tcPr>
          <w:p w:rsidR="00255CC4" w:rsidRPr="00126C5C" w:rsidRDefault="00255CC4" w:rsidP="00255CC4">
            <w:pPr>
              <w:jc w:val="center"/>
              <w:rPr>
                <w:color w:val="000000"/>
                <w:sz w:val="22"/>
                <w:szCs w:val="22"/>
              </w:rPr>
            </w:pPr>
            <w:r w:rsidRPr="00126C5C">
              <w:rPr>
                <w:color w:val="000000"/>
                <w:sz w:val="22"/>
                <w:szCs w:val="22"/>
              </w:rPr>
              <w:t>1295,36</w:t>
            </w:r>
          </w:p>
        </w:tc>
        <w:tc>
          <w:tcPr>
            <w:tcW w:w="931" w:type="dxa"/>
            <w:vAlign w:val="center"/>
          </w:tcPr>
          <w:p w:rsidR="00255CC4" w:rsidRPr="00126C5C" w:rsidRDefault="00255CC4" w:rsidP="00255CC4">
            <w:pPr>
              <w:jc w:val="center"/>
              <w:rPr>
                <w:color w:val="000000"/>
                <w:sz w:val="22"/>
                <w:szCs w:val="22"/>
              </w:rPr>
            </w:pPr>
            <w:r w:rsidRPr="00126C5C">
              <w:rPr>
                <w:color w:val="000000"/>
                <w:sz w:val="22"/>
                <w:szCs w:val="22"/>
              </w:rPr>
              <w:t>1340,54</w:t>
            </w:r>
          </w:p>
        </w:tc>
        <w:tc>
          <w:tcPr>
            <w:tcW w:w="931" w:type="dxa"/>
            <w:vAlign w:val="center"/>
          </w:tcPr>
          <w:p w:rsidR="00255CC4" w:rsidRPr="00126C5C" w:rsidRDefault="00255CC4" w:rsidP="00255CC4">
            <w:pPr>
              <w:jc w:val="center"/>
              <w:rPr>
                <w:color w:val="000000"/>
                <w:sz w:val="22"/>
                <w:szCs w:val="22"/>
              </w:rPr>
            </w:pPr>
            <w:r w:rsidRPr="00126C5C">
              <w:rPr>
                <w:color w:val="000000"/>
                <w:sz w:val="22"/>
                <w:szCs w:val="22"/>
              </w:rPr>
              <w:t>1531,63</w:t>
            </w:r>
          </w:p>
        </w:tc>
        <w:tc>
          <w:tcPr>
            <w:tcW w:w="1496" w:type="dxa"/>
            <w:vAlign w:val="center"/>
          </w:tcPr>
          <w:p w:rsidR="00255CC4" w:rsidRPr="00126C5C" w:rsidRDefault="00255CC4" w:rsidP="00255CC4">
            <w:pPr>
              <w:jc w:val="center"/>
              <w:rPr>
                <w:b/>
                <w:color w:val="FF0000"/>
                <w:sz w:val="22"/>
                <w:szCs w:val="22"/>
              </w:rPr>
            </w:pPr>
            <w:r w:rsidRPr="00126C5C">
              <w:rPr>
                <w:b/>
                <w:color w:val="FF0000"/>
                <w:sz w:val="22"/>
                <w:szCs w:val="22"/>
              </w:rPr>
              <w:t>5,6</w:t>
            </w:r>
          </w:p>
        </w:tc>
        <w:tc>
          <w:tcPr>
            <w:tcW w:w="1496" w:type="dxa"/>
            <w:vAlign w:val="center"/>
          </w:tcPr>
          <w:p w:rsidR="00255CC4" w:rsidRPr="00126C5C" w:rsidRDefault="00255CC4" w:rsidP="00255CC4">
            <w:pPr>
              <w:jc w:val="center"/>
              <w:rPr>
                <w:sz w:val="22"/>
                <w:szCs w:val="22"/>
              </w:rPr>
            </w:pPr>
            <w:r w:rsidRPr="00126C5C">
              <w:rPr>
                <w:sz w:val="22"/>
                <w:szCs w:val="22"/>
              </w:rPr>
              <w:t>3,5</w:t>
            </w:r>
          </w:p>
        </w:tc>
        <w:tc>
          <w:tcPr>
            <w:tcW w:w="1382" w:type="dxa"/>
            <w:vAlign w:val="center"/>
          </w:tcPr>
          <w:p w:rsidR="00255CC4" w:rsidRPr="00126C5C" w:rsidRDefault="00255CC4" w:rsidP="00255CC4">
            <w:pPr>
              <w:jc w:val="center"/>
              <w:rPr>
                <w:b/>
                <w:bCs/>
                <w:color w:val="000000"/>
                <w:sz w:val="22"/>
                <w:szCs w:val="22"/>
              </w:rPr>
            </w:pPr>
            <w:r w:rsidRPr="00126C5C">
              <w:rPr>
                <w:b/>
                <w:bCs/>
                <w:color w:val="000000"/>
                <w:sz w:val="22"/>
                <w:szCs w:val="22"/>
              </w:rPr>
              <w:t>14,3</w:t>
            </w:r>
          </w:p>
        </w:tc>
      </w:tr>
    </w:tbl>
    <w:p w:rsidR="00255CC4" w:rsidRPr="00F13BE5" w:rsidRDefault="00255CC4" w:rsidP="00255CC4">
      <w:pPr>
        <w:spacing w:line="240" w:lineRule="auto"/>
        <w:ind w:right="248"/>
        <w:rPr>
          <w:rFonts w:eastAsia="Times New Roman"/>
          <w:color w:val="000000"/>
          <w:sz w:val="20"/>
          <w:szCs w:val="20"/>
        </w:rPr>
      </w:pPr>
      <w:r w:rsidRPr="00F13BE5">
        <w:rPr>
          <w:rFonts w:eastAsia="Times New Roman"/>
          <w:color w:val="000000"/>
          <w:sz w:val="20"/>
          <w:szCs w:val="20"/>
        </w:rPr>
        <w:t>Avots: CSP, „IIG090. Mājsaimniecību rīcībā esošie ienākumi kvintiļu grupās (</w:t>
      </w:r>
      <w:r>
        <w:rPr>
          <w:rFonts w:eastAsia="Times New Roman"/>
          <w:color w:val="000000"/>
          <w:sz w:val="20"/>
          <w:szCs w:val="20"/>
        </w:rPr>
        <w:t>EUR</w:t>
      </w:r>
      <w:r w:rsidRPr="00F13BE5">
        <w:rPr>
          <w:rFonts w:eastAsia="Times New Roman"/>
          <w:color w:val="000000"/>
          <w:sz w:val="20"/>
          <w:szCs w:val="20"/>
        </w:rPr>
        <w:t>, mēnesī)”</w:t>
      </w:r>
    </w:p>
    <w:p w:rsidR="00255CC4" w:rsidRDefault="006E1579" w:rsidP="00DE4D97">
      <w:r>
        <w:lastRenderedPageBreak/>
        <w:t>1.7</w:t>
      </w:r>
      <w:r w:rsidR="00255CC4">
        <w:t xml:space="preserve">. attēlā mājsaimniecību ienākumi uz vienu ekvivalento patērētāju ir atspoguļoti vizuāli, kas ļauj ieraudzīt, ka 1.-3.kvintiles starpā izkliede ir drīzāk proporcionāla, tai ir tendence saglabāties dinamikā. Nedaudz lielāka plaisa ir starp 3. un 4. kvintili, kamēr 5.kvintilē ir būtiski augstākas vērtības – augstāks ienākumu līmenis uz vienu ekvivalento patērētāju, turklāt ar tendenci dinamikā veidot vēl lielāku šķirtni </w:t>
      </w:r>
      <w:r w:rsidR="00EB54AA">
        <w:t>ar</w:t>
      </w:r>
      <w:r w:rsidR="00255CC4">
        <w:t xml:space="preserve"> pārējām četrām kvintilēm, kas apstiprina kopējo ienākumu pieauguma nevienmērīguma un nevienlīdzības tendenci, kas konstatēta, veicot analīzi citos griezumos. </w:t>
      </w:r>
    </w:p>
    <w:bookmarkStart w:id="208" w:name="_Toc6220077"/>
    <w:p w:rsidR="00255CC4" w:rsidRPr="002809B6" w:rsidRDefault="00AD3EDD" w:rsidP="002809B6">
      <w:pPr>
        <w:spacing w:before="240" w:after="120"/>
        <w:jc w:val="left"/>
        <w:rPr>
          <w:b/>
          <w:color w:val="002060"/>
        </w:rPr>
      </w:pPr>
      <w:r w:rsidRPr="002809B6">
        <w:rPr>
          <w:b/>
          <w:color w:val="002060"/>
        </w:rPr>
        <w:fldChar w:fldCharType="begin"/>
      </w:r>
      <w:r w:rsidR="006B5456" w:rsidRPr="002809B6">
        <w:rPr>
          <w:b/>
          <w:color w:val="002060"/>
        </w:rPr>
        <w:instrText xml:space="preserve"> STYLEREF 1 \s </w:instrText>
      </w:r>
      <w:r w:rsidRPr="002809B6">
        <w:rPr>
          <w:b/>
          <w:color w:val="002060"/>
        </w:rPr>
        <w:fldChar w:fldCharType="separate"/>
      </w:r>
      <w:bookmarkStart w:id="209" w:name="_Toc6855761"/>
      <w:r w:rsidR="00224B50">
        <w:rPr>
          <w:b/>
          <w:noProof/>
          <w:color w:val="002060"/>
        </w:rPr>
        <w:t>1</w:t>
      </w:r>
      <w:r w:rsidRPr="002809B6">
        <w:rPr>
          <w:b/>
          <w:color w:val="002060"/>
        </w:rPr>
        <w:fldChar w:fldCharType="end"/>
      </w:r>
      <w:r w:rsidR="006B5456" w:rsidRPr="002809B6">
        <w:rPr>
          <w:b/>
          <w:color w:val="002060"/>
        </w:rPr>
        <w:t>.</w:t>
      </w:r>
      <w:r w:rsidRPr="002809B6">
        <w:rPr>
          <w:b/>
          <w:color w:val="002060"/>
        </w:rPr>
        <w:fldChar w:fldCharType="begin"/>
      </w:r>
      <w:r w:rsidR="000F1524" w:rsidRPr="002809B6">
        <w:rPr>
          <w:b/>
          <w:color w:val="002060"/>
        </w:rPr>
        <w:instrText xml:space="preserve"> SEQ Ilustrācija \* ARABIC \s 1 </w:instrText>
      </w:r>
      <w:r w:rsidRPr="002809B6">
        <w:rPr>
          <w:b/>
          <w:color w:val="002060"/>
        </w:rPr>
        <w:fldChar w:fldCharType="separate"/>
      </w:r>
      <w:r w:rsidR="00224B50">
        <w:rPr>
          <w:b/>
          <w:noProof/>
          <w:color w:val="002060"/>
        </w:rPr>
        <w:t>7</w:t>
      </w:r>
      <w:r w:rsidRPr="002809B6">
        <w:rPr>
          <w:b/>
          <w:color w:val="002060"/>
        </w:rPr>
        <w:fldChar w:fldCharType="end"/>
      </w:r>
      <w:r w:rsidR="00255CC4" w:rsidRPr="002809B6">
        <w:rPr>
          <w:b/>
          <w:color w:val="002060"/>
        </w:rPr>
        <w:t>. attēls. Mājsaimniecību rīcībā esošie ienākumi (EUR mēnesī</w:t>
      </w:r>
      <w:r w:rsidR="0010184F">
        <w:rPr>
          <w:b/>
          <w:color w:val="002060"/>
        </w:rPr>
        <w:t xml:space="preserve">) kvintiļu grupās 2014. – 2017. </w:t>
      </w:r>
      <w:r w:rsidR="00255CC4" w:rsidRPr="002809B6">
        <w:rPr>
          <w:b/>
          <w:color w:val="002060"/>
        </w:rPr>
        <w:t>gadā uz vienu ekvivalento patērētāju</w:t>
      </w:r>
      <w:bookmarkEnd w:id="208"/>
      <w:bookmarkEnd w:id="209"/>
    </w:p>
    <w:p w:rsidR="00255CC4" w:rsidRDefault="00255CC4" w:rsidP="00255CC4">
      <w:pPr>
        <w:rPr>
          <w:b/>
          <w:bCs/>
        </w:rPr>
      </w:pPr>
      <w:r w:rsidRPr="00004009">
        <w:rPr>
          <w:noProof/>
        </w:rPr>
        <w:drawing>
          <wp:inline distT="0" distB="0" distL="0" distR="0">
            <wp:extent cx="6184122" cy="2552700"/>
            <wp:effectExtent l="19050" t="0" r="7128" b="0"/>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a:stretch>
                      <a:fillRect/>
                    </a:stretch>
                  </pic:blipFill>
                  <pic:spPr bwMode="auto">
                    <a:xfrm>
                      <a:off x="0" y="0"/>
                      <a:ext cx="6188710" cy="2554594"/>
                    </a:xfrm>
                    <a:prstGeom prst="rect">
                      <a:avLst/>
                    </a:prstGeom>
                    <a:noFill/>
                    <a:ln w="9525">
                      <a:noFill/>
                      <a:miter lim="800000"/>
                      <a:headEnd/>
                      <a:tailEnd/>
                    </a:ln>
                  </pic:spPr>
                </pic:pic>
              </a:graphicData>
            </a:graphic>
          </wp:inline>
        </w:drawing>
      </w:r>
    </w:p>
    <w:p w:rsidR="00255CC4" w:rsidRPr="00AB7A9E" w:rsidRDefault="00255CC4" w:rsidP="00DE4D97">
      <w:pPr>
        <w:pStyle w:val="avotiemft10"/>
      </w:pPr>
      <w:bookmarkStart w:id="210" w:name="_Toc6841540"/>
      <w:r w:rsidRPr="00AB7A9E">
        <w:t>Avots: CSP, IIG090. Mājsaimniecību rīcībā esošie ienākumi kvintiļu grupās (EUR, mēnesī)</w:t>
      </w:r>
      <w:bookmarkEnd w:id="210"/>
    </w:p>
    <w:p w:rsidR="00255CC4" w:rsidRDefault="00255CC4" w:rsidP="00255CC4">
      <w:pPr>
        <w:spacing w:line="240" w:lineRule="auto"/>
        <w:ind w:right="248"/>
        <w:rPr>
          <w:rFonts w:eastAsia="Times New Roman"/>
          <w:color w:val="000000"/>
          <w:sz w:val="20"/>
          <w:szCs w:val="20"/>
        </w:rPr>
      </w:pPr>
    </w:p>
    <w:p w:rsidR="00F34A88" w:rsidRPr="0010184F" w:rsidRDefault="00255CC4" w:rsidP="0010184F">
      <w:r w:rsidRPr="0010184F">
        <w:t>Vērā ņemamas atšķirības ir kvintiļu sadalījumā pilsētās un laukos (sk.</w:t>
      </w:r>
      <w:r w:rsidR="0010184F" w:rsidRPr="0010184F">
        <w:t xml:space="preserve">1.8. </w:t>
      </w:r>
      <w:r w:rsidRPr="0010184F">
        <w:t xml:space="preserve">. attēlu). Pilsētās 2.-5. kvintilē ir teju vienāds iedzīvotāju īpatsvars, izkliede starp kvintilēm ir maza, kas liecina par vienmērīgu iedzīvotāju sadalījumu pēc ienākumu grupām un mazāku noslāņošanos starp turīgākajiem un trūcīgākajiem iedzīvotājiem. Turklāt visās piecās kvintilēs saglabājas proporcionāls iedzīvotāju īpatsvars dinamikā. Vismazākais mājsaimniecību īpatsvars pilsētās ir 1. </w:t>
      </w:r>
      <w:r w:rsidR="00931F0D" w:rsidRPr="0010184F">
        <w:t>k</w:t>
      </w:r>
      <w:r w:rsidRPr="0010184F">
        <w:t xml:space="preserve">vintilē (15,1%- 15,3%), kas ir aptuveni par 5 līdz 7 procentpunktiem mazāks nekā pārējās kvintilēs. </w:t>
      </w:r>
    </w:p>
    <w:p w:rsidR="00F34A88" w:rsidRDefault="00F34A88" w:rsidP="00255CC4">
      <w:pPr>
        <w:rPr>
          <w:bCs/>
        </w:rPr>
      </w:pPr>
    </w:p>
    <w:p w:rsidR="00255CC4" w:rsidRDefault="00255CC4" w:rsidP="00255CC4">
      <w:pPr>
        <w:rPr>
          <w:bCs/>
        </w:rPr>
      </w:pPr>
      <w:r w:rsidRPr="00696B2A">
        <w:rPr>
          <w:bCs/>
        </w:rPr>
        <w:t>Savukārt laukos situācija ir apgriezti pretēja. Pirmkārt, redzams, ka tieši 1.</w:t>
      </w:r>
      <w:r>
        <w:rPr>
          <w:bCs/>
        </w:rPr>
        <w:t xml:space="preserve"> </w:t>
      </w:r>
      <w:r w:rsidRPr="00696B2A">
        <w:rPr>
          <w:bCs/>
        </w:rPr>
        <w:t xml:space="preserve">kvintilē ir vislielākais lauku iedzīvotāju īpatsvars, kuram praktiski nav tendences kristies (apmēram viena trešā daļa iedzīvotāju). </w:t>
      </w:r>
      <w:r>
        <w:rPr>
          <w:bCs/>
        </w:rPr>
        <w:t xml:space="preserve">Tas ir divas reizes lielāks nekā pilsētās attiecīgajā kvintilē. </w:t>
      </w:r>
      <w:r w:rsidRPr="00696B2A">
        <w:rPr>
          <w:bCs/>
        </w:rPr>
        <w:t>Otrkārt, kopējā izkliede starp kvintiļu grupām ir lielāka nekā pilsētās, kas liecina par izteiktāku noslāņošanas, īpaši tas attiecas uz trūcīgāko iedzīvotāju daļu (1.</w:t>
      </w:r>
      <w:r>
        <w:rPr>
          <w:bCs/>
        </w:rPr>
        <w:t xml:space="preserve"> </w:t>
      </w:r>
      <w:r w:rsidRPr="00696B2A">
        <w:rPr>
          <w:bCs/>
        </w:rPr>
        <w:t xml:space="preserve">kvintili). </w:t>
      </w:r>
      <w:r>
        <w:rPr>
          <w:bCs/>
        </w:rPr>
        <w:t xml:space="preserve">Kopumā nedaudz vairāk kā puses lauku iedzīvotāju ienākumi atbilst 1.,2. kvintiļu grupai. Vismazākā daļa iedzīvotāju laukos iekļaujas 5.kvintilē – aplūkotajā periodā vidēji tie ir 14% iedzīvotāju, kas ir apgriezti proporcionāli situācijai pilsētās attiecībā uz 1. kvintili. Treškārt, kopējā tendence laukos rāda, ka, palielinoties ienākumu apmēram ar katru nākamo kvintili, samazinās iedzīvotāju īpatsvars, kuru ienākumi atbilst konkrētajai kvintilei. </w:t>
      </w:r>
    </w:p>
    <w:p w:rsidR="002809B6" w:rsidRDefault="002809B6">
      <w:pPr>
        <w:spacing w:line="240" w:lineRule="auto"/>
        <w:jc w:val="left"/>
        <w:rPr>
          <w:b/>
          <w:color w:val="002060"/>
        </w:rPr>
      </w:pPr>
      <w:bookmarkStart w:id="211" w:name="_Ref6495124"/>
      <w:bookmarkStart w:id="212" w:name="_Toc6220078"/>
      <w:r>
        <w:rPr>
          <w:b/>
          <w:color w:val="002060"/>
        </w:rPr>
        <w:br w:type="page"/>
      </w:r>
    </w:p>
    <w:p w:rsidR="00255CC4" w:rsidRPr="002809B6" w:rsidRDefault="00AD3EDD" w:rsidP="002809B6">
      <w:pPr>
        <w:spacing w:before="240" w:after="120"/>
        <w:jc w:val="left"/>
        <w:rPr>
          <w:b/>
          <w:color w:val="002060"/>
        </w:rPr>
      </w:pPr>
      <w:r w:rsidRPr="002809B6">
        <w:rPr>
          <w:b/>
          <w:color w:val="002060"/>
        </w:rPr>
        <w:lastRenderedPageBreak/>
        <w:fldChar w:fldCharType="begin"/>
      </w:r>
      <w:r w:rsidR="006B5456" w:rsidRPr="002809B6">
        <w:rPr>
          <w:b/>
          <w:color w:val="002060"/>
        </w:rPr>
        <w:instrText xml:space="preserve"> STYLEREF 1 \s </w:instrText>
      </w:r>
      <w:r w:rsidRPr="002809B6">
        <w:rPr>
          <w:b/>
          <w:color w:val="002060"/>
        </w:rPr>
        <w:fldChar w:fldCharType="separate"/>
      </w:r>
      <w:bookmarkStart w:id="213" w:name="_Toc6855762"/>
      <w:r w:rsidR="00224B50">
        <w:rPr>
          <w:b/>
          <w:noProof/>
          <w:color w:val="002060"/>
        </w:rPr>
        <w:t>1</w:t>
      </w:r>
      <w:r w:rsidRPr="002809B6">
        <w:rPr>
          <w:b/>
          <w:color w:val="002060"/>
        </w:rPr>
        <w:fldChar w:fldCharType="end"/>
      </w:r>
      <w:r w:rsidR="006B5456" w:rsidRPr="002809B6">
        <w:rPr>
          <w:b/>
          <w:color w:val="002060"/>
        </w:rPr>
        <w:t>.</w:t>
      </w:r>
      <w:r w:rsidRPr="002809B6">
        <w:rPr>
          <w:b/>
          <w:color w:val="002060"/>
        </w:rPr>
        <w:fldChar w:fldCharType="begin"/>
      </w:r>
      <w:r w:rsidR="000F1524" w:rsidRPr="002809B6">
        <w:rPr>
          <w:b/>
          <w:color w:val="002060"/>
        </w:rPr>
        <w:instrText xml:space="preserve"> SEQ Ilustrācija \* ARABIC \s 1 </w:instrText>
      </w:r>
      <w:r w:rsidRPr="002809B6">
        <w:rPr>
          <w:b/>
          <w:color w:val="002060"/>
        </w:rPr>
        <w:fldChar w:fldCharType="separate"/>
      </w:r>
      <w:r w:rsidR="00224B50">
        <w:rPr>
          <w:b/>
          <w:noProof/>
          <w:color w:val="002060"/>
        </w:rPr>
        <w:t>8</w:t>
      </w:r>
      <w:r w:rsidRPr="002809B6">
        <w:rPr>
          <w:b/>
          <w:color w:val="002060"/>
        </w:rPr>
        <w:fldChar w:fldCharType="end"/>
      </w:r>
      <w:bookmarkEnd w:id="211"/>
      <w:r w:rsidR="00255CC4" w:rsidRPr="002809B6">
        <w:rPr>
          <w:b/>
          <w:color w:val="002060"/>
        </w:rPr>
        <w:t xml:space="preserve">. attēls. Mājsaimniecību </w:t>
      </w:r>
      <w:r w:rsidR="001A3B11" w:rsidRPr="002809B6">
        <w:rPr>
          <w:b/>
          <w:color w:val="002060"/>
        </w:rPr>
        <w:t>sadalījums</w:t>
      </w:r>
      <w:r w:rsidR="00255CC4" w:rsidRPr="002809B6">
        <w:rPr>
          <w:b/>
          <w:color w:val="002060"/>
        </w:rPr>
        <w:t xml:space="preserve"> </w:t>
      </w:r>
      <w:r w:rsidR="001A3B11" w:rsidRPr="002809B6">
        <w:rPr>
          <w:b/>
          <w:color w:val="002060"/>
        </w:rPr>
        <w:t xml:space="preserve">pēc </w:t>
      </w:r>
      <w:r w:rsidR="00255CC4" w:rsidRPr="002809B6">
        <w:rPr>
          <w:b/>
          <w:color w:val="002060"/>
        </w:rPr>
        <w:t>kvintiļu grupā</w:t>
      </w:r>
      <w:r w:rsidR="001A3B11" w:rsidRPr="002809B6">
        <w:rPr>
          <w:b/>
          <w:color w:val="002060"/>
        </w:rPr>
        <w:t>m</w:t>
      </w:r>
      <w:r w:rsidR="00255CC4" w:rsidRPr="002809B6">
        <w:rPr>
          <w:b/>
          <w:color w:val="002060"/>
        </w:rPr>
        <w:t xml:space="preserve"> 2014. – 2016. gadā laukos un pilsētās (%)</w:t>
      </w:r>
      <w:bookmarkEnd w:id="212"/>
      <w:bookmarkEnd w:id="213"/>
    </w:p>
    <w:p w:rsidR="00255CC4" w:rsidRPr="007F0264" w:rsidRDefault="00255CC4" w:rsidP="00931F0D">
      <w:pPr>
        <w:jc w:val="left"/>
      </w:pPr>
      <w:r w:rsidRPr="007F0264">
        <w:rPr>
          <w:noProof/>
        </w:rPr>
        <w:drawing>
          <wp:inline distT="0" distB="0" distL="0" distR="0">
            <wp:extent cx="4991100" cy="3164075"/>
            <wp:effectExtent l="19050" t="0" r="0" b="0"/>
            <wp:docPr id="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a:stretch>
                      <a:fillRect/>
                    </a:stretch>
                  </pic:blipFill>
                  <pic:spPr bwMode="auto">
                    <a:xfrm>
                      <a:off x="0" y="0"/>
                      <a:ext cx="4998432" cy="3168723"/>
                    </a:xfrm>
                    <a:prstGeom prst="rect">
                      <a:avLst/>
                    </a:prstGeom>
                    <a:noFill/>
                    <a:ln w="9525">
                      <a:noFill/>
                      <a:miter lim="800000"/>
                      <a:headEnd/>
                      <a:tailEnd/>
                    </a:ln>
                  </pic:spPr>
                </pic:pic>
              </a:graphicData>
            </a:graphic>
          </wp:inline>
        </w:drawing>
      </w:r>
    </w:p>
    <w:p w:rsidR="00255CC4" w:rsidRPr="007F0264" w:rsidRDefault="00255CC4" w:rsidP="00255CC4">
      <w:pPr>
        <w:rPr>
          <w:sz w:val="20"/>
          <w:szCs w:val="20"/>
        </w:rPr>
      </w:pPr>
      <w:r w:rsidRPr="007F0264">
        <w:rPr>
          <w:sz w:val="20"/>
          <w:szCs w:val="20"/>
        </w:rPr>
        <w:t>Avots: CSP, MVG070. Mājsaimniecību sadalījums pēc kvintiļu grupām (%)</w:t>
      </w:r>
    </w:p>
    <w:bookmarkStart w:id="214" w:name="_Ref6495178"/>
    <w:bookmarkStart w:id="215" w:name="_Toc6220079"/>
    <w:p w:rsidR="00255CC4" w:rsidRPr="002809B6" w:rsidRDefault="00AD3EDD" w:rsidP="002809B6">
      <w:pPr>
        <w:spacing w:before="240" w:after="120"/>
        <w:jc w:val="left"/>
        <w:rPr>
          <w:b/>
          <w:color w:val="002060"/>
        </w:rPr>
      </w:pPr>
      <w:r w:rsidRPr="002809B6">
        <w:rPr>
          <w:b/>
          <w:color w:val="002060"/>
        </w:rPr>
        <w:fldChar w:fldCharType="begin"/>
      </w:r>
      <w:r w:rsidR="006B5456" w:rsidRPr="002809B6">
        <w:rPr>
          <w:b/>
          <w:color w:val="002060"/>
        </w:rPr>
        <w:instrText xml:space="preserve"> STYLEREF 1 \s </w:instrText>
      </w:r>
      <w:r w:rsidRPr="002809B6">
        <w:rPr>
          <w:b/>
          <w:color w:val="002060"/>
        </w:rPr>
        <w:fldChar w:fldCharType="separate"/>
      </w:r>
      <w:bookmarkStart w:id="216" w:name="_Toc6855763"/>
      <w:r w:rsidR="00224B50">
        <w:rPr>
          <w:b/>
          <w:noProof/>
          <w:color w:val="002060"/>
        </w:rPr>
        <w:t>1</w:t>
      </w:r>
      <w:r w:rsidRPr="002809B6">
        <w:rPr>
          <w:b/>
          <w:color w:val="002060"/>
        </w:rPr>
        <w:fldChar w:fldCharType="end"/>
      </w:r>
      <w:r w:rsidR="006B5456" w:rsidRPr="002809B6">
        <w:rPr>
          <w:b/>
          <w:color w:val="002060"/>
        </w:rPr>
        <w:t>.</w:t>
      </w:r>
      <w:r w:rsidRPr="002809B6">
        <w:rPr>
          <w:b/>
          <w:color w:val="002060"/>
        </w:rPr>
        <w:fldChar w:fldCharType="begin"/>
      </w:r>
      <w:r w:rsidR="000F1524" w:rsidRPr="002809B6">
        <w:rPr>
          <w:b/>
          <w:color w:val="002060"/>
        </w:rPr>
        <w:instrText xml:space="preserve"> SEQ Ilustrācija \* ARABIC \s 1 </w:instrText>
      </w:r>
      <w:r w:rsidRPr="002809B6">
        <w:rPr>
          <w:b/>
          <w:color w:val="002060"/>
        </w:rPr>
        <w:fldChar w:fldCharType="separate"/>
      </w:r>
      <w:r w:rsidR="00224B50">
        <w:rPr>
          <w:b/>
          <w:noProof/>
          <w:color w:val="002060"/>
        </w:rPr>
        <w:t>9</w:t>
      </w:r>
      <w:r w:rsidRPr="002809B6">
        <w:rPr>
          <w:b/>
          <w:color w:val="002060"/>
        </w:rPr>
        <w:fldChar w:fldCharType="end"/>
      </w:r>
      <w:bookmarkEnd w:id="214"/>
      <w:r w:rsidR="00255CC4" w:rsidRPr="002809B6">
        <w:rPr>
          <w:b/>
          <w:color w:val="002060"/>
        </w:rPr>
        <w:t xml:space="preserve">. attēls. </w:t>
      </w:r>
      <w:r w:rsidR="009B24CF" w:rsidRPr="002809B6">
        <w:rPr>
          <w:b/>
          <w:color w:val="002060"/>
        </w:rPr>
        <w:t xml:space="preserve">Mājsaimniecību sadalījums pēc kvintiļu grupām </w:t>
      </w:r>
      <w:r w:rsidR="00255CC4" w:rsidRPr="002809B6">
        <w:rPr>
          <w:b/>
          <w:color w:val="002060"/>
        </w:rPr>
        <w:t>2016. gadā sadalījumā pa reģioniem (%)</w:t>
      </w:r>
      <w:bookmarkEnd w:id="215"/>
      <w:bookmarkEnd w:id="216"/>
    </w:p>
    <w:p w:rsidR="00255CC4" w:rsidRDefault="00255CC4" w:rsidP="00255CC4">
      <w:pPr>
        <w:pStyle w:val="ListParagraph"/>
        <w:ind w:left="0"/>
        <w:rPr>
          <w:bCs/>
        </w:rPr>
      </w:pPr>
      <w:r w:rsidRPr="00230DC2">
        <w:rPr>
          <w:noProof/>
        </w:rPr>
        <w:drawing>
          <wp:inline distT="0" distB="0" distL="0" distR="0">
            <wp:extent cx="5867400" cy="3109451"/>
            <wp:effectExtent l="1905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5873007" cy="3112422"/>
                    </a:xfrm>
                    <a:prstGeom prst="rect">
                      <a:avLst/>
                    </a:prstGeom>
                    <a:noFill/>
                    <a:ln w="9525">
                      <a:noFill/>
                      <a:miter lim="800000"/>
                      <a:headEnd/>
                      <a:tailEnd/>
                    </a:ln>
                  </pic:spPr>
                </pic:pic>
              </a:graphicData>
            </a:graphic>
          </wp:inline>
        </w:drawing>
      </w:r>
    </w:p>
    <w:p w:rsidR="00255CC4" w:rsidRPr="007F0264" w:rsidRDefault="00255CC4" w:rsidP="00255CC4">
      <w:pPr>
        <w:rPr>
          <w:sz w:val="20"/>
          <w:szCs w:val="20"/>
        </w:rPr>
      </w:pPr>
      <w:r w:rsidRPr="007F0264">
        <w:rPr>
          <w:sz w:val="20"/>
          <w:szCs w:val="20"/>
        </w:rPr>
        <w:t>Avots: CSP, MVG070. Mājsaimniecību sadalījums pēc kvintiļu grupām (%)</w:t>
      </w:r>
    </w:p>
    <w:p w:rsidR="00373D88" w:rsidRDefault="00373D88">
      <w:pPr>
        <w:spacing w:line="240" w:lineRule="auto"/>
        <w:jc w:val="left"/>
        <w:rPr>
          <w:b/>
          <w:bCs/>
          <w:color w:val="244061" w:themeColor="accent1" w:themeShade="80"/>
          <w:szCs w:val="18"/>
        </w:rPr>
      </w:pPr>
      <w:bookmarkStart w:id="217" w:name="_Toc6220080"/>
      <w:r>
        <w:br w:type="page"/>
      </w:r>
    </w:p>
    <w:p w:rsidR="00255CC4" w:rsidRDefault="00AD3EDD" w:rsidP="008C6B83">
      <w:pPr>
        <w:pStyle w:val="Caption"/>
      </w:pPr>
      <w:r>
        <w:lastRenderedPageBreak/>
        <w:fldChar w:fldCharType="begin"/>
      </w:r>
      <w:r w:rsidR="00A46B54">
        <w:instrText xml:space="preserve"> STYLEREF 1 \s </w:instrText>
      </w:r>
      <w:r>
        <w:fldChar w:fldCharType="separate"/>
      </w:r>
      <w:bookmarkStart w:id="218" w:name="_Toc6857655"/>
      <w:r w:rsidR="00224B50">
        <w:rPr>
          <w:noProof/>
        </w:rPr>
        <w:t>1</w:t>
      </w:r>
      <w:r>
        <w:fldChar w:fldCharType="end"/>
      </w:r>
      <w:r w:rsidR="00A46B54">
        <w:t>.</w:t>
      </w:r>
      <w:r w:rsidR="00446171">
        <w:t>16</w:t>
      </w:r>
      <w:r w:rsidR="00255CC4" w:rsidRPr="00315872">
        <w:t xml:space="preserve">. </w:t>
      </w:r>
      <w:r w:rsidR="00255CC4">
        <w:t>tabula</w:t>
      </w:r>
      <w:r w:rsidR="00255CC4" w:rsidRPr="00315872">
        <w:t xml:space="preserve">. </w:t>
      </w:r>
      <w:r w:rsidR="009B24CF" w:rsidRPr="001C1A95">
        <w:t xml:space="preserve">Mājsaimniecību </w:t>
      </w:r>
      <w:r w:rsidR="009B24CF">
        <w:t>sadalījums</w:t>
      </w:r>
      <w:r w:rsidR="009B24CF" w:rsidRPr="001C1A95">
        <w:t xml:space="preserve"> </w:t>
      </w:r>
      <w:r w:rsidR="009B24CF">
        <w:t xml:space="preserve">pēc </w:t>
      </w:r>
      <w:r w:rsidR="009B24CF" w:rsidRPr="001C1A95">
        <w:t>kvintiļu grupā</w:t>
      </w:r>
      <w:r w:rsidR="009B24CF">
        <w:t>m</w:t>
      </w:r>
      <w:r w:rsidR="009B24CF" w:rsidRPr="001C1A95">
        <w:t xml:space="preserve"> 201</w:t>
      </w:r>
      <w:r w:rsidR="009B24CF">
        <w:t>6</w:t>
      </w:r>
      <w:r w:rsidR="009B24CF" w:rsidRPr="001C1A95">
        <w:t xml:space="preserve">. gadā </w:t>
      </w:r>
      <w:r w:rsidR="009B24CF">
        <w:t xml:space="preserve">reģionos (%) </w:t>
      </w:r>
      <w:bookmarkEnd w:id="217"/>
      <w:bookmarkEnd w:id="218"/>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1134"/>
        <w:gridCol w:w="1276"/>
        <w:gridCol w:w="1276"/>
        <w:gridCol w:w="1188"/>
        <w:gridCol w:w="1090"/>
        <w:gridCol w:w="1090"/>
      </w:tblGrid>
      <w:tr w:rsidR="00255CC4" w:rsidRPr="00BC22F8" w:rsidTr="00BC22F8">
        <w:trPr>
          <w:trHeight w:val="300"/>
        </w:trPr>
        <w:tc>
          <w:tcPr>
            <w:tcW w:w="2268" w:type="dxa"/>
            <w:shd w:val="clear" w:color="auto" w:fill="B8CCE4" w:themeFill="accent1" w:themeFillTint="66"/>
            <w:noWrap/>
            <w:vAlign w:val="center"/>
            <w:hideMark/>
          </w:tcPr>
          <w:p w:rsidR="00255CC4" w:rsidRPr="00BC22F8" w:rsidRDefault="00255CC4" w:rsidP="00255CC4">
            <w:pPr>
              <w:spacing w:line="240" w:lineRule="auto"/>
              <w:jc w:val="left"/>
              <w:rPr>
                <w:rFonts w:eastAsia="Times New Roman"/>
                <w:b/>
                <w:color w:val="002060"/>
                <w:sz w:val="22"/>
                <w:szCs w:val="22"/>
              </w:rPr>
            </w:pPr>
          </w:p>
          <w:p w:rsidR="00255CC4" w:rsidRPr="00BC22F8" w:rsidRDefault="00255CC4" w:rsidP="00255CC4">
            <w:pPr>
              <w:spacing w:line="240" w:lineRule="auto"/>
              <w:jc w:val="left"/>
              <w:rPr>
                <w:rFonts w:eastAsia="Times New Roman"/>
                <w:b/>
                <w:color w:val="002060"/>
                <w:sz w:val="22"/>
                <w:szCs w:val="22"/>
              </w:rPr>
            </w:pPr>
            <w:r w:rsidRPr="00BC22F8">
              <w:rPr>
                <w:rFonts w:eastAsia="Times New Roman"/>
                <w:b/>
                <w:color w:val="002060"/>
                <w:sz w:val="22"/>
                <w:szCs w:val="22"/>
              </w:rPr>
              <w:t>Statistiskais reģions</w:t>
            </w:r>
          </w:p>
          <w:p w:rsidR="00255CC4" w:rsidRPr="00BC22F8" w:rsidRDefault="00255CC4" w:rsidP="00255CC4">
            <w:pPr>
              <w:spacing w:line="240" w:lineRule="auto"/>
              <w:jc w:val="left"/>
              <w:rPr>
                <w:rFonts w:eastAsia="Times New Roman"/>
                <w:b/>
                <w:color w:val="002060"/>
                <w:sz w:val="22"/>
                <w:szCs w:val="22"/>
              </w:rPr>
            </w:pPr>
          </w:p>
        </w:tc>
        <w:tc>
          <w:tcPr>
            <w:tcW w:w="1134" w:type="dxa"/>
            <w:shd w:val="clear" w:color="auto" w:fill="B8CCE4" w:themeFill="accent1" w:themeFillTint="66"/>
            <w:noWrap/>
            <w:vAlign w:val="center"/>
            <w:hideMark/>
          </w:tcPr>
          <w:p w:rsidR="00255CC4" w:rsidRPr="00BC22F8" w:rsidRDefault="00255CC4" w:rsidP="00255CC4">
            <w:pPr>
              <w:spacing w:line="240" w:lineRule="auto"/>
              <w:jc w:val="center"/>
              <w:rPr>
                <w:rFonts w:eastAsia="Times New Roman"/>
                <w:b/>
                <w:color w:val="002060"/>
                <w:sz w:val="22"/>
                <w:szCs w:val="22"/>
              </w:rPr>
            </w:pPr>
            <w:r w:rsidRPr="00BC22F8">
              <w:rPr>
                <w:rFonts w:eastAsia="Times New Roman"/>
                <w:b/>
                <w:color w:val="002060"/>
                <w:sz w:val="22"/>
                <w:szCs w:val="22"/>
              </w:rPr>
              <w:t>Gads</w:t>
            </w:r>
          </w:p>
        </w:tc>
        <w:tc>
          <w:tcPr>
            <w:tcW w:w="1276" w:type="dxa"/>
            <w:shd w:val="clear" w:color="auto" w:fill="B8CCE4" w:themeFill="accent1" w:themeFillTint="66"/>
            <w:noWrap/>
            <w:vAlign w:val="center"/>
            <w:hideMark/>
          </w:tcPr>
          <w:p w:rsidR="00255CC4" w:rsidRPr="00BC22F8" w:rsidRDefault="00255CC4" w:rsidP="00255CC4">
            <w:pPr>
              <w:spacing w:line="240" w:lineRule="auto"/>
              <w:jc w:val="left"/>
              <w:rPr>
                <w:rFonts w:eastAsia="Times New Roman"/>
                <w:b/>
                <w:color w:val="002060"/>
                <w:sz w:val="22"/>
                <w:szCs w:val="22"/>
              </w:rPr>
            </w:pPr>
            <w:r w:rsidRPr="00BC22F8">
              <w:rPr>
                <w:rFonts w:eastAsia="Times New Roman"/>
                <w:b/>
                <w:color w:val="002060"/>
                <w:sz w:val="22"/>
                <w:szCs w:val="22"/>
              </w:rPr>
              <w:t>1.kvintile</w:t>
            </w:r>
          </w:p>
        </w:tc>
        <w:tc>
          <w:tcPr>
            <w:tcW w:w="1276" w:type="dxa"/>
            <w:shd w:val="clear" w:color="auto" w:fill="B8CCE4" w:themeFill="accent1" w:themeFillTint="66"/>
            <w:noWrap/>
            <w:vAlign w:val="center"/>
            <w:hideMark/>
          </w:tcPr>
          <w:p w:rsidR="00255CC4" w:rsidRPr="00BC22F8" w:rsidRDefault="00255CC4" w:rsidP="00255CC4">
            <w:pPr>
              <w:spacing w:line="240" w:lineRule="auto"/>
              <w:jc w:val="left"/>
              <w:rPr>
                <w:rFonts w:eastAsia="Times New Roman"/>
                <w:b/>
                <w:color w:val="002060"/>
                <w:sz w:val="22"/>
                <w:szCs w:val="22"/>
              </w:rPr>
            </w:pPr>
            <w:r w:rsidRPr="00BC22F8">
              <w:rPr>
                <w:rFonts w:eastAsia="Times New Roman"/>
                <w:b/>
                <w:color w:val="002060"/>
                <w:sz w:val="22"/>
                <w:szCs w:val="22"/>
              </w:rPr>
              <w:t>2.kvintile</w:t>
            </w:r>
          </w:p>
        </w:tc>
        <w:tc>
          <w:tcPr>
            <w:tcW w:w="1188" w:type="dxa"/>
            <w:shd w:val="clear" w:color="auto" w:fill="B8CCE4" w:themeFill="accent1" w:themeFillTint="66"/>
            <w:noWrap/>
            <w:vAlign w:val="center"/>
            <w:hideMark/>
          </w:tcPr>
          <w:p w:rsidR="00255CC4" w:rsidRPr="00BC22F8" w:rsidRDefault="00255CC4" w:rsidP="00255CC4">
            <w:pPr>
              <w:spacing w:line="240" w:lineRule="auto"/>
              <w:jc w:val="left"/>
              <w:rPr>
                <w:rFonts w:eastAsia="Times New Roman"/>
                <w:b/>
                <w:color w:val="002060"/>
                <w:sz w:val="22"/>
                <w:szCs w:val="22"/>
              </w:rPr>
            </w:pPr>
            <w:r w:rsidRPr="00BC22F8">
              <w:rPr>
                <w:rFonts w:eastAsia="Times New Roman"/>
                <w:b/>
                <w:color w:val="002060"/>
                <w:sz w:val="22"/>
                <w:szCs w:val="22"/>
              </w:rPr>
              <w:t>3.kvintile</w:t>
            </w:r>
          </w:p>
        </w:tc>
        <w:tc>
          <w:tcPr>
            <w:tcW w:w="1090" w:type="dxa"/>
            <w:shd w:val="clear" w:color="auto" w:fill="B8CCE4" w:themeFill="accent1" w:themeFillTint="66"/>
            <w:noWrap/>
            <w:vAlign w:val="center"/>
            <w:hideMark/>
          </w:tcPr>
          <w:p w:rsidR="00255CC4" w:rsidRPr="00BC22F8" w:rsidRDefault="00255CC4" w:rsidP="00255CC4">
            <w:pPr>
              <w:spacing w:line="240" w:lineRule="auto"/>
              <w:jc w:val="left"/>
              <w:rPr>
                <w:rFonts w:eastAsia="Times New Roman"/>
                <w:b/>
                <w:color w:val="002060"/>
                <w:sz w:val="22"/>
                <w:szCs w:val="22"/>
              </w:rPr>
            </w:pPr>
            <w:r w:rsidRPr="00BC22F8">
              <w:rPr>
                <w:rFonts w:eastAsia="Times New Roman"/>
                <w:b/>
                <w:color w:val="002060"/>
                <w:sz w:val="22"/>
                <w:szCs w:val="22"/>
              </w:rPr>
              <w:t>4.kvintile</w:t>
            </w:r>
          </w:p>
        </w:tc>
        <w:tc>
          <w:tcPr>
            <w:tcW w:w="1090" w:type="dxa"/>
            <w:shd w:val="clear" w:color="auto" w:fill="B8CCE4" w:themeFill="accent1" w:themeFillTint="66"/>
            <w:noWrap/>
            <w:vAlign w:val="center"/>
            <w:hideMark/>
          </w:tcPr>
          <w:p w:rsidR="00255CC4" w:rsidRPr="00BC22F8" w:rsidRDefault="00255CC4" w:rsidP="00255CC4">
            <w:pPr>
              <w:spacing w:line="240" w:lineRule="auto"/>
              <w:jc w:val="left"/>
              <w:rPr>
                <w:rFonts w:eastAsia="Times New Roman"/>
                <w:b/>
                <w:color w:val="002060"/>
                <w:sz w:val="22"/>
                <w:szCs w:val="22"/>
              </w:rPr>
            </w:pPr>
            <w:r w:rsidRPr="00BC22F8">
              <w:rPr>
                <w:rFonts w:eastAsia="Times New Roman"/>
                <w:b/>
                <w:color w:val="002060"/>
                <w:sz w:val="22"/>
                <w:szCs w:val="22"/>
              </w:rPr>
              <w:t>5.kvintile</w:t>
            </w:r>
          </w:p>
        </w:tc>
      </w:tr>
      <w:tr w:rsidR="00255CC4" w:rsidRPr="001D3E93" w:rsidTr="00BC22F8">
        <w:trPr>
          <w:trHeight w:val="300"/>
        </w:trPr>
        <w:tc>
          <w:tcPr>
            <w:tcW w:w="2268" w:type="dxa"/>
            <w:vMerge w:val="restart"/>
            <w:shd w:val="clear" w:color="auto" w:fill="auto"/>
            <w:noWrap/>
            <w:vAlign w:val="center"/>
            <w:hideMark/>
          </w:tcPr>
          <w:p w:rsidR="00255CC4" w:rsidRPr="002A3B78" w:rsidRDefault="00255CC4" w:rsidP="00255CC4">
            <w:pPr>
              <w:spacing w:line="240" w:lineRule="auto"/>
              <w:jc w:val="left"/>
              <w:rPr>
                <w:rFonts w:eastAsia="Times New Roman"/>
                <w:b/>
                <w:color w:val="000000"/>
                <w:sz w:val="22"/>
                <w:szCs w:val="22"/>
              </w:rPr>
            </w:pPr>
            <w:r w:rsidRPr="002A3B78">
              <w:rPr>
                <w:rFonts w:eastAsia="Times New Roman"/>
                <w:b/>
                <w:color w:val="000000"/>
                <w:sz w:val="22"/>
                <w:szCs w:val="22"/>
              </w:rPr>
              <w:t>Rīgas reģions</w:t>
            </w:r>
          </w:p>
        </w:tc>
        <w:tc>
          <w:tcPr>
            <w:tcW w:w="1134" w:type="dxa"/>
            <w:shd w:val="clear" w:color="auto" w:fill="auto"/>
            <w:noWrap/>
            <w:vAlign w:val="bottom"/>
            <w:hideMark/>
          </w:tcPr>
          <w:p w:rsidR="00255CC4" w:rsidRPr="001D3E93" w:rsidRDefault="00255CC4" w:rsidP="00255CC4">
            <w:pPr>
              <w:spacing w:line="240" w:lineRule="auto"/>
              <w:jc w:val="center"/>
              <w:rPr>
                <w:rFonts w:eastAsia="Times New Roman"/>
                <w:color w:val="000000"/>
                <w:sz w:val="22"/>
                <w:szCs w:val="22"/>
              </w:rPr>
            </w:pPr>
            <w:r w:rsidRPr="001D3E93">
              <w:rPr>
                <w:rFonts w:eastAsia="Times New Roman"/>
                <w:color w:val="000000"/>
                <w:sz w:val="22"/>
                <w:szCs w:val="22"/>
              </w:rPr>
              <w:t>2014</w:t>
            </w:r>
          </w:p>
        </w:tc>
        <w:tc>
          <w:tcPr>
            <w:tcW w:w="1276" w:type="dxa"/>
            <w:shd w:val="clear" w:color="auto" w:fill="auto"/>
            <w:noWrap/>
            <w:vAlign w:val="bottom"/>
            <w:hideMark/>
          </w:tcPr>
          <w:p w:rsidR="00255CC4" w:rsidRPr="004F63DC" w:rsidRDefault="00255CC4" w:rsidP="00255CC4">
            <w:pPr>
              <w:spacing w:line="240" w:lineRule="auto"/>
              <w:jc w:val="center"/>
              <w:rPr>
                <w:rFonts w:eastAsia="Times New Roman"/>
                <w:sz w:val="22"/>
                <w:szCs w:val="22"/>
              </w:rPr>
            </w:pPr>
            <w:r w:rsidRPr="004F63DC">
              <w:rPr>
                <w:rFonts w:eastAsia="Times New Roman"/>
                <w:sz w:val="22"/>
                <w:szCs w:val="22"/>
              </w:rPr>
              <w:t>11,3</w:t>
            </w:r>
          </w:p>
        </w:tc>
        <w:tc>
          <w:tcPr>
            <w:tcW w:w="1276" w:type="dxa"/>
            <w:shd w:val="clear" w:color="auto" w:fill="auto"/>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17,5</w:t>
            </w:r>
          </w:p>
        </w:tc>
        <w:tc>
          <w:tcPr>
            <w:tcW w:w="1188" w:type="dxa"/>
            <w:shd w:val="clear" w:color="auto" w:fill="auto"/>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19,3</w:t>
            </w:r>
          </w:p>
        </w:tc>
        <w:tc>
          <w:tcPr>
            <w:tcW w:w="1090" w:type="dxa"/>
            <w:shd w:val="clear" w:color="auto" w:fill="auto"/>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23,1</w:t>
            </w:r>
          </w:p>
        </w:tc>
        <w:tc>
          <w:tcPr>
            <w:tcW w:w="1090" w:type="dxa"/>
            <w:shd w:val="clear" w:color="auto" w:fill="auto"/>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28,8</w:t>
            </w:r>
          </w:p>
        </w:tc>
      </w:tr>
      <w:tr w:rsidR="00255CC4" w:rsidRPr="001D3E93" w:rsidTr="00BC22F8">
        <w:trPr>
          <w:trHeight w:val="300"/>
        </w:trPr>
        <w:tc>
          <w:tcPr>
            <w:tcW w:w="2268" w:type="dxa"/>
            <w:vMerge/>
            <w:shd w:val="clear" w:color="auto" w:fill="auto"/>
            <w:noWrap/>
            <w:vAlign w:val="center"/>
            <w:hideMark/>
          </w:tcPr>
          <w:p w:rsidR="00255CC4" w:rsidRPr="002A3B78" w:rsidRDefault="00255CC4" w:rsidP="00255CC4">
            <w:pPr>
              <w:spacing w:line="240" w:lineRule="auto"/>
              <w:jc w:val="left"/>
              <w:rPr>
                <w:rFonts w:eastAsia="Times New Roman"/>
                <w:b/>
                <w:color w:val="000000"/>
                <w:sz w:val="22"/>
                <w:szCs w:val="22"/>
              </w:rPr>
            </w:pPr>
          </w:p>
        </w:tc>
        <w:tc>
          <w:tcPr>
            <w:tcW w:w="1134" w:type="dxa"/>
            <w:shd w:val="clear" w:color="auto" w:fill="auto"/>
            <w:noWrap/>
            <w:vAlign w:val="bottom"/>
            <w:hideMark/>
          </w:tcPr>
          <w:p w:rsidR="00255CC4" w:rsidRPr="001D3E93" w:rsidRDefault="00255CC4" w:rsidP="00255CC4">
            <w:pPr>
              <w:spacing w:line="240" w:lineRule="auto"/>
              <w:jc w:val="center"/>
              <w:rPr>
                <w:rFonts w:eastAsia="Times New Roman"/>
                <w:color w:val="000000"/>
                <w:sz w:val="22"/>
                <w:szCs w:val="22"/>
              </w:rPr>
            </w:pPr>
            <w:r w:rsidRPr="001D3E93">
              <w:rPr>
                <w:rFonts w:eastAsia="Times New Roman"/>
                <w:color w:val="000000"/>
                <w:sz w:val="22"/>
                <w:szCs w:val="22"/>
              </w:rPr>
              <w:t>2015</w:t>
            </w:r>
          </w:p>
        </w:tc>
        <w:tc>
          <w:tcPr>
            <w:tcW w:w="1276" w:type="dxa"/>
            <w:shd w:val="clear" w:color="auto" w:fill="auto"/>
            <w:noWrap/>
            <w:vAlign w:val="bottom"/>
            <w:hideMark/>
          </w:tcPr>
          <w:p w:rsidR="00255CC4" w:rsidRPr="004F63DC" w:rsidRDefault="00255CC4" w:rsidP="00255CC4">
            <w:pPr>
              <w:spacing w:line="240" w:lineRule="auto"/>
              <w:jc w:val="center"/>
              <w:rPr>
                <w:rFonts w:eastAsia="Times New Roman"/>
                <w:sz w:val="22"/>
                <w:szCs w:val="22"/>
              </w:rPr>
            </w:pPr>
            <w:r w:rsidRPr="004F63DC">
              <w:rPr>
                <w:rFonts w:eastAsia="Times New Roman"/>
                <w:sz w:val="22"/>
                <w:szCs w:val="22"/>
              </w:rPr>
              <w:t>11,4</w:t>
            </w:r>
          </w:p>
        </w:tc>
        <w:tc>
          <w:tcPr>
            <w:tcW w:w="1276" w:type="dxa"/>
            <w:shd w:val="clear" w:color="auto" w:fill="auto"/>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16,9</w:t>
            </w:r>
          </w:p>
        </w:tc>
        <w:tc>
          <w:tcPr>
            <w:tcW w:w="1188" w:type="dxa"/>
            <w:shd w:val="clear" w:color="auto" w:fill="auto"/>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20,3</w:t>
            </w:r>
          </w:p>
        </w:tc>
        <w:tc>
          <w:tcPr>
            <w:tcW w:w="1090" w:type="dxa"/>
            <w:shd w:val="clear" w:color="auto" w:fill="auto"/>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21,8</w:t>
            </w:r>
          </w:p>
        </w:tc>
        <w:tc>
          <w:tcPr>
            <w:tcW w:w="1090" w:type="dxa"/>
            <w:shd w:val="clear" w:color="auto" w:fill="auto"/>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29,6</w:t>
            </w:r>
          </w:p>
        </w:tc>
      </w:tr>
      <w:tr w:rsidR="00255CC4" w:rsidRPr="001D3E93" w:rsidTr="00BC22F8">
        <w:trPr>
          <w:trHeight w:val="300"/>
        </w:trPr>
        <w:tc>
          <w:tcPr>
            <w:tcW w:w="2268" w:type="dxa"/>
            <w:vMerge/>
            <w:shd w:val="clear" w:color="auto" w:fill="auto"/>
            <w:noWrap/>
            <w:vAlign w:val="center"/>
            <w:hideMark/>
          </w:tcPr>
          <w:p w:rsidR="00255CC4" w:rsidRPr="002A3B78" w:rsidRDefault="00255CC4" w:rsidP="00255CC4">
            <w:pPr>
              <w:spacing w:line="240" w:lineRule="auto"/>
              <w:jc w:val="left"/>
              <w:rPr>
                <w:rFonts w:eastAsia="Times New Roman"/>
                <w:b/>
                <w:color w:val="000000"/>
                <w:sz w:val="22"/>
                <w:szCs w:val="22"/>
              </w:rPr>
            </w:pPr>
          </w:p>
        </w:tc>
        <w:tc>
          <w:tcPr>
            <w:tcW w:w="1134" w:type="dxa"/>
            <w:shd w:val="clear" w:color="auto" w:fill="auto"/>
            <w:noWrap/>
            <w:vAlign w:val="bottom"/>
            <w:hideMark/>
          </w:tcPr>
          <w:p w:rsidR="00255CC4" w:rsidRPr="001D3E93" w:rsidRDefault="00255CC4" w:rsidP="00255CC4">
            <w:pPr>
              <w:spacing w:line="240" w:lineRule="auto"/>
              <w:jc w:val="center"/>
              <w:rPr>
                <w:rFonts w:eastAsia="Times New Roman"/>
                <w:color w:val="000000"/>
                <w:sz w:val="22"/>
                <w:szCs w:val="22"/>
              </w:rPr>
            </w:pPr>
            <w:r w:rsidRPr="001D3E93">
              <w:rPr>
                <w:rFonts w:eastAsia="Times New Roman"/>
                <w:color w:val="000000"/>
                <w:sz w:val="22"/>
                <w:szCs w:val="22"/>
              </w:rPr>
              <w:t>2016</w:t>
            </w:r>
          </w:p>
        </w:tc>
        <w:tc>
          <w:tcPr>
            <w:tcW w:w="1276" w:type="dxa"/>
            <w:shd w:val="clear" w:color="auto" w:fill="auto"/>
            <w:noWrap/>
            <w:vAlign w:val="bottom"/>
            <w:hideMark/>
          </w:tcPr>
          <w:p w:rsidR="00255CC4" w:rsidRPr="004F63DC" w:rsidRDefault="00255CC4" w:rsidP="00255CC4">
            <w:pPr>
              <w:spacing w:line="240" w:lineRule="auto"/>
              <w:jc w:val="center"/>
              <w:rPr>
                <w:rFonts w:eastAsia="Times New Roman"/>
                <w:sz w:val="22"/>
                <w:szCs w:val="22"/>
              </w:rPr>
            </w:pPr>
            <w:r w:rsidRPr="004F63DC">
              <w:rPr>
                <w:rFonts w:eastAsia="Times New Roman"/>
                <w:sz w:val="22"/>
                <w:szCs w:val="22"/>
              </w:rPr>
              <w:t>11,5</w:t>
            </w:r>
          </w:p>
        </w:tc>
        <w:tc>
          <w:tcPr>
            <w:tcW w:w="1276" w:type="dxa"/>
            <w:shd w:val="clear" w:color="auto" w:fill="auto"/>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16,3</w:t>
            </w:r>
          </w:p>
        </w:tc>
        <w:tc>
          <w:tcPr>
            <w:tcW w:w="1188" w:type="dxa"/>
            <w:shd w:val="clear" w:color="auto" w:fill="auto"/>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19,7</w:t>
            </w:r>
          </w:p>
        </w:tc>
        <w:tc>
          <w:tcPr>
            <w:tcW w:w="1090" w:type="dxa"/>
            <w:shd w:val="clear" w:color="auto" w:fill="auto"/>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23,2</w:t>
            </w:r>
          </w:p>
        </w:tc>
        <w:tc>
          <w:tcPr>
            <w:tcW w:w="1090" w:type="dxa"/>
            <w:shd w:val="clear" w:color="auto" w:fill="auto"/>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29,2</w:t>
            </w:r>
          </w:p>
        </w:tc>
      </w:tr>
      <w:tr w:rsidR="00255CC4" w:rsidRPr="001D3E93" w:rsidTr="00BC22F8">
        <w:trPr>
          <w:trHeight w:val="300"/>
        </w:trPr>
        <w:tc>
          <w:tcPr>
            <w:tcW w:w="2268" w:type="dxa"/>
            <w:vMerge w:val="restart"/>
            <w:shd w:val="clear" w:color="auto" w:fill="D9D9D9" w:themeFill="background1" w:themeFillShade="D9"/>
            <w:noWrap/>
            <w:vAlign w:val="center"/>
            <w:hideMark/>
          </w:tcPr>
          <w:p w:rsidR="00255CC4" w:rsidRPr="002A3B78" w:rsidRDefault="00255CC4" w:rsidP="00255CC4">
            <w:pPr>
              <w:spacing w:line="240" w:lineRule="auto"/>
              <w:jc w:val="left"/>
              <w:rPr>
                <w:rFonts w:eastAsia="Times New Roman"/>
                <w:b/>
                <w:color w:val="000000"/>
                <w:sz w:val="22"/>
                <w:szCs w:val="22"/>
              </w:rPr>
            </w:pPr>
            <w:r w:rsidRPr="002A3B78">
              <w:rPr>
                <w:rFonts w:eastAsia="Times New Roman"/>
                <w:b/>
                <w:color w:val="000000"/>
                <w:sz w:val="22"/>
                <w:szCs w:val="22"/>
              </w:rPr>
              <w:t>Kurzemes reģions</w:t>
            </w:r>
          </w:p>
        </w:tc>
        <w:tc>
          <w:tcPr>
            <w:tcW w:w="1134" w:type="dxa"/>
            <w:shd w:val="clear" w:color="auto" w:fill="D9D9D9" w:themeFill="background1" w:themeFillShade="D9"/>
            <w:noWrap/>
            <w:vAlign w:val="bottom"/>
            <w:hideMark/>
          </w:tcPr>
          <w:p w:rsidR="00255CC4" w:rsidRPr="001D3E93" w:rsidRDefault="00255CC4" w:rsidP="00255CC4">
            <w:pPr>
              <w:spacing w:line="240" w:lineRule="auto"/>
              <w:jc w:val="center"/>
              <w:rPr>
                <w:rFonts w:eastAsia="Times New Roman"/>
                <w:color w:val="000000"/>
                <w:sz w:val="22"/>
                <w:szCs w:val="22"/>
              </w:rPr>
            </w:pPr>
            <w:r w:rsidRPr="001D3E93">
              <w:rPr>
                <w:rFonts w:eastAsia="Times New Roman"/>
                <w:color w:val="000000"/>
                <w:sz w:val="22"/>
                <w:szCs w:val="22"/>
              </w:rPr>
              <w:t>2014</w:t>
            </w:r>
          </w:p>
        </w:tc>
        <w:tc>
          <w:tcPr>
            <w:tcW w:w="1276" w:type="dxa"/>
            <w:shd w:val="clear" w:color="auto" w:fill="D9D9D9" w:themeFill="background1" w:themeFillShade="D9"/>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19,5</w:t>
            </w:r>
          </w:p>
        </w:tc>
        <w:tc>
          <w:tcPr>
            <w:tcW w:w="1276"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b/>
                <w:sz w:val="22"/>
                <w:szCs w:val="22"/>
              </w:rPr>
            </w:pPr>
            <w:r w:rsidRPr="004F63DC">
              <w:rPr>
                <w:rFonts w:eastAsia="Times New Roman"/>
                <w:b/>
                <w:sz w:val="22"/>
                <w:szCs w:val="22"/>
              </w:rPr>
              <w:t>20,3</w:t>
            </w:r>
          </w:p>
        </w:tc>
        <w:tc>
          <w:tcPr>
            <w:tcW w:w="1188"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b/>
                <w:sz w:val="22"/>
                <w:szCs w:val="22"/>
              </w:rPr>
            </w:pPr>
            <w:r w:rsidRPr="004F63DC">
              <w:rPr>
                <w:rFonts w:eastAsia="Times New Roman"/>
                <w:b/>
                <w:sz w:val="22"/>
                <w:szCs w:val="22"/>
              </w:rPr>
              <w:t>22,4</w:t>
            </w:r>
          </w:p>
        </w:tc>
        <w:tc>
          <w:tcPr>
            <w:tcW w:w="1090"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b/>
                <w:sz w:val="22"/>
                <w:szCs w:val="22"/>
              </w:rPr>
            </w:pPr>
            <w:r w:rsidRPr="004F63DC">
              <w:rPr>
                <w:rFonts w:eastAsia="Times New Roman"/>
                <w:b/>
                <w:sz w:val="22"/>
                <w:szCs w:val="22"/>
              </w:rPr>
              <w:t>20,4</w:t>
            </w:r>
          </w:p>
        </w:tc>
        <w:tc>
          <w:tcPr>
            <w:tcW w:w="1090" w:type="dxa"/>
            <w:shd w:val="clear" w:color="auto" w:fill="D9D9D9" w:themeFill="background1" w:themeFillShade="D9"/>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17,4</w:t>
            </w:r>
          </w:p>
        </w:tc>
      </w:tr>
      <w:tr w:rsidR="00255CC4" w:rsidRPr="001D3E93" w:rsidTr="00BC22F8">
        <w:trPr>
          <w:trHeight w:val="300"/>
        </w:trPr>
        <w:tc>
          <w:tcPr>
            <w:tcW w:w="2268" w:type="dxa"/>
            <w:vMerge/>
            <w:shd w:val="clear" w:color="auto" w:fill="D9D9D9" w:themeFill="background1" w:themeFillShade="D9"/>
            <w:noWrap/>
            <w:vAlign w:val="center"/>
            <w:hideMark/>
          </w:tcPr>
          <w:p w:rsidR="00255CC4" w:rsidRPr="002A3B78" w:rsidRDefault="00255CC4" w:rsidP="00255CC4">
            <w:pPr>
              <w:spacing w:line="240" w:lineRule="auto"/>
              <w:jc w:val="left"/>
              <w:rPr>
                <w:rFonts w:eastAsia="Times New Roman"/>
                <w:b/>
                <w:color w:val="000000"/>
                <w:sz w:val="22"/>
                <w:szCs w:val="22"/>
              </w:rPr>
            </w:pPr>
          </w:p>
        </w:tc>
        <w:tc>
          <w:tcPr>
            <w:tcW w:w="1134" w:type="dxa"/>
            <w:shd w:val="clear" w:color="auto" w:fill="D9D9D9" w:themeFill="background1" w:themeFillShade="D9"/>
            <w:noWrap/>
            <w:vAlign w:val="bottom"/>
            <w:hideMark/>
          </w:tcPr>
          <w:p w:rsidR="00255CC4" w:rsidRPr="001D3E93" w:rsidRDefault="00255CC4" w:rsidP="00255CC4">
            <w:pPr>
              <w:spacing w:line="240" w:lineRule="auto"/>
              <w:jc w:val="center"/>
              <w:rPr>
                <w:rFonts w:eastAsia="Times New Roman"/>
                <w:color w:val="000000"/>
                <w:sz w:val="22"/>
                <w:szCs w:val="22"/>
              </w:rPr>
            </w:pPr>
            <w:r w:rsidRPr="001D3E93">
              <w:rPr>
                <w:rFonts w:eastAsia="Times New Roman"/>
                <w:color w:val="000000"/>
                <w:sz w:val="22"/>
                <w:szCs w:val="22"/>
              </w:rPr>
              <w:t>2015</w:t>
            </w:r>
          </w:p>
        </w:tc>
        <w:tc>
          <w:tcPr>
            <w:tcW w:w="1276" w:type="dxa"/>
            <w:shd w:val="clear" w:color="auto" w:fill="D9D9D9" w:themeFill="background1" w:themeFillShade="D9"/>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20,8</w:t>
            </w:r>
          </w:p>
        </w:tc>
        <w:tc>
          <w:tcPr>
            <w:tcW w:w="1276"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b/>
                <w:sz w:val="22"/>
                <w:szCs w:val="22"/>
              </w:rPr>
            </w:pPr>
            <w:r w:rsidRPr="004F63DC">
              <w:rPr>
                <w:rFonts w:eastAsia="Times New Roman"/>
                <w:b/>
                <w:sz w:val="22"/>
                <w:szCs w:val="22"/>
              </w:rPr>
              <w:t>20,6</w:t>
            </w:r>
          </w:p>
        </w:tc>
        <w:tc>
          <w:tcPr>
            <w:tcW w:w="1188"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b/>
                <w:sz w:val="22"/>
                <w:szCs w:val="22"/>
              </w:rPr>
            </w:pPr>
            <w:r w:rsidRPr="004F63DC">
              <w:rPr>
                <w:rFonts w:eastAsia="Times New Roman"/>
                <w:b/>
                <w:sz w:val="22"/>
                <w:szCs w:val="22"/>
              </w:rPr>
              <w:t>22,3</w:t>
            </w:r>
          </w:p>
        </w:tc>
        <w:tc>
          <w:tcPr>
            <w:tcW w:w="1090"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b/>
                <w:sz w:val="22"/>
                <w:szCs w:val="22"/>
              </w:rPr>
            </w:pPr>
            <w:r w:rsidRPr="004F63DC">
              <w:rPr>
                <w:rFonts w:eastAsia="Times New Roman"/>
                <w:b/>
                <w:sz w:val="22"/>
                <w:szCs w:val="22"/>
              </w:rPr>
              <w:t>20,4</w:t>
            </w:r>
          </w:p>
        </w:tc>
        <w:tc>
          <w:tcPr>
            <w:tcW w:w="1090" w:type="dxa"/>
            <w:shd w:val="clear" w:color="auto" w:fill="D9D9D9" w:themeFill="background1" w:themeFillShade="D9"/>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15,8</w:t>
            </w:r>
          </w:p>
        </w:tc>
      </w:tr>
      <w:tr w:rsidR="00255CC4" w:rsidRPr="001D3E93" w:rsidTr="00BC22F8">
        <w:trPr>
          <w:trHeight w:val="300"/>
        </w:trPr>
        <w:tc>
          <w:tcPr>
            <w:tcW w:w="2268" w:type="dxa"/>
            <w:vMerge/>
            <w:shd w:val="clear" w:color="auto" w:fill="D9D9D9" w:themeFill="background1" w:themeFillShade="D9"/>
            <w:noWrap/>
            <w:vAlign w:val="center"/>
            <w:hideMark/>
          </w:tcPr>
          <w:p w:rsidR="00255CC4" w:rsidRPr="002A3B78" w:rsidRDefault="00255CC4" w:rsidP="00255CC4">
            <w:pPr>
              <w:spacing w:line="240" w:lineRule="auto"/>
              <w:jc w:val="left"/>
              <w:rPr>
                <w:rFonts w:eastAsia="Times New Roman"/>
                <w:b/>
                <w:color w:val="000000"/>
                <w:sz w:val="22"/>
                <w:szCs w:val="22"/>
              </w:rPr>
            </w:pPr>
          </w:p>
        </w:tc>
        <w:tc>
          <w:tcPr>
            <w:tcW w:w="1134" w:type="dxa"/>
            <w:shd w:val="clear" w:color="auto" w:fill="D9D9D9" w:themeFill="background1" w:themeFillShade="D9"/>
            <w:noWrap/>
            <w:vAlign w:val="bottom"/>
            <w:hideMark/>
          </w:tcPr>
          <w:p w:rsidR="00255CC4" w:rsidRPr="001D3E93" w:rsidRDefault="00255CC4" w:rsidP="00255CC4">
            <w:pPr>
              <w:spacing w:line="240" w:lineRule="auto"/>
              <w:jc w:val="center"/>
              <w:rPr>
                <w:rFonts w:eastAsia="Times New Roman"/>
                <w:color w:val="000000"/>
                <w:sz w:val="22"/>
                <w:szCs w:val="22"/>
              </w:rPr>
            </w:pPr>
            <w:r w:rsidRPr="001D3E93">
              <w:rPr>
                <w:rFonts w:eastAsia="Times New Roman"/>
                <w:color w:val="000000"/>
                <w:sz w:val="22"/>
                <w:szCs w:val="22"/>
              </w:rPr>
              <w:t>2016</w:t>
            </w:r>
          </w:p>
        </w:tc>
        <w:tc>
          <w:tcPr>
            <w:tcW w:w="1276" w:type="dxa"/>
            <w:shd w:val="clear" w:color="auto" w:fill="D9D9D9" w:themeFill="background1" w:themeFillShade="D9"/>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20,9</w:t>
            </w:r>
          </w:p>
        </w:tc>
        <w:tc>
          <w:tcPr>
            <w:tcW w:w="1276"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b/>
                <w:sz w:val="22"/>
                <w:szCs w:val="22"/>
              </w:rPr>
            </w:pPr>
            <w:r w:rsidRPr="004F63DC">
              <w:rPr>
                <w:rFonts w:eastAsia="Times New Roman"/>
                <w:b/>
                <w:sz w:val="22"/>
                <w:szCs w:val="22"/>
              </w:rPr>
              <w:t>20,3</w:t>
            </w:r>
          </w:p>
        </w:tc>
        <w:tc>
          <w:tcPr>
            <w:tcW w:w="1188"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b/>
                <w:sz w:val="22"/>
                <w:szCs w:val="22"/>
              </w:rPr>
            </w:pPr>
            <w:r w:rsidRPr="004F63DC">
              <w:rPr>
                <w:rFonts w:eastAsia="Times New Roman"/>
                <w:b/>
                <w:sz w:val="22"/>
                <w:szCs w:val="22"/>
              </w:rPr>
              <w:t>22,6</w:t>
            </w:r>
          </w:p>
        </w:tc>
        <w:tc>
          <w:tcPr>
            <w:tcW w:w="1090"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b/>
                <w:sz w:val="22"/>
                <w:szCs w:val="22"/>
              </w:rPr>
            </w:pPr>
            <w:r w:rsidRPr="004F63DC">
              <w:rPr>
                <w:rFonts w:eastAsia="Times New Roman"/>
                <w:b/>
                <w:sz w:val="22"/>
                <w:szCs w:val="22"/>
              </w:rPr>
              <w:t>19,6</w:t>
            </w:r>
          </w:p>
        </w:tc>
        <w:tc>
          <w:tcPr>
            <w:tcW w:w="1090" w:type="dxa"/>
            <w:shd w:val="clear" w:color="auto" w:fill="D9D9D9" w:themeFill="background1" w:themeFillShade="D9"/>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16,6</w:t>
            </w:r>
          </w:p>
        </w:tc>
      </w:tr>
      <w:tr w:rsidR="00255CC4" w:rsidRPr="001D3E93" w:rsidTr="00BC22F8">
        <w:trPr>
          <w:trHeight w:val="300"/>
        </w:trPr>
        <w:tc>
          <w:tcPr>
            <w:tcW w:w="2268" w:type="dxa"/>
            <w:vMerge w:val="restart"/>
            <w:shd w:val="clear" w:color="auto" w:fill="auto"/>
            <w:noWrap/>
            <w:vAlign w:val="center"/>
            <w:hideMark/>
          </w:tcPr>
          <w:p w:rsidR="00255CC4" w:rsidRPr="002A3B78" w:rsidRDefault="00255CC4" w:rsidP="00255CC4">
            <w:pPr>
              <w:spacing w:line="240" w:lineRule="auto"/>
              <w:jc w:val="left"/>
              <w:rPr>
                <w:rFonts w:eastAsia="Times New Roman"/>
                <w:b/>
                <w:color w:val="000000"/>
                <w:sz w:val="22"/>
                <w:szCs w:val="22"/>
              </w:rPr>
            </w:pPr>
            <w:r w:rsidRPr="002A3B78">
              <w:rPr>
                <w:rFonts w:eastAsia="Times New Roman"/>
                <w:b/>
                <w:color w:val="000000"/>
                <w:sz w:val="22"/>
                <w:szCs w:val="22"/>
              </w:rPr>
              <w:t>Pierīgas reģions</w:t>
            </w:r>
          </w:p>
        </w:tc>
        <w:tc>
          <w:tcPr>
            <w:tcW w:w="1134" w:type="dxa"/>
            <w:shd w:val="clear" w:color="auto" w:fill="auto"/>
            <w:noWrap/>
            <w:vAlign w:val="bottom"/>
            <w:hideMark/>
          </w:tcPr>
          <w:p w:rsidR="00255CC4" w:rsidRPr="001D3E93" w:rsidRDefault="00255CC4" w:rsidP="00255CC4">
            <w:pPr>
              <w:spacing w:line="240" w:lineRule="auto"/>
              <w:jc w:val="center"/>
              <w:rPr>
                <w:rFonts w:eastAsia="Times New Roman"/>
                <w:color w:val="000000"/>
                <w:sz w:val="22"/>
                <w:szCs w:val="22"/>
              </w:rPr>
            </w:pPr>
            <w:r w:rsidRPr="001D3E93">
              <w:rPr>
                <w:rFonts w:eastAsia="Times New Roman"/>
                <w:color w:val="000000"/>
                <w:sz w:val="22"/>
                <w:szCs w:val="22"/>
              </w:rPr>
              <w:t>2014</w:t>
            </w:r>
          </w:p>
        </w:tc>
        <w:tc>
          <w:tcPr>
            <w:tcW w:w="1276" w:type="dxa"/>
            <w:shd w:val="clear" w:color="auto" w:fill="auto"/>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21,1</w:t>
            </w:r>
          </w:p>
        </w:tc>
        <w:tc>
          <w:tcPr>
            <w:tcW w:w="1276" w:type="dxa"/>
            <w:shd w:val="clear" w:color="auto" w:fill="auto"/>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18,8</w:t>
            </w:r>
          </w:p>
        </w:tc>
        <w:tc>
          <w:tcPr>
            <w:tcW w:w="1188" w:type="dxa"/>
            <w:shd w:val="clear" w:color="auto" w:fill="auto"/>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17,8</w:t>
            </w:r>
          </w:p>
        </w:tc>
        <w:tc>
          <w:tcPr>
            <w:tcW w:w="1090" w:type="dxa"/>
            <w:shd w:val="clear" w:color="auto" w:fill="auto"/>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19,8</w:t>
            </w:r>
          </w:p>
        </w:tc>
        <w:tc>
          <w:tcPr>
            <w:tcW w:w="1090" w:type="dxa"/>
            <w:shd w:val="clear" w:color="auto" w:fill="auto"/>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22,5</w:t>
            </w:r>
          </w:p>
        </w:tc>
      </w:tr>
      <w:tr w:rsidR="00255CC4" w:rsidRPr="001D3E93" w:rsidTr="00BC22F8">
        <w:trPr>
          <w:trHeight w:val="300"/>
        </w:trPr>
        <w:tc>
          <w:tcPr>
            <w:tcW w:w="2268" w:type="dxa"/>
            <w:vMerge/>
            <w:shd w:val="clear" w:color="auto" w:fill="auto"/>
            <w:noWrap/>
            <w:vAlign w:val="center"/>
            <w:hideMark/>
          </w:tcPr>
          <w:p w:rsidR="00255CC4" w:rsidRPr="002A3B78" w:rsidRDefault="00255CC4" w:rsidP="00255CC4">
            <w:pPr>
              <w:spacing w:line="240" w:lineRule="auto"/>
              <w:jc w:val="left"/>
              <w:rPr>
                <w:rFonts w:eastAsia="Times New Roman"/>
                <w:b/>
                <w:color w:val="000000"/>
                <w:sz w:val="22"/>
                <w:szCs w:val="22"/>
              </w:rPr>
            </w:pPr>
          </w:p>
        </w:tc>
        <w:tc>
          <w:tcPr>
            <w:tcW w:w="1134" w:type="dxa"/>
            <w:shd w:val="clear" w:color="auto" w:fill="auto"/>
            <w:noWrap/>
            <w:vAlign w:val="bottom"/>
            <w:hideMark/>
          </w:tcPr>
          <w:p w:rsidR="00255CC4" w:rsidRPr="001D3E93" w:rsidRDefault="00255CC4" w:rsidP="00255CC4">
            <w:pPr>
              <w:spacing w:line="240" w:lineRule="auto"/>
              <w:jc w:val="center"/>
              <w:rPr>
                <w:rFonts w:eastAsia="Times New Roman"/>
                <w:color w:val="000000"/>
                <w:sz w:val="22"/>
                <w:szCs w:val="22"/>
              </w:rPr>
            </w:pPr>
            <w:r w:rsidRPr="001D3E93">
              <w:rPr>
                <w:rFonts w:eastAsia="Times New Roman"/>
                <w:color w:val="000000"/>
                <w:sz w:val="22"/>
                <w:szCs w:val="22"/>
              </w:rPr>
              <w:t>2015</w:t>
            </w:r>
          </w:p>
        </w:tc>
        <w:tc>
          <w:tcPr>
            <w:tcW w:w="1276" w:type="dxa"/>
            <w:shd w:val="clear" w:color="auto" w:fill="auto"/>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17,6</w:t>
            </w:r>
          </w:p>
        </w:tc>
        <w:tc>
          <w:tcPr>
            <w:tcW w:w="1276" w:type="dxa"/>
            <w:shd w:val="clear" w:color="auto" w:fill="auto"/>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18,2</w:t>
            </w:r>
          </w:p>
        </w:tc>
        <w:tc>
          <w:tcPr>
            <w:tcW w:w="1188" w:type="dxa"/>
            <w:shd w:val="clear" w:color="auto" w:fill="auto"/>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19,3</w:t>
            </w:r>
          </w:p>
        </w:tc>
        <w:tc>
          <w:tcPr>
            <w:tcW w:w="1090" w:type="dxa"/>
            <w:shd w:val="clear" w:color="auto" w:fill="auto"/>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20,1</w:t>
            </w:r>
          </w:p>
        </w:tc>
        <w:tc>
          <w:tcPr>
            <w:tcW w:w="1090" w:type="dxa"/>
            <w:shd w:val="clear" w:color="auto" w:fill="auto"/>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24,8</w:t>
            </w:r>
          </w:p>
        </w:tc>
      </w:tr>
      <w:tr w:rsidR="00255CC4" w:rsidRPr="001D3E93" w:rsidTr="00BC22F8">
        <w:trPr>
          <w:trHeight w:val="300"/>
        </w:trPr>
        <w:tc>
          <w:tcPr>
            <w:tcW w:w="2268" w:type="dxa"/>
            <w:vMerge/>
            <w:shd w:val="clear" w:color="auto" w:fill="auto"/>
            <w:noWrap/>
            <w:vAlign w:val="center"/>
            <w:hideMark/>
          </w:tcPr>
          <w:p w:rsidR="00255CC4" w:rsidRPr="002A3B78" w:rsidRDefault="00255CC4" w:rsidP="00255CC4">
            <w:pPr>
              <w:spacing w:line="240" w:lineRule="auto"/>
              <w:jc w:val="left"/>
              <w:rPr>
                <w:rFonts w:eastAsia="Times New Roman"/>
                <w:b/>
                <w:color w:val="000000"/>
                <w:sz w:val="22"/>
                <w:szCs w:val="22"/>
              </w:rPr>
            </w:pPr>
          </w:p>
        </w:tc>
        <w:tc>
          <w:tcPr>
            <w:tcW w:w="1134" w:type="dxa"/>
            <w:shd w:val="clear" w:color="auto" w:fill="auto"/>
            <w:noWrap/>
            <w:vAlign w:val="bottom"/>
            <w:hideMark/>
          </w:tcPr>
          <w:p w:rsidR="00255CC4" w:rsidRPr="001D3E93" w:rsidRDefault="00255CC4" w:rsidP="00255CC4">
            <w:pPr>
              <w:spacing w:line="240" w:lineRule="auto"/>
              <w:jc w:val="center"/>
              <w:rPr>
                <w:rFonts w:eastAsia="Times New Roman"/>
                <w:color w:val="000000"/>
                <w:sz w:val="22"/>
                <w:szCs w:val="22"/>
              </w:rPr>
            </w:pPr>
            <w:r w:rsidRPr="001D3E93">
              <w:rPr>
                <w:rFonts w:eastAsia="Times New Roman"/>
                <w:color w:val="000000"/>
                <w:sz w:val="22"/>
                <w:szCs w:val="22"/>
              </w:rPr>
              <w:t>2016</w:t>
            </w:r>
          </w:p>
        </w:tc>
        <w:tc>
          <w:tcPr>
            <w:tcW w:w="1276" w:type="dxa"/>
            <w:shd w:val="clear" w:color="auto" w:fill="auto"/>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17,8</w:t>
            </w:r>
          </w:p>
        </w:tc>
        <w:tc>
          <w:tcPr>
            <w:tcW w:w="1276" w:type="dxa"/>
            <w:shd w:val="clear" w:color="auto" w:fill="auto"/>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17,7</w:t>
            </w:r>
          </w:p>
        </w:tc>
        <w:tc>
          <w:tcPr>
            <w:tcW w:w="1188" w:type="dxa"/>
            <w:shd w:val="clear" w:color="auto" w:fill="auto"/>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17,9</w:t>
            </w:r>
          </w:p>
        </w:tc>
        <w:tc>
          <w:tcPr>
            <w:tcW w:w="1090" w:type="dxa"/>
            <w:shd w:val="clear" w:color="auto" w:fill="auto"/>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22,9</w:t>
            </w:r>
          </w:p>
        </w:tc>
        <w:tc>
          <w:tcPr>
            <w:tcW w:w="1090" w:type="dxa"/>
            <w:shd w:val="clear" w:color="auto" w:fill="auto"/>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23,7</w:t>
            </w:r>
          </w:p>
        </w:tc>
      </w:tr>
      <w:tr w:rsidR="00255CC4" w:rsidRPr="001D3E93" w:rsidTr="00BC22F8">
        <w:trPr>
          <w:trHeight w:val="300"/>
        </w:trPr>
        <w:tc>
          <w:tcPr>
            <w:tcW w:w="2268" w:type="dxa"/>
            <w:vMerge w:val="restart"/>
            <w:shd w:val="clear" w:color="auto" w:fill="D9D9D9" w:themeFill="background1" w:themeFillShade="D9"/>
            <w:noWrap/>
            <w:vAlign w:val="center"/>
            <w:hideMark/>
          </w:tcPr>
          <w:p w:rsidR="00255CC4" w:rsidRPr="002A3B78" w:rsidRDefault="00255CC4" w:rsidP="00255CC4">
            <w:pPr>
              <w:spacing w:line="240" w:lineRule="auto"/>
              <w:jc w:val="left"/>
              <w:rPr>
                <w:rFonts w:eastAsia="Times New Roman"/>
                <w:b/>
                <w:color w:val="000000"/>
                <w:sz w:val="22"/>
                <w:szCs w:val="22"/>
              </w:rPr>
            </w:pPr>
            <w:r w:rsidRPr="002A3B78">
              <w:rPr>
                <w:rFonts w:eastAsia="Times New Roman"/>
                <w:b/>
                <w:color w:val="000000"/>
                <w:sz w:val="22"/>
                <w:szCs w:val="22"/>
              </w:rPr>
              <w:t>Vidzemes reģions</w:t>
            </w:r>
          </w:p>
        </w:tc>
        <w:tc>
          <w:tcPr>
            <w:tcW w:w="1134" w:type="dxa"/>
            <w:shd w:val="clear" w:color="auto" w:fill="D9D9D9" w:themeFill="background1" w:themeFillShade="D9"/>
            <w:noWrap/>
            <w:vAlign w:val="bottom"/>
            <w:hideMark/>
          </w:tcPr>
          <w:p w:rsidR="00255CC4" w:rsidRPr="001D3E93" w:rsidRDefault="00255CC4" w:rsidP="00255CC4">
            <w:pPr>
              <w:spacing w:line="240" w:lineRule="auto"/>
              <w:jc w:val="center"/>
              <w:rPr>
                <w:rFonts w:eastAsia="Times New Roman"/>
                <w:color w:val="000000"/>
                <w:sz w:val="22"/>
                <w:szCs w:val="22"/>
              </w:rPr>
            </w:pPr>
            <w:r w:rsidRPr="001D3E93">
              <w:rPr>
                <w:rFonts w:eastAsia="Times New Roman"/>
                <w:color w:val="000000"/>
                <w:sz w:val="22"/>
                <w:szCs w:val="22"/>
              </w:rPr>
              <w:t>2014</w:t>
            </w:r>
          </w:p>
        </w:tc>
        <w:tc>
          <w:tcPr>
            <w:tcW w:w="1276"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26,2</w:t>
            </w:r>
          </w:p>
        </w:tc>
        <w:tc>
          <w:tcPr>
            <w:tcW w:w="1276" w:type="dxa"/>
            <w:shd w:val="clear" w:color="auto" w:fill="D9D9D9" w:themeFill="background1" w:themeFillShade="D9"/>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21,9</w:t>
            </w:r>
          </w:p>
        </w:tc>
        <w:tc>
          <w:tcPr>
            <w:tcW w:w="1188" w:type="dxa"/>
            <w:shd w:val="clear" w:color="auto" w:fill="D9D9D9" w:themeFill="background1" w:themeFillShade="D9"/>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19,6</w:t>
            </w:r>
          </w:p>
        </w:tc>
        <w:tc>
          <w:tcPr>
            <w:tcW w:w="1090" w:type="dxa"/>
            <w:shd w:val="clear" w:color="auto" w:fill="D9D9D9" w:themeFill="background1" w:themeFillShade="D9"/>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17,6</w:t>
            </w:r>
          </w:p>
        </w:tc>
        <w:tc>
          <w:tcPr>
            <w:tcW w:w="1090" w:type="dxa"/>
            <w:shd w:val="clear" w:color="auto" w:fill="D9D9D9" w:themeFill="background1" w:themeFillShade="D9"/>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14,7</w:t>
            </w:r>
          </w:p>
        </w:tc>
      </w:tr>
      <w:tr w:rsidR="00255CC4" w:rsidRPr="001D3E93" w:rsidTr="00BC22F8">
        <w:trPr>
          <w:trHeight w:val="300"/>
        </w:trPr>
        <w:tc>
          <w:tcPr>
            <w:tcW w:w="2268" w:type="dxa"/>
            <w:vMerge/>
            <w:shd w:val="clear" w:color="auto" w:fill="D9D9D9" w:themeFill="background1" w:themeFillShade="D9"/>
            <w:noWrap/>
            <w:vAlign w:val="center"/>
            <w:hideMark/>
          </w:tcPr>
          <w:p w:rsidR="00255CC4" w:rsidRPr="002A3B78" w:rsidRDefault="00255CC4" w:rsidP="00255CC4">
            <w:pPr>
              <w:spacing w:line="240" w:lineRule="auto"/>
              <w:jc w:val="left"/>
              <w:rPr>
                <w:rFonts w:eastAsia="Times New Roman"/>
                <w:b/>
                <w:color w:val="000000"/>
                <w:sz w:val="22"/>
                <w:szCs w:val="22"/>
              </w:rPr>
            </w:pPr>
          </w:p>
        </w:tc>
        <w:tc>
          <w:tcPr>
            <w:tcW w:w="1134" w:type="dxa"/>
            <w:shd w:val="clear" w:color="auto" w:fill="D9D9D9" w:themeFill="background1" w:themeFillShade="D9"/>
            <w:noWrap/>
            <w:vAlign w:val="bottom"/>
            <w:hideMark/>
          </w:tcPr>
          <w:p w:rsidR="00255CC4" w:rsidRPr="001D3E93" w:rsidRDefault="00255CC4" w:rsidP="00255CC4">
            <w:pPr>
              <w:spacing w:line="240" w:lineRule="auto"/>
              <w:jc w:val="center"/>
              <w:rPr>
                <w:rFonts w:eastAsia="Times New Roman"/>
                <w:color w:val="000000"/>
                <w:sz w:val="22"/>
                <w:szCs w:val="22"/>
              </w:rPr>
            </w:pPr>
            <w:r w:rsidRPr="001D3E93">
              <w:rPr>
                <w:rFonts w:eastAsia="Times New Roman"/>
                <w:color w:val="000000"/>
                <w:sz w:val="22"/>
                <w:szCs w:val="22"/>
              </w:rPr>
              <w:t>2015</w:t>
            </w:r>
          </w:p>
        </w:tc>
        <w:tc>
          <w:tcPr>
            <w:tcW w:w="1276"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25,1</w:t>
            </w:r>
          </w:p>
        </w:tc>
        <w:tc>
          <w:tcPr>
            <w:tcW w:w="1276" w:type="dxa"/>
            <w:shd w:val="clear" w:color="auto" w:fill="D9D9D9" w:themeFill="background1" w:themeFillShade="D9"/>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21,5</w:t>
            </w:r>
          </w:p>
        </w:tc>
        <w:tc>
          <w:tcPr>
            <w:tcW w:w="1188" w:type="dxa"/>
            <w:shd w:val="clear" w:color="auto" w:fill="D9D9D9" w:themeFill="background1" w:themeFillShade="D9"/>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23,0</w:t>
            </w:r>
          </w:p>
        </w:tc>
        <w:tc>
          <w:tcPr>
            <w:tcW w:w="1090" w:type="dxa"/>
            <w:shd w:val="clear" w:color="auto" w:fill="D9D9D9" w:themeFill="background1" w:themeFillShade="D9"/>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18,2</w:t>
            </w:r>
          </w:p>
        </w:tc>
        <w:tc>
          <w:tcPr>
            <w:tcW w:w="1090" w:type="dxa"/>
            <w:shd w:val="clear" w:color="auto" w:fill="D9D9D9" w:themeFill="background1" w:themeFillShade="D9"/>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12,2</w:t>
            </w:r>
          </w:p>
        </w:tc>
      </w:tr>
      <w:tr w:rsidR="00255CC4" w:rsidRPr="001D3E93" w:rsidTr="00BC22F8">
        <w:trPr>
          <w:trHeight w:val="300"/>
        </w:trPr>
        <w:tc>
          <w:tcPr>
            <w:tcW w:w="2268" w:type="dxa"/>
            <w:vMerge/>
            <w:shd w:val="clear" w:color="auto" w:fill="D9D9D9" w:themeFill="background1" w:themeFillShade="D9"/>
            <w:noWrap/>
            <w:vAlign w:val="center"/>
            <w:hideMark/>
          </w:tcPr>
          <w:p w:rsidR="00255CC4" w:rsidRPr="002A3B78" w:rsidRDefault="00255CC4" w:rsidP="00255CC4">
            <w:pPr>
              <w:spacing w:line="240" w:lineRule="auto"/>
              <w:jc w:val="left"/>
              <w:rPr>
                <w:rFonts w:eastAsia="Times New Roman"/>
                <w:b/>
                <w:color w:val="000000"/>
                <w:sz w:val="22"/>
                <w:szCs w:val="22"/>
              </w:rPr>
            </w:pPr>
          </w:p>
        </w:tc>
        <w:tc>
          <w:tcPr>
            <w:tcW w:w="1134" w:type="dxa"/>
            <w:shd w:val="clear" w:color="auto" w:fill="D9D9D9" w:themeFill="background1" w:themeFillShade="D9"/>
            <w:noWrap/>
            <w:vAlign w:val="bottom"/>
            <w:hideMark/>
          </w:tcPr>
          <w:p w:rsidR="00255CC4" w:rsidRPr="001D3E93" w:rsidRDefault="00255CC4" w:rsidP="00255CC4">
            <w:pPr>
              <w:spacing w:line="240" w:lineRule="auto"/>
              <w:jc w:val="center"/>
              <w:rPr>
                <w:rFonts w:eastAsia="Times New Roman"/>
                <w:color w:val="000000"/>
                <w:sz w:val="22"/>
                <w:szCs w:val="22"/>
              </w:rPr>
            </w:pPr>
            <w:r w:rsidRPr="001D3E93">
              <w:rPr>
                <w:rFonts w:eastAsia="Times New Roman"/>
                <w:color w:val="000000"/>
                <w:sz w:val="22"/>
                <w:szCs w:val="22"/>
              </w:rPr>
              <w:t>2016</w:t>
            </w:r>
          </w:p>
        </w:tc>
        <w:tc>
          <w:tcPr>
            <w:tcW w:w="1276"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26,7</w:t>
            </w:r>
          </w:p>
        </w:tc>
        <w:tc>
          <w:tcPr>
            <w:tcW w:w="1276" w:type="dxa"/>
            <w:shd w:val="clear" w:color="auto" w:fill="D9D9D9" w:themeFill="background1" w:themeFillShade="D9"/>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24,1</w:t>
            </w:r>
          </w:p>
        </w:tc>
        <w:tc>
          <w:tcPr>
            <w:tcW w:w="1188" w:type="dxa"/>
            <w:shd w:val="clear" w:color="auto" w:fill="D9D9D9" w:themeFill="background1" w:themeFillShade="D9"/>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17,7</w:t>
            </w:r>
          </w:p>
        </w:tc>
        <w:tc>
          <w:tcPr>
            <w:tcW w:w="1090" w:type="dxa"/>
            <w:shd w:val="clear" w:color="auto" w:fill="D9D9D9" w:themeFill="background1" w:themeFillShade="D9"/>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19,0</w:t>
            </w:r>
          </w:p>
        </w:tc>
        <w:tc>
          <w:tcPr>
            <w:tcW w:w="1090" w:type="dxa"/>
            <w:shd w:val="clear" w:color="auto" w:fill="D9D9D9" w:themeFill="background1" w:themeFillShade="D9"/>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12,5</w:t>
            </w:r>
          </w:p>
        </w:tc>
      </w:tr>
      <w:tr w:rsidR="00255CC4" w:rsidRPr="001D3E93" w:rsidTr="00BC22F8">
        <w:trPr>
          <w:trHeight w:val="300"/>
        </w:trPr>
        <w:tc>
          <w:tcPr>
            <w:tcW w:w="2268" w:type="dxa"/>
            <w:vMerge w:val="restart"/>
            <w:shd w:val="clear" w:color="auto" w:fill="auto"/>
            <w:noWrap/>
            <w:vAlign w:val="center"/>
            <w:hideMark/>
          </w:tcPr>
          <w:p w:rsidR="00255CC4" w:rsidRPr="002A3B78" w:rsidRDefault="00255CC4" w:rsidP="00255CC4">
            <w:pPr>
              <w:spacing w:line="240" w:lineRule="auto"/>
              <w:jc w:val="left"/>
              <w:rPr>
                <w:rFonts w:eastAsia="Times New Roman"/>
                <w:b/>
                <w:color w:val="000000"/>
                <w:sz w:val="22"/>
                <w:szCs w:val="22"/>
              </w:rPr>
            </w:pPr>
            <w:r w:rsidRPr="002A3B78">
              <w:rPr>
                <w:rFonts w:eastAsia="Times New Roman"/>
                <w:b/>
                <w:color w:val="000000"/>
                <w:sz w:val="22"/>
                <w:szCs w:val="22"/>
              </w:rPr>
              <w:t>Zemgales reģions</w:t>
            </w:r>
          </w:p>
        </w:tc>
        <w:tc>
          <w:tcPr>
            <w:tcW w:w="1134" w:type="dxa"/>
            <w:shd w:val="clear" w:color="auto" w:fill="auto"/>
            <w:noWrap/>
            <w:vAlign w:val="bottom"/>
            <w:hideMark/>
          </w:tcPr>
          <w:p w:rsidR="00255CC4" w:rsidRPr="001D3E93" w:rsidRDefault="00255CC4" w:rsidP="00255CC4">
            <w:pPr>
              <w:spacing w:line="240" w:lineRule="auto"/>
              <w:jc w:val="center"/>
              <w:rPr>
                <w:rFonts w:eastAsia="Times New Roman"/>
                <w:color w:val="000000"/>
                <w:sz w:val="22"/>
                <w:szCs w:val="22"/>
              </w:rPr>
            </w:pPr>
            <w:r w:rsidRPr="001D3E93">
              <w:rPr>
                <w:rFonts w:eastAsia="Times New Roman"/>
                <w:color w:val="000000"/>
                <w:sz w:val="22"/>
                <w:szCs w:val="22"/>
              </w:rPr>
              <w:t>2014</w:t>
            </w:r>
          </w:p>
        </w:tc>
        <w:tc>
          <w:tcPr>
            <w:tcW w:w="1276" w:type="dxa"/>
            <w:shd w:val="clear" w:color="auto" w:fill="auto"/>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26,7</w:t>
            </w:r>
          </w:p>
        </w:tc>
        <w:tc>
          <w:tcPr>
            <w:tcW w:w="1276" w:type="dxa"/>
            <w:shd w:val="clear" w:color="auto" w:fill="auto"/>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24,1</w:t>
            </w:r>
          </w:p>
        </w:tc>
        <w:tc>
          <w:tcPr>
            <w:tcW w:w="1188" w:type="dxa"/>
            <w:shd w:val="clear" w:color="auto" w:fill="auto"/>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19,2</w:t>
            </w:r>
          </w:p>
        </w:tc>
        <w:tc>
          <w:tcPr>
            <w:tcW w:w="1090" w:type="dxa"/>
            <w:shd w:val="clear" w:color="auto" w:fill="auto"/>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17,5</w:t>
            </w:r>
          </w:p>
        </w:tc>
        <w:tc>
          <w:tcPr>
            <w:tcW w:w="1090" w:type="dxa"/>
            <w:shd w:val="clear" w:color="auto" w:fill="auto"/>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12,5</w:t>
            </w:r>
          </w:p>
        </w:tc>
      </w:tr>
      <w:tr w:rsidR="00255CC4" w:rsidRPr="001D3E93" w:rsidTr="00BC22F8">
        <w:trPr>
          <w:trHeight w:val="300"/>
        </w:trPr>
        <w:tc>
          <w:tcPr>
            <w:tcW w:w="2268" w:type="dxa"/>
            <w:vMerge/>
            <w:shd w:val="clear" w:color="auto" w:fill="auto"/>
            <w:noWrap/>
            <w:vAlign w:val="center"/>
            <w:hideMark/>
          </w:tcPr>
          <w:p w:rsidR="00255CC4" w:rsidRPr="002A3B78" w:rsidRDefault="00255CC4" w:rsidP="00255CC4">
            <w:pPr>
              <w:spacing w:line="240" w:lineRule="auto"/>
              <w:jc w:val="left"/>
              <w:rPr>
                <w:rFonts w:eastAsia="Times New Roman"/>
                <w:b/>
                <w:color w:val="000000"/>
                <w:sz w:val="22"/>
                <w:szCs w:val="22"/>
              </w:rPr>
            </w:pPr>
          </w:p>
        </w:tc>
        <w:tc>
          <w:tcPr>
            <w:tcW w:w="1134" w:type="dxa"/>
            <w:shd w:val="clear" w:color="auto" w:fill="auto"/>
            <w:noWrap/>
            <w:vAlign w:val="bottom"/>
            <w:hideMark/>
          </w:tcPr>
          <w:p w:rsidR="00255CC4" w:rsidRPr="001D3E93" w:rsidRDefault="00255CC4" w:rsidP="00255CC4">
            <w:pPr>
              <w:spacing w:line="240" w:lineRule="auto"/>
              <w:jc w:val="center"/>
              <w:rPr>
                <w:rFonts w:eastAsia="Times New Roman"/>
                <w:color w:val="000000"/>
                <w:sz w:val="22"/>
                <w:szCs w:val="22"/>
              </w:rPr>
            </w:pPr>
            <w:r w:rsidRPr="001D3E93">
              <w:rPr>
                <w:rFonts w:eastAsia="Times New Roman"/>
                <w:color w:val="000000"/>
                <w:sz w:val="22"/>
                <w:szCs w:val="22"/>
              </w:rPr>
              <w:t>2015</w:t>
            </w:r>
          </w:p>
        </w:tc>
        <w:tc>
          <w:tcPr>
            <w:tcW w:w="1276" w:type="dxa"/>
            <w:shd w:val="clear" w:color="auto" w:fill="auto"/>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25,9</w:t>
            </w:r>
          </w:p>
        </w:tc>
        <w:tc>
          <w:tcPr>
            <w:tcW w:w="1276" w:type="dxa"/>
            <w:shd w:val="clear" w:color="auto" w:fill="auto"/>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23,3</w:t>
            </w:r>
          </w:p>
        </w:tc>
        <w:tc>
          <w:tcPr>
            <w:tcW w:w="1188" w:type="dxa"/>
            <w:shd w:val="clear" w:color="auto" w:fill="auto"/>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15,2</w:t>
            </w:r>
          </w:p>
        </w:tc>
        <w:tc>
          <w:tcPr>
            <w:tcW w:w="1090" w:type="dxa"/>
            <w:shd w:val="clear" w:color="auto" w:fill="auto"/>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21,5</w:t>
            </w:r>
          </w:p>
        </w:tc>
        <w:tc>
          <w:tcPr>
            <w:tcW w:w="1090" w:type="dxa"/>
            <w:shd w:val="clear" w:color="auto" w:fill="auto"/>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14,2</w:t>
            </w:r>
          </w:p>
        </w:tc>
      </w:tr>
      <w:tr w:rsidR="00255CC4" w:rsidRPr="001D3E93" w:rsidTr="00BC22F8">
        <w:trPr>
          <w:trHeight w:val="300"/>
        </w:trPr>
        <w:tc>
          <w:tcPr>
            <w:tcW w:w="2268" w:type="dxa"/>
            <w:vMerge/>
            <w:shd w:val="clear" w:color="auto" w:fill="auto"/>
            <w:noWrap/>
            <w:vAlign w:val="center"/>
            <w:hideMark/>
          </w:tcPr>
          <w:p w:rsidR="00255CC4" w:rsidRPr="002A3B78" w:rsidRDefault="00255CC4" w:rsidP="00255CC4">
            <w:pPr>
              <w:spacing w:line="240" w:lineRule="auto"/>
              <w:jc w:val="left"/>
              <w:rPr>
                <w:rFonts w:eastAsia="Times New Roman"/>
                <w:b/>
                <w:color w:val="000000"/>
                <w:sz w:val="22"/>
                <w:szCs w:val="22"/>
              </w:rPr>
            </w:pPr>
          </w:p>
        </w:tc>
        <w:tc>
          <w:tcPr>
            <w:tcW w:w="1134" w:type="dxa"/>
            <w:shd w:val="clear" w:color="auto" w:fill="auto"/>
            <w:noWrap/>
            <w:vAlign w:val="bottom"/>
            <w:hideMark/>
          </w:tcPr>
          <w:p w:rsidR="00255CC4" w:rsidRPr="001D3E93" w:rsidRDefault="00255CC4" w:rsidP="00255CC4">
            <w:pPr>
              <w:spacing w:line="240" w:lineRule="auto"/>
              <w:jc w:val="center"/>
              <w:rPr>
                <w:rFonts w:eastAsia="Times New Roman"/>
                <w:color w:val="000000"/>
                <w:sz w:val="22"/>
                <w:szCs w:val="22"/>
              </w:rPr>
            </w:pPr>
            <w:r w:rsidRPr="001D3E93">
              <w:rPr>
                <w:rFonts w:eastAsia="Times New Roman"/>
                <w:color w:val="000000"/>
                <w:sz w:val="22"/>
                <w:szCs w:val="22"/>
              </w:rPr>
              <w:t>2016</w:t>
            </w:r>
          </w:p>
        </w:tc>
        <w:tc>
          <w:tcPr>
            <w:tcW w:w="1276" w:type="dxa"/>
            <w:shd w:val="clear" w:color="auto" w:fill="auto"/>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23,9</w:t>
            </w:r>
          </w:p>
        </w:tc>
        <w:tc>
          <w:tcPr>
            <w:tcW w:w="1276" w:type="dxa"/>
            <w:shd w:val="clear" w:color="auto" w:fill="auto"/>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21,9</w:t>
            </w:r>
          </w:p>
        </w:tc>
        <w:tc>
          <w:tcPr>
            <w:tcW w:w="1188" w:type="dxa"/>
            <w:shd w:val="clear" w:color="auto" w:fill="auto"/>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21,6</w:t>
            </w:r>
          </w:p>
        </w:tc>
        <w:tc>
          <w:tcPr>
            <w:tcW w:w="1090" w:type="dxa"/>
            <w:shd w:val="clear" w:color="auto" w:fill="auto"/>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18,4</w:t>
            </w:r>
          </w:p>
        </w:tc>
        <w:tc>
          <w:tcPr>
            <w:tcW w:w="1090" w:type="dxa"/>
            <w:shd w:val="clear" w:color="auto" w:fill="auto"/>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14,2</w:t>
            </w:r>
          </w:p>
        </w:tc>
      </w:tr>
      <w:tr w:rsidR="00255CC4" w:rsidRPr="001D3E93" w:rsidTr="00BC22F8">
        <w:trPr>
          <w:trHeight w:val="300"/>
        </w:trPr>
        <w:tc>
          <w:tcPr>
            <w:tcW w:w="2268" w:type="dxa"/>
            <w:vMerge w:val="restart"/>
            <w:shd w:val="clear" w:color="auto" w:fill="D9D9D9" w:themeFill="background1" w:themeFillShade="D9"/>
            <w:noWrap/>
            <w:vAlign w:val="center"/>
            <w:hideMark/>
          </w:tcPr>
          <w:p w:rsidR="00255CC4" w:rsidRPr="002A3B78" w:rsidRDefault="00255CC4" w:rsidP="00255CC4">
            <w:pPr>
              <w:spacing w:line="240" w:lineRule="auto"/>
              <w:jc w:val="left"/>
              <w:rPr>
                <w:rFonts w:eastAsia="Times New Roman"/>
                <w:b/>
                <w:color w:val="000000"/>
                <w:sz w:val="22"/>
                <w:szCs w:val="22"/>
              </w:rPr>
            </w:pPr>
            <w:r w:rsidRPr="002A3B78">
              <w:rPr>
                <w:rFonts w:eastAsia="Times New Roman"/>
                <w:b/>
                <w:color w:val="000000"/>
                <w:sz w:val="22"/>
                <w:szCs w:val="22"/>
              </w:rPr>
              <w:t>Latgales reģions</w:t>
            </w:r>
          </w:p>
        </w:tc>
        <w:tc>
          <w:tcPr>
            <w:tcW w:w="1134" w:type="dxa"/>
            <w:shd w:val="clear" w:color="auto" w:fill="D9D9D9" w:themeFill="background1" w:themeFillShade="D9"/>
            <w:noWrap/>
            <w:vAlign w:val="bottom"/>
            <w:hideMark/>
          </w:tcPr>
          <w:p w:rsidR="00255CC4" w:rsidRPr="001D3E93" w:rsidRDefault="00255CC4" w:rsidP="00255CC4">
            <w:pPr>
              <w:spacing w:line="240" w:lineRule="auto"/>
              <w:jc w:val="center"/>
              <w:rPr>
                <w:rFonts w:eastAsia="Times New Roman"/>
                <w:color w:val="000000"/>
                <w:sz w:val="22"/>
                <w:szCs w:val="22"/>
              </w:rPr>
            </w:pPr>
            <w:r w:rsidRPr="001D3E93">
              <w:rPr>
                <w:rFonts w:eastAsia="Times New Roman"/>
                <w:color w:val="000000"/>
                <w:sz w:val="22"/>
                <w:szCs w:val="22"/>
              </w:rPr>
              <w:t>2014</w:t>
            </w:r>
          </w:p>
        </w:tc>
        <w:tc>
          <w:tcPr>
            <w:tcW w:w="1276"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29,9</w:t>
            </w:r>
          </w:p>
        </w:tc>
        <w:tc>
          <w:tcPr>
            <w:tcW w:w="1276" w:type="dxa"/>
            <w:shd w:val="clear" w:color="auto" w:fill="D9D9D9" w:themeFill="background1" w:themeFillShade="D9"/>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22,4</w:t>
            </w:r>
          </w:p>
        </w:tc>
        <w:tc>
          <w:tcPr>
            <w:tcW w:w="1188" w:type="dxa"/>
            <w:shd w:val="clear" w:color="auto" w:fill="D9D9D9" w:themeFill="background1" w:themeFillShade="D9"/>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22,8</w:t>
            </w:r>
          </w:p>
        </w:tc>
        <w:tc>
          <w:tcPr>
            <w:tcW w:w="1090"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sz w:val="22"/>
                <w:szCs w:val="22"/>
              </w:rPr>
            </w:pPr>
            <w:r w:rsidRPr="004F63DC">
              <w:rPr>
                <w:rFonts w:eastAsia="Times New Roman"/>
                <w:sz w:val="22"/>
                <w:szCs w:val="22"/>
              </w:rPr>
              <w:t>16,3</w:t>
            </w:r>
          </w:p>
        </w:tc>
        <w:tc>
          <w:tcPr>
            <w:tcW w:w="1090"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sz w:val="22"/>
                <w:szCs w:val="22"/>
              </w:rPr>
            </w:pPr>
            <w:r w:rsidRPr="004F63DC">
              <w:rPr>
                <w:rFonts w:eastAsia="Times New Roman"/>
                <w:sz w:val="22"/>
                <w:szCs w:val="22"/>
              </w:rPr>
              <w:t>8,6</w:t>
            </w:r>
          </w:p>
        </w:tc>
      </w:tr>
      <w:tr w:rsidR="00255CC4" w:rsidRPr="001D3E93" w:rsidTr="00BC22F8">
        <w:trPr>
          <w:trHeight w:val="300"/>
        </w:trPr>
        <w:tc>
          <w:tcPr>
            <w:tcW w:w="2268" w:type="dxa"/>
            <w:vMerge/>
            <w:shd w:val="clear" w:color="auto" w:fill="D9D9D9" w:themeFill="background1" w:themeFillShade="D9"/>
            <w:noWrap/>
            <w:vAlign w:val="bottom"/>
            <w:hideMark/>
          </w:tcPr>
          <w:p w:rsidR="00255CC4" w:rsidRPr="001D3E93" w:rsidRDefault="00255CC4" w:rsidP="00255CC4">
            <w:pPr>
              <w:spacing w:line="240" w:lineRule="auto"/>
              <w:jc w:val="left"/>
              <w:rPr>
                <w:rFonts w:eastAsia="Times New Roman"/>
                <w:color w:val="000000"/>
                <w:sz w:val="22"/>
                <w:szCs w:val="22"/>
              </w:rPr>
            </w:pPr>
          </w:p>
        </w:tc>
        <w:tc>
          <w:tcPr>
            <w:tcW w:w="1134" w:type="dxa"/>
            <w:shd w:val="clear" w:color="auto" w:fill="D9D9D9" w:themeFill="background1" w:themeFillShade="D9"/>
            <w:noWrap/>
            <w:vAlign w:val="bottom"/>
            <w:hideMark/>
          </w:tcPr>
          <w:p w:rsidR="00255CC4" w:rsidRPr="001D3E93" w:rsidRDefault="00255CC4" w:rsidP="00255CC4">
            <w:pPr>
              <w:spacing w:line="240" w:lineRule="auto"/>
              <w:jc w:val="center"/>
              <w:rPr>
                <w:rFonts w:eastAsia="Times New Roman"/>
                <w:color w:val="000000"/>
                <w:sz w:val="22"/>
                <w:szCs w:val="22"/>
              </w:rPr>
            </w:pPr>
            <w:r w:rsidRPr="001D3E93">
              <w:rPr>
                <w:rFonts w:eastAsia="Times New Roman"/>
                <w:color w:val="000000"/>
                <w:sz w:val="22"/>
                <w:szCs w:val="22"/>
              </w:rPr>
              <w:t>2015</w:t>
            </w:r>
          </w:p>
        </w:tc>
        <w:tc>
          <w:tcPr>
            <w:tcW w:w="1276"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34,2</w:t>
            </w:r>
          </w:p>
        </w:tc>
        <w:tc>
          <w:tcPr>
            <w:tcW w:w="1276" w:type="dxa"/>
            <w:shd w:val="clear" w:color="auto" w:fill="D9D9D9" w:themeFill="background1" w:themeFillShade="D9"/>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25,2</w:t>
            </w:r>
          </w:p>
        </w:tc>
        <w:tc>
          <w:tcPr>
            <w:tcW w:w="1188" w:type="dxa"/>
            <w:shd w:val="clear" w:color="auto" w:fill="D9D9D9" w:themeFill="background1" w:themeFillShade="D9"/>
            <w:noWrap/>
            <w:vAlign w:val="bottom"/>
            <w:hideMark/>
          </w:tcPr>
          <w:p w:rsidR="00255CC4" w:rsidRPr="002A3B78" w:rsidRDefault="00255CC4" w:rsidP="00255CC4">
            <w:pPr>
              <w:spacing w:line="240" w:lineRule="auto"/>
              <w:jc w:val="center"/>
              <w:rPr>
                <w:rFonts w:eastAsia="Times New Roman"/>
                <w:sz w:val="22"/>
                <w:szCs w:val="22"/>
              </w:rPr>
            </w:pPr>
            <w:r w:rsidRPr="002A3B78">
              <w:rPr>
                <w:rFonts w:eastAsia="Times New Roman"/>
                <w:sz w:val="22"/>
                <w:szCs w:val="22"/>
              </w:rPr>
              <w:t>20,0</w:t>
            </w:r>
          </w:p>
        </w:tc>
        <w:tc>
          <w:tcPr>
            <w:tcW w:w="1090"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sz w:val="22"/>
                <w:szCs w:val="22"/>
              </w:rPr>
            </w:pPr>
            <w:r w:rsidRPr="004F63DC">
              <w:rPr>
                <w:rFonts w:eastAsia="Times New Roman"/>
                <w:sz w:val="22"/>
                <w:szCs w:val="22"/>
              </w:rPr>
              <w:t>15,3</w:t>
            </w:r>
          </w:p>
        </w:tc>
        <w:tc>
          <w:tcPr>
            <w:tcW w:w="1090"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sz w:val="22"/>
                <w:szCs w:val="22"/>
              </w:rPr>
            </w:pPr>
            <w:r w:rsidRPr="004F63DC">
              <w:rPr>
                <w:rFonts w:eastAsia="Times New Roman"/>
                <w:sz w:val="22"/>
                <w:szCs w:val="22"/>
              </w:rPr>
              <w:t>5,2</w:t>
            </w:r>
          </w:p>
        </w:tc>
      </w:tr>
      <w:tr w:rsidR="00255CC4" w:rsidRPr="001D3E93" w:rsidTr="00BC22F8">
        <w:trPr>
          <w:trHeight w:val="300"/>
        </w:trPr>
        <w:tc>
          <w:tcPr>
            <w:tcW w:w="2268" w:type="dxa"/>
            <w:vMerge/>
            <w:shd w:val="clear" w:color="auto" w:fill="D9D9D9" w:themeFill="background1" w:themeFillShade="D9"/>
            <w:noWrap/>
            <w:vAlign w:val="bottom"/>
            <w:hideMark/>
          </w:tcPr>
          <w:p w:rsidR="00255CC4" w:rsidRPr="001D3E93" w:rsidRDefault="00255CC4" w:rsidP="00255CC4">
            <w:pPr>
              <w:spacing w:line="240" w:lineRule="auto"/>
              <w:jc w:val="left"/>
              <w:rPr>
                <w:rFonts w:eastAsia="Times New Roman"/>
                <w:color w:val="000000"/>
                <w:sz w:val="22"/>
                <w:szCs w:val="22"/>
              </w:rPr>
            </w:pPr>
          </w:p>
        </w:tc>
        <w:tc>
          <w:tcPr>
            <w:tcW w:w="1134" w:type="dxa"/>
            <w:shd w:val="clear" w:color="auto" w:fill="D9D9D9" w:themeFill="background1" w:themeFillShade="D9"/>
            <w:noWrap/>
            <w:vAlign w:val="bottom"/>
            <w:hideMark/>
          </w:tcPr>
          <w:p w:rsidR="00255CC4" w:rsidRPr="001D3E93" w:rsidRDefault="00255CC4" w:rsidP="00255CC4">
            <w:pPr>
              <w:spacing w:line="240" w:lineRule="auto"/>
              <w:jc w:val="center"/>
              <w:rPr>
                <w:rFonts w:eastAsia="Times New Roman"/>
                <w:color w:val="000000"/>
                <w:sz w:val="22"/>
                <w:szCs w:val="22"/>
              </w:rPr>
            </w:pPr>
            <w:r w:rsidRPr="001D3E93">
              <w:rPr>
                <w:rFonts w:eastAsia="Times New Roman"/>
                <w:color w:val="000000"/>
                <w:sz w:val="22"/>
                <w:szCs w:val="22"/>
              </w:rPr>
              <w:t>2016</w:t>
            </w:r>
          </w:p>
        </w:tc>
        <w:tc>
          <w:tcPr>
            <w:tcW w:w="1276"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34,0</w:t>
            </w:r>
          </w:p>
        </w:tc>
        <w:tc>
          <w:tcPr>
            <w:tcW w:w="1276" w:type="dxa"/>
            <w:shd w:val="clear" w:color="auto" w:fill="D9D9D9" w:themeFill="background1" w:themeFillShade="D9"/>
            <w:noWrap/>
            <w:vAlign w:val="bottom"/>
            <w:hideMark/>
          </w:tcPr>
          <w:p w:rsidR="00255CC4" w:rsidRPr="001D3E93" w:rsidRDefault="00255CC4" w:rsidP="00255CC4">
            <w:pPr>
              <w:spacing w:line="240" w:lineRule="auto"/>
              <w:jc w:val="center"/>
              <w:rPr>
                <w:rFonts w:eastAsia="Times New Roman"/>
                <w:color w:val="000000"/>
                <w:sz w:val="22"/>
                <w:szCs w:val="22"/>
              </w:rPr>
            </w:pPr>
            <w:r w:rsidRPr="001D3E93">
              <w:rPr>
                <w:rFonts w:eastAsia="Times New Roman"/>
                <w:color w:val="000000"/>
                <w:sz w:val="22"/>
                <w:szCs w:val="22"/>
              </w:rPr>
              <w:t>26,8</w:t>
            </w:r>
          </w:p>
        </w:tc>
        <w:tc>
          <w:tcPr>
            <w:tcW w:w="1188" w:type="dxa"/>
            <w:shd w:val="clear" w:color="auto" w:fill="D9D9D9" w:themeFill="background1" w:themeFillShade="D9"/>
            <w:noWrap/>
            <w:vAlign w:val="bottom"/>
            <w:hideMark/>
          </w:tcPr>
          <w:p w:rsidR="00255CC4" w:rsidRPr="001D3E93" w:rsidRDefault="00255CC4" w:rsidP="00255CC4">
            <w:pPr>
              <w:spacing w:line="240" w:lineRule="auto"/>
              <w:jc w:val="center"/>
              <w:rPr>
                <w:rFonts w:eastAsia="Times New Roman"/>
                <w:color w:val="000000"/>
                <w:sz w:val="22"/>
                <w:szCs w:val="22"/>
              </w:rPr>
            </w:pPr>
            <w:r w:rsidRPr="001D3E93">
              <w:rPr>
                <w:rFonts w:eastAsia="Times New Roman"/>
                <w:color w:val="000000"/>
                <w:sz w:val="22"/>
                <w:szCs w:val="22"/>
              </w:rPr>
              <w:t>21,1</w:t>
            </w:r>
          </w:p>
        </w:tc>
        <w:tc>
          <w:tcPr>
            <w:tcW w:w="1090"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11,2</w:t>
            </w:r>
          </w:p>
        </w:tc>
        <w:tc>
          <w:tcPr>
            <w:tcW w:w="1090"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6,8</w:t>
            </w:r>
          </w:p>
        </w:tc>
      </w:tr>
    </w:tbl>
    <w:p w:rsidR="00255CC4" w:rsidRPr="007F0264" w:rsidRDefault="00255CC4" w:rsidP="00255CC4">
      <w:pPr>
        <w:rPr>
          <w:sz w:val="20"/>
          <w:szCs w:val="20"/>
        </w:rPr>
      </w:pPr>
      <w:r w:rsidRPr="007F0264">
        <w:rPr>
          <w:sz w:val="20"/>
          <w:szCs w:val="20"/>
        </w:rPr>
        <w:t>Avots: CSP, MVG070. Mājsaimniecību sadalījums pēc kvintiļu grupām (%)</w:t>
      </w:r>
    </w:p>
    <w:p w:rsidR="00255CC4" w:rsidRDefault="00255CC4" w:rsidP="00255CC4"/>
    <w:p w:rsidR="00255CC4" w:rsidRDefault="008C60A0" w:rsidP="00255CC4">
      <w:r>
        <w:t>1.1</w:t>
      </w:r>
      <w:r w:rsidR="00446171">
        <w:t>6</w:t>
      </w:r>
      <w:r w:rsidRPr="00895410">
        <w:t xml:space="preserve">. tabulā ir apkopoti dati par mājsaimniecību </w:t>
      </w:r>
      <w:r w:rsidR="00646FD8">
        <w:t>sadalījumu</w:t>
      </w:r>
      <w:r w:rsidRPr="00895410">
        <w:t xml:space="preserve"> kvintiļu grupās </w:t>
      </w:r>
      <w:r w:rsidRPr="000E5503">
        <w:rPr>
          <w:b/>
        </w:rPr>
        <w:t>reģion</w:t>
      </w:r>
      <w:r w:rsidR="00646FD8">
        <w:rPr>
          <w:b/>
        </w:rPr>
        <w:t>os</w:t>
      </w:r>
      <w:r>
        <w:t xml:space="preserve"> visā Izvērtējuma periodā. </w:t>
      </w:r>
      <w:r w:rsidR="0010184F">
        <w:t>1.9</w:t>
      </w:r>
      <w:r>
        <w:t>. attēlā ir atspoguļoti dati par 2016. gadu</w:t>
      </w:r>
      <w:r w:rsidRPr="00895410">
        <w:t xml:space="preserve">. </w:t>
      </w:r>
      <w:r w:rsidR="00255CC4" w:rsidRPr="00895410">
        <w:t xml:space="preserve">Rīgas un Pierīgas reģionos lielākā daļa </w:t>
      </w:r>
      <w:r w:rsidR="00255CC4">
        <w:t>mājsaimniecību</w:t>
      </w:r>
      <w:r w:rsidR="00255CC4" w:rsidRPr="00895410">
        <w:t xml:space="preserve"> (Rīgas reģionā vienā trešā daļa, Pierīgas reģionā – nedaudz mazāk kā viena ce</w:t>
      </w:r>
      <w:r w:rsidR="00255CC4">
        <w:t>t</w:t>
      </w:r>
      <w:r w:rsidR="00255CC4" w:rsidRPr="00895410">
        <w:t>urtā daļa) pēc sava ienākumu līmeņa atbilst 5.</w:t>
      </w:r>
      <w:r w:rsidR="00255CC4">
        <w:t xml:space="preserve"> </w:t>
      </w:r>
      <w:r w:rsidR="00255CC4" w:rsidRPr="00895410">
        <w:t>kvintilei. Vidzemes, Zemgales un Latgales reģionos dominējošā jeb plašāk pārstāvētā ir 1.</w:t>
      </w:r>
      <w:r w:rsidR="00255CC4">
        <w:t xml:space="preserve"> </w:t>
      </w:r>
      <w:r w:rsidR="00255CC4" w:rsidRPr="00895410">
        <w:t xml:space="preserve">kvintile (viszemākie ienākumi). Kurzemes reģionā, savukārt, redzams, ka </w:t>
      </w:r>
      <w:r w:rsidR="00255CC4">
        <w:t>mājsaimniecību</w:t>
      </w:r>
      <w:r w:rsidR="00255CC4" w:rsidRPr="00895410">
        <w:t xml:space="preserve"> sadalījums kvintiļu grupās ir salīdzinoši visvienmērīgākais. </w:t>
      </w:r>
      <w:r w:rsidR="00255CC4">
        <w:t xml:space="preserve">Pierīgas un Kurzemes reģionos ir vismazākā izkliede starp kvintiļu grupām, kas nozīmē, ka iedzīvotāju sadalījums kvintiļu grupās ir vienmērīgs (mājsaimniecības nav koncentrējušās kādā no kvintilēm, pārstāvēto kvintiļu grupas nav izteikti lielas vai mazas). Pretēja situācija ir Latgales un Rīgas reģionos, kur izkliede ir ievērojami lielāka, īpaši tas attiecināms uz Latgales reģionu, liecinot par vērā ņemamu iedzīvotāju noslāņošanos – koncentrēšanos noteiktā kvintilē (Latgales gadījumā – 1. kvintilē). Ja, piemēram, 2016. gadā Kurzemē mājsaimniecību īpatsvara apmērs starp 1. kvintili un 5. kvintili atšķiras par 4,3 procentpunktiem (izkliede ir maza), tad Latgalē jau par 27,2 procentpunktiem (izkliede ir liela), Rīgas reģionā – 17,7 procentpunktiem, kas liecina par nevienmērīgu un nevienlīdzīgu ienākumu sadalījumu Latgalē un, kaut arī mazākā apmērā, Rīgā. </w:t>
      </w:r>
    </w:p>
    <w:p w:rsidR="00255CC4" w:rsidRDefault="00255CC4" w:rsidP="00255CC4"/>
    <w:p w:rsidR="00255CC4" w:rsidRDefault="00255CC4" w:rsidP="00255CC4">
      <w:r>
        <w:t xml:space="preserve">Atšķirības kvintiļu grupu starpā nosaka arī </w:t>
      </w:r>
      <w:r w:rsidRPr="003D542C">
        <w:rPr>
          <w:b/>
        </w:rPr>
        <w:t>mājsaimniecību locekļu skaits</w:t>
      </w:r>
      <w:r>
        <w:t xml:space="preserve"> un </w:t>
      </w:r>
      <w:r>
        <w:rPr>
          <w:b/>
        </w:rPr>
        <w:t>vecums</w:t>
      </w:r>
      <w:r>
        <w:t xml:space="preserve"> (sk.</w:t>
      </w:r>
      <w:r w:rsidR="006E1579">
        <w:t>1.1</w:t>
      </w:r>
      <w:r w:rsidR="00446171">
        <w:t>7</w:t>
      </w:r>
      <w:r>
        <w:t xml:space="preserve">. tabulu). Datu apkopojums par Izvērtējuma periodu atklāj, ka augstāka ienākumu līmeņa grupās (4., 5. kvintilē) lielāks īpatsvars ir divu un trīs personu mājsaimniecībām (kopā pa abām kvintiļu grupām virs 40% no šīm mājsaimniecībām), kā arī vienas personas vecumā no 16 līdz 64 gadiem mājsaimniecībām. Vienas personas mājsaimniecību gadījumā būtiska ietekme ir vecumam (virs 30% </w:t>
      </w:r>
      <w:r>
        <w:lastRenderedPageBreak/>
        <w:t xml:space="preserve">5. kvintilē). Vienas personas vecumā virs 65 gadiem mājsaimniecības koncentrējas 2. kvintilē (virs 40%). Turklāt ir vērojama tendence, ka šī tipa mājsaimniecības arvien vairāk iekļaujas pirmajās divās zemāko ienākumu kvintilēs – 2014. gadā tādas bija 48,5% vienas personas vecumā virs 65 gadiem mājsaimniecības, 2016. gadā – jau 62,1%. Turklāt no 2014. gada līdz 2016. gadam par teju 10 procentpunktiem ir pieaudzis 1. kvintiles īpatsvars šajā mājsaimniecību grupā. Tas kopumā liecina par pensijas vecuma iedzīvotāju ienākumu līmeņa pasliktināšanos attiecībā pret pārējām ienākumu grupām, kas varētu būt skaidrojams ar to, ka augstākajās ienākumu kvintilēs ietilpstošo mājsaimniecību, kurās ir lielāka ekonomisko aktīvo iedzīvotāju daļa, ienākumi aug straujāk, kamēr pensijas vecuma iedzīvotāju ienākumi, ko pamatā veido vecuma pensijas, pensiju indeksācijas rezultātā pieaug lēnāk un mazākā apmērā. 2014. gadā vidējā darba samaksa neto bija 560 EUR, 2016. gadā – 631 EUR. Savukārt vecuma pensijas vidējais apmērs attiecīgi bija 266 EUR un 280 EUR. Ja strādājošo vidējā darba samaksa Izvērtējuma periodā pieauga par 12,7%, tad vecuma pensijas apmērs pieauga tikai par 5,3%. </w:t>
      </w:r>
    </w:p>
    <w:bookmarkStart w:id="219" w:name="_Ref6495232"/>
    <w:bookmarkStart w:id="220" w:name="_Toc6220081"/>
    <w:p w:rsidR="00255CC4" w:rsidRDefault="00AD3EDD" w:rsidP="008C6B83">
      <w:pPr>
        <w:pStyle w:val="Caption"/>
      </w:pPr>
      <w:r>
        <w:fldChar w:fldCharType="begin"/>
      </w:r>
      <w:r w:rsidR="00A46B54">
        <w:instrText xml:space="preserve"> STYLEREF 1 \s </w:instrText>
      </w:r>
      <w:r>
        <w:fldChar w:fldCharType="separate"/>
      </w:r>
      <w:bookmarkStart w:id="221" w:name="_Toc6857656"/>
      <w:r w:rsidR="00224B50">
        <w:rPr>
          <w:noProof/>
        </w:rPr>
        <w:t>1</w:t>
      </w:r>
      <w:r>
        <w:fldChar w:fldCharType="end"/>
      </w:r>
      <w:r w:rsidR="00A46B54">
        <w:t>.</w:t>
      </w:r>
      <w:bookmarkEnd w:id="219"/>
      <w:r w:rsidR="00055995">
        <w:t>1</w:t>
      </w:r>
      <w:r w:rsidR="00446171">
        <w:t>7</w:t>
      </w:r>
      <w:r w:rsidR="00255CC4" w:rsidRPr="00315872">
        <w:t xml:space="preserve">. </w:t>
      </w:r>
      <w:r w:rsidR="00255CC4">
        <w:t>tabula</w:t>
      </w:r>
      <w:r w:rsidR="00255CC4" w:rsidRPr="00315872">
        <w:t xml:space="preserve">. </w:t>
      </w:r>
      <w:r w:rsidR="00255CC4" w:rsidRPr="001C1A95">
        <w:t xml:space="preserve">Mājsaimniecību </w:t>
      </w:r>
      <w:r w:rsidR="00055995">
        <w:t xml:space="preserve">sadalījums </w:t>
      </w:r>
      <w:r w:rsidR="00255CC4" w:rsidRPr="001C1A95">
        <w:t>kvintiļu grupās 2014. – 201</w:t>
      </w:r>
      <w:r w:rsidR="00255CC4">
        <w:t>6</w:t>
      </w:r>
      <w:r w:rsidR="00255CC4" w:rsidRPr="001C1A95">
        <w:t xml:space="preserve">. gadā </w:t>
      </w:r>
      <w:r w:rsidR="00255CC4">
        <w:t>sadalījumā pēc mājsaimniecības locekļu skaita (%)</w:t>
      </w:r>
      <w:bookmarkEnd w:id="220"/>
      <w:bookmarkEnd w:id="221"/>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2"/>
        <w:gridCol w:w="860"/>
        <w:gridCol w:w="1123"/>
        <w:gridCol w:w="1184"/>
        <w:gridCol w:w="1141"/>
        <w:gridCol w:w="1135"/>
        <w:gridCol w:w="1134"/>
      </w:tblGrid>
      <w:tr w:rsidR="00255CC4" w:rsidRPr="00BC22F8" w:rsidTr="00BC22F8">
        <w:trPr>
          <w:trHeight w:val="300"/>
        </w:trPr>
        <w:tc>
          <w:tcPr>
            <w:tcW w:w="3062" w:type="dxa"/>
            <w:shd w:val="clear" w:color="auto" w:fill="DBE5F1" w:themeFill="accent1" w:themeFillTint="33"/>
            <w:noWrap/>
            <w:vAlign w:val="bottom"/>
            <w:hideMark/>
          </w:tcPr>
          <w:p w:rsidR="00255CC4" w:rsidRPr="00BC22F8" w:rsidRDefault="00255CC4" w:rsidP="00BC22F8">
            <w:pPr>
              <w:spacing w:before="120" w:after="120" w:line="240" w:lineRule="auto"/>
              <w:jc w:val="left"/>
              <w:rPr>
                <w:rFonts w:eastAsia="Times New Roman"/>
                <w:b/>
                <w:color w:val="002060"/>
                <w:sz w:val="22"/>
                <w:szCs w:val="22"/>
              </w:rPr>
            </w:pPr>
            <w:r w:rsidRPr="00BC22F8">
              <w:rPr>
                <w:rFonts w:eastAsia="Times New Roman"/>
                <w:b/>
                <w:color w:val="002060"/>
                <w:sz w:val="22"/>
                <w:szCs w:val="22"/>
              </w:rPr>
              <w:t>Mājsaimniecības tips</w:t>
            </w:r>
          </w:p>
        </w:tc>
        <w:tc>
          <w:tcPr>
            <w:tcW w:w="860" w:type="dxa"/>
            <w:shd w:val="clear" w:color="auto" w:fill="DBE5F1" w:themeFill="accent1" w:themeFillTint="33"/>
            <w:noWrap/>
            <w:vAlign w:val="bottom"/>
            <w:hideMark/>
          </w:tcPr>
          <w:p w:rsidR="00255CC4" w:rsidRPr="00BC22F8" w:rsidRDefault="00255CC4" w:rsidP="00BC22F8">
            <w:pPr>
              <w:spacing w:before="120" w:after="120" w:line="240" w:lineRule="auto"/>
              <w:jc w:val="left"/>
              <w:rPr>
                <w:rFonts w:eastAsia="Times New Roman"/>
                <w:b/>
                <w:color w:val="002060"/>
                <w:sz w:val="22"/>
                <w:szCs w:val="22"/>
              </w:rPr>
            </w:pPr>
            <w:r w:rsidRPr="00BC22F8">
              <w:rPr>
                <w:rFonts w:eastAsia="Times New Roman"/>
                <w:b/>
                <w:color w:val="002060"/>
                <w:sz w:val="22"/>
                <w:szCs w:val="22"/>
              </w:rPr>
              <w:t>gads</w:t>
            </w:r>
          </w:p>
        </w:tc>
        <w:tc>
          <w:tcPr>
            <w:tcW w:w="1123" w:type="dxa"/>
            <w:shd w:val="clear" w:color="auto" w:fill="DBE5F1" w:themeFill="accent1" w:themeFillTint="33"/>
            <w:noWrap/>
            <w:vAlign w:val="bottom"/>
            <w:hideMark/>
          </w:tcPr>
          <w:p w:rsidR="00255CC4" w:rsidRPr="00BC22F8" w:rsidRDefault="00255CC4" w:rsidP="00BC22F8">
            <w:pPr>
              <w:spacing w:before="120" w:after="120" w:line="240" w:lineRule="auto"/>
              <w:jc w:val="left"/>
              <w:rPr>
                <w:rFonts w:eastAsia="Times New Roman"/>
                <w:b/>
                <w:color w:val="002060"/>
                <w:sz w:val="22"/>
                <w:szCs w:val="22"/>
              </w:rPr>
            </w:pPr>
            <w:r w:rsidRPr="00BC22F8">
              <w:rPr>
                <w:rFonts w:eastAsia="Times New Roman"/>
                <w:b/>
                <w:color w:val="002060"/>
                <w:sz w:val="22"/>
                <w:szCs w:val="22"/>
              </w:rPr>
              <w:t>1.kvintile</w:t>
            </w:r>
          </w:p>
        </w:tc>
        <w:tc>
          <w:tcPr>
            <w:tcW w:w="1184" w:type="dxa"/>
            <w:shd w:val="clear" w:color="auto" w:fill="DBE5F1" w:themeFill="accent1" w:themeFillTint="33"/>
            <w:noWrap/>
            <w:vAlign w:val="bottom"/>
            <w:hideMark/>
          </w:tcPr>
          <w:p w:rsidR="00255CC4" w:rsidRPr="00BC22F8" w:rsidRDefault="00255CC4" w:rsidP="00BC22F8">
            <w:pPr>
              <w:spacing w:before="120" w:after="120" w:line="240" w:lineRule="auto"/>
              <w:jc w:val="left"/>
              <w:rPr>
                <w:rFonts w:eastAsia="Times New Roman"/>
                <w:b/>
                <w:color w:val="002060"/>
                <w:sz w:val="22"/>
                <w:szCs w:val="22"/>
              </w:rPr>
            </w:pPr>
            <w:r w:rsidRPr="00BC22F8">
              <w:rPr>
                <w:rFonts w:eastAsia="Times New Roman"/>
                <w:b/>
                <w:color w:val="002060"/>
                <w:sz w:val="22"/>
                <w:szCs w:val="22"/>
              </w:rPr>
              <w:t>2.kvintile</w:t>
            </w:r>
          </w:p>
        </w:tc>
        <w:tc>
          <w:tcPr>
            <w:tcW w:w="1141" w:type="dxa"/>
            <w:shd w:val="clear" w:color="auto" w:fill="DBE5F1" w:themeFill="accent1" w:themeFillTint="33"/>
            <w:noWrap/>
            <w:vAlign w:val="bottom"/>
            <w:hideMark/>
          </w:tcPr>
          <w:p w:rsidR="00255CC4" w:rsidRPr="00BC22F8" w:rsidRDefault="00255CC4" w:rsidP="00BC22F8">
            <w:pPr>
              <w:spacing w:before="120" w:after="120" w:line="240" w:lineRule="auto"/>
              <w:jc w:val="left"/>
              <w:rPr>
                <w:rFonts w:eastAsia="Times New Roman"/>
                <w:b/>
                <w:color w:val="002060"/>
                <w:sz w:val="22"/>
                <w:szCs w:val="22"/>
              </w:rPr>
            </w:pPr>
            <w:r w:rsidRPr="00BC22F8">
              <w:rPr>
                <w:rFonts w:eastAsia="Times New Roman"/>
                <w:b/>
                <w:color w:val="002060"/>
                <w:sz w:val="22"/>
                <w:szCs w:val="22"/>
              </w:rPr>
              <w:t>3.kvintile</w:t>
            </w:r>
          </w:p>
        </w:tc>
        <w:tc>
          <w:tcPr>
            <w:tcW w:w="1135" w:type="dxa"/>
            <w:shd w:val="clear" w:color="auto" w:fill="DBE5F1" w:themeFill="accent1" w:themeFillTint="33"/>
            <w:noWrap/>
            <w:vAlign w:val="bottom"/>
            <w:hideMark/>
          </w:tcPr>
          <w:p w:rsidR="00255CC4" w:rsidRPr="00BC22F8" w:rsidRDefault="00255CC4" w:rsidP="00BC22F8">
            <w:pPr>
              <w:spacing w:before="120" w:after="120" w:line="240" w:lineRule="auto"/>
              <w:jc w:val="left"/>
              <w:rPr>
                <w:rFonts w:eastAsia="Times New Roman"/>
                <w:b/>
                <w:color w:val="002060"/>
                <w:sz w:val="22"/>
                <w:szCs w:val="22"/>
              </w:rPr>
            </w:pPr>
            <w:r w:rsidRPr="00BC22F8">
              <w:rPr>
                <w:rFonts w:eastAsia="Times New Roman"/>
                <w:b/>
                <w:color w:val="002060"/>
                <w:sz w:val="22"/>
                <w:szCs w:val="22"/>
              </w:rPr>
              <w:t>4.kvintile</w:t>
            </w:r>
          </w:p>
        </w:tc>
        <w:tc>
          <w:tcPr>
            <w:tcW w:w="1134" w:type="dxa"/>
            <w:shd w:val="clear" w:color="auto" w:fill="DBE5F1" w:themeFill="accent1" w:themeFillTint="33"/>
            <w:noWrap/>
            <w:vAlign w:val="bottom"/>
            <w:hideMark/>
          </w:tcPr>
          <w:p w:rsidR="00255CC4" w:rsidRPr="00BC22F8" w:rsidRDefault="00255CC4" w:rsidP="00BC22F8">
            <w:pPr>
              <w:spacing w:before="120" w:after="120" w:line="240" w:lineRule="auto"/>
              <w:jc w:val="left"/>
              <w:rPr>
                <w:rFonts w:eastAsia="Times New Roman"/>
                <w:b/>
                <w:color w:val="002060"/>
                <w:sz w:val="22"/>
                <w:szCs w:val="22"/>
              </w:rPr>
            </w:pPr>
            <w:r w:rsidRPr="00BC22F8">
              <w:rPr>
                <w:rFonts w:eastAsia="Times New Roman"/>
                <w:b/>
                <w:color w:val="002060"/>
                <w:sz w:val="22"/>
                <w:szCs w:val="22"/>
              </w:rPr>
              <w:t>5.kvintile</w:t>
            </w:r>
          </w:p>
        </w:tc>
      </w:tr>
      <w:tr w:rsidR="00255CC4" w:rsidRPr="004F63DC" w:rsidTr="00BC22F8">
        <w:trPr>
          <w:trHeight w:val="300"/>
        </w:trPr>
        <w:tc>
          <w:tcPr>
            <w:tcW w:w="3062" w:type="dxa"/>
            <w:vMerge w:val="restart"/>
            <w:shd w:val="clear" w:color="auto" w:fill="F2F2F2" w:themeFill="background1" w:themeFillShade="F2"/>
            <w:noWrap/>
            <w:vAlign w:val="center"/>
            <w:hideMark/>
          </w:tcPr>
          <w:p w:rsidR="00255CC4" w:rsidRPr="004F63DC" w:rsidRDefault="00255CC4" w:rsidP="00255CC4">
            <w:pPr>
              <w:spacing w:line="240" w:lineRule="auto"/>
              <w:jc w:val="left"/>
              <w:rPr>
                <w:rFonts w:eastAsia="Times New Roman"/>
                <w:b/>
                <w:color w:val="000000"/>
                <w:sz w:val="22"/>
                <w:szCs w:val="22"/>
              </w:rPr>
            </w:pPr>
            <w:r>
              <w:rPr>
                <w:rFonts w:eastAsia="Times New Roman"/>
                <w:b/>
                <w:color w:val="000000"/>
                <w:sz w:val="22"/>
                <w:szCs w:val="22"/>
              </w:rPr>
              <w:t>1</w:t>
            </w:r>
            <w:r w:rsidRPr="004F63DC">
              <w:rPr>
                <w:rFonts w:eastAsia="Times New Roman"/>
                <w:b/>
                <w:color w:val="000000"/>
                <w:sz w:val="22"/>
                <w:szCs w:val="22"/>
              </w:rPr>
              <w:t xml:space="preserve"> personas mājsaimniecība</w:t>
            </w:r>
          </w:p>
        </w:tc>
        <w:tc>
          <w:tcPr>
            <w:tcW w:w="860" w:type="dxa"/>
            <w:shd w:val="clear" w:color="auto" w:fill="F2F2F2" w:themeFill="background1" w:themeFillShade="F2"/>
            <w:noWrap/>
            <w:vAlign w:val="bottom"/>
            <w:hideMark/>
          </w:tcPr>
          <w:p w:rsidR="00255CC4" w:rsidRPr="004F63DC" w:rsidRDefault="00255CC4" w:rsidP="00255CC4">
            <w:pPr>
              <w:spacing w:line="240" w:lineRule="auto"/>
              <w:jc w:val="right"/>
              <w:rPr>
                <w:rFonts w:eastAsia="Times New Roman"/>
                <w:color w:val="000000"/>
                <w:sz w:val="22"/>
                <w:szCs w:val="22"/>
              </w:rPr>
            </w:pPr>
            <w:r w:rsidRPr="004F63DC">
              <w:rPr>
                <w:rFonts w:eastAsia="Times New Roman"/>
                <w:color w:val="000000"/>
                <w:sz w:val="22"/>
                <w:szCs w:val="22"/>
              </w:rPr>
              <w:t>2014</w:t>
            </w:r>
          </w:p>
        </w:tc>
        <w:tc>
          <w:tcPr>
            <w:tcW w:w="1123"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12,9</w:t>
            </w:r>
          </w:p>
        </w:tc>
        <w:tc>
          <w:tcPr>
            <w:tcW w:w="1184"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27,7</w:t>
            </w:r>
          </w:p>
        </w:tc>
        <w:tc>
          <w:tcPr>
            <w:tcW w:w="1141"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22,4</w:t>
            </w:r>
          </w:p>
        </w:tc>
        <w:tc>
          <w:tcPr>
            <w:tcW w:w="1135"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16,8</w:t>
            </w:r>
          </w:p>
        </w:tc>
        <w:tc>
          <w:tcPr>
            <w:tcW w:w="1134"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20,2</w:t>
            </w:r>
          </w:p>
        </w:tc>
      </w:tr>
      <w:tr w:rsidR="00255CC4" w:rsidRPr="004F63DC" w:rsidTr="00BC22F8">
        <w:trPr>
          <w:trHeight w:val="300"/>
        </w:trPr>
        <w:tc>
          <w:tcPr>
            <w:tcW w:w="3062" w:type="dxa"/>
            <w:vMerge/>
            <w:shd w:val="clear" w:color="auto" w:fill="F2F2F2" w:themeFill="background1" w:themeFillShade="F2"/>
            <w:noWrap/>
            <w:vAlign w:val="center"/>
            <w:hideMark/>
          </w:tcPr>
          <w:p w:rsidR="00255CC4" w:rsidRPr="004F63DC" w:rsidRDefault="00255CC4" w:rsidP="00255CC4">
            <w:pPr>
              <w:spacing w:line="240" w:lineRule="auto"/>
              <w:jc w:val="left"/>
              <w:rPr>
                <w:rFonts w:eastAsia="Times New Roman"/>
                <w:b/>
                <w:color w:val="000000"/>
                <w:sz w:val="22"/>
                <w:szCs w:val="22"/>
              </w:rPr>
            </w:pPr>
          </w:p>
        </w:tc>
        <w:tc>
          <w:tcPr>
            <w:tcW w:w="860" w:type="dxa"/>
            <w:shd w:val="clear" w:color="auto" w:fill="F2F2F2" w:themeFill="background1" w:themeFillShade="F2"/>
            <w:noWrap/>
            <w:vAlign w:val="bottom"/>
            <w:hideMark/>
          </w:tcPr>
          <w:p w:rsidR="00255CC4" w:rsidRPr="004F63DC" w:rsidRDefault="00255CC4" w:rsidP="00255CC4">
            <w:pPr>
              <w:spacing w:line="240" w:lineRule="auto"/>
              <w:jc w:val="right"/>
              <w:rPr>
                <w:rFonts w:eastAsia="Times New Roman"/>
                <w:color w:val="000000"/>
                <w:sz w:val="22"/>
                <w:szCs w:val="22"/>
              </w:rPr>
            </w:pPr>
            <w:r w:rsidRPr="004F63DC">
              <w:rPr>
                <w:rFonts w:eastAsia="Times New Roman"/>
                <w:color w:val="000000"/>
                <w:sz w:val="22"/>
                <w:szCs w:val="22"/>
              </w:rPr>
              <w:t>2015</w:t>
            </w:r>
          </w:p>
        </w:tc>
        <w:tc>
          <w:tcPr>
            <w:tcW w:w="1123"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14,7</w:t>
            </w:r>
          </w:p>
        </w:tc>
        <w:tc>
          <w:tcPr>
            <w:tcW w:w="1184"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29,9</w:t>
            </w:r>
          </w:p>
        </w:tc>
        <w:tc>
          <w:tcPr>
            <w:tcW w:w="1141"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21,8</w:t>
            </w:r>
          </w:p>
        </w:tc>
        <w:tc>
          <w:tcPr>
            <w:tcW w:w="1135"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13,5</w:t>
            </w:r>
          </w:p>
        </w:tc>
        <w:tc>
          <w:tcPr>
            <w:tcW w:w="1134"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20,1</w:t>
            </w:r>
          </w:p>
        </w:tc>
      </w:tr>
      <w:tr w:rsidR="00255CC4" w:rsidRPr="004F63DC" w:rsidTr="00BC22F8">
        <w:trPr>
          <w:trHeight w:val="300"/>
        </w:trPr>
        <w:tc>
          <w:tcPr>
            <w:tcW w:w="3062" w:type="dxa"/>
            <w:vMerge/>
            <w:shd w:val="clear" w:color="auto" w:fill="F2F2F2" w:themeFill="background1" w:themeFillShade="F2"/>
            <w:noWrap/>
            <w:vAlign w:val="center"/>
            <w:hideMark/>
          </w:tcPr>
          <w:p w:rsidR="00255CC4" w:rsidRPr="004F63DC" w:rsidRDefault="00255CC4" w:rsidP="00255CC4">
            <w:pPr>
              <w:spacing w:line="240" w:lineRule="auto"/>
              <w:jc w:val="left"/>
              <w:rPr>
                <w:rFonts w:eastAsia="Times New Roman"/>
                <w:b/>
                <w:color w:val="000000"/>
                <w:sz w:val="22"/>
                <w:szCs w:val="22"/>
              </w:rPr>
            </w:pPr>
          </w:p>
        </w:tc>
        <w:tc>
          <w:tcPr>
            <w:tcW w:w="860" w:type="dxa"/>
            <w:shd w:val="clear" w:color="auto" w:fill="F2F2F2" w:themeFill="background1" w:themeFillShade="F2"/>
            <w:noWrap/>
            <w:vAlign w:val="bottom"/>
            <w:hideMark/>
          </w:tcPr>
          <w:p w:rsidR="00255CC4" w:rsidRPr="004F63DC" w:rsidRDefault="00255CC4" w:rsidP="00255CC4">
            <w:pPr>
              <w:spacing w:line="240" w:lineRule="auto"/>
              <w:jc w:val="right"/>
              <w:rPr>
                <w:rFonts w:eastAsia="Times New Roman"/>
                <w:color w:val="000000"/>
                <w:sz w:val="22"/>
                <w:szCs w:val="22"/>
              </w:rPr>
            </w:pPr>
            <w:r w:rsidRPr="004F63DC">
              <w:rPr>
                <w:rFonts w:eastAsia="Times New Roman"/>
                <w:color w:val="000000"/>
                <w:sz w:val="22"/>
                <w:szCs w:val="22"/>
              </w:rPr>
              <w:t>2016</w:t>
            </w:r>
          </w:p>
        </w:tc>
        <w:tc>
          <w:tcPr>
            <w:tcW w:w="1123"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18,1</w:t>
            </w:r>
          </w:p>
        </w:tc>
        <w:tc>
          <w:tcPr>
            <w:tcW w:w="1184"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29,8</w:t>
            </w:r>
          </w:p>
        </w:tc>
        <w:tc>
          <w:tcPr>
            <w:tcW w:w="1141"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18,1</w:t>
            </w:r>
          </w:p>
        </w:tc>
        <w:tc>
          <w:tcPr>
            <w:tcW w:w="1135"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13,0</w:t>
            </w:r>
          </w:p>
        </w:tc>
        <w:tc>
          <w:tcPr>
            <w:tcW w:w="1134"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21,0</w:t>
            </w:r>
          </w:p>
        </w:tc>
      </w:tr>
      <w:tr w:rsidR="00255CC4" w:rsidRPr="004F63DC" w:rsidTr="00BC22F8">
        <w:trPr>
          <w:trHeight w:val="300"/>
        </w:trPr>
        <w:tc>
          <w:tcPr>
            <w:tcW w:w="3062" w:type="dxa"/>
            <w:vMerge w:val="restart"/>
            <w:shd w:val="clear" w:color="auto" w:fill="D9D9D9" w:themeFill="background1" w:themeFillShade="D9"/>
            <w:noWrap/>
            <w:vAlign w:val="center"/>
            <w:hideMark/>
          </w:tcPr>
          <w:p w:rsidR="00255CC4" w:rsidRPr="004F63DC" w:rsidRDefault="00255CC4" w:rsidP="00255CC4">
            <w:pPr>
              <w:spacing w:line="240" w:lineRule="auto"/>
              <w:jc w:val="left"/>
              <w:rPr>
                <w:rFonts w:eastAsia="Times New Roman"/>
                <w:b/>
                <w:color w:val="000000"/>
                <w:sz w:val="22"/>
                <w:szCs w:val="22"/>
              </w:rPr>
            </w:pPr>
            <w:r>
              <w:rPr>
                <w:rFonts w:eastAsia="Times New Roman"/>
                <w:b/>
                <w:color w:val="000000"/>
                <w:sz w:val="22"/>
                <w:szCs w:val="22"/>
              </w:rPr>
              <w:t>1</w:t>
            </w:r>
            <w:r w:rsidRPr="004F63DC">
              <w:rPr>
                <w:rFonts w:eastAsia="Times New Roman"/>
                <w:b/>
                <w:color w:val="000000"/>
                <w:sz w:val="22"/>
                <w:szCs w:val="22"/>
              </w:rPr>
              <w:t xml:space="preserve"> personas mājsaimniecība vecumā 16-64 gadi</w:t>
            </w:r>
          </w:p>
        </w:tc>
        <w:tc>
          <w:tcPr>
            <w:tcW w:w="860" w:type="dxa"/>
            <w:shd w:val="clear" w:color="auto" w:fill="D9D9D9" w:themeFill="background1" w:themeFillShade="D9"/>
            <w:noWrap/>
            <w:vAlign w:val="bottom"/>
            <w:hideMark/>
          </w:tcPr>
          <w:p w:rsidR="00255CC4" w:rsidRPr="004F63DC" w:rsidRDefault="00255CC4" w:rsidP="00255CC4">
            <w:pPr>
              <w:spacing w:line="240" w:lineRule="auto"/>
              <w:jc w:val="right"/>
              <w:rPr>
                <w:rFonts w:eastAsia="Times New Roman"/>
                <w:color w:val="000000"/>
                <w:sz w:val="22"/>
                <w:szCs w:val="22"/>
              </w:rPr>
            </w:pPr>
            <w:r w:rsidRPr="004F63DC">
              <w:rPr>
                <w:rFonts w:eastAsia="Times New Roman"/>
                <w:color w:val="000000"/>
                <w:sz w:val="22"/>
                <w:szCs w:val="22"/>
              </w:rPr>
              <w:t>2014</w:t>
            </w:r>
          </w:p>
        </w:tc>
        <w:tc>
          <w:tcPr>
            <w:tcW w:w="1123"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22,3</w:t>
            </w:r>
          </w:p>
        </w:tc>
        <w:tc>
          <w:tcPr>
            <w:tcW w:w="1184"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9,4</w:t>
            </w:r>
          </w:p>
        </w:tc>
        <w:tc>
          <w:tcPr>
            <w:tcW w:w="1141"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11,9</w:t>
            </w:r>
          </w:p>
        </w:tc>
        <w:tc>
          <w:tcPr>
            <w:tcW w:w="1135"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21,5</w:t>
            </w:r>
          </w:p>
        </w:tc>
        <w:tc>
          <w:tcPr>
            <w:tcW w:w="1134"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34,9</w:t>
            </w:r>
          </w:p>
        </w:tc>
      </w:tr>
      <w:tr w:rsidR="00255CC4" w:rsidRPr="004F63DC" w:rsidTr="00BC22F8">
        <w:trPr>
          <w:trHeight w:val="300"/>
        </w:trPr>
        <w:tc>
          <w:tcPr>
            <w:tcW w:w="3062" w:type="dxa"/>
            <w:vMerge/>
            <w:shd w:val="clear" w:color="auto" w:fill="D9D9D9" w:themeFill="background1" w:themeFillShade="D9"/>
            <w:noWrap/>
            <w:vAlign w:val="center"/>
            <w:hideMark/>
          </w:tcPr>
          <w:p w:rsidR="00255CC4" w:rsidRPr="004F63DC" w:rsidRDefault="00255CC4" w:rsidP="00255CC4">
            <w:pPr>
              <w:spacing w:line="240" w:lineRule="auto"/>
              <w:jc w:val="left"/>
              <w:rPr>
                <w:rFonts w:eastAsia="Times New Roman"/>
                <w:b/>
                <w:color w:val="000000"/>
                <w:sz w:val="22"/>
                <w:szCs w:val="22"/>
              </w:rPr>
            </w:pPr>
          </w:p>
        </w:tc>
        <w:tc>
          <w:tcPr>
            <w:tcW w:w="860" w:type="dxa"/>
            <w:shd w:val="clear" w:color="auto" w:fill="D9D9D9" w:themeFill="background1" w:themeFillShade="D9"/>
            <w:noWrap/>
            <w:vAlign w:val="bottom"/>
            <w:hideMark/>
          </w:tcPr>
          <w:p w:rsidR="00255CC4" w:rsidRPr="004F63DC" w:rsidRDefault="00255CC4" w:rsidP="00255CC4">
            <w:pPr>
              <w:spacing w:line="240" w:lineRule="auto"/>
              <w:jc w:val="right"/>
              <w:rPr>
                <w:rFonts w:eastAsia="Times New Roman"/>
                <w:color w:val="000000"/>
                <w:sz w:val="22"/>
                <w:szCs w:val="22"/>
              </w:rPr>
            </w:pPr>
            <w:r w:rsidRPr="004F63DC">
              <w:rPr>
                <w:rFonts w:eastAsia="Times New Roman"/>
                <w:color w:val="000000"/>
                <w:sz w:val="22"/>
                <w:szCs w:val="22"/>
              </w:rPr>
              <w:t>2015</w:t>
            </w:r>
          </w:p>
        </w:tc>
        <w:tc>
          <w:tcPr>
            <w:tcW w:w="1123"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19,6</w:t>
            </w:r>
          </w:p>
        </w:tc>
        <w:tc>
          <w:tcPr>
            <w:tcW w:w="1184"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9,3</w:t>
            </w:r>
          </w:p>
        </w:tc>
        <w:tc>
          <w:tcPr>
            <w:tcW w:w="1141"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15,3</w:t>
            </w:r>
          </w:p>
        </w:tc>
        <w:tc>
          <w:tcPr>
            <w:tcW w:w="1135"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20,7</w:t>
            </w:r>
          </w:p>
        </w:tc>
        <w:tc>
          <w:tcPr>
            <w:tcW w:w="1134"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35,0</w:t>
            </w:r>
          </w:p>
        </w:tc>
      </w:tr>
      <w:tr w:rsidR="00255CC4" w:rsidRPr="004F63DC" w:rsidTr="00BC22F8">
        <w:trPr>
          <w:trHeight w:val="300"/>
        </w:trPr>
        <w:tc>
          <w:tcPr>
            <w:tcW w:w="3062" w:type="dxa"/>
            <w:vMerge/>
            <w:shd w:val="clear" w:color="auto" w:fill="D9D9D9" w:themeFill="background1" w:themeFillShade="D9"/>
            <w:noWrap/>
            <w:vAlign w:val="center"/>
            <w:hideMark/>
          </w:tcPr>
          <w:p w:rsidR="00255CC4" w:rsidRPr="004F63DC" w:rsidRDefault="00255CC4" w:rsidP="00255CC4">
            <w:pPr>
              <w:spacing w:line="240" w:lineRule="auto"/>
              <w:jc w:val="left"/>
              <w:rPr>
                <w:rFonts w:eastAsia="Times New Roman"/>
                <w:b/>
                <w:color w:val="000000"/>
                <w:sz w:val="22"/>
                <w:szCs w:val="22"/>
              </w:rPr>
            </w:pPr>
          </w:p>
        </w:tc>
        <w:tc>
          <w:tcPr>
            <w:tcW w:w="860" w:type="dxa"/>
            <w:shd w:val="clear" w:color="auto" w:fill="D9D9D9" w:themeFill="background1" w:themeFillShade="D9"/>
            <w:noWrap/>
            <w:vAlign w:val="bottom"/>
            <w:hideMark/>
          </w:tcPr>
          <w:p w:rsidR="00255CC4" w:rsidRPr="004F63DC" w:rsidRDefault="00255CC4" w:rsidP="00255CC4">
            <w:pPr>
              <w:spacing w:line="240" w:lineRule="auto"/>
              <w:jc w:val="right"/>
              <w:rPr>
                <w:rFonts w:eastAsia="Times New Roman"/>
                <w:color w:val="000000"/>
                <w:sz w:val="22"/>
                <w:szCs w:val="22"/>
              </w:rPr>
            </w:pPr>
            <w:r w:rsidRPr="004F63DC">
              <w:rPr>
                <w:rFonts w:eastAsia="Times New Roman"/>
                <w:color w:val="000000"/>
                <w:sz w:val="22"/>
                <w:szCs w:val="22"/>
              </w:rPr>
              <w:t>2016</w:t>
            </w:r>
          </w:p>
        </w:tc>
        <w:tc>
          <w:tcPr>
            <w:tcW w:w="1123"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22,4</w:t>
            </w:r>
          </w:p>
        </w:tc>
        <w:tc>
          <w:tcPr>
            <w:tcW w:w="1184"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9,6</w:t>
            </w:r>
          </w:p>
        </w:tc>
        <w:tc>
          <w:tcPr>
            <w:tcW w:w="1141"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12,7</w:t>
            </w:r>
          </w:p>
        </w:tc>
        <w:tc>
          <w:tcPr>
            <w:tcW w:w="1135"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17,9</w:t>
            </w:r>
          </w:p>
        </w:tc>
        <w:tc>
          <w:tcPr>
            <w:tcW w:w="1134"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37,5</w:t>
            </w:r>
          </w:p>
        </w:tc>
      </w:tr>
      <w:tr w:rsidR="00255CC4" w:rsidRPr="004F63DC" w:rsidTr="00BC22F8">
        <w:trPr>
          <w:trHeight w:val="300"/>
        </w:trPr>
        <w:tc>
          <w:tcPr>
            <w:tcW w:w="3062" w:type="dxa"/>
            <w:vMerge w:val="restart"/>
            <w:shd w:val="clear" w:color="auto" w:fill="F2F2F2" w:themeFill="background1" w:themeFillShade="F2"/>
            <w:noWrap/>
            <w:vAlign w:val="center"/>
            <w:hideMark/>
          </w:tcPr>
          <w:p w:rsidR="00255CC4" w:rsidRPr="004F63DC" w:rsidRDefault="00255CC4" w:rsidP="00255CC4">
            <w:pPr>
              <w:spacing w:line="240" w:lineRule="auto"/>
              <w:jc w:val="left"/>
              <w:rPr>
                <w:rFonts w:eastAsia="Times New Roman"/>
                <w:b/>
                <w:color w:val="000000"/>
                <w:sz w:val="22"/>
                <w:szCs w:val="22"/>
              </w:rPr>
            </w:pPr>
            <w:r>
              <w:rPr>
                <w:rFonts w:eastAsia="Times New Roman"/>
                <w:b/>
                <w:color w:val="000000"/>
                <w:sz w:val="22"/>
                <w:szCs w:val="22"/>
              </w:rPr>
              <w:t>1</w:t>
            </w:r>
            <w:r w:rsidRPr="004F63DC">
              <w:rPr>
                <w:rFonts w:eastAsia="Times New Roman"/>
                <w:b/>
                <w:color w:val="000000"/>
                <w:sz w:val="22"/>
                <w:szCs w:val="22"/>
              </w:rPr>
              <w:t xml:space="preserve"> personas mājsaimniecība vecumā 65 </w:t>
            </w:r>
            <w:r>
              <w:rPr>
                <w:rFonts w:eastAsia="Times New Roman"/>
                <w:b/>
                <w:color w:val="000000"/>
                <w:sz w:val="22"/>
                <w:szCs w:val="22"/>
              </w:rPr>
              <w:t>+</w:t>
            </w:r>
          </w:p>
        </w:tc>
        <w:tc>
          <w:tcPr>
            <w:tcW w:w="860" w:type="dxa"/>
            <w:shd w:val="clear" w:color="auto" w:fill="F2F2F2" w:themeFill="background1" w:themeFillShade="F2"/>
            <w:noWrap/>
            <w:vAlign w:val="bottom"/>
            <w:hideMark/>
          </w:tcPr>
          <w:p w:rsidR="00255CC4" w:rsidRPr="004F63DC" w:rsidRDefault="00255CC4" w:rsidP="00255CC4">
            <w:pPr>
              <w:spacing w:line="240" w:lineRule="auto"/>
              <w:jc w:val="right"/>
              <w:rPr>
                <w:rFonts w:eastAsia="Times New Roman"/>
                <w:color w:val="000000"/>
                <w:sz w:val="22"/>
                <w:szCs w:val="22"/>
              </w:rPr>
            </w:pPr>
            <w:r w:rsidRPr="004F63DC">
              <w:rPr>
                <w:rFonts w:eastAsia="Times New Roman"/>
                <w:color w:val="000000"/>
                <w:sz w:val="22"/>
                <w:szCs w:val="22"/>
              </w:rPr>
              <w:t>2014</w:t>
            </w:r>
          </w:p>
        </w:tc>
        <w:tc>
          <w:tcPr>
            <w:tcW w:w="1123"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4,4</w:t>
            </w:r>
          </w:p>
        </w:tc>
        <w:tc>
          <w:tcPr>
            <w:tcW w:w="1184"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44,1</w:t>
            </w:r>
          </w:p>
        </w:tc>
        <w:tc>
          <w:tcPr>
            <w:tcW w:w="1141"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31,9</w:t>
            </w:r>
          </w:p>
        </w:tc>
        <w:tc>
          <w:tcPr>
            <w:tcW w:w="1135"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12,6</w:t>
            </w:r>
          </w:p>
        </w:tc>
        <w:tc>
          <w:tcPr>
            <w:tcW w:w="1134"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7,0</w:t>
            </w:r>
          </w:p>
        </w:tc>
      </w:tr>
      <w:tr w:rsidR="00255CC4" w:rsidRPr="004F63DC" w:rsidTr="00BC22F8">
        <w:trPr>
          <w:trHeight w:val="300"/>
        </w:trPr>
        <w:tc>
          <w:tcPr>
            <w:tcW w:w="3062" w:type="dxa"/>
            <w:vMerge/>
            <w:shd w:val="clear" w:color="auto" w:fill="F2F2F2" w:themeFill="background1" w:themeFillShade="F2"/>
            <w:noWrap/>
            <w:vAlign w:val="center"/>
            <w:hideMark/>
          </w:tcPr>
          <w:p w:rsidR="00255CC4" w:rsidRPr="004F63DC" w:rsidRDefault="00255CC4" w:rsidP="00255CC4">
            <w:pPr>
              <w:spacing w:line="240" w:lineRule="auto"/>
              <w:jc w:val="left"/>
              <w:rPr>
                <w:rFonts w:eastAsia="Times New Roman"/>
                <w:b/>
                <w:color w:val="000000"/>
                <w:sz w:val="22"/>
                <w:szCs w:val="22"/>
              </w:rPr>
            </w:pPr>
          </w:p>
        </w:tc>
        <w:tc>
          <w:tcPr>
            <w:tcW w:w="860" w:type="dxa"/>
            <w:shd w:val="clear" w:color="auto" w:fill="F2F2F2" w:themeFill="background1" w:themeFillShade="F2"/>
            <w:noWrap/>
            <w:vAlign w:val="bottom"/>
            <w:hideMark/>
          </w:tcPr>
          <w:p w:rsidR="00255CC4" w:rsidRPr="004F63DC" w:rsidRDefault="00255CC4" w:rsidP="00255CC4">
            <w:pPr>
              <w:spacing w:line="240" w:lineRule="auto"/>
              <w:jc w:val="right"/>
              <w:rPr>
                <w:rFonts w:eastAsia="Times New Roman"/>
                <w:color w:val="000000"/>
                <w:sz w:val="22"/>
                <w:szCs w:val="22"/>
              </w:rPr>
            </w:pPr>
            <w:r w:rsidRPr="004F63DC">
              <w:rPr>
                <w:rFonts w:eastAsia="Times New Roman"/>
                <w:color w:val="000000"/>
                <w:sz w:val="22"/>
                <w:szCs w:val="22"/>
              </w:rPr>
              <w:t>2015</w:t>
            </w:r>
          </w:p>
        </w:tc>
        <w:tc>
          <w:tcPr>
            <w:tcW w:w="1123"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10,2</w:t>
            </w:r>
          </w:p>
        </w:tc>
        <w:tc>
          <w:tcPr>
            <w:tcW w:w="1184"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48,3</w:t>
            </w:r>
          </w:p>
        </w:tc>
        <w:tc>
          <w:tcPr>
            <w:tcW w:w="1141"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27,6</w:t>
            </w:r>
          </w:p>
        </w:tc>
        <w:tc>
          <w:tcPr>
            <w:tcW w:w="1135"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7,1</w:t>
            </w:r>
          </w:p>
        </w:tc>
        <w:tc>
          <w:tcPr>
            <w:tcW w:w="1134"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6,7</w:t>
            </w:r>
          </w:p>
        </w:tc>
      </w:tr>
      <w:tr w:rsidR="00255CC4" w:rsidRPr="004F63DC" w:rsidTr="00BC22F8">
        <w:trPr>
          <w:trHeight w:val="300"/>
        </w:trPr>
        <w:tc>
          <w:tcPr>
            <w:tcW w:w="3062" w:type="dxa"/>
            <w:vMerge/>
            <w:shd w:val="clear" w:color="auto" w:fill="F2F2F2" w:themeFill="background1" w:themeFillShade="F2"/>
            <w:noWrap/>
            <w:vAlign w:val="center"/>
            <w:hideMark/>
          </w:tcPr>
          <w:p w:rsidR="00255CC4" w:rsidRPr="004F63DC" w:rsidRDefault="00255CC4" w:rsidP="00255CC4">
            <w:pPr>
              <w:spacing w:line="240" w:lineRule="auto"/>
              <w:jc w:val="left"/>
              <w:rPr>
                <w:rFonts w:eastAsia="Times New Roman"/>
                <w:b/>
                <w:color w:val="000000"/>
                <w:sz w:val="22"/>
                <w:szCs w:val="22"/>
              </w:rPr>
            </w:pPr>
          </w:p>
        </w:tc>
        <w:tc>
          <w:tcPr>
            <w:tcW w:w="860" w:type="dxa"/>
            <w:shd w:val="clear" w:color="auto" w:fill="F2F2F2" w:themeFill="background1" w:themeFillShade="F2"/>
            <w:noWrap/>
            <w:vAlign w:val="bottom"/>
            <w:hideMark/>
          </w:tcPr>
          <w:p w:rsidR="00255CC4" w:rsidRPr="004F63DC" w:rsidRDefault="00255CC4" w:rsidP="00255CC4">
            <w:pPr>
              <w:spacing w:line="240" w:lineRule="auto"/>
              <w:jc w:val="right"/>
              <w:rPr>
                <w:rFonts w:eastAsia="Times New Roman"/>
                <w:color w:val="000000"/>
                <w:sz w:val="22"/>
                <w:szCs w:val="22"/>
              </w:rPr>
            </w:pPr>
            <w:r w:rsidRPr="004F63DC">
              <w:rPr>
                <w:rFonts w:eastAsia="Times New Roman"/>
                <w:color w:val="000000"/>
                <w:sz w:val="22"/>
                <w:szCs w:val="22"/>
              </w:rPr>
              <w:t>2016</w:t>
            </w:r>
          </w:p>
        </w:tc>
        <w:tc>
          <w:tcPr>
            <w:tcW w:w="1123"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14,3</w:t>
            </w:r>
          </w:p>
        </w:tc>
        <w:tc>
          <w:tcPr>
            <w:tcW w:w="1184"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47,8</w:t>
            </w:r>
          </w:p>
        </w:tc>
        <w:tc>
          <w:tcPr>
            <w:tcW w:w="1141"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22,9</w:t>
            </w:r>
          </w:p>
        </w:tc>
        <w:tc>
          <w:tcPr>
            <w:tcW w:w="1135"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8,7</w:t>
            </w:r>
          </w:p>
        </w:tc>
        <w:tc>
          <w:tcPr>
            <w:tcW w:w="1134"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6,3</w:t>
            </w:r>
          </w:p>
        </w:tc>
      </w:tr>
      <w:tr w:rsidR="00255CC4" w:rsidRPr="004F63DC" w:rsidTr="00BC22F8">
        <w:trPr>
          <w:trHeight w:val="300"/>
        </w:trPr>
        <w:tc>
          <w:tcPr>
            <w:tcW w:w="3062" w:type="dxa"/>
            <w:vMerge w:val="restart"/>
            <w:shd w:val="clear" w:color="auto" w:fill="D9D9D9" w:themeFill="background1" w:themeFillShade="D9"/>
            <w:noWrap/>
            <w:vAlign w:val="center"/>
            <w:hideMark/>
          </w:tcPr>
          <w:p w:rsidR="00255CC4" w:rsidRPr="004F63DC" w:rsidRDefault="00255CC4" w:rsidP="00255CC4">
            <w:pPr>
              <w:spacing w:line="240" w:lineRule="auto"/>
              <w:jc w:val="left"/>
              <w:rPr>
                <w:rFonts w:eastAsia="Times New Roman"/>
                <w:b/>
                <w:color w:val="000000"/>
                <w:sz w:val="22"/>
                <w:szCs w:val="22"/>
              </w:rPr>
            </w:pPr>
            <w:r>
              <w:rPr>
                <w:rFonts w:eastAsia="Times New Roman"/>
                <w:b/>
                <w:color w:val="000000"/>
                <w:sz w:val="22"/>
                <w:szCs w:val="22"/>
              </w:rPr>
              <w:t>2</w:t>
            </w:r>
            <w:r w:rsidRPr="004F63DC">
              <w:rPr>
                <w:rFonts w:eastAsia="Times New Roman"/>
                <w:b/>
                <w:color w:val="000000"/>
                <w:sz w:val="22"/>
                <w:szCs w:val="22"/>
              </w:rPr>
              <w:t xml:space="preserve"> personu mājsaimniecība</w:t>
            </w:r>
          </w:p>
        </w:tc>
        <w:tc>
          <w:tcPr>
            <w:tcW w:w="860" w:type="dxa"/>
            <w:shd w:val="clear" w:color="auto" w:fill="D9D9D9" w:themeFill="background1" w:themeFillShade="D9"/>
            <w:noWrap/>
            <w:vAlign w:val="bottom"/>
            <w:hideMark/>
          </w:tcPr>
          <w:p w:rsidR="00255CC4" w:rsidRPr="004F63DC" w:rsidRDefault="00255CC4" w:rsidP="00255CC4">
            <w:pPr>
              <w:spacing w:line="240" w:lineRule="auto"/>
              <w:jc w:val="right"/>
              <w:rPr>
                <w:rFonts w:eastAsia="Times New Roman"/>
                <w:color w:val="000000"/>
                <w:sz w:val="22"/>
                <w:szCs w:val="22"/>
              </w:rPr>
            </w:pPr>
            <w:r w:rsidRPr="004F63DC">
              <w:rPr>
                <w:rFonts w:eastAsia="Times New Roman"/>
                <w:color w:val="000000"/>
                <w:sz w:val="22"/>
                <w:szCs w:val="22"/>
              </w:rPr>
              <w:t>2014</w:t>
            </w:r>
          </w:p>
        </w:tc>
        <w:tc>
          <w:tcPr>
            <w:tcW w:w="1123"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19,1</w:t>
            </w:r>
          </w:p>
        </w:tc>
        <w:tc>
          <w:tcPr>
            <w:tcW w:w="1184"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16,9</w:t>
            </w:r>
          </w:p>
        </w:tc>
        <w:tc>
          <w:tcPr>
            <w:tcW w:w="1141"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18,4</w:t>
            </w:r>
          </w:p>
        </w:tc>
        <w:tc>
          <w:tcPr>
            <w:tcW w:w="1135"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21,8</w:t>
            </w:r>
          </w:p>
        </w:tc>
        <w:tc>
          <w:tcPr>
            <w:tcW w:w="1134"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23,8</w:t>
            </w:r>
          </w:p>
        </w:tc>
      </w:tr>
      <w:tr w:rsidR="00255CC4" w:rsidRPr="004F63DC" w:rsidTr="00BC22F8">
        <w:trPr>
          <w:trHeight w:val="300"/>
        </w:trPr>
        <w:tc>
          <w:tcPr>
            <w:tcW w:w="3062" w:type="dxa"/>
            <w:vMerge/>
            <w:shd w:val="clear" w:color="auto" w:fill="D9D9D9" w:themeFill="background1" w:themeFillShade="D9"/>
            <w:noWrap/>
            <w:vAlign w:val="center"/>
            <w:hideMark/>
          </w:tcPr>
          <w:p w:rsidR="00255CC4" w:rsidRPr="004F63DC" w:rsidRDefault="00255CC4" w:rsidP="00255CC4">
            <w:pPr>
              <w:spacing w:line="240" w:lineRule="auto"/>
              <w:jc w:val="left"/>
              <w:rPr>
                <w:rFonts w:eastAsia="Times New Roman"/>
                <w:b/>
                <w:color w:val="000000"/>
                <w:sz w:val="22"/>
                <w:szCs w:val="22"/>
              </w:rPr>
            </w:pPr>
          </w:p>
        </w:tc>
        <w:tc>
          <w:tcPr>
            <w:tcW w:w="860" w:type="dxa"/>
            <w:shd w:val="clear" w:color="auto" w:fill="D9D9D9" w:themeFill="background1" w:themeFillShade="D9"/>
            <w:noWrap/>
            <w:vAlign w:val="bottom"/>
            <w:hideMark/>
          </w:tcPr>
          <w:p w:rsidR="00255CC4" w:rsidRPr="004F63DC" w:rsidRDefault="00255CC4" w:rsidP="00255CC4">
            <w:pPr>
              <w:spacing w:line="240" w:lineRule="auto"/>
              <w:jc w:val="right"/>
              <w:rPr>
                <w:rFonts w:eastAsia="Times New Roman"/>
                <w:color w:val="000000"/>
                <w:sz w:val="22"/>
                <w:szCs w:val="22"/>
              </w:rPr>
            </w:pPr>
            <w:r w:rsidRPr="004F63DC">
              <w:rPr>
                <w:rFonts w:eastAsia="Times New Roman"/>
                <w:color w:val="000000"/>
                <w:sz w:val="22"/>
                <w:szCs w:val="22"/>
              </w:rPr>
              <w:t>2015</w:t>
            </w:r>
          </w:p>
        </w:tc>
        <w:tc>
          <w:tcPr>
            <w:tcW w:w="1123"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19,8</w:t>
            </w:r>
          </w:p>
        </w:tc>
        <w:tc>
          <w:tcPr>
            <w:tcW w:w="1184"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17,5</w:t>
            </w:r>
          </w:p>
        </w:tc>
        <w:tc>
          <w:tcPr>
            <w:tcW w:w="1141"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16,6</w:t>
            </w:r>
          </w:p>
        </w:tc>
        <w:tc>
          <w:tcPr>
            <w:tcW w:w="1135"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22,2</w:t>
            </w:r>
          </w:p>
        </w:tc>
        <w:tc>
          <w:tcPr>
            <w:tcW w:w="1134"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24,0</w:t>
            </w:r>
          </w:p>
        </w:tc>
      </w:tr>
      <w:tr w:rsidR="00255CC4" w:rsidRPr="004F63DC" w:rsidTr="00BC22F8">
        <w:trPr>
          <w:trHeight w:val="300"/>
        </w:trPr>
        <w:tc>
          <w:tcPr>
            <w:tcW w:w="3062" w:type="dxa"/>
            <w:vMerge/>
            <w:shd w:val="clear" w:color="auto" w:fill="D9D9D9" w:themeFill="background1" w:themeFillShade="D9"/>
            <w:noWrap/>
            <w:vAlign w:val="center"/>
            <w:hideMark/>
          </w:tcPr>
          <w:p w:rsidR="00255CC4" w:rsidRPr="004F63DC" w:rsidRDefault="00255CC4" w:rsidP="00255CC4">
            <w:pPr>
              <w:spacing w:line="240" w:lineRule="auto"/>
              <w:jc w:val="left"/>
              <w:rPr>
                <w:rFonts w:eastAsia="Times New Roman"/>
                <w:b/>
                <w:color w:val="000000"/>
                <w:sz w:val="22"/>
                <w:szCs w:val="22"/>
              </w:rPr>
            </w:pPr>
          </w:p>
        </w:tc>
        <w:tc>
          <w:tcPr>
            <w:tcW w:w="860" w:type="dxa"/>
            <w:shd w:val="clear" w:color="auto" w:fill="D9D9D9" w:themeFill="background1" w:themeFillShade="D9"/>
            <w:noWrap/>
            <w:vAlign w:val="bottom"/>
            <w:hideMark/>
          </w:tcPr>
          <w:p w:rsidR="00255CC4" w:rsidRPr="004F63DC" w:rsidRDefault="00255CC4" w:rsidP="00255CC4">
            <w:pPr>
              <w:spacing w:line="240" w:lineRule="auto"/>
              <w:jc w:val="right"/>
              <w:rPr>
                <w:rFonts w:eastAsia="Times New Roman"/>
                <w:color w:val="000000"/>
                <w:sz w:val="22"/>
                <w:szCs w:val="22"/>
              </w:rPr>
            </w:pPr>
            <w:r w:rsidRPr="004F63DC">
              <w:rPr>
                <w:rFonts w:eastAsia="Times New Roman"/>
                <w:color w:val="000000"/>
                <w:sz w:val="22"/>
                <w:szCs w:val="22"/>
              </w:rPr>
              <w:t>2016</w:t>
            </w:r>
          </w:p>
        </w:tc>
        <w:tc>
          <w:tcPr>
            <w:tcW w:w="1123"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19,8</w:t>
            </w:r>
          </w:p>
        </w:tc>
        <w:tc>
          <w:tcPr>
            <w:tcW w:w="1184"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16,1</w:t>
            </w:r>
          </w:p>
        </w:tc>
        <w:tc>
          <w:tcPr>
            <w:tcW w:w="1141"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19,4</w:t>
            </w:r>
          </w:p>
        </w:tc>
        <w:tc>
          <w:tcPr>
            <w:tcW w:w="1135"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21,5</w:t>
            </w:r>
          </w:p>
        </w:tc>
        <w:tc>
          <w:tcPr>
            <w:tcW w:w="1134"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23,3</w:t>
            </w:r>
          </w:p>
        </w:tc>
      </w:tr>
      <w:tr w:rsidR="00255CC4" w:rsidRPr="004F63DC" w:rsidTr="00BC22F8">
        <w:trPr>
          <w:trHeight w:val="300"/>
        </w:trPr>
        <w:tc>
          <w:tcPr>
            <w:tcW w:w="3062" w:type="dxa"/>
            <w:vMerge w:val="restart"/>
            <w:shd w:val="clear" w:color="auto" w:fill="F2F2F2" w:themeFill="background1" w:themeFillShade="F2"/>
            <w:noWrap/>
            <w:vAlign w:val="center"/>
            <w:hideMark/>
          </w:tcPr>
          <w:p w:rsidR="00255CC4" w:rsidRPr="004F63DC" w:rsidRDefault="00255CC4" w:rsidP="00255CC4">
            <w:pPr>
              <w:spacing w:line="240" w:lineRule="auto"/>
              <w:jc w:val="left"/>
              <w:rPr>
                <w:rFonts w:eastAsia="Times New Roman"/>
                <w:b/>
                <w:color w:val="000000"/>
                <w:sz w:val="22"/>
                <w:szCs w:val="22"/>
              </w:rPr>
            </w:pPr>
            <w:r>
              <w:rPr>
                <w:rFonts w:eastAsia="Times New Roman"/>
                <w:b/>
                <w:color w:val="000000"/>
                <w:sz w:val="22"/>
                <w:szCs w:val="22"/>
              </w:rPr>
              <w:t>3</w:t>
            </w:r>
            <w:r w:rsidRPr="004F63DC">
              <w:rPr>
                <w:rFonts w:eastAsia="Times New Roman"/>
                <w:b/>
                <w:color w:val="000000"/>
                <w:sz w:val="22"/>
                <w:szCs w:val="22"/>
              </w:rPr>
              <w:t xml:space="preserve"> personu mājsaimniecība</w:t>
            </w:r>
          </w:p>
        </w:tc>
        <w:tc>
          <w:tcPr>
            <w:tcW w:w="860" w:type="dxa"/>
            <w:shd w:val="clear" w:color="auto" w:fill="F2F2F2" w:themeFill="background1" w:themeFillShade="F2"/>
            <w:noWrap/>
            <w:vAlign w:val="bottom"/>
            <w:hideMark/>
          </w:tcPr>
          <w:p w:rsidR="00255CC4" w:rsidRPr="004F63DC" w:rsidRDefault="00255CC4" w:rsidP="00255CC4">
            <w:pPr>
              <w:spacing w:line="240" w:lineRule="auto"/>
              <w:jc w:val="right"/>
              <w:rPr>
                <w:rFonts w:eastAsia="Times New Roman"/>
                <w:color w:val="000000"/>
                <w:sz w:val="22"/>
                <w:szCs w:val="22"/>
              </w:rPr>
            </w:pPr>
            <w:r w:rsidRPr="004F63DC">
              <w:rPr>
                <w:rFonts w:eastAsia="Times New Roman"/>
                <w:color w:val="000000"/>
                <w:sz w:val="22"/>
                <w:szCs w:val="22"/>
              </w:rPr>
              <w:t>2014</w:t>
            </w:r>
          </w:p>
        </w:tc>
        <w:tc>
          <w:tcPr>
            <w:tcW w:w="1123"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20,3</w:t>
            </w:r>
          </w:p>
        </w:tc>
        <w:tc>
          <w:tcPr>
            <w:tcW w:w="1184"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14,8</w:t>
            </w:r>
          </w:p>
        </w:tc>
        <w:tc>
          <w:tcPr>
            <w:tcW w:w="1141"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20,1</w:t>
            </w:r>
          </w:p>
        </w:tc>
        <w:tc>
          <w:tcPr>
            <w:tcW w:w="1135"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23,2</w:t>
            </w:r>
          </w:p>
        </w:tc>
        <w:tc>
          <w:tcPr>
            <w:tcW w:w="1134"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21,6</w:t>
            </w:r>
          </w:p>
        </w:tc>
      </w:tr>
      <w:tr w:rsidR="00255CC4" w:rsidRPr="004F63DC" w:rsidTr="00BC22F8">
        <w:trPr>
          <w:trHeight w:val="300"/>
        </w:trPr>
        <w:tc>
          <w:tcPr>
            <w:tcW w:w="3062" w:type="dxa"/>
            <w:vMerge/>
            <w:shd w:val="clear" w:color="auto" w:fill="F2F2F2" w:themeFill="background1" w:themeFillShade="F2"/>
            <w:noWrap/>
            <w:vAlign w:val="center"/>
            <w:hideMark/>
          </w:tcPr>
          <w:p w:rsidR="00255CC4" w:rsidRPr="004F63DC" w:rsidRDefault="00255CC4" w:rsidP="00255CC4">
            <w:pPr>
              <w:spacing w:line="240" w:lineRule="auto"/>
              <w:jc w:val="left"/>
              <w:rPr>
                <w:rFonts w:eastAsia="Times New Roman"/>
                <w:b/>
                <w:color w:val="000000"/>
                <w:sz w:val="22"/>
                <w:szCs w:val="22"/>
              </w:rPr>
            </w:pPr>
          </w:p>
        </w:tc>
        <w:tc>
          <w:tcPr>
            <w:tcW w:w="860" w:type="dxa"/>
            <w:shd w:val="clear" w:color="auto" w:fill="F2F2F2" w:themeFill="background1" w:themeFillShade="F2"/>
            <w:noWrap/>
            <w:vAlign w:val="bottom"/>
            <w:hideMark/>
          </w:tcPr>
          <w:p w:rsidR="00255CC4" w:rsidRPr="004F63DC" w:rsidRDefault="00255CC4" w:rsidP="00255CC4">
            <w:pPr>
              <w:spacing w:line="240" w:lineRule="auto"/>
              <w:jc w:val="right"/>
              <w:rPr>
                <w:rFonts w:eastAsia="Times New Roman"/>
                <w:color w:val="000000"/>
                <w:sz w:val="22"/>
                <w:szCs w:val="22"/>
              </w:rPr>
            </w:pPr>
            <w:r w:rsidRPr="004F63DC">
              <w:rPr>
                <w:rFonts w:eastAsia="Times New Roman"/>
                <w:color w:val="000000"/>
                <w:sz w:val="22"/>
                <w:szCs w:val="22"/>
              </w:rPr>
              <w:t>2015</w:t>
            </w:r>
          </w:p>
        </w:tc>
        <w:tc>
          <w:tcPr>
            <w:tcW w:w="1123"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20,5</w:t>
            </w:r>
          </w:p>
        </w:tc>
        <w:tc>
          <w:tcPr>
            <w:tcW w:w="1184"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11,9</w:t>
            </w:r>
          </w:p>
        </w:tc>
        <w:tc>
          <w:tcPr>
            <w:tcW w:w="1141"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20,6</w:t>
            </w:r>
          </w:p>
        </w:tc>
        <w:tc>
          <w:tcPr>
            <w:tcW w:w="1135"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25,7</w:t>
            </w:r>
          </w:p>
        </w:tc>
        <w:tc>
          <w:tcPr>
            <w:tcW w:w="1134"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21,4</w:t>
            </w:r>
          </w:p>
        </w:tc>
      </w:tr>
      <w:tr w:rsidR="00255CC4" w:rsidRPr="004F63DC" w:rsidTr="00BC22F8">
        <w:trPr>
          <w:trHeight w:val="300"/>
        </w:trPr>
        <w:tc>
          <w:tcPr>
            <w:tcW w:w="3062" w:type="dxa"/>
            <w:vMerge/>
            <w:shd w:val="clear" w:color="auto" w:fill="F2F2F2" w:themeFill="background1" w:themeFillShade="F2"/>
            <w:noWrap/>
            <w:vAlign w:val="center"/>
            <w:hideMark/>
          </w:tcPr>
          <w:p w:rsidR="00255CC4" w:rsidRPr="004F63DC" w:rsidRDefault="00255CC4" w:rsidP="00255CC4">
            <w:pPr>
              <w:spacing w:line="240" w:lineRule="auto"/>
              <w:jc w:val="left"/>
              <w:rPr>
                <w:rFonts w:eastAsia="Times New Roman"/>
                <w:b/>
                <w:color w:val="000000"/>
                <w:sz w:val="22"/>
                <w:szCs w:val="22"/>
              </w:rPr>
            </w:pPr>
          </w:p>
        </w:tc>
        <w:tc>
          <w:tcPr>
            <w:tcW w:w="860" w:type="dxa"/>
            <w:shd w:val="clear" w:color="auto" w:fill="F2F2F2" w:themeFill="background1" w:themeFillShade="F2"/>
            <w:noWrap/>
            <w:vAlign w:val="bottom"/>
            <w:hideMark/>
          </w:tcPr>
          <w:p w:rsidR="00255CC4" w:rsidRPr="004F63DC" w:rsidRDefault="00255CC4" w:rsidP="00255CC4">
            <w:pPr>
              <w:spacing w:line="240" w:lineRule="auto"/>
              <w:jc w:val="right"/>
              <w:rPr>
                <w:rFonts w:eastAsia="Times New Roman"/>
                <w:color w:val="000000"/>
                <w:sz w:val="22"/>
                <w:szCs w:val="22"/>
              </w:rPr>
            </w:pPr>
            <w:r w:rsidRPr="004F63DC">
              <w:rPr>
                <w:rFonts w:eastAsia="Times New Roman"/>
                <w:color w:val="000000"/>
                <w:sz w:val="22"/>
                <w:szCs w:val="22"/>
              </w:rPr>
              <w:t>2016</w:t>
            </w:r>
          </w:p>
        </w:tc>
        <w:tc>
          <w:tcPr>
            <w:tcW w:w="1123"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18,6</w:t>
            </w:r>
          </w:p>
        </w:tc>
        <w:tc>
          <w:tcPr>
            <w:tcW w:w="1184"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13,3</w:t>
            </w:r>
          </w:p>
        </w:tc>
        <w:tc>
          <w:tcPr>
            <w:tcW w:w="1141"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20,3</w:t>
            </w:r>
          </w:p>
        </w:tc>
        <w:tc>
          <w:tcPr>
            <w:tcW w:w="1135"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27,5</w:t>
            </w:r>
          </w:p>
        </w:tc>
        <w:tc>
          <w:tcPr>
            <w:tcW w:w="1134"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20,2</w:t>
            </w:r>
          </w:p>
        </w:tc>
      </w:tr>
      <w:tr w:rsidR="00255CC4" w:rsidRPr="004F63DC" w:rsidTr="00BC22F8">
        <w:trPr>
          <w:trHeight w:val="300"/>
        </w:trPr>
        <w:tc>
          <w:tcPr>
            <w:tcW w:w="3062" w:type="dxa"/>
            <w:vMerge w:val="restart"/>
            <w:shd w:val="clear" w:color="auto" w:fill="D9D9D9" w:themeFill="background1" w:themeFillShade="D9"/>
            <w:noWrap/>
            <w:vAlign w:val="center"/>
            <w:hideMark/>
          </w:tcPr>
          <w:p w:rsidR="00255CC4" w:rsidRPr="004F63DC" w:rsidRDefault="00255CC4" w:rsidP="00255CC4">
            <w:pPr>
              <w:spacing w:line="240" w:lineRule="auto"/>
              <w:jc w:val="left"/>
              <w:rPr>
                <w:rFonts w:eastAsia="Times New Roman"/>
                <w:b/>
                <w:color w:val="000000"/>
                <w:sz w:val="22"/>
                <w:szCs w:val="22"/>
              </w:rPr>
            </w:pPr>
            <w:r>
              <w:rPr>
                <w:rFonts w:eastAsia="Times New Roman"/>
                <w:b/>
                <w:color w:val="000000"/>
                <w:sz w:val="22"/>
                <w:szCs w:val="22"/>
              </w:rPr>
              <w:t>4</w:t>
            </w:r>
            <w:r w:rsidRPr="004F63DC">
              <w:rPr>
                <w:rFonts w:eastAsia="Times New Roman"/>
                <w:b/>
                <w:color w:val="000000"/>
                <w:sz w:val="22"/>
                <w:szCs w:val="22"/>
              </w:rPr>
              <w:t xml:space="preserve"> personu mājsaimniecība</w:t>
            </w:r>
          </w:p>
        </w:tc>
        <w:tc>
          <w:tcPr>
            <w:tcW w:w="860" w:type="dxa"/>
            <w:shd w:val="clear" w:color="auto" w:fill="D9D9D9" w:themeFill="background1" w:themeFillShade="D9"/>
            <w:noWrap/>
            <w:vAlign w:val="bottom"/>
            <w:hideMark/>
          </w:tcPr>
          <w:p w:rsidR="00255CC4" w:rsidRPr="004F63DC" w:rsidRDefault="00255CC4" w:rsidP="00255CC4">
            <w:pPr>
              <w:spacing w:line="240" w:lineRule="auto"/>
              <w:jc w:val="right"/>
              <w:rPr>
                <w:rFonts w:eastAsia="Times New Roman"/>
                <w:color w:val="000000"/>
                <w:sz w:val="22"/>
                <w:szCs w:val="22"/>
              </w:rPr>
            </w:pPr>
            <w:r w:rsidRPr="004F63DC">
              <w:rPr>
                <w:rFonts w:eastAsia="Times New Roman"/>
                <w:color w:val="000000"/>
                <w:sz w:val="22"/>
                <w:szCs w:val="22"/>
              </w:rPr>
              <w:t>2014</w:t>
            </w:r>
          </w:p>
        </w:tc>
        <w:tc>
          <w:tcPr>
            <w:tcW w:w="1123"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28,0</w:t>
            </w:r>
          </w:p>
        </w:tc>
        <w:tc>
          <w:tcPr>
            <w:tcW w:w="1184"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15,6</w:t>
            </w:r>
          </w:p>
        </w:tc>
        <w:tc>
          <w:tcPr>
            <w:tcW w:w="1141"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20,4</w:t>
            </w:r>
          </w:p>
        </w:tc>
        <w:tc>
          <w:tcPr>
            <w:tcW w:w="1135"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21,9</w:t>
            </w:r>
          </w:p>
        </w:tc>
        <w:tc>
          <w:tcPr>
            <w:tcW w:w="1134"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14,1</w:t>
            </w:r>
          </w:p>
        </w:tc>
      </w:tr>
      <w:tr w:rsidR="00255CC4" w:rsidRPr="004F63DC" w:rsidTr="00BC22F8">
        <w:trPr>
          <w:trHeight w:val="300"/>
        </w:trPr>
        <w:tc>
          <w:tcPr>
            <w:tcW w:w="3062" w:type="dxa"/>
            <w:vMerge/>
            <w:shd w:val="clear" w:color="auto" w:fill="D9D9D9" w:themeFill="background1" w:themeFillShade="D9"/>
            <w:noWrap/>
            <w:vAlign w:val="center"/>
            <w:hideMark/>
          </w:tcPr>
          <w:p w:rsidR="00255CC4" w:rsidRPr="004F63DC" w:rsidRDefault="00255CC4" w:rsidP="00255CC4">
            <w:pPr>
              <w:spacing w:line="240" w:lineRule="auto"/>
              <w:jc w:val="left"/>
              <w:rPr>
                <w:rFonts w:eastAsia="Times New Roman"/>
                <w:b/>
                <w:color w:val="000000"/>
                <w:sz w:val="22"/>
                <w:szCs w:val="22"/>
              </w:rPr>
            </w:pPr>
          </w:p>
        </w:tc>
        <w:tc>
          <w:tcPr>
            <w:tcW w:w="860" w:type="dxa"/>
            <w:shd w:val="clear" w:color="auto" w:fill="D9D9D9" w:themeFill="background1" w:themeFillShade="D9"/>
            <w:noWrap/>
            <w:vAlign w:val="bottom"/>
            <w:hideMark/>
          </w:tcPr>
          <w:p w:rsidR="00255CC4" w:rsidRPr="004F63DC" w:rsidRDefault="00255CC4" w:rsidP="00255CC4">
            <w:pPr>
              <w:spacing w:line="240" w:lineRule="auto"/>
              <w:jc w:val="right"/>
              <w:rPr>
                <w:rFonts w:eastAsia="Times New Roman"/>
                <w:color w:val="000000"/>
                <w:sz w:val="22"/>
                <w:szCs w:val="22"/>
              </w:rPr>
            </w:pPr>
            <w:r w:rsidRPr="004F63DC">
              <w:rPr>
                <w:rFonts w:eastAsia="Times New Roman"/>
                <w:color w:val="000000"/>
                <w:sz w:val="22"/>
                <w:szCs w:val="22"/>
              </w:rPr>
              <w:t>2015</w:t>
            </w:r>
          </w:p>
        </w:tc>
        <w:tc>
          <w:tcPr>
            <w:tcW w:w="1123"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22,4</w:t>
            </w:r>
          </w:p>
        </w:tc>
        <w:tc>
          <w:tcPr>
            <w:tcW w:w="1184"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14,9</w:t>
            </w:r>
          </w:p>
        </w:tc>
        <w:tc>
          <w:tcPr>
            <w:tcW w:w="1141"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23,8</w:t>
            </w:r>
          </w:p>
        </w:tc>
        <w:tc>
          <w:tcPr>
            <w:tcW w:w="1135"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22,8</w:t>
            </w:r>
          </w:p>
        </w:tc>
        <w:tc>
          <w:tcPr>
            <w:tcW w:w="1134"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16,2</w:t>
            </w:r>
          </w:p>
        </w:tc>
      </w:tr>
      <w:tr w:rsidR="00255CC4" w:rsidRPr="004F63DC" w:rsidTr="00BC22F8">
        <w:trPr>
          <w:trHeight w:val="300"/>
        </w:trPr>
        <w:tc>
          <w:tcPr>
            <w:tcW w:w="3062" w:type="dxa"/>
            <w:vMerge/>
            <w:shd w:val="clear" w:color="auto" w:fill="D9D9D9" w:themeFill="background1" w:themeFillShade="D9"/>
            <w:noWrap/>
            <w:vAlign w:val="center"/>
            <w:hideMark/>
          </w:tcPr>
          <w:p w:rsidR="00255CC4" w:rsidRPr="004F63DC" w:rsidRDefault="00255CC4" w:rsidP="00255CC4">
            <w:pPr>
              <w:spacing w:line="240" w:lineRule="auto"/>
              <w:jc w:val="left"/>
              <w:rPr>
                <w:rFonts w:eastAsia="Times New Roman"/>
                <w:b/>
                <w:color w:val="000000"/>
                <w:sz w:val="22"/>
                <w:szCs w:val="22"/>
              </w:rPr>
            </w:pPr>
          </w:p>
        </w:tc>
        <w:tc>
          <w:tcPr>
            <w:tcW w:w="860" w:type="dxa"/>
            <w:shd w:val="clear" w:color="auto" w:fill="D9D9D9" w:themeFill="background1" w:themeFillShade="D9"/>
            <w:noWrap/>
            <w:vAlign w:val="bottom"/>
            <w:hideMark/>
          </w:tcPr>
          <w:p w:rsidR="00255CC4" w:rsidRPr="004F63DC" w:rsidRDefault="00255CC4" w:rsidP="00255CC4">
            <w:pPr>
              <w:spacing w:line="240" w:lineRule="auto"/>
              <w:jc w:val="right"/>
              <w:rPr>
                <w:rFonts w:eastAsia="Times New Roman"/>
                <w:color w:val="000000"/>
                <w:sz w:val="22"/>
                <w:szCs w:val="22"/>
              </w:rPr>
            </w:pPr>
            <w:r w:rsidRPr="004F63DC">
              <w:rPr>
                <w:rFonts w:eastAsia="Times New Roman"/>
                <w:color w:val="000000"/>
                <w:sz w:val="22"/>
                <w:szCs w:val="22"/>
              </w:rPr>
              <w:t>2016</w:t>
            </w:r>
          </w:p>
        </w:tc>
        <w:tc>
          <w:tcPr>
            <w:tcW w:w="1123"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21,7</w:t>
            </w:r>
          </w:p>
        </w:tc>
        <w:tc>
          <w:tcPr>
            <w:tcW w:w="1184"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14,9</w:t>
            </w:r>
          </w:p>
        </w:tc>
        <w:tc>
          <w:tcPr>
            <w:tcW w:w="1141"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24,2</w:t>
            </w:r>
          </w:p>
        </w:tc>
        <w:tc>
          <w:tcPr>
            <w:tcW w:w="1135"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23,4</w:t>
            </w:r>
          </w:p>
        </w:tc>
        <w:tc>
          <w:tcPr>
            <w:tcW w:w="1134" w:type="dxa"/>
            <w:shd w:val="clear" w:color="auto" w:fill="D9D9D9" w:themeFill="background1" w:themeFillShade="D9"/>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15,9</w:t>
            </w:r>
          </w:p>
        </w:tc>
      </w:tr>
      <w:tr w:rsidR="00255CC4" w:rsidRPr="004F63DC" w:rsidTr="00BC22F8">
        <w:trPr>
          <w:trHeight w:val="300"/>
        </w:trPr>
        <w:tc>
          <w:tcPr>
            <w:tcW w:w="3062" w:type="dxa"/>
            <w:vMerge w:val="restart"/>
            <w:shd w:val="clear" w:color="auto" w:fill="F2F2F2" w:themeFill="background1" w:themeFillShade="F2"/>
            <w:noWrap/>
            <w:vAlign w:val="center"/>
            <w:hideMark/>
          </w:tcPr>
          <w:p w:rsidR="00255CC4" w:rsidRPr="004F63DC" w:rsidRDefault="00255CC4" w:rsidP="00255CC4">
            <w:pPr>
              <w:spacing w:line="240" w:lineRule="auto"/>
              <w:jc w:val="left"/>
              <w:rPr>
                <w:rFonts w:eastAsia="Times New Roman"/>
                <w:b/>
                <w:color w:val="000000"/>
                <w:sz w:val="22"/>
                <w:szCs w:val="22"/>
              </w:rPr>
            </w:pPr>
            <w:r>
              <w:rPr>
                <w:rFonts w:eastAsia="Times New Roman"/>
                <w:b/>
                <w:color w:val="000000"/>
                <w:sz w:val="22"/>
                <w:szCs w:val="22"/>
              </w:rPr>
              <w:t>5</w:t>
            </w:r>
            <w:r w:rsidRPr="004F63DC">
              <w:rPr>
                <w:rFonts w:eastAsia="Times New Roman"/>
                <w:b/>
                <w:color w:val="000000"/>
                <w:sz w:val="22"/>
                <w:szCs w:val="22"/>
              </w:rPr>
              <w:t xml:space="preserve"> un vairāk personu mājsaimniecība</w:t>
            </w:r>
          </w:p>
        </w:tc>
        <w:tc>
          <w:tcPr>
            <w:tcW w:w="860" w:type="dxa"/>
            <w:shd w:val="clear" w:color="auto" w:fill="F2F2F2" w:themeFill="background1" w:themeFillShade="F2"/>
            <w:noWrap/>
            <w:vAlign w:val="bottom"/>
            <w:hideMark/>
          </w:tcPr>
          <w:p w:rsidR="00255CC4" w:rsidRPr="004F63DC" w:rsidRDefault="00255CC4" w:rsidP="00255CC4">
            <w:pPr>
              <w:spacing w:line="240" w:lineRule="auto"/>
              <w:jc w:val="right"/>
              <w:rPr>
                <w:rFonts w:eastAsia="Times New Roman"/>
                <w:color w:val="000000"/>
                <w:sz w:val="22"/>
                <w:szCs w:val="22"/>
              </w:rPr>
            </w:pPr>
            <w:r w:rsidRPr="004F63DC">
              <w:rPr>
                <w:rFonts w:eastAsia="Times New Roman"/>
                <w:color w:val="000000"/>
                <w:sz w:val="22"/>
                <w:szCs w:val="22"/>
              </w:rPr>
              <w:t>2014</w:t>
            </w:r>
          </w:p>
        </w:tc>
        <w:tc>
          <w:tcPr>
            <w:tcW w:w="1123"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40,8</w:t>
            </w:r>
          </w:p>
        </w:tc>
        <w:tc>
          <w:tcPr>
            <w:tcW w:w="1184"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19,6</w:t>
            </w:r>
          </w:p>
        </w:tc>
        <w:tc>
          <w:tcPr>
            <w:tcW w:w="1141"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14,9</w:t>
            </w:r>
          </w:p>
        </w:tc>
        <w:tc>
          <w:tcPr>
            <w:tcW w:w="1135"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15,3</w:t>
            </w:r>
          </w:p>
        </w:tc>
        <w:tc>
          <w:tcPr>
            <w:tcW w:w="1134"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9,4</w:t>
            </w:r>
          </w:p>
        </w:tc>
      </w:tr>
      <w:tr w:rsidR="00255CC4" w:rsidRPr="004F63DC" w:rsidTr="00BC22F8">
        <w:trPr>
          <w:trHeight w:val="300"/>
        </w:trPr>
        <w:tc>
          <w:tcPr>
            <w:tcW w:w="3062" w:type="dxa"/>
            <w:vMerge/>
            <w:shd w:val="clear" w:color="auto" w:fill="F2F2F2" w:themeFill="background1" w:themeFillShade="F2"/>
            <w:noWrap/>
            <w:vAlign w:val="bottom"/>
            <w:hideMark/>
          </w:tcPr>
          <w:p w:rsidR="00255CC4" w:rsidRPr="004F63DC" w:rsidRDefault="00255CC4" w:rsidP="00255CC4">
            <w:pPr>
              <w:spacing w:line="240" w:lineRule="auto"/>
              <w:jc w:val="left"/>
              <w:rPr>
                <w:rFonts w:eastAsia="Times New Roman"/>
                <w:color w:val="000000"/>
                <w:sz w:val="22"/>
                <w:szCs w:val="22"/>
              </w:rPr>
            </w:pPr>
          </w:p>
        </w:tc>
        <w:tc>
          <w:tcPr>
            <w:tcW w:w="860" w:type="dxa"/>
            <w:shd w:val="clear" w:color="auto" w:fill="F2F2F2" w:themeFill="background1" w:themeFillShade="F2"/>
            <w:noWrap/>
            <w:vAlign w:val="bottom"/>
            <w:hideMark/>
          </w:tcPr>
          <w:p w:rsidR="00255CC4" w:rsidRPr="004F63DC" w:rsidRDefault="00255CC4" w:rsidP="00255CC4">
            <w:pPr>
              <w:spacing w:line="240" w:lineRule="auto"/>
              <w:jc w:val="right"/>
              <w:rPr>
                <w:rFonts w:eastAsia="Times New Roman"/>
                <w:color w:val="000000"/>
                <w:sz w:val="22"/>
                <w:szCs w:val="22"/>
              </w:rPr>
            </w:pPr>
            <w:r w:rsidRPr="004F63DC">
              <w:rPr>
                <w:rFonts w:eastAsia="Times New Roman"/>
                <w:color w:val="000000"/>
                <w:sz w:val="22"/>
                <w:szCs w:val="22"/>
              </w:rPr>
              <w:t>2015</w:t>
            </w:r>
          </w:p>
        </w:tc>
        <w:tc>
          <w:tcPr>
            <w:tcW w:w="1123"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37,2</w:t>
            </w:r>
          </w:p>
        </w:tc>
        <w:tc>
          <w:tcPr>
            <w:tcW w:w="1184"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17,6</w:t>
            </w:r>
          </w:p>
        </w:tc>
        <w:tc>
          <w:tcPr>
            <w:tcW w:w="1141"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18,9</w:t>
            </w:r>
          </w:p>
        </w:tc>
        <w:tc>
          <w:tcPr>
            <w:tcW w:w="1135"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19,2</w:t>
            </w:r>
          </w:p>
        </w:tc>
        <w:tc>
          <w:tcPr>
            <w:tcW w:w="1134"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7,0</w:t>
            </w:r>
          </w:p>
        </w:tc>
      </w:tr>
      <w:tr w:rsidR="00255CC4" w:rsidRPr="004F63DC" w:rsidTr="00BC22F8">
        <w:trPr>
          <w:trHeight w:val="300"/>
        </w:trPr>
        <w:tc>
          <w:tcPr>
            <w:tcW w:w="3062" w:type="dxa"/>
            <w:vMerge/>
            <w:shd w:val="clear" w:color="auto" w:fill="F2F2F2" w:themeFill="background1" w:themeFillShade="F2"/>
            <w:noWrap/>
            <w:vAlign w:val="bottom"/>
            <w:hideMark/>
          </w:tcPr>
          <w:p w:rsidR="00255CC4" w:rsidRPr="004F63DC" w:rsidRDefault="00255CC4" w:rsidP="00255CC4">
            <w:pPr>
              <w:spacing w:line="240" w:lineRule="auto"/>
              <w:jc w:val="left"/>
              <w:rPr>
                <w:rFonts w:eastAsia="Times New Roman"/>
                <w:color w:val="000000"/>
                <w:sz w:val="22"/>
                <w:szCs w:val="22"/>
              </w:rPr>
            </w:pPr>
          </w:p>
        </w:tc>
        <w:tc>
          <w:tcPr>
            <w:tcW w:w="860" w:type="dxa"/>
            <w:shd w:val="clear" w:color="auto" w:fill="F2F2F2" w:themeFill="background1" w:themeFillShade="F2"/>
            <w:noWrap/>
            <w:vAlign w:val="bottom"/>
            <w:hideMark/>
          </w:tcPr>
          <w:p w:rsidR="00255CC4" w:rsidRPr="004F63DC" w:rsidRDefault="00255CC4" w:rsidP="00255CC4">
            <w:pPr>
              <w:spacing w:line="240" w:lineRule="auto"/>
              <w:jc w:val="right"/>
              <w:rPr>
                <w:rFonts w:eastAsia="Times New Roman"/>
                <w:color w:val="000000"/>
                <w:sz w:val="22"/>
                <w:szCs w:val="22"/>
              </w:rPr>
            </w:pPr>
            <w:r w:rsidRPr="004F63DC">
              <w:rPr>
                <w:rFonts w:eastAsia="Times New Roman"/>
                <w:color w:val="000000"/>
                <w:sz w:val="22"/>
                <w:szCs w:val="22"/>
              </w:rPr>
              <w:t>2016</w:t>
            </w:r>
          </w:p>
        </w:tc>
        <w:tc>
          <w:tcPr>
            <w:tcW w:w="1123"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b/>
                <w:color w:val="FF0000"/>
                <w:sz w:val="22"/>
                <w:szCs w:val="22"/>
              </w:rPr>
            </w:pPr>
            <w:r w:rsidRPr="004F63DC">
              <w:rPr>
                <w:rFonts w:eastAsia="Times New Roman"/>
                <w:b/>
                <w:color w:val="FF0000"/>
                <w:sz w:val="22"/>
                <w:szCs w:val="22"/>
              </w:rPr>
              <w:t>29,7</w:t>
            </w:r>
          </w:p>
        </w:tc>
        <w:tc>
          <w:tcPr>
            <w:tcW w:w="1184"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20,8</w:t>
            </w:r>
          </w:p>
        </w:tc>
        <w:tc>
          <w:tcPr>
            <w:tcW w:w="1141"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22,4</w:t>
            </w:r>
          </w:p>
        </w:tc>
        <w:tc>
          <w:tcPr>
            <w:tcW w:w="1135"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18,3</w:t>
            </w:r>
          </w:p>
        </w:tc>
        <w:tc>
          <w:tcPr>
            <w:tcW w:w="1134" w:type="dxa"/>
            <w:shd w:val="clear" w:color="auto" w:fill="F2F2F2" w:themeFill="background1" w:themeFillShade="F2"/>
            <w:noWrap/>
            <w:vAlign w:val="bottom"/>
            <w:hideMark/>
          </w:tcPr>
          <w:p w:rsidR="00255CC4" w:rsidRPr="004F63DC" w:rsidRDefault="00255CC4" w:rsidP="00255CC4">
            <w:pPr>
              <w:spacing w:line="240" w:lineRule="auto"/>
              <w:jc w:val="center"/>
              <w:rPr>
                <w:rFonts w:eastAsia="Times New Roman"/>
                <w:color w:val="000000"/>
                <w:sz w:val="22"/>
                <w:szCs w:val="22"/>
              </w:rPr>
            </w:pPr>
            <w:r w:rsidRPr="004F63DC">
              <w:rPr>
                <w:rFonts w:eastAsia="Times New Roman"/>
                <w:color w:val="000000"/>
                <w:sz w:val="22"/>
                <w:szCs w:val="22"/>
              </w:rPr>
              <w:t>8,7</w:t>
            </w:r>
          </w:p>
        </w:tc>
      </w:tr>
    </w:tbl>
    <w:p w:rsidR="00255CC4" w:rsidRPr="007F0264" w:rsidRDefault="00255CC4" w:rsidP="00255CC4">
      <w:pPr>
        <w:rPr>
          <w:sz w:val="20"/>
          <w:szCs w:val="20"/>
        </w:rPr>
      </w:pPr>
      <w:r w:rsidRPr="007F0264">
        <w:rPr>
          <w:sz w:val="20"/>
          <w:szCs w:val="20"/>
        </w:rPr>
        <w:t>Avots: CSP, MVG070. Mājsaimniecību sadalījums pēc kvintiļu grupām (%)</w:t>
      </w:r>
    </w:p>
    <w:p w:rsidR="00255CC4" w:rsidRDefault="00255CC4" w:rsidP="00255CC4"/>
    <w:p w:rsidR="00255CC4" w:rsidRDefault="00255CC4" w:rsidP="00255CC4">
      <w:r>
        <w:t xml:space="preserve">Vienlaikus tendence straujāk pieaugt augstāko ienākumu kvintiļu grupu  īpatsvaram noteiktās mājsaimniecību grupās, kā rāda </w:t>
      </w:r>
      <w:r w:rsidR="00AD3EDD">
        <w:fldChar w:fldCharType="begin"/>
      </w:r>
      <w:r w:rsidR="008C6B83">
        <w:instrText xml:space="preserve"> REF _Ref6495232 \h </w:instrText>
      </w:r>
      <w:r w:rsidR="00AD3EDD">
        <w:fldChar w:fldCharType="separate"/>
      </w:r>
      <w:r w:rsidR="00224B50">
        <w:rPr>
          <w:noProof/>
        </w:rPr>
        <w:t>1</w:t>
      </w:r>
      <w:r w:rsidR="00224B50">
        <w:t>.</w:t>
      </w:r>
      <w:r w:rsidR="00AD3EDD">
        <w:fldChar w:fldCharType="end"/>
      </w:r>
      <w:r w:rsidR="00446171">
        <w:t>17</w:t>
      </w:r>
      <w:r>
        <w:t xml:space="preserve">. tabulas datu apkopojums, attiecas pamatā uz divu un trīs personu mājsaimniecībām, kā arī uz darbspējīgā vecuma vienas personas mājsaimniecībām. Divu un trīs personu mājsaimniecību izkliede pa kvintilēm ir samērā vienmērīga, kas liecina par to, ka </w:t>
      </w:r>
      <w:r>
        <w:lastRenderedPageBreak/>
        <w:t xml:space="preserve">mājsaimniecības nenoslāņojas turīgās un trūcīgās mājsaimniecībās atkarībā no personu skaita tajās. Pieaugot mājsaimniecības locekļu skaitam līdz piecām personām un vairāk, situācija būtiski mainās. Šis mājsaimniecības tips koncentrējas 1. kvintilē. Vienlaikus ir vērojama pozitīva tendence kristies šajā kvintilē ietilpstošo mājsaimniecību īpatsvaram no 40,8% 2014. gadā līdz 29,7% 2016. gadā, kas ir kritums par 11,1 procentpunktu, un salīdzinājumā ar izmaiņām citu mājsaimniecību grupu sadalījumā par kvintiļu grupām ir vislielākais kritums. Šajā mājsaimniecību grupā vērojama arī samērā liela kvintiļu grupu izkliede, tomēr ar tendenci samazināties, veidojoties vienmērīgākam šo mājsaimniecību sadalījumam kvintiļu grupās. Visnevienmērīgākais ir vienas personas virs 65 gadu vecuma mājsaimniecību sadalījums kvintiļu grupās, par ko liecina lielākā šī tipa mājsaimniecību koncentrācija 2. kvintilē. </w:t>
      </w:r>
    </w:p>
    <w:p w:rsidR="00255CC4" w:rsidRDefault="00255CC4" w:rsidP="00255CC4"/>
    <w:p w:rsidR="00255CC4" w:rsidRPr="00DE672A" w:rsidRDefault="00255CC4" w:rsidP="00255CC4">
      <w:r w:rsidRPr="00DE672A">
        <w:t>Atšķirīgas tendences atklāj mājsaimniecību sadalījums kvintiļu grupās pēc pieaugušo un bērnu skaita ģimenēs (sk.</w:t>
      </w:r>
      <w:r w:rsidR="008C6B83">
        <w:t xml:space="preserve"> </w:t>
      </w:r>
      <w:r w:rsidR="006E1579">
        <w:t>1.1</w:t>
      </w:r>
      <w:r w:rsidR="00446171">
        <w:t>8</w:t>
      </w:r>
      <w:r w:rsidRPr="00DE672A">
        <w:t xml:space="preserve">. tabulu). </w:t>
      </w:r>
    </w:p>
    <w:bookmarkStart w:id="222" w:name="_Toc6220082"/>
    <w:p w:rsidR="00255CC4" w:rsidRDefault="00AD3EDD" w:rsidP="008C6B83">
      <w:pPr>
        <w:pStyle w:val="Caption"/>
      </w:pPr>
      <w:r>
        <w:fldChar w:fldCharType="begin"/>
      </w:r>
      <w:r w:rsidR="00A46B54">
        <w:instrText xml:space="preserve"> STYLEREF 1 \s </w:instrText>
      </w:r>
      <w:r>
        <w:fldChar w:fldCharType="separate"/>
      </w:r>
      <w:bookmarkStart w:id="223" w:name="_Toc6857657"/>
      <w:r w:rsidR="00224B50">
        <w:rPr>
          <w:noProof/>
        </w:rPr>
        <w:t>1</w:t>
      </w:r>
      <w:r>
        <w:fldChar w:fldCharType="end"/>
      </w:r>
      <w:r w:rsidR="00A46B54">
        <w:t>.</w:t>
      </w:r>
      <w:r w:rsidR="00055995">
        <w:t>1</w:t>
      </w:r>
      <w:r w:rsidR="00446171">
        <w:t>8</w:t>
      </w:r>
      <w:r w:rsidR="00255CC4" w:rsidRPr="00315872">
        <w:t xml:space="preserve">. </w:t>
      </w:r>
      <w:r w:rsidR="00255CC4">
        <w:t>tabula</w:t>
      </w:r>
      <w:r w:rsidR="00255CC4" w:rsidRPr="00315872">
        <w:t xml:space="preserve">. </w:t>
      </w:r>
      <w:r w:rsidR="00255CC4" w:rsidRPr="001C1A95">
        <w:t xml:space="preserve">Mājsaimniecību </w:t>
      </w:r>
      <w:r w:rsidR="00055995">
        <w:t>sadalījums</w:t>
      </w:r>
      <w:r w:rsidR="00255CC4" w:rsidRPr="001C1A95">
        <w:t xml:space="preserve"> kvintiļu grupās 2014. – 201</w:t>
      </w:r>
      <w:r w:rsidR="00255CC4">
        <w:t>6</w:t>
      </w:r>
      <w:r w:rsidR="00255CC4" w:rsidRPr="001C1A95">
        <w:t xml:space="preserve">. gadā </w:t>
      </w:r>
      <w:r w:rsidR="00255CC4">
        <w:t>sadalījumā pēc pieaugušo un bērnu skaita mājsaimniecībās (%)</w:t>
      </w:r>
      <w:bookmarkEnd w:id="222"/>
      <w:bookmarkEnd w:id="223"/>
    </w:p>
    <w:tbl>
      <w:tblPr>
        <w:tblW w:w="91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5"/>
        <w:gridCol w:w="902"/>
        <w:gridCol w:w="1090"/>
        <w:gridCol w:w="1090"/>
        <w:gridCol w:w="1090"/>
        <w:gridCol w:w="1090"/>
        <w:gridCol w:w="1090"/>
      </w:tblGrid>
      <w:tr w:rsidR="00255CC4" w:rsidRPr="00BC22F8" w:rsidTr="00BC22F8">
        <w:trPr>
          <w:trHeight w:val="300"/>
        </w:trPr>
        <w:tc>
          <w:tcPr>
            <w:tcW w:w="2815" w:type="dxa"/>
            <w:shd w:val="clear" w:color="auto" w:fill="B8CCE4" w:themeFill="accent1" w:themeFillTint="66"/>
            <w:noWrap/>
            <w:vAlign w:val="center"/>
            <w:hideMark/>
          </w:tcPr>
          <w:p w:rsidR="00255CC4" w:rsidRPr="00BC22F8" w:rsidRDefault="00255CC4" w:rsidP="00BC22F8">
            <w:pPr>
              <w:spacing w:before="120" w:after="120" w:line="240" w:lineRule="auto"/>
              <w:jc w:val="left"/>
              <w:rPr>
                <w:rFonts w:eastAsia="Times New Roman"/>
                <w:b/>
                <w:color w:val="002060"/>
                <w:sz w:val="22"/>
                <w:szCs w:val="22"/>
              </w:rPr>
            </w:pPr>
            <w:r w:rsidRPr="00BC22F8">
              <w:rPr>
                <w:rFonts w:eastAsia="Times New Roman"/>
                <w:b/>
                <w:color w:val="002060"/>
                <w:sz w:val="22"/>
                <w:szCs w:val="22"/>
              </w:rPr>
              <w:t>Mājsaimniecības tips</w:t>
            </w:r>
          </w:p>
        </w:tc>
        <w:tc>
          <w:tcPr>
            <w:tcW w:w="902" w:type="dxa"/>
            <w:shd w:val="clear" w:color="auto" w:fill="B8CCE4" w:themeFill="accent1" w:themeFillTint="66"/>
            <w:noWrap/>
            <w:vAlign w:val="center"/>
            <w:hideMark/>
          </w:tcPr>
          <w:p w:rsidR="00255CC4" w:rsidRPr="00BC22F8" w:rsidRDefault="00255CC4" w:rsidP="00BC22F8">
            <w:pPr>
              <w:spacing w:before="120" w:after="120" w:line="240" w:lineRule="auto"/>
              <w:jc w:val="center"/>
              <w:rPr>
                <w:rFonts w:eastAsia="Times New Roman"/>
                <w:b/>
                <w:color w:val="002060"/>
                <w:sz w:val="22"/>
                <w:szCs w:val="22"/>
              </w:rPr>
            </w:pPr>
            <w:r w:rsidRPr="00BC22F8">
              <w:rPr>
                <w:rFonts w:eastAsia="Times New Roman"/>
                <w:b/>
                <w:color w:val="002060"/>
                <w:sz w:val="22"/>
                <w:szCs w:val="22"/>
              </w:rPr>
              <w:t>Gads</w:t>
            </w:r>
          </w:p>
        </w:tc>
        <w:tc>
          <w:tcPr>
            <w:tcW w:w="1090" w:type="dxa"/>
            <w:shd w:val="clear" w:color="auto" w:fill="B8CCE4" w:themeFill="accent1" w:themeFillTint="66"/>
            <w:noWrap/>
            <w:vAlign w:val="center"/>
            <w:hideMark/>
          </w:tcPr>
          <w:p w:rsidR="00255CC4" w:rsidRPr="00BC22F8" w:rsidRDefault="00255CC4" w:rsidP="00BC22F8">
            <w:pPr>
              <w:spacing w:before="120" w:after="120" w:line="240" w:lineRule="auto"/>
              <w:jc w:val="left"/>
              <w:rPr>
                <w:rFonts w:eastAsia="Times New Roman"/>
                <w:b/>
                <w:color w:val="002060"/>
                <w:sz w:val="22"/>
                <w:szCs w:val="22"/>
              </w:rPr>
            </w:pPr>
            <w:r w:rsidRPr="00BC22F8">
              <w:rPr>
                <w:rFonts w:eastAsia="Times New Roman"/>
                <w:b/>
                <w:color w:val="002060"/>
                <w:sz w:val="22"/>
                <w:szCs w:val="22"/>
              </w:rPr>
              <w:t>1.kvintile</w:t>
            </w:r>
          </w:p>
        </w:tc>
        <w:tc>
          <w:tcPr>
            <w:tcW w:w="1090" w:type="dxa"/>
            <w:shd w:val="clear" w:color="auto" w:fill="B8CCE4" w:themeFill="accent1" w:themeFillTint="66"/>
            <w:noWrap/>
            <w:vAlign w:val="center"/>
            <w:hideMark/>
          </w:tcPr>
          <w:p w:rsidR="00255CC4" w:rsidRPr="00BC22F8" w:rsidRDefault="00255CC4" w:rsidP="00BC22F8">
            <w:pPr>
              <w:spacing w:before="120" w:after="120" w:line="240" w:lineRule="auto"/>
              <w:jc w:val="left"/>
              <w:rPr>
                <w:rFonts w:eastAsia="Times New Roman"/>
                <w:b/>
                <w:color w:val="002060"/>
                <w:sz w:val="22"/>
                <w:szCs w:val="22"/>
              </w:rPr>
            </w:pPr>
            <w:r w:rsidRPr="00BC22F8">
              <w:rPr>
                <w:rFonts w:eastAsia="Times New Roman"/>
                <w:b/>
                <w:color w:val="002060"/>
                <w:sz w:val="22"/>
                <w:szCs w:val="22"/>
              </w:rPr>
              <w:t>2.kvintile</w:t>
            </w:r>
          </w:p>
        </w:tc>
        <w:tc>
          <w:tcPr>
            <w:tcW w:w="1090" w:type="dxa"/>
            <w:shd w:val="clear" w:color="auto" w:fill="B8CCE4" w:themeFill="accent1" w:themeFillTint="66"/>
            <w:noWrap/>
            <w:vAlign w:val="center"/>
            <w:hideMark/>
          </w:tcPr>
          <w:p w:rsidR="00255CC4" w:rsidRPr="00BC22F8" w:rsidRDefault="00255CC4" w:rsidP="00BC22F8">
            <w:pPr>
              <w:spacing w:before="120" w:after="120" w:line="240" w:lineRule="auto"/>
              <w:jc w:val="left"/>
              <w:rPr>
                <w:rFonts w:eastAsia="Times New Roman"/>
                <w:b/>
                <w:color w:val="002060"/>
                <w:sz w:val="22"/>
                <w:szCs w:val="22"/>
              </w:rPr>
            </w:pPr>
            <w:r w:rsidRPr="00BC22F8">
              <w:rPr>
                <w:rFonts w:eastAsia="Times New Roman"/>
                <w:b/>
                <w:color w:val="002060"/>
                <w:sz w:val="22"/>
                <w:szCs w:val="22"/>
              </w:rPr>
              <w:t>3.kvintile</w:t>
            </w:r>
          </w:p>
        </w:tc>
        <w:tc>
          <w:tcPr>
            <w:tcW w:w="1090" w:type="dxa"/>
            <w:shd w:val="clear" w:color="auto" w:fill="B8CCE4" w:themeFill="accent1" w:themeFillTint="66"/>
            <w:noWrap/>
            <w:vAlign w:val="center"/>
            <w:hideMark/>
          </w:tcPr>
          <w:p w:rsidR="00255CC4" w:rsidRPr="00BC22F8" w:rsidRDefault="00255CC4" w:rsidP="00BC22F8">
            <w:pPr>
              <w:spacing w:before="120" w:after="120" w:line="240" w:lineRule="auto"/>
              <w:jc w:val="left"/>
              <w:rPr>
                <w:rFonts w:eastAsia="Times New Roman"/>
                <w:b/>
                <w:color w:val="002060"/>
                <w:sz w:val="22"/>
                <w:szCs w:val="22"/>
              </w:rPr>
            </w:pPr>
            <w:r w:rsidRPr="00BC22F8">
              <w:rPr>
                <w:rFonts w:eastAsia="Times New Roman"/>
                <w:b/>
                <w:color w:val="002060"/>
                <w:sz w:val="22"/>
                <w:szCs w:val="22"/>
              </w:rPr>
              <w:t>4.kvintile</w:t>
            </w:r>
          </w:p>
        </w:tc>
        <w:tc>
          <w:tcPr>
            <w:tcW w:w="1090" w:type="dxa"/>
            <w:shd w:val="clear" w:color="auto" w:fill="B8CCE4" w:themeFill="accent1" w:themeFillTint="66"/>
            <w:noWrap/>
            <w:vAlign w:val="center"/>
            <w:hideMark/>
          </w:tcPr>
          <w:p w:rsidR="00255CC4" w:rsidRPr="00BC22F8" w:rsidRDefault="00255CC4" w:rsidP="00BC22F8">
            <w:pPr>
              <w:spacing w:before="120" w:after="120" w:line="240" w:lineRule="auto"/>
              <w:jc w:val="left"/>
              <w:rPr>
                <w:rFonts w:eastAsia="Times New Roman"/>
                <w:b/>
                <w:color w:val="002060"/>
                <w:sz w:val="22"/>
                <w:szCs w:val="22"/>
              </w:rPr>
            </w:pPr>
            <w:r w:rsidRPr="00BC22F8">
              <w:rPr>
                <w:rFonts w:eastAsia="Times New Roman"/>
                <w:b/>
                <w:color w:val="002060"/>
                <w:sz w:val="22"/>
                <w:szCs w:val="22"/>
              </w:rPr>
              <w:t>5.kvintile</w:t>
            </w:r>
          </w:p>
        </w:tc>
      </w:tr>
      <w:tr w:rsidR="00255CC4" w:rsidRPr="00F27D9D" w:rsidTr="00255CC4">
        <w:trPr>
          <w:trHeight w:val="300"/>
        </w:trPr>
        <w:tc>
          <w:tcPr>
            <w:tcW w:w="2815" w:type="dxa"/>
            <w:vMerge w:val="restart"/>
            <w:shd w:val="clear" w:color="auto" w:fill="auto"/>
            <w:noWrap/>
            <w:vAlign w:val="center"/>
            <w:hideMark/>
          </w:tcPr>
          <w:p w:rsidR="00255CC4" w:rsidRPr="00F27D9D" w:rsidRDefault="00255CC4" w:rsidP="00255CC4">
            <w:pPr>
              <w:spacing w:line="240" w:lineRule="auto"/>
              <w:jc w:val="left"/>
              <w:rPr>
                <w:rFonts w:eastAsia="Times New Roman"/>
                <w:b/>
                <w:color w:val="000000"/>
                <w:sz w:val="22"/>
                <w:szCs w:val="22"/>
              </w:rPr>
            </w:pPr>
            <w:r w:rsidRPr="00F27D9D">
              <w:rPr>
                <w:rFonts w:eastAsia="Times New Roman"/>
                <w:b/>
                <w:color w:val="000000"/>
                <w:sz w:val="22"/>
                <w:szCs w:val="22"/>
              </w:rPr>
              <w:t>Viens pieaugušais ar bērniem</w:t>
            </w:r>
          </w:p>
        </w:tc>
        <w:tc>
          <w:tcPr>
            <w:tcW w:w="902" w:type="dxa"/>
            <w:shd w:val="clear" w:color="auto" w:fill="auto"/>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2014</w:t>
            </w:r>
          </w:p>
        </w:tc>
        <w:tc>
          <w:tcPr>
            <w:tcW w:w="1090" w:type="dxa"/>
            <w:shd w:val="clear" w:color="auto" w:fill="auto"/>
            <w:noWrap/>
            <w:vAlign w:val="center"/>
            <w:hideMark/>
          </w:tcPr>
          <w:p w:rsidR="00255CC4" w:rsidRPr="00F27D9D" w:rsidRDefault="00255CC4" w:rsidP="00255CC4">
            <w:pPr>
              <w:spacing w:line="240" w:lineRule="auto"/>
              <w:jc w:val="center"/>
              <w:rPr>
                <w:rFonts w:eastAsia="Times New Roman"/>
                <w:b/>
                <w:color w:val="FF0000"/>
                <w:sz w:val="22"/>
                <w:szCs w:val="22"/>
              </w:rPr>
            </w:pPr>
            <w:r w:rsidRPr="00F27D9D">
              <w:rPr>
                <w:rFonts w:eastAsia="Times New Roman"/>
                <w:b/>
                <w:color w:val="FF0000"/>
                <w:sz w:val="22"/>
                <w:szCs w:val="22"/>
              </w:rPr>
              <w:t>52,9</w:t>
            </w:r>
          </w:p>
        </w:tc>
        <w:tc>
          <w:tcPr>
            <w:tcW w:w="1090" w:type="dxa"/>
            <w:shd w:val="clear" w:color="auto" w:fill="auto"/>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15,4</w:t>
            </w:r>
          </w:p>
        </w:tc>
        <w:tc>
          <w:tcPr>
            <w:tcW w:w="1090" w:type="dxa"/>
            <w:shd w:val="clear" w:color="auto" w:fill="auto"/>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16,6</w:t>
            </w:r>
          </w:p>
        </w:tc>
        <w:tc>
          <w:tcPr>
            <w:tcW w:w="1090" w:type="dxa"/>
            <w:shd w:val="clear" w:color="auto" w:fill="auto"/>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8,8</w:t>
            </w:r>
          </w:p>
        </w:tc>
        <w:tc>
          <w:tcPr>
            <w:tcW w:w="1090" w:type="dxa"/>
            <w:shd w:val="clear" w:color="auto" w:fill="auto"/>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6,3</w:t>
            </w:r>
          </w:p>
        </w:tc>
      </w:tr>
      <w:tr w:rsidR="00255CC4" w:rsidRPr="00F27D9D" w:rsidTr="00255CC4">
        <w:trPr>
          <w:trHeight w:val="300"/>
        </w:trPr>
        <w:tc>
          <w:tcPr>
            <w:tcW w:w="2815" w:type="dxa"/>
            <w:vMerge/>
            <w:shd w:val="clear" w:color="auto" w:fill="auto"/>
            <w:noWrap/>
            <w:vAlign w:val="center"/>
            <w:hideMark/>
          </w:tcPr>
          <w:p w:rsidR="00255CC4" w:rsidRPr="00F27D9D" w:rsidRDefault="00255CC4" w:rsidP="00255CC4">
            <w:pPr>
              <w:spacing w:line="240" w:lineRule="auto"/>
              <w:jc w:val="left"/>
              <w:rPr>
                <w:rFonts w:eastAsia="Times New Roman"/>
                <w:b/>
                <w:color w:val="000000"/>
                <w:sz w:val="22"/>
                <w:szCs w:val="22"/>
              </w:rPr>
            </w:pPr>
          </w:p>
        </w:tc>
        <w:tc>
          <w:tcPr>
            <w:tcW w:w="902" w:type="dxa"/>
            <w:shd w:val="clear" w:color="auto" w:fill="auto"/>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2015</w:t>
            </w:r>
          </w:p>
        </w:tc>
        <w:tc>
          <w:tcPr>
            <w:tcW w:w="1090" w:type="dxa"/>
            <w:shd w:val="clear" w:color="auto" w:fill="auto"/>
            <w:noWrap/>
            <w:vAlign w:val="center"/>
            <w:hideMark/>
          </w:tcPr>
          <w:p w:rsidR="00255CC4" w:rsidRPr="00F27D9D" w:rsidRDefault="00255CC4" w:rsidP="00255CC4">
            <w:pPr>
              <w:spacing w:line="240" w:lineRule="auto"/>
              <w:jc w:val="center"/>
              <w:rPr>
                <w:rFonts w:eastAsia="Times New Roman"/>
                <w:b/>
                <w:color w:val="FF0000"/>
                <w:sz w:val="22"/>
                <w:szCs w:val="22"/>
              </w:rPr>
            </w:pPr>
            <w:r w:rsidRPr="00F27D9D">
              <w:rPr>
                <w:rFonts w:eastAsia="Times New Roman"/>
                <w:b/>
                <w:color w:val="FF0000"/>
                <w:sz w:val="22"/>
                <w:szCs w:val="22"/>
              </w:rPr>
              <w:t>47,7</w:t>
            </w:r>
          </w:p>
        </w:tc>
        <w:tc>
          <w:tcPr>
            <w:tcW w:w="1090" w:type="dxa"/>
            <w:shd w:val="clear" w:color="auto" w:fill="auto"/>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13,4</w:t>
            </w:r>
          </w:p>
        </w:tc>
        <w:tc>
          <w:tcPr>
            <w:tcW w:w="1090" w:type="dxa"/>
            <w:shd w:val="clear" w:color="auto" w:fill="auto"/>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18,7</w:t>
            </w:r>
          </w:p>
        </w:tc>
        <w:tc>
          <w:tcPr>
            <w:tcW w:w="1090" w:type="dxa"/>
            <w:shd w:val="clear" w:color="auto" w:fill="auto"/>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11,4</w:t>
            </w:r>
          </w:p>
        </w:tc>
        <w:tc>
          <w:tcPr>
            <w:tcW w:w="1090" w:type="dxa"/>
            <w:shd w:val="clear" w:color="auto" w:fill="auto"/>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8,8</w:t>
            </w:r>
          </w:p>
        </w:tc>
      </w:tr>
      <w:tr w:rsidR="00255CC4" w:rsidRPr="00F27D9D" w:rsidTr="00255CC4">
        <w:trPr>
          <w:trHeight w:val="300"/>
        </w:trPr>
        <w:tc>
          <w:tcPr>
            <w:tcW w:w="2815" w:type="dxa"/>
            <w:vMerge/>
            <w:shd w:val="clear" w:color="auto" w:fill="auto"/>
            <w:noWrap/>
            <w:vAlign w:val="center"/>
            <w:hideMark/>
          </w:tcPr>
          <w:p w:rsidR="00255CC4" w:rsidRPr="00F27D9D" w:rsidRDefault="00255CC4" w:rsidP="00255CC4">
            <w:pPr>
              <w:spacing w:line="240" w:lineRule="auto"/>
              <w:jc w:val="left"/>
              <w:rPr>
                <w:rFonts w:eastAsia="Times New Roman"/>
                <w:b/>
                <w:color w:val="000000"/>
                <w:sz w:val="22"/>
                <w:szCs w:val="22"/>
              </w:rPr>
            </w:pPr>
          </w:p>
        </w:tc>
        <w:tc>
          <w:tcPr>
            <w:tcW w:w="902" w:type="dxa"/>
            <w:shd w:val="clear" w:color="auto" w:fill="auto"/>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2016</w:t>
            </w:r>
          </w:p>
        </w:tc>
        <w:tc>
          <w:tcPr>
            <w:tcW w:w="1090" w:type="dxa"/>
            <w:shd w:val="clear" w:color="auto" w:fill="auto"/>
            <w:noWrap/>
            <w:vAlign w:val="center"/>
            <w:hideMark/>
          </w:tcPr>
          <w:p w:rsidR="00255CC4" w:rsidRPr="00F27D9D" w:rsidRDefault="00255CC4" w:rsidP="00255CC4">
            <w:pPr>
              <w:spacing w:line="240" w:lineRule="auto"/>
              <w:jc w:val="center"/>
              <w:rPr>
                <w:rFonts w:eastAsia="Times New Roman"/>
                <w:b/>
                <w:color w:val="FF0000"/>
                <w:sz w:val="22"/>
                <w:szCs w:val="22"/>
              </w:rPr>
            </w:pPr>
            <w:r w:rsidRPr="00F27D9D">
              <w:rPr>
                <w:rFonts w:eastAsia="Times New Roman"/>
                <w:b/>
                <w:color w:val="FF0000"/>
                <w:sz w:val="22"/>
                <w:szCs w:val="22"/>
              </w:rPr>
              <w:t>42,3</w:t>
            </w:r>
          </w:p>
        </w:tc>
        <w:tc>
          <w:tcPr>
            <w:tcW w:w="1090" w:type="dxa"/>
            <w:shd w:val="clear" w:color="auto" w:fill="auto"/>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15,5</w:t>
            </w:r>
          </w:p>
        </w:tc>
        <w:tc>
          <w:tcPr>
            <w:tcW w:w="1090" w:type="dxa"/>
            <w:shd w:val="clear" w:color="auto" w:fill="auto"/>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15,3</w:t>
            </w:r>
          </w:p>
        </w:tc>
        <w:tc>
          <w:tcPr>
            <w:tcW w:w="1090" w:type="dxa"/>
            <w:shd w:val="clear" w:color="auto" w:fill="auto"/>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18,1</w:t>
            </w:r>
          </w:p>
        </w:tc>
        <w:tc>
          <w:tcPr>
            <w:tcW w:w="1090" w:type="dxa"/>
            <w:shd w:val="clear" w:color="auto" w:fill="auto"/>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8,8</w:t>
            </w:r>
          </w:p>
        </w:tc>
      </w:tr>
      <w:tr w:rsidR="00255CC4" w:rsidRPr="00F27D9D" w:rsidTr="00BC22F8">
        <w:trPr>
          <w:trHeight w:val="300"/>
        </w:trPr>
        <w:tc>
          <w:tcPr>
            <w:tcW w:w="2815" w:type="dxa"/>
            <w:vMerge w:val="restart"/>
            <w:shd w:val="clear" w:color="auto" w:fill="D9D9D9" w:themeFill="background1" w:themeFillShade="D9"/>
            <w:noWrap/>
            <w:vAlign w:val="center"/>
            <w:hideMark/>
          </w:tcPr>
          <w:p w:rsidR="00255CC4" w:rsidRPr="00F27D9D" w:rsidRDefault="00255CC4" w:rsidP="00255CC4">
            <w:pPr>
              <w:spacing w:line="240" w:lineRule="auto"/>
              <w:jc w:val="left"/>
              <w:rPr>
                <w:rFonts w:eastAsia="Times New Roman"/>
                <w:b/>
                <w:color w:val="000000"/>
                <w:sz w:val="22"/>
                <w:szCs w:val="22"/>
              </w:rPr>
            </w:pPr>
            <w:r w:rsidRPr="00F27D9D">
              <w:rPr>
                <w:rFonts w:eastAsia="Times New Roman"/>
                <w:b/>
                <w:color w:val="000000"/>
                <w:sz w:val="22"/>
                <w:szCs w:val="22"/>
              </w:rPr>
              <w:t>Pāris ar vienu bērnu</w:t>
            </w:r>
          </w:p>
        </w:tc>
        <w:tc>
          <w:tcPr>
            <w:tcW w:w="902"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2014</w:t>
            </w:r>
          </w:p>
        </w:tc>
        <w:tc>
          <w:tcPr>
            <w:tcW w:w="1090"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15,9</w:t>
            </w:r>
          </w:p>
        </w:tc>
        <w:tc>
          <w:tcPr>
            <w:tcW w:w="1090"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14,2</w:t>
            </w:r>
          </w:p>
        </w:tc>
        <w:tc>
          <w:tcPr>
            <w:tcW w:w="1090"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20,6</w:t>
            </w:r>
          </w:p>
        </w:tc>
        <w:tc>
          <w:tcPr>
            <w:tcW w:w="1090"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b/>
                <w:color w:val="000000"/>
                <w:sz w:val="22"/>
                <w:szCs w:val="22"/>
              </w:rPr>
            </w:pPr>
            <w:r w:rsidRPr="00F27D9D">
              <w:rPr>
                <w:rFonts w:eastAsia="Times New Roman"/>
                <w:b/>
                <w:color w:val="000000"/>
                <w:sz w:val="22"/>
                <w:szCs w:val="22"/>
              </w:rPr>
              <w:t>23,8</w:t>
            </w:r>
          </w:p>
        </w:tc>
        <w:tc>
          <w:tcPr>
            <w:tcW w:w="1090"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25,4</w:t>
            </w:r>
          </w:p>
        </w:tc>
      </w:tr>
      <w:tr w:rsidR="00255CC4" w:rsidRPr="00F27D9D" w:rsidTr="00BC22F8">
        <w:trPr>
          <w:trHeight w:val="300"/>
        </w:trPr>
        <w:tc>
          <w:tcPr>
            <w:tcW w:w="2815" w:type="dxa"/>
            <w:vMerge/>
            <w:shd w:val="clear" w:color="auto" w:fill="D9D9D9" w:themeFill="background1" w:themeFillShade="D9"/>
            <w:noWrap/>
            <w:vAlign w:val="center"/>
            <w:hideMark/>
          </w:tcPr>
          <w:p w:rsidR="00255CC4" w:rsidRPr="00F27D9D" w:rsidRDefault="00255CC4" w:rsidP="00255CC4">
            <w:pPr>
              <w:spacing w:line="240" w:lineRule="auto"/>
              <w:jc w:val="left"/>
              <w:rPr>
                <w:rFonts w:eastAsia="Times New Roman"/>
                <w:b/>
                <w:color w:val="000000"/>
                <w:sz w:val="22"/>
                <w:szCs w:val="22"/>
              </w:rPr>
            </w:pPr>
          </w:p>
        </w:tc>
        <w:tc>
          <w:tcPr>
            <w:tcW w:w="902"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2015</w:t>
            </w:r>
          </w:p>
        </w:tc>
        <w:tc>
          <w:tcPr>
            <w:tcW w:w="1090"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17,3</w:t>
            </w:r>
          </w:p>
        </w:tc>
        <w:tc>
          <w:tcPr>
            <w:tcW w:w="1090"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11,7</w:t>
            </w:r>
          </w:p>
        </w:tc>
        <w:tc>
          <w:tcPr>
            <w:tcW w:w="1090"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20,2</w:t>
            </w:r>
          </w:p>
        </w:tc>
        <w:tc>
          <w:tcPr>
            <w:tcW w:w="1090"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b/>
                <w:color w:val="000000"/>
                <w:sz w:val="22"/>
                <w:szCs w:val="22"/>
              </w:rPr>
            </w:pPr>
            <w:r w:rsidRPr="00F27D9D">
              <w:rPr>
                <w:rFonts w:eastAsia="Times New Roman"/>
                <w:b/>
                <w:color w:val="000000"/>
                <w:sz w:val="22"/>
                <w:szCs w:val="22"/>
              </w:rPr>
              <w:t>27,7</w:t>
            </w:r>
          </w:p>
        </w:tc>
        <w:tc>
          <w:tcPr>
            <w:tcW w:w="1090"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23,0</w:t>
            </w:r>
          </w:p>
        </w:tc>
      </w:tr>
      <w:tr w:rsidR="00255CC4" w:rsidRPr="00F27D9D" w:rsidTr="00BC22F8">
        <w:trPr>
          <w:trHeight w:val="300"/>
        </w:trPr>
        <w:tc>
          <w:tcPr>
            <w:tcW w:w="2815" w:type="dxa"/>
            <w:vMerge/>
            <w:shd w:val="clear" w:color="auto" w:fill="D9D9D9" w:themeFill="background1" w:themeFillShade="D9"/>
            <w:noWrap/>
            <w:vAlign w:val="center"/>
            <w:hideMark/>
          </w:tcPr>
          <w:p w:rsidR="00255CC4" w:rsidRPr="00F27D9D" w:rsidRDefault="00255CC4" w:rsidP="00255CC4">
            <w:pPr>
              <w:spacing w:line="240" w:lineRule="auto"/>
              <w:jc w:val="left"/>
              <w:rPr>
                <w:rFonts w:eastAsia="Times New Roman"/>
                <w:b/>
                <w:color w:val="000000"/>
                <w:sz w:val="22"/>
                <w:szCs w:val="22"/>
              </w:rPr>
            </w:pPr>
          </w:p>
        </w:tc>
        <w:tc>
          <w:tcPr>
            <w:tcW w:w="902"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2016</w:t>
            </w:r>
          </w:p>
        </w:tc>
        <w:tc>
          <w:tcPr>
            <w:tcW w:w="1090"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14,7</w:t>
            </w:r>
          </w:p>
        </w:tc>
        <w:tc>
          <w:tcPr>
            <w:tcW w:w="1090"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11,0</w:t>
            </w:r>
          </w:p>
        </w:tc>
        <w:tc>
          <w:tcPr>
            <w:tcW w:w="1090"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20,0</w:t>
            </w:r>
          </w:p>
        </w:tc>
        <w:tc>
          <w:tcPr>
            <w:tcW w:w="1090"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b/>
                <w:color w:val="000000"/>
                <w:sz w:val="22"/>
                <w:szCs w:val="22"/>
              </w:rPr>
            </w:pPr>
            <w:r w:rsidRPr="00F27D9D">
              <w:rPr>
                <w:rFonts w:eastAsia="Times New Roman"/>
                <w:b/>
                <w:color w:val="000000"/>
                <w:sz w:val="22"/>
                <w:szCs w:val="22"/>
              </w:rPr>
              <w:t>32,1</w:t>
            </w:r>
          </w:p>
        </w:tc>
        <w:tc>
          <w:tcPr>
            <w:tcW w:w="1090"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22,2</w:t>
            </w:r>
          </w:p>
        </w:tc>
      </w:tr>
      <w:tr w:rsidR="00255CC4" w:rsidRPr="00F27D9D" w:rsidTr="00255CC4">
        <w:trPr>
          <w:trHeight w:val="300"/>
        </w:trPr>
        <w:tc>
          <w:tcPr>
            <w:tcW w:w="2815" w:type="dxa"/>
            <w:vMerge w:val="restart"/>
            <w:shd w:val="clear" w:color="auto" w:fill="auto"/>
            <w:noWrap/>
            <w:vAlign w:val="center"/>
            <w:hideMark/>
          </w:tcPr>
          <w:p w:rsidR="00255CC4" w:rsidRPr="00F27D9D" w:rsidRDefault="00255CC4" w:rsidP="00255CC4">
            <w:pPr>
              <w:spacing w:line="240" w:lineRule="auto"/>
              <w:jc w:val="left"/>
              <w:rPr>
                <w:rFonts w:eastAsia="Times New Roman"/>
                <w:b/>
                <w:color w:val="000000"/>
                <w:sz w:val="22"/>
                <w:szCs w:val="22"/>
              </w:rPr>
            </w:pPr>
            <w:r w:rsidRPr="00F27D9D">
              <w:rPr>
                <w:rFonts w:eastAsia="Times New Roman"/>
                <w:b/>
                <w:color w:val="000000"/>
                <w:sz w:val="22"/>
                <w:szCs w:val="22"/>
              </w:rPr>
              <w:t>Pāris ar diviem bērniem</w:t>
            </w:r>
          </w:p>
        </w:tc>
        <w:tc>
          <w:tcPr>
            <w:tcW w:w="902" w:type="dxa"/>
            <w:shd w:val="clear" w:color="auto" w:fill="auto"/>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2014</w:t>
            </w:r>
          </w:p>
        </w:tc>
        <w:tc>
          <w:tcPr>
            <w:tcW w:w="1090" w:type="dxa"/>
            <w:shd w:val="clear" w:color="auto" w:fill="auto"/>
            <w:noWrap/>
            <w:vAlign w:val="center"/>
            <w:hideMark/>
          </w:tcPr>
          <w:p w:rsidR="00255CC4" w:rsidRPr="00F27D9D" w:rsidRDefault="00255CC4" w:rsidP="00255CC4">
            <w:pPr>
              <w:spacing w:line="240" w:lineRule="auto"/>
              <w:jc w:val="center"/>
              <w:rPr>
                <w:rFonts w:eastAsia="Times New Roman"/>
                <w:b/>
                <w:color w:val="000000"/>
                <w:sz w:val="22"/>
                <w:szCs w:val="22"/>
              </w:rPr>
            </w:pPr>
            <w:r w:rsidRPr="00F27D9D">
              <w:rPr>
                <w:rFonts w:eastAsia="Times New Roman"/>
                <w:b/>
                <w:color w:val="000000"/>
                <w:sz w:val="22"/>
                <w:szCs w:val="22"/>
              </w:rPr>
              <w:t>28,8</w:t>
            </w:r>
          </w:p>
        </w:tc>
        <w:tc>
          <w:tcPr>
            <w:tcW w:w="1090" w:type="dxa"/>
            <w:shd w:val="clear" w:color="auto" w:fill="auto"/>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15,1</w:t>
            </w:r>
          </w:p>
        </w:tc>
        <w:tc>
          <w:tcPr>
            <w:tcW w:w="1090" w:type="dxa"/>
            <w:shd w:val="clear" w:color="auto" w:fill="auto"/>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20,5</w:t>
            </w:r>
          </w:p>
        </w:tc>
        <w:tc>
          <w:tcPr>
            <w:tcW w:w="1090" w:type="dxa"/>
            <w:shd w:val="clear" w:color="auto" w:fill="auto"/>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23,2</w:t>
            </w:r>
          </w:p>
        </w:tc>
        <w:tc>
          <w:tcPr>
            <w:tcW w:w="1090" w:type="dxa"/>
            <w:shd w:val="clear" w:color="auto" w:fill="auto"/>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12,5</w:t>
            </w:r>
          </w:p>
        </w:tc>
      </w:tr>
      <w:tr w:rsidR="00255CC4" w:rsidRPr="00F27D9D" w:rsidTr="00255CC4">
        <w:trPr>
          <w:trHeight w:val="300"/>
        </w:trPr>
        <w:tc>
          <w:tcPr>
            <w:tcW w:w="2815" w:type="dxa"/>
            <w:vMerge/>
            <w:shd w:val="clear" w:color="auto" w:fill="auto"/>
            <w:noWrap/>
            <w:vAlign w:val="center"/>
            <w:hideMark/>
          </w:tcPr>
          <w:p w:rsidR="00255CC4" w:rsidRPr="00F27D9D" w:rsidRDefault="00255CC4" w:rsidP="00255CC4">
            <w:pPr>
              <w:spacing w:line="240" w:lineRule="auto"/>
              <w:jc w:val="left"/>
              <w:rPr>
                <w:rFonts w:eastAsia="Times New Roman"/>
                <w:b/>
                <w:color w:val="000000"/>
                <w:sz w:val="22"/>
                <w:szCs w:val="22"/>
              </w:rPr>
            </w:pPr>
          </w:p>
        </w:tc>
        <w:tc>
          <w:tcPr>
            <w:tcW w:w="902" w:type="dxa"/>
            <w:shd w:val="clear" w:color="auto" w:fill="auto"/>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2015</w:t>
            </w:r>
          </w:p>
        </w:tc>
        <w:tc>
          <w:tcPr>
            <w:tcW w:w="1090" w:type="dxa"/>
            <w:shd w:val="clear" w:color="auto" w:fill="auto"/>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21,6</w:t>
            </w:r>
          </w:p>
        </w:tc>
        <w:tc>
          <w:tcPr>
            <w:tcW w:w="1090" w:type="dxa"/>
            <w:shd w:val="clear" w:color="auto" w:fill="auto"/>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15,5</w:t>
            </w:r>
          </w:p>
        </w:tc>
        <w:tc>
          <w:tcPr>
            <w:tcW w:w="1090" w:type="dxa"/>
            <w:shd w:val="clear" w:color="auto" w:fill="auto"/>
            <w:noWrap/>
            <w:vAlign w:val="center"/>
            <w:hideMark/>
          </w:tcPr>
          <w:p w:rsidR="00255CC4" w:rsidRPr="00867DF2" w:rsidRDefault="00255CC4" w:rsidP="00255CC4">
            <w:pPr>
              <w:spacing w:line="240" w:lineRule="auto"/>
              <w:jc w:val="center"/>
              <w:rPr>
                <w:rFonts w:eastAsia="Times New Roman"/>
                <w:b/>
                <w:color w:val="000000"/>
                <w:sz w:val="22"/>
                <w:szCs w:val="22"/>
              </w:rPr>
            </w:pPr>
            <w:r w:rsidRPr="00867DF2">
              <w:rPr>
                <w:rFonts w:eastAsia="Times New Roman"/>
                <w:b/>
                <w:color w:val="000000"/>
                <w:sz w:val="22"/>
                <w:szCs w:val="22"/>
              </w:rPr>
              <w:t>23,6</w:t>
            </w:r>
          </w:p>
        </w:tc>
        <w:tc>
          <w:tcPr>
            <w:tcW w:w="1090" w:type="dxa"/>
            <w:shd w:val="clear" w:color="auto" w:fill="auto"/>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20,6</w:t>
            </w:r>
          </w:p>
        </w:tc>
        <w:tc>
          <w:tcPr>
            <w:tcW w:w="1090" w:type="dxa"/>
            <w:shd w:val="clear" w:color="auto" w:fill="auto"/>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18,7</w:t>
            </w:r>
          </w:p>
        </w:tc>
      </w:tr>
      <w:tr w:rsidR="00255CC4" w:rsidRPr="00F27D9D" w:rsidTr="00255CC4">
        <w:trPr>
          <w:trHeight w:val="300"/>
        </w:trPr>
        <w:tc>
          <w:tcPr>
            <w:tcW w:w="2815" w:type="dxa"/>
            <w:vMerge/>
            <w:shd w:val="clear" w:color="auto" w:fill="auto"/>
            <w:noWrap/>
            <w:vAlign w:val="center"/>
            <w:hideMark/>
          </w:tcPr>
          <w:p w:rsidR="00255CC4" w:rsidRPr="00F27D9D" w:rsidRDefault="00255CC4" w:rsidP="00255CC4">
            <w:pPr>
              <w:spacing w:line="240" w:lineRule="auto"/>
              <w:jc w:val="left"/>
              <w:rPr>
                <w:rFonts w:eastAsia="Times New Roman"/>
                <w:b/>
                <w:color w:val="000000"/>
                <w:sz w:val="22"/>
                <w:szCs w:val="22"/>
              </w:rPr>
            </w:pPr>
          </w:p>
        </w:tc>
        <w:tc>
          <w:tcPr>
            <w:tcW w:w="902" w:type="dxa"/>
            <w:shd w:val="clear" w:color="auto" w:fill="auto"/>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2016</w:t>
            </w:r>
          </w:p>
        </w:tc>
        <w:tc>
          <w:tcPr>
            <w:tcW w:w="1090" w:type="dxa"/>
            <w:shd w:val="clear" w:color="auto" w:fill="auto"/>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20,4</w:t>
            </w:r>
          </w:p>
        </w:tc>
        <w:tc>
          <w:tcPr>
            <w:tcW w:w="1090" w:type="dxa"/>
            <w:shd w:val="clear" w:color="auto" w:fill="auto"/>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17,5</w:t>
            </w:r>
          </w:p>
        </w:tc>
        <w:tc>
          <w:tcPr>
            <w:tcW w:w="1090" w:type="dxa"/>
            <w:shd w:val="clear" w:color="auto" w:fill="auto"/>
            <w:noWrap/>
            <w:vAlign w:val="center"/>
            <w:hideMark/>
          </w:tcPr>
          <w:p w:rsidR="00255CC4" w:rsidRPr="00867DF2" w:rsidRDefault="00255CC4" w:rsidP="00255CC4">
            <w:pPr>
              <w:spacing w:line="240" w:lineRule="auto"/>
              <w:jc w:val="center"/>
              <w:rPr>
                <w:rFonts w:eastAsia="Times New Roman"/>
                <w:b/>
                <w:color w:val="000000"/>
                <w:sz w:val="22"/>
                <w:szCs w:val="22"/>
              </w:rPr>
            </w:pPr>
            <w:r w:rsidRPr="00867DF2">
              <w:rPr>
                <w:rFonts w:eastAsia="Times New Roman"/>
                <w:b/>
                <w:color w:val="000000"/>
                <w:sz w:val="22"/>
                <w:szCs w:val="22"/>
              </w:rPr>
              <w:t>25,7</w:t>
            </w:r>
          </w:p>
        </w:tc>
        <w:tc>
          <w:tcPr>
            <w:tcW w:w="1090" w:type="dxa"/>
            <w:shd w:val="clear" w:color="auto" w:fill="auto"/>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18,8</w:t>
            </w:r>
          </w:p>
        </w:tc>
        <w:tc>
          <w:tcPr>
            <w:tcW w:w="1090" w:type="dxa"/>
            <w:shd w:val="clear" w:color="auto" w:fill="auto"/>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17,6</w:t>
            </w:r>
          </w:p>
        </w:tc>
      </w:tr>
      <w:tr w:rsidR="00255CC4" w:rsidRPr="00F27D9D" w:rsidTr="00BC22F8">
        <w:trPr>
          <w:trHeight w:val="300"/>
        </w:trPr>
        <w:tc>
          <w:tcPr>
            <w:tcW w:w="2815" w:type="dxa"/>
            <w:vMerge w:val="restart"/>
            <w:shd w:val="clear" w:color="auto" w:fill="D9D9D9" w:themeFill="background1" w:themeFillShade="D9"/>
            <w:noWrap/>
            <w:vAlign w:val="center"/>
            <w:hideMark/>
          </w:tcPr>
          <w:p w:rsidR="00255CC4" w:rsidRPr="00F27D9D" w:rsidRDefault="00255CC4" w:rsidP="00255CC4">
            <w:pPr>
              <w:spacing w:line="240" w:lineRule="auto"/>
              <w:jc w:val="left"/>
              <w:rPr>
                <w:rFonts w:eastAsia="Times New Roman"/>
                <w:b/>
                <w:color w:val="000000"/>
                <w:sz w:val="22"/>
                <w:szCs w:val="22"/>
              </w:rPr>
            </w:pPr>
            <w:r w:rsidRPr="00F27D9D">
              <w:rPr>
                <w:rFonts w:eastAsia="Times New Roman"/>
                <w:b/>
                <w:color w:val="000000"/>
                <w:sz w:val="22"/>
                <w:szCs w:val="22"/>
              </w:rPr>
              <w:t>Pāris ar trīs un vairāk bērniem</w:t>
            </w:r>
          </w:p>
        </w:tc>
        <w:tc>
          <w:tcPr>
            <w:tcW w:w="902"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2014</w:t>
            </w:r>
          </w:p>
        </w:tc>
        <w:tc>
          <w:tcPr>
            <w:tcW w:w="1090"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b/>
                <w:color w:val="FF0000"/>
                <w:sz w:val="22"/>
                <w:szCs w:val="22"/>
              </w:rPr>
            </w:pPr>
            <w:r w:rsidRPr="00F27D9D">
              <w:rPr>
                <w:rFonts w:eastAsia="Times New Roman"/>
                <w:b/>
                <w:color w:val="FF0000"/>
                <w:sz w:val="22"/>
                <w:szCs w:val="22"/>
              </w:rPr>
              <w:t>52,3</w:t>
            </w:r>
          </w:p>
        </w:tc>
        <w:tc>
          <w:tcPr>
            <w:tcW w:w="1090"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15,6</w:t>
            </w:r>
          </w:p>
        </w:tc>
        <w:tc>
          <w:tcPr>
            <w:tcW w:w="1090"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7,4</w:t>
            </w:r>
          </w:p>
        </w:tc>
        <w:tc>
          <w:tcPr>
            <w:tcW w:w="1090"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15,5</w:t>
            </w:r>
          </w:p>
        </w:tc>
        <w:tc>
          <w:tcPr>
            <w:tcW w:w="1090"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9,2</w:t>
            </w:r>
          </w:p>
        </w:tc>
      </w:tr>
      <w:tr w:rsidR="00255CC4" w:rsidRPr="00F27D9D" w:rsidTr="00BC22F8">
        <w:trPr>
          <w:trHeight w:val="300"/>
        </w:trPr>
        <w:tc>
          <w:tcPr>
            <w:tcW w:w="2815" w:type="dxa"/>
            <w:vMerge/>
            <w:shd w:val="clear" w:color="auto" w:fill="D9D9D9" w:themeFill="background1" w:themeFillShade="D9"/>
            <w:noWrap/>
            <w:vAlign w:val="center"/>
            <w:hideMark/>
          </w:tcPr>
          <w:p w:rsidR="00255CC4" w:rsidRPr="00F27D9D" w:rsidRDefault="00255CC4" w:rsidP="00255CC4">
            <w:pPr>
              <w:spacing w:line="240" w:lineRule="auto"/>
              <w:jc w:val="left"/>
              <w:rPr>
                <w:rFonts w:eastAsia="Times New Roman"/>
                <w:b/>
                <w:color w:val="000000"/>
                <w:sz w:val="22"/>
                <w:szCs w:val="22"/>
              </w:rPr>
            </w:pPr>
          </w:p>
        </w:tc>
        <w:tc>
          <w:tcPr>
            <w:tcW w:w="902"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2015</w:t>
            </w:r>
          </w:p>
        </w:tc>
        <w:tc>
          <w:tcPr>
            <w:tcW w:w="1090"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b/>
                <w:color w:val="FF0000"/>
                <w:sz w:val="22"/>
                <w:szCs w:val="22"/>
              </w:rPr>
            </w:pPr>
            <w:r w:rsidRPr="00F27D9D">
              <w:rPr>
                <w:rFonts w:eastAsia="Times New Roman"/>
                <w:b/>
                <w:color w:val="FF0000"/>
                <w:sz w:val="22"/>
                <w:szCs w:val="22"/>
              </w:rPr>
              <w:t>49,3</w:t>
            </w:r>
          </w:p>
        </w:tc>
        <w:tc>
          <w:tcPr>
            <w:tcW w:w="1090"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7,2</w:t>
            </w:r>
          </w:p>
        </w:tc>
        <w:tc>
          <w:tcPr>
            <w:tcW w:w="1090"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19,3</w:t>
            </w:r>
          </w:p>
        </w:tc>
        <w:tc>
          <w:tcPr>
            <w:tcW w:w="1090"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12,8</w:t>
            </w:r>
          </w:p>
        </w:tc>
        <w:tc>
          <w:tcPr>
            <w:tcW w:w="1090"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11,4</w:t>
            </w:r>
          </w:p>
        </w:tc>
      </w:tr>
      <w:tr w:rsidR="00255CC4" w:rsidRPr="00F27D9D" w:rsidTr="00BC22F8">
        <w:trPr>
          <w:trHeight w:val="300"/>
        </w:trPr>
        <w:tc>
          <w:tcPr>
            <w:tcW w:w="2815" w:type="dxa"/>
            <w:vMerge/>
            <w:shd w:val="clear" w:color="auto" w:fill="D9D9D9" w:themeFill="background1" w:themeFillShade="D9"/>
            <w:noWrap/>
            <w:vAlign w:val="center"/>
            <w:hideMark/>
          </w:tcPr>
          <w:p w:rsidR="00255CC4" w:rsidRPr="00F27D9D" w:rsidRDefault="00255CC4" w:rsidP="00255CC4">
            <w:pPr>
              <w:spacing w:line="240" w:lineRule="auto"/>
              <w:jc w:val="left"/>
              <w:rPr>
                <w:rFonts w:eastAsia="Times New Roman"/>
                <w:b/>
                <w:color w:val="000000"/>
                <w:sz w:val="22"/>
                <w:szCs w:val="22"/>
              </w:rPr>
            </w:pPr>
          </w:p>
        </w:tc>
        <w:tc>
          <w:tcPr>
            <w:tcW w:w="902"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2016</w:t>
            </w:r>
          </w:p>
        </w:tc>
        <w:tc>
          <w:tcPr>
            <w:tcW w:w="1090"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b/>
                <w:color w:val="FF0000"/>
                <w:sz w:val="22"/>
                <w:szCs w:val="22"/>
              </w:rPr>
            </w:pPr>
            <w:r w:rsidRPr="00F27D9D">
              <w:rPr>
                <w:rFonts w:eastAsia="Times New Roman"/>
                <w:b/>
                <w:color w:val="FF0000"/>
                <w:sz w:val="22"/>
                <w:szCs w:val="22"/>
              </w:rPr>
              <w:t>42,9</w:t>
            </w:r>
          </w:p>
        </w:tc>
        <w:tc>
          <w:tcPr>
            <w:tcW w:w="1090"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20,9</w:t>
            </w:r>
          </w:p>
        </w:tc>
        <w:tc>
          <w:tcPr>
            <w:tcW w:w="1090"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15,7</w:t>
            </w:r>
          </w:p>
        </w:tc>
        <w:tc>
          <w:tcPr>
            <w:tcW w:w="1090"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14,3</w:t>
            </w:r>
          </w:p>
        </w:tc>
        <w:tc>
          <w:tcPr>
            <w:tcW w:w="1090" w:type="dxa"/>
            <w:shd w:val="clear" w:color="auto" w:fill="D9D9D9" w:themeFill="background1" w:themeFillShade="D9"/>
            <w:noWrap/>
            <w:vAlign w:val="center"/>
            <w:hideMark/>
          </w:tcPr>
          <w:p w:rsidR="00255CC4" w:rsidRPr="00F27D9D" w:rsidRDefault="00255CC4" w:rsidP="00255CC4">
            <w:pPr>
              <w:spacing w:line="240" w:lineRule="auto"/>
              <w:jc w:val="center"/>
              <w:rPr>
                <w:rFonts w:eastAsia="Times New Roman"/>
                <w:color w:val="000000"/>
                <w:sz w:val="22"/>
                <w:szCs w:val="22"/>
              </w:rPr>
            </w:pPr>
            <w:r w:rsidRPr="00F27D9D">
              <w:rPr>
                <w:rFonts w:eastAsia="Times New Roman"/>
                <w:color w:val="000000"/>
                <w:sz w:val="22"/>
                <w:szCs w:val="22"/>
              </w:rPr>
              <w:t>6,2</w:t>
            </w:r>
          </w:p>
        </w:tc>
      </w:tr>
      <w:tr w:rsidR="00AE0DCF" w:rsidRPr="00F27D9D" w:rsidTr="00255CC4">
        <w:trPr>
          <w:trHeight w:val="300"/>
        </w:trPr>
        <w:tc>
          <w:tcPr>
            <w:tcW w:w="2815" w:type="dxa"/>
            <w:vMerge w:val="restart"/>
            <w:shd w:val="clear" w:color="auto" w:fill="auto"/>
            <w:noWrap/>
            <w:vAlign w:val="center"/>
            <w:hideMark/>
          </w:tcPr>
          <w:p w:rsidR="00AE0DCF" w:rsidRPr="00F27D9D" w:rsidRDefault="00AE0DCF" w:rsidP="00255CC4">
            <w:pPr>
              <w:spacing w:line="240" w:lineRule="auto"/>
              <w:jc w:val="left"/>
              <w:rPr>
                <w:rFonts w:eastAsia="Times New Roman"/>
                <w:b/>
                <w:color w:val="000000"/>
                <w:sz w:val="22"/>
                <w:szCs w:val="22"/>
              </w:rPr>
            </w:pPr>
            <w:r w:rsidRPr="00F27D9D">
              <w:rPr>
                <w:rFonts w:eastAsia="Times New Roman"/>
                <w:b/>
                <w:color w:val="000000"/>
                <w:sz w:val="22"/>
                <w:szCs w:val="22"/>
              </w:rPr>
              <w:t>Citas mājsaimniecības ar bērniem</w:t>
            </w:r>
          </w:p>
          <w:p w:rsidR="00AE0DCF" w:rsidRPr="00F27D9D" w:rsidRDefault="00AE0DCF" w:rsidP="00783CC7">
            <w:pPr>
              <w:jc w:val="left"/>
              <w:rPr>
                <w:rFonts w:eastAsia="Times New Roman"/>
                <w:b/>
                <w:color w:val="000000"/>
                <w:sz w:val="22"/>
                <w:szCs w:val="22"/>
              </w:rPr>
            </w:pPr>
          </w:p>
        </w:tc>
        <w:tc>
          <w:tcPr>
            <w:tcW w:w="902" w:type="dxa"/>
            <w:shd w:val="clear" w:color="auto" w:fill="auto"/>
            <w:noWrap/>
            <w:vAlign w:val="center"/>
            <w:hideMark/>
          </w:tcPr>
          <w:p w:rsidR="00AE0DCF" w:rsidRPr="00F27D9D" w:rsidRDefault="00AE0DCF" w:rsidP="00255CC4">
            <w:pPr>
              <w:spacing w:line="240" w:lineRule="auto"/>
              <w:jc w:val="center"/>
              <w:rPr>
                <w:rFonts w:eastAsia="Times New Roman"/>
                <w:color w:val="000000"/>
                <w:sz w:val="22"/>
                <w:szCs w:val="22"/>
              </w:rPr>
            </w:pPr>
            <w:r w:rsidRPr="00F27D9D">
              <w:rPr>
                <w:rFonts w:eastAsia="Times New Roman"/>
                <w:color w:val="000000"/>
                <w:sz w:val="22"/>
                <w:szCs w:val="22"/>
              </w:rPr>
              <w:t>2014</w:t>
            </w:r>
          </w:p>
        </w:tc>
        <w:tc>
          <w:tcPr>
            <w:tcW w:w="1090" w:type="dxa"/>
            <w:shd w:val="clear" w:color="auto" w:fill="auto"/>
            <w:noWrap/>
            <w:vAlign w:val="center"/>
            <w:hideMark/>
          </w:tcPr>
          <w:p w:rsidR="00AE0DCF" w:rsidRPr="00F27D9D" w:rsidRDefault="00AE0DCF" w:rsidP="00255CC4">
            <w:pPr>
              <w:spacing w:line="240" w:lineRule="auto"/>
              <w:jc w:val="center"/>
              <w:rPr>
                <w:rFonts w:eastAsia="Times New Roman"/>
                <w:b/>
                <w:color w:val="FF0000"/>
                <w:sz w:val="22"/>
                <w:szCs w:val="22"/>
              </w:rPr>
            </w:pPr>
            <w:r w:rsidRPr="00F27D9D">
              <w:rPr>
                <w:rFonts w:eastAsia="Times New Roman"/>
                <w:b/>
                <w:color w:val="FF0000"/>
                <w:sz w:val="22"/>
                <w:szCs w:val="22"/>
              </w:rPr>
              <w:t>40,0</w:t>
            </w:r>
          </w:p>
        </w:tc>
        <w:tc>
          <w:tcPr>
            <w:tcW w:w="1090" w:type="dxa"/>
            <w:shd w:val="clear" w:color="auto" w:fill="auto"/>
            <w:noWrap/>
            <w:vAlign w:val="center"/>
            <w:hideMark/>
          </w:tcPr>
          <w:p w:rsidR="00AE0DCF" w:rsidRPr="00F27D9D" w:rsidRDefault="00AE0DCF" w:rsidP="00255CC4">
            <w:pPr>
              <w:spacing w:line="240" w:lineRule="auto"/>
              <w:jc w:val="center"/>
              <w:rPr>
                <w:rFonts w:eastAsia="Times New Roman"/>
                <w:color w:val="000000"/>
                <w:sz w:val="22"/>
                <w:szCs w:val="22"/>
              </w:rPr>
            </w:pPr>
            <w:r w:rsidRPr="00F27D9D">
              <w:rPr>
                <w:rFonts w:eastAsia="Times New Roman"/>
                <w:color w:val="000000"/>
                <w:sz w:val="22"/>
                <w:szCs w:val="22"/>
              </w:rPr>
              <w:t>19,8</w:t>
            </w:r>
          </w:p>
        </w:tc>
        <w:tc>
          <w:tcPr>
            <w:tcW w:w="1090" w:type="dxa"/>
            <w:shd w:val="clear" w:color="auto" w:fill="auto"/>
            <w:noWrap/>
            <w:vAlign w:val="center"/>
            <w:hideMark/>
          </w:tcPr>
          <w:p w:rsidR="00AE0DCF" w:rsidRPr="00F27D9D" w:rsidRDefault="00AE0DCF" w:rsidP="00255CC4">
            <w:pPr>
              <w:spacing w:line="240" w:lineRule="auto"/>
              <w:jc w:val="center"/>
              <w:rPr>
                <w:rFonts w:eastAsia="Times New Roman"/>
                <w:color w:val="000000"/>
                <w:sz w:val="22"/>
                <w:szCs w:val="22"/>
              </w:rPr>
            </w:pPr>
            <w:r w:rsidRPr="00F27D9D">
              <w:rPr>
                <w:rFonts w:eastAsia="Times New Roman"/>
                <w:color w:val="000000"/>
                <w:sz w:val="22"/>
                <w:szCs w:val="22"/>
              </w:rPr>
              <w:t>18,5</w:t>
            </w:r>
          </w:p>
        </w:tc>
        <w:tc>
          <w:tcPr>
            <w:tcW w:w="1090" w:type="dxa"/>
            <w:shd w:val="clear" w:color="auto" w:fill="auto"/>
            <w:noWrap/>
            <w:vAlign w:val="center"/>
            <w:hideMark/>
          </w:tcPr>
          <w:p w:rsidR="00AE0DCF" w:rsidRPr="00F27D9D" w:rsidRDefault="00AE0DCF" w:rsidP="00255CC4">
            <w:pPr>
              <w:spacing w:line="240" w:lineRule="auto"/>
              <w:jc w:val="center"/>
              <w:rPr>
                <w:rFonts w:eastAsia="Times New Roman"/>
                <w:color w:val="000000"/>
                <w:sz w:val="22"/>
                <w:szCs w:val="22"/>
              </w:rPr>
            </w:pPr>
            <w:r w:rsidRPr="00F27D9D">
              <w:rPr>
                <w:rFonts w:eastAsia="Times New Roman"/>
                <w:color w:val="000000"/>
                <w:sz w:val="22"/>
                <w:szCs w:val="22"/>
              </w:rPr>
              <w:t>14,1</w:t>
            </w:r>
          </w:p>
        </w:tc>
        <w:tc>
          <w:tcPr>
            <w:tcW w:w="1090" w:type="dxa"/>
            <w:shd w:val="clear" w:color="auto" w:fill="auto"/>
            <w:noWrap/>
            <w:vAlign w:val="center"/>
            <w:hideMark/>
          </w:tcPr>
          <w:p w:rsidR="00AE0DCF" w:rsidRPr="00F27D9D" w:rsidRDefault="00AE0DCF" w:rsidP="00255CC4">
            <w:pPr>
              <w:spacing w:line="240" w:lineRule="auto"/>
              <w:jc w:val="center"/>
              <w:rPr>
                <w:rFonts w:eastAsia="Times New Roman"/>
                <w:color w:val="000000"/>
                <w:sz w:val="22"/>
                <w:szCs w:val="22"/>
              </w:rPr>
            </w:pPr>
            <w:r w:rsidRPr="00F27D9D">
              <w:rPr>
                <w:rFonts w:eastAsia="Times New Roman"/>
                <w:color w:val="000000"/>
                <w:sz w:val="22"/>
                <w:szCs w:val="22"/>
              </w:rPr>
              <w:t>7,5</w:t>
            </w:r>
          </w:p>
        </w:tc>
      </w:tr>
      <w:tr w:rsidR="00AE0DCF" w:rsidRPr="00F27D9D" w:rsidTr="00255CC4">
        <w:trPr>
          <w:trHeight w:val="300"/>
        </w:trPr>
        <w:tc>
          <w:tcPr>
            <w:tcW w:w="2815" w:type="dxa"/>
            <w:vMerge/>
            <w:shd w:val="clear" w:color="auto" w:fill="auto"/>
            <w:noWrap/>
            <w:vAlign w:val="center"/>
            <w:hideMark/>
          </w:tcPr>
          <w:p w:rsidR="00AE0DCF" w:rsidRPr="00F27D9D" w:rsidRDefault="00AE0DCF" w:rsidP="00783CC7">
            <w:pPr>
              <w:jc w:val="left"/>
              <w:rPr>
                <w:rFonts w:eastAsia="Times New Roman"/>
                <w:color w:val="000000"/>
                <w:sz w:val="22"/>
                <w:szCs w:val="22"/>
              </w:rPr>
            </w:pPr>
          </w:p>
        </w:tc>
        <w:tc>
          <w:tcPr>
            <w:tcW w:w="902" w:type="dxa"/>
            <w:shd w:val="clear" w:color="auto" w:fill="auto"/>
            <w:noWrap/>
            <w:vAlign w:val="center"/>
            <w:hideMark/>
          </w:tcPr>
          <w:p w:rsidR="00AE0DCF" w:rsidRPr="00F27D9D" w:rsidRDefault="00AE0DCF" w:rsidP="00255CC4">
            <w:pPr>
              <w:spacing w:line="240" w:lineRule="auto"/>
              <w:jc w:val="center"/>
              <w:rPr>
                <w:rFonts w:eastAsia="Times New Roman"/>
                <w:color w:val="000000"/>
                <w:sz w:val="22"/>
                <w:szCs w:val="22"/>
              </w:rPr>
            </w:pPr>
            <w:r w:rsidRPr="00F27D9D">
              <w:rPr>
                <w:rFonts w:eastAsia="Times New Roman"/>
                <w:color w:val="000000"/>
                <w:sz w:val="22"/>
                <w:szCs w:val="22"/>
              </w:rPr>
              <w:t>2015</w:t>
            </w:r>
          </w:p>
        </w:tc>
        <w:tc>
          <w:tcPr>
            <w:tcW w:w="1090" w:type="dxa"/>
            <w:shd w:val="clear" w:color="auto" w:fill="auto"/>
            <w:noWrap/>
            <w:vAlign w:val="center"/>
            <w:hideMark/>
          </w:tcPr>
          <w:p w:rsidR="00AE0DCF" w:rsidRPr="00F27D9D" w:rsidRDefault="00AE0DCF" w:rsidP="00255CC4">
            <w:pPr>
              <w:spacing w:line="240" w:lineRule="auto"/>
              <w:jc w:val="center"/>
              <w:rPr>
                <w:rFonts w:eastAsia="Times New Roman"/>
                <w:b/>
                <w:color w:val="FF0000"/>
                <w:sz w:val="22"/>
                <w:szCs w:val="22"/>
              </w:rPr>
            </w:pPr>
            <w:r w:rsidRPr="00F27D9D">
              <w:rPr>
                <w:rFonts w:eastAsia="Times New Roman"/>
                <w:b/>
                <w:color w:val="FF0000"/>
                <w:sz w:val="22"/>
                <w:szCs w:val="22"/>
              </w:rPr>
              <w:t>35,9</w:t>
            </w:r>
          </w:p>
        </w:tc>
        <w:tc>
          <w:tcPr>
            <w:tcW w:w="1090" w:type="dxa"/>
            <w:shd w:val="clear" w:color="auto" w:fill="auto"/>
            <w:noWrap/>
            <w:vAlign w:val="center"/>
            <w:hideMark/>
          </w:tcPr>
          <w:p w:rsidR="00AE0DCF" w:rsidRPr="00F27D9D" w:rsidRDefault="00AE0DCF" w:rsidP="00255CC4">
            <w:pPr>
              <w:spacing w:line="240" w:lineRule="auto"/>
              <w:jc w:val="center"/>
              <w:rPr>
                <w:rFonts w:eastAsia="Times New Roman"/>
                <w:color w:val="000000"/>
                <w:sz w:val="22"/>
                <w:szCs w:val="22"/>
              </w:rPr>
            </w:pPr>
            <w:r w:rsidRPr="00F27D9D">
              <w:rPr>
                <w:rFonts w:eastAsia="Times New Roman"/>
                <w:color w:val="000000"/>
                <w:sz w:val="22"/>
                <w:szCs w:val="22"/>
              </w:rPr>
              <w:t>17,5</w:t>
            </w:r>
          </w:p>
        </w:tc>
        <w:tc>
          <w:tcPr>
            <w:tcW w:w="1090" w:type="dxa"/>
            <w:shd w:val="clear" w:color="auto" w:fill="auto"/>
            <w:noWrap/>
            <w:vAlign w:val="center"/>
            <w:hideMark/>
          </w:tcPr>
          <w:p w:rsidR="00AE0DCF" w:rsidRPr="00F27D9D" w:rsidRDefault="00AE0DCF" w:rsidP="00255CC4">
            <w:pPr>
              <w:spacing w:line="240" w:lineRule="auto"/>
              <w:jc w:val="center"/>
              <w:rPr>
                <w:rFonts w:eastAsia="Times New Roman"/>
                <w:color w:val="000000"/>
                <w:sz w:val="22"/>
                <w:szCs w:val="22"/>
              </w:rPr>
            </w:pPr>
            <w:r w:rsidRPr="00F27D9D">
              <w:rPr>
                <w:rFonts w:eastAsia="Times New Roman"/>
                <w:color w:val="000000"/>
                <w:sz w:val="22"/>
                <w:szCs w:val="22"/>
              </w:rPr>
              <w:t>22,3</w:t>
            </w:r>
          </w:p>
        </w:tc>
        <w:tc>
          <w:tcPr>
            <w:tcW w:w="1090" w:type="dxa"/>
            <w:shd w:val="clear" w:color="auto" w:fill="auto"/>
            <w:noWrap/>
            <w:vAlign w:val="center"/>
            <w:hideMark/>
          </w:tcPr>
          <w:p w:rsidR="00AE0DCF" w:rsidRPr="00F27D9D" w:rsidRDefault="00AE0DCF" w:rsidP="00255CC4">
            <w:pPr>
              <w:spacing w:line="240" w:lineRule="auto"/>
              <w:jc w:val="center"/>
              <w:rPr>
                <w:rFonts w:eastAsia="Times New Roman"/>
                <w:color w:val="000000"/>
                <w:sz w:val="22"/>
                <w:szCs w:val="22"/>
              </w:rPr>
            </w:pPr>
            <w:r w:rsidRPr="00F27D9D">
              <w:rPr>
                <w:rFonts w:eastAsia="Times New Roman"/>
                <w:color w:val="000000"/>
                <w:sz w:val="22"/>
                <w:szCs w:val="22"/>
              </w:rPr>
              <w:t>17,4</w:t>
            </w:r>
          </w:p>
        </w:tc>
        <w:tc>
          <w:tcPr>
            <w:tcW w:w="1090" w:type="dxa"/>
            <w:shd w:val="clear" w:color="auto" w:fill="auto"/>
            <w:noWrap/>
            <w:vAlign w:val="center"/>
            <w:hideMark/>
          </w:tcPr>
          <w:p w:rsidR="00AE0DCF" w:rsidRPr="00F27D9D" w:rsidRDefault="00AE0DCF" w:rsidP="00255CC4">
            <w:pPr>
              <w:spacing w:line="240" w:lineRule="auto"/>
              <w:jc w:val="center"/>
              <w:rPr>
                <w:rFonts w:eastAsia="Times New Roman"/>
                <w:color w:val="000000"/>
                <w:sz w:val="22"/>
                <w:szCs w:val="22"/>
              </w:rPr>
            </w:pPr>
            <w:r w:rsidRPr="00F27D9D">
              <w:rPr>
                <w:rFonts w:eastAsia="Times New Roman"/>
                <w:color w:val="000000"/>
                <w:sz w:val="22"/>
                <w:szCs w:val="22"/>
              </w:rPr>
              <w:t>7,0</w:t>
            </w:r>
          </w:p>
        </w:tc>
      </w:tr>
      <w:tr w:rsidR="00AE0DCF" w:rsidRPr="00F27D9D" w:rsidTr="00255CC4">
        <w:trPr>
          <w:trHeight w:val="300"/>
        </w:trPr>
        <w:tc>
          <w:tcPr>
            <w:tcW w:w="2815" w:type="dxa"/>
            <w:vMerge/>
            <w:shd w:val="clear" w:color="auto" w:fill="auto"/>
            <w:noWrap/>
            <w:vAlign w:val="center"/>
            <w:hideMark/>
          </w:tcPr>
          <w:p w:rsidR="00AE0DCF" w:rsidRPr="00F27D9D" w:rsidRDefault="00AE0DCF" w:rsidP="00783CC7">
            <w:pPr>
              <w:jc w:val="left"/>
              <w:rPr>
                <w:rFonts w:eastAsia="Times New Roman"/>
                <w:color w:val="000000"/>
                <w:sz w:val="22"/>
                <w:szCs w:val="22"/>
              </w:rPr>
            </w:pPr>
          </w:p>
        </w:tc>
        <w:tc>
          <w:tcPr>
            <w:tcW w:w="902" w:type="dxa"/>
            <w:shd w:val="clear" w:color="auto" w:fill="auto"/>
            <w:noWrap/>
            <w:vAlign w:val="center"/>
            <w:hideMark/>
          </w:tcPr>
          <w:p w:rsidR="00AE0DCF" w:rsidRPr="00F27D9D" w:rsidRDefault="00AE0DCF" w:rsidP="00255CC4">
            <w:pPr>
              <w:spacing w:line="240" w:lineRule="auto"/>
              <w:jc w:val="center"/>
              <w:rPr>
                <w:rFonts w:eastAsia="Times New Roman"/>
                <w:color w:val="000000"/>
                <w:sz w:val="22"/>
                <w:szCs w:val="22"/>
              </w:rPr>
            </w:pPr>
            <w:r w:rsidRPr="00F27D9D">
              <w:rPr>
                <w:rFonts w:eastAsia="Times New Roman"/>
                <w:color w:val="000000"/>
                <w:sz w:val="22"/>
                <w:szCs w:val="22"/>
              </w:rPr>
              <w:t>2016</w:t>
            </w:r>
          </w:p>
        </w:tc>
        <w:tc>
          <w:tcPr>
            <w:tcW w:w="1090" w:type="dxa"/>
            <w:shd w:val="clear" w:color="auto" w:fill="auto"/>
            <w:noWrap/>
            <w:vAlign w:val="center"/>
            <w:hideMark/>
          </w:tcPr>
          <w:p w:rsidR="00AE0DCF" w:rsidRPr="00F27D9D" w:rsidRDefault="00AE0DCF" w:rsidP="00255CC4">
            <w:pPr>
              <w:spacing w:line="240" w:lineRule="auto"/>
              <w:jc w:val="center"/>
              <w:rPr>
                <w:rFonts w:eastAsia="Times New Roman"/>
                <w:b/>
                <w:color w:val="FF0000"/>
                <w:sz w:val="22"/>
                <w:szCs w:val="22"/>
              </w:rPr>
            </w:pPr>
            <w:r w:rsidRPr="00F27D9D">
              <w:rPr>
                <w:rFonts w:eastAsia="Times New Roman"/>
                <w:b/>
                <w:color w:val="FF0000"/>
                <w:sz w:val="22"/>
                <w:szCs w:val="22"/>
              </w:rPr>
              <w:t>29,5</w:t>
            </w:r>
          </w:p>
        </w:tc>
        <w:tc>
          <w:tcPr>
            <w:tcW w:w="1090" w:type="dxa"/>
            <w:shd w:val="clear" w:color="auto" w:fill="auto"/>
            <w:noWrap/>
            <w:vAlign w:val="center"/>
            <w:hideMark/>
          </w:tcPr>
          <w:p w:rsidR="00AE0DCF" w:rsidRPr="00F27D9D" w:rsidRDefault="00AE0DCF" w:rsidP="00255CC4">
            <w:pPr>
              <w:spacing w:line="240" w:lineRule="auto"/>
              <w:jc w:val="center"/>
              <w:rPr>
                <w:rFonts w:eastAsia="Times New Roman"/>
                <w:color w:val="000000"/>
                <w:sz w:val="22"/>
                <w:szCs w:val="22"/>
              </w:rPr>
            </w:pPr>
            <w:r w:rsidRPr="00F27D9D">
              <w:rPr>
                <w:rFonts w:eastAsia="Times New Roman"/>
                <w:color w:val="000000"/>
                <w:sz w:val="22"/>
                <w:szCs w:val="22"/>
              </w:rPr>
              <w:t>17,7</w:t>
            </w:r>
          </w:p>
        </w:tc>
        <w:tc>
          <w:tcPr>
            <w:tcW w:w="1090" w:type="dxa"/>
            <w:shd w:val="clear" w:color="auto" w:fill="auto"/>
            <w:noWrap/>
            <w:vAlign w:val="center"/>
            <w:hideMark/>
          </w:tcPr>
          <w:p w:rsidR="00AE0DCF" w:rsidRPr="00F27D9D" w:rsidRDefault="00AE0DCF" w:rsidP="00255CC4">
            <w:pPr>
              <w:spacing w:line="240" w:lineRule="auto"/>
              <w:jc w:val="center"/>
              <w:rPr>
                <w:rFonts w:eastAsia="Times New Roman"/>
                <w:color w:val="000000"/>
                <w:sz w:val="22"/>
                <w:szCs w:val="22"/>
              </w:rPr>
            </w:pPr>
            <w:r w:rsidRPr="00F27D9D">
              <w:rPr>
                <w:rFonts w:eastAsia="Times New Roman"/>
                <w:color w:val="000000"/>
                <w:sz w:val="22"/>
                <w:szCs w:val="22"/>
              </w:rPr>
              <w:t>22,3</w:t>
            </w:r>
          </w:p>
        </w:tc>
        <w:tc>
          <w:tcPr>
            <w:tcW w:w="1090" w:type="dxa"/>
            <w:shd w:val="clear" w:color="auto" w:fill="auto"/>
            <w:noWrap/>
            <w:vAlign w:val="center"/>
            <w:hideMark/>
          </w:tcPr>
          <w:p w:rsidR="00AE0DCF" w:rsidRPr="00F27D9D" w:rsidRDefault="00AE0DCF" w:rsidP="00255CC4">
            <w:pPr>
              <w:spacing w:line="240" w:lineRule="auto"/>
              <w:jc w:val="center"/>
              <w:rPr>
                <w:rFonts w:eastAsia="Times New Roman"/>
                <w:color w:val="000000"/>
                <w:sz w:val="22"/>
                <w:szCs w:val="22"/>
              </w:rPr>
            </w:pPr>
            <w:r w:rsidRPr="00F27D9D">
              <w:rPr>
                <w:rFonts w:eastAsia="Times New Roman"/>
                <w:color w:val="000000"/>
                <w:sz w:val="22"/>
                <w:szCs w:val="22"/>
              </w:rPr>
              <w:t>22,2</w:t>
            </w:r>
          </w:p>
        </w:tc>
        <w:tc>
          <w:tcPr>
            <w:tcW w:w="1090" w:type="dxa"/>
            <w:shd w:val="clear" w:color="auto" w:fill="auto"/>
            <w:noWrap/>
            <w:vAlign w:val="center"/>
            <w:hideMark/>
          </w:tcPr>
          <w:p w:rsidR="00AE0DCF" w:rsidRPr="00F27D9D" w:rsidRDefault="00AE0DCF" w:rsidP="00255CC4">
            <w:pPr>
              <w:spacing w:line="240" w:lineRule="auto"/>
              <w:jc w:val="center"/>
              <w:rPr>
                <w:rFonts w:eastAsia="Times New Roman"/>
                <w:color w:val="000000"/>
                <w:sz w:val="22"/>
                <w:szCs w:val="22"/>
              </w:rPr>
            </w:pPr>
            <w:r w:rsidRPr="00F27D9D">
              <w:rPr>
                <w:rFonts w:eastAsia="Times New Roman"/>
                <w:color w:val="000000"/>
                <w:sz w:val="22"/>
                <w:szCs w:val="22"/>
              </w:rPr>
              <w:t>8,3</w:t>
            </w:r>
          </w:p>
        </w:tc>
      </w:tr>
      <w:tr w:rsidR="00AE0DCF" w:rsidRPr="00F27D9D" w:rsidTr="00BC22F8">
        <w:trPr>
          <w:trHeight w:val="300"/>
        </w:trPr>
        <w:tc>
          <w:tcPr>
            <w:tcW w:w="2815" w:type="dxa"/>
            <w:vMerge w:val="restart"/>
            <w:shd w:val="clear" w:color="auto" w:fill="D9D9D9" w:themeFill="background1" w:themeFillShade="D9"/>
            <w:noWrap/>
            <w:vAlign w:val="center"/>
            <w:hideMark/>
          </w:tcPr>
          <w:p w:rsidR="00AE0DCF" w:rsidRPr="00F27D9D" w:rsidRDefault="00AE0DCF" w:rsidP="00783CC7">
            <w:pPr>
              <w:jc w:val="left"/>
              <w:rPr>
                <w:rFonts w:eastAsia="Times New Roman"/>
                <w:b/>
                <w:color w:val="000000"/>
                <w:sz w:val="22"/>
                <w:szCs w:val="22"/>
              </w:rPr>
            </w:pPr>
            <w:r>
              <w:rPr>
                <w:rFonts w:eastAsia="Times New Roman"/>
                <w:b/>
                <w:color w:val="000000"/>
                <w:sz w:val="22"/>
                <w:szCs w:val="22"/>
              </w:rPr>
              <w:t>Pāris</w:t>
            </w:r>
            <w:r w:rsidRPr="00F27D9D">
              <w:rPr>
                <w:rFonts w:eastAsia="Times New Roman"/>
                <w:b/>
                <w:color w:val="000000"/>
                <w:sz w:val="22"/>
                <w:szCs w:val="22"/>
              </w:rPr>
              <w:t xml:space="preserve"> </w:t>
            </w:r>
            <w:r>
              <w:rPr>
                <w:rFonts w:eastAsia="Times New Roman"/>
                <w:b/>
                <w:color w:val="000000"/>
                <w:sz w:val="22"/>
                <w:szCs w:val="22"/>
              </w:rPr>
              <w:t>bez</w:t>
            </w:r>
            <w:r w:rsidRPr="00F27D9D">
              <w:rPr>
                <w:rFonts w:eastAsia="Times New Roman"/>
                <w:b/>
                <w:color w:val="000000"/>
                <w:sz w:val="22"/>
                <w:szCs w:val="22"/>
              </w:rPr>
              <w:t xml:space="preserve"> bērniem</w:t>
            </w:r>
          </w:p>
        </w:tc>
        <w:tc>
          <w:tcPr>
            <w:tcW w:w="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E0DCF" w:rsidRPr="00AE0DCF" w:rsidRDefault="00AE0DCF" w:rsidP="00AE0DCF">
            <w:pPr>
              <w:spacing w:line="240" w:lineRule="auto"/>
              <w:jc w:val="center"/>
              <w:rPr>
                <w:rFonts w:eastAsia="Times New Roman"/>
                <w:color w:val="000000"/>
                <w:sz w:val="22"/>
                <w:szCs w:val="22"/>
              </w:rPr>
            </w:pPr>
            <w:r w:rsidRPr="00AE0DCF">
              <w:rPr>
                <w:rFonts w:eastAsia="Times New Roman"/>
                <w:color w:val="000000"/>
                <w:sz w:val="22"/>
                <w:szCs w:val="22"/>
              </w:rPr>
              <w:t>2014</w:t>
            </w:r>
          </w:p>
        </w:tc>
        <w:tc>
          <w:tcPr>
            <w:tcW w:w="1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AE0DCF" w:rsidRPr="00AE0DCF" w:rsidRDefault="00AE0DCF" w:rsidP="00AE0DCF">
            <w:pPr>
              <w:spacing w:line="240" w:lineRule="auto"/>
              <w:jc w:val="center"/>
              <w:rPr>
                <w:rFonts w:eastAsia="Times New Roman"/>
                <w:color w:val="000000"/>
                <w:sz w:val="22"/>
                <w:szCs w:val="22"/>
              </w:rPr>
            </w:pPr>
            <w:r w:rsidRPr="00AE0DCF">
              <w:rPr>
                <w:rFonts w:eastAsia="Times New Roman"/>
                <w:color w:val="000000"/>
                <w:sz w:val="22"/>
                <w:szCs w:val="22"/>
              </w:rPr>
              <w:t>12</w:t>
            </w:r>
            <w:r>
              <w:rPr>
                <w:rFonts w:eastAsia="Times New Roman"/>
                <w:color w:val="000000"/>
                <w:sz w:val="22"/>
                <w:szCs w:val="22"/>
              </w:rPr>
              <w:t>,</w:t>
            </w:r>
            <w:r w:rsidRPr="00AE0DCF">
              <w:rPr>
                <w:rFonts w:eastAsia="Times New Roman"/>
                <w:color w:val="000000"/>
                <w:sz w:val="22"/>
                <w:szCs w:val="22"/>
              </w:rPr>
              <w:t>3</w:t>
            </w:r>
          </w:p>
        </w:tc>
        <w:tc>
          <w:tcPr>
            <w:tcW w:w="1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AE0DCF" w:rsidRPr="00AE0DCF" w:rsidRDefault="00AE0DCF" w:rsidP="00AE0DCF">
            <w:pPr>
              <w:spacing w:line="240" w:lineRule="auto"/>
              <w:jc w:val="center"/>
              <w:rPr>
                <w:rFonts w:eastAsia="Times New Roman"/>
                <w:color w:val="000000"/>
                <w:sz w:val="22"/>
                <w:szCs w:val="22"/>
              </w:rPr>
            </w:pPr>
            <w:r w:rsidRPr="00AE0DCF">
              <w:rPr>
                <w:rFonts w:eastAsia="Times New Roman"/>
                <w:color w:val="000000"/>
                <w:sz w:val="22"/>
                <w:szCs w:val="22"/>
              </w:rPr>
              <w:t>18</w:t>
            </w:r>
            <w:r>
              <w:rPr>
                <w:rFonts w:eastAsia="Times New Roman"/>
                <w:color w:val="000000"/>
                <w:sz w:val="22"/>
                <w:szCs w:val="22"/>
              </w:rPr>
              <w:t>,</w:t>
            </w:r>
            <w:r w:rsidRPr="00AE0DCF">
              <w:rPr>
                <w:rFonts w:eastAsia="Times New Roman"/>
                <w:color w:val="000000"/>
                <w:sz w:val="22"/>
                <w:szCs w:val="22"/>
              </w:rPr>
              <w:t>4</w:t>
            </w:r>
          </w:p>
        </w:tc>
        <w:tc>
          <w:tcPr>
            <w:tcW w:w="1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AE0DCF" w:rsidRPr="00AE0DCF" w:rsidRDefault="00AE0DCF" w:rsidP="00AE0DCF">
            <w:pPr>
              <w:spacing w:line="240" w:lineRule="auto"/>
              <w:jc w:val="center"/>
              <w:rPr>
                <w:rFonts w:eastAsia="Times New Roman"/>
                <w:color w:val="000000"/>
                <w:sz w:val="22"/>
                <w:szCs w:val="22"/>
              </w:rPr>
            </w:pPr>
            <w:r w:rsidRPr="00AE0DCF">
              <w:rPr>
                <w:rFonts w:eastAsia="Times New Roman"/>
                <w:color w:val="000000"/>
                <w:sz w:val="22"/>
                <w:szCs w:val="22"/>
              </w:rPr>
              <w:t>19</w:t>
            </w:r>
            <w:r>
              <w:rPr>
                <w:rFonts w:eastAsia="Times New Roman"/>
                <w:color w:val="000000"/>
                <w:sz w:val="22"/>
                <w:szCs w:val="22"/>
              </w:rPr>
              <w:t>,</w:t>
            </w:r>
            <w:r w:rsidRPr="00AE0DCF">
              <w:rPr>
                <w:rFonts w:eastAsia="Times New Roman"/>
                <w:color w:val="000000"/>
                <w:sz w:val="22"/>
                <w:szCs w:val="22"/>
              </w:rPr>
              <w:t>1</w:t>
            </w:r>
          </w:p>
        </w:tc>
        <w:tc>
          <w:tcPr>
            <w:tcW w:w="1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AE0DCF" w:rsidRPr="00AE0DCF" w:rsidRDefault="00AE0DCF" w:rsidP="00AE0DCF">
            <w:pPr>
              <w:spacing w:line="240" w:lineRule="auto"/>
              <w:jc w:val="center"/>
              <w:rPr>
                <w:rFonts w:eastAsia="Times New Roman"/>
                <w:color w:val="000000"/>
                <w:sz w:val="22"/>
                <w:szCs w:val="22"/>
              </w:rPr>
            </w:pPr>
            <w:r w:rsidRPr="00AE0DCF">
              <w:rPr>
                <w:rFonts w:eastAsia="Times New Roman"/>
                <w:color w:val="000000"/>
                <w:sz w:val="22"/>
                <w:szCs w:val="22"/>
              </w:rPr>
              <w:t>22</w:t>
            </w:r>
            <w:r>
              <w:rPr>
                <w:rFonts w:eastAsia="Times New Roman"/>
                <w:color w:val="000000"/>
                <w:sz w:val="22"/>
                <w:szCs w:val="22"/>
              </w:rPr>
              <w:t>,</w:t>
            </w:r>
            <w:r w:rsidRPr="00AE0DCF">
              <w:rPr>
                <w:rFonts w:eastAsia="Times New Roman"/>
                <w:color w:val="000000"/>
                <w:sz w:val="22"/>
                <w:szCs w:val="22"/>
              </w:rPr>
              <w:t>1</w:t>
            </w:r>
          </w:p>
        </w:tc>
        <w:tc>
          <w:tcPr>
            <w:tcW w:w="1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AE0DCF" w:rsidRPr="00AE0DCF" w:rsidRDefault="00AE0DCF" w:rsidP="00AE0DCF">
            <w:pPr>
              <w:spacing w:line="240" w:lineRule="auto"/>
              <w:jc w:val="center"/>
              <w:rPr>
                <w:rFonts w:eastAsia="Times New Roman"/>
                <w:b/>
                <w:color w:val="000000"/>
                <w:sz w:val="22"/>
                <w:szCs w:val="22"/>
              </w:rPr>
            </w:pPr>
            <w:r w:rsidRPr="00AE0DCF">
              <w:rPr>
                <w:rFonts w:eastAsia="Times New Roman"/>
                <w:b/>
                <w:color w:val="000000"/>
                <w:sz w:val="22"/>
                <w:szCs w:val="22"/>
              </w:rPr>
              <w:t>28,1</w:t>
            </w:r>
          </w:p>
        </w:tc>
      </w:tr>
      <w:tr w:rsidR="00AE0DCF" w:rsidRPr="00F27D9D" w:rsidTr="00BC22F8">
        <w:trPr>
          <w:trHeight w:val="300"/>
        </w:trPr>
        <w:tc>
          <w:tcPr>
            <w:tcW w:w="2815" w:type="dxa"/>
            <w:vMerge/>
            <w:shd w:val="clear" w:color="auto" w:fill="D9D9D9" w:themeFill="background1" w:themeFillShade="D9"/>
            <w:noWrap/>
            <w:vAlign w:val="center"/>
            <w:hideMark/>
          </w:tcPr>
          <w:p w:rsidR="00AE0DCF" w:rsidRPr="00F27D9D" w:rsidRDefault="00AE0DCF" w:rsidP="00783CC7">
            <w:pPr>
              <w:jc w:val="left"/>
              <w:rPr>
                <w:rFonts w:eastAsia="Times New Roman"/>
                <w:color w:val="000000"/>
                <w:sz w:val="22"/>
                <w:szCs w:val="22"/>
              </w:rPr>
            </w:pPr>
          </w:p>
        </w:tc>
        <w:tc>
          <w:tcPr>
            <w:tcW w:w="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E0DCF" w:rsidRPr="00AE0DCF" w:rsidRDefault="00AE0DCF" w:rsidP="00AE0DCF">
            <w:pPr>
              <w:spacing w:line="240" w:lineRule="auto"/>
              <w:jc w:val="center"/>
              <w:rPr>
                <w:rFonts w:eastAsia="Times New Roman"/>
                <w:color w:val="000000"/>
                <w:sz w:val="22"/>
                <w:szCs w:val="22"/>
              </w:rPr>
            </w:pPr>
            <w:r w:rsidRPr="00AE0DCF">
              <w:rPr>
                <w:rFonts w:eastAsia="Times New Roman"/>
                <w:color w:val="000000"/>
                <w:sz w:val="22"/>
                <w:szCs w:val="22"/>
              </w:rPr>
              <w:t>2015</w:t>
            </w:r>
          </w:p>
        </w:tc>
        <w:tc>
          <w:tcPr>
            <w:tcW w:w="1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AE0DCF" w:rsidRPr="00AE0DCF" w:rsidRDefault="00AE0DCF" w:rsidP="00AE0DCF">
            <w:pPr>
              <w:spacing w:line="240" w:lineRule="auto"/>
              <w:jc w:val="center"/>
              <w:rPr>
                <w:rFonts w:eastAsia="Times New Roman"/>
                <w:color w:val="000000"/>
                <w:sz w:val="22"/>
                <w:szCs w:val="22"/>
              </w:rPr>
            </w:pPr>
            <w:r w:rsidRPr="00AE0DCF">
              <w:rPr>
                <w:rFonts w:eastAsia="Times New Roman"/>
                <w:color w:val="000000"/>
                <w:sz w:val="22"/>
                <w:szCs w:val="22"/>
              </w:rPr>
              <w:t>16</w:t>
            </w:r>
            <w:r>
              <w:rPr>
                <w:rFonts w:eastAsia="Times New Roman"/>
                <w:color w:val="000000"/>
                <w:sz w:val="22"/>
                <w:szCs w:val="22"/>
              </w:rPr>
              <w:t>,</w:t>
            </w:r>
            <w:r w:rsidRPr="00AE0DCF">
              <w:rPr>
                <w:rFonts w:eastAsia="Times New Roman"/>
                <w:color w:val="000000"/>
                <w:sz w:val="22"/>
                <w:szCs w:val="22"/>
              </w:rPr>
              <w:t>2</w:t>
            </w:r>
          </w:p>
        </w:tc>
        <w:tc>
          <w:tcPr>
            <w:tcW w:w="1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AE0DCF" w:rsidRPr="00AE0DCF" w:rsidRDefault="00AE0DCF" w:rsidP="00AE0DCF">
            <w:pPr>
              <w:spacing w:line="240" w:lineRule="auto"/>
              <w:jc w:val="center"/>
              <w:rPr>
                <w:rFonts w:eastAsia="Times New Roman"/>
                <w:color w:val="000000"/>
                <w:sz w:val="22"/>
                <w:szCs w:val="22"/>
              </w:rPr>
            </w:pPr>
            <w:r w:rsidRPr="00AE0DCF">
              <w:rPr>
                <w:rFonts w:eastAsia="Times New Roman"/>
                <w:color w:val="000000"/>
                <w:sz w:val="22"/>
                <w:szCs w:val="22"/>
              </w:rPr>
              <w:t>17</w:t>
            </w:r>
            <w:r>
              <w:rPr>
                <w:rFonts w:eastAsia="Times New Roman"/>
                <w:color w:val="000000"/>
                <w:sz w:val="22"/>
                <w:szCs w:val="22"/>
              </w:rPr>
              <w:t>,</w:t>
            </w:r>
            <w:r w:rsidRPr="00AE0DCF">
              <w:rPr>
                <w:rFonts w:eastAsia="Times New Roman"/>
                <w:color w:val="000000"/>
                <w:sz w:val="22"/>
                <w:szCs w:val="22"/>
              </w:rPr>
              <w:t>9</w:t>
            </w:r>
          </w:p>
        </w:tc>
        <w:tc>
          <w:tcPr>
            <w:tcW w:w="1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AE0DCF" w:rsidRPr="00AE0DCF" w:rsidRDefault="00AE0DCF" w:rsidP="00AE0DCF">
            <w:pPr>
              <w:spacing w:line="240" w:lineRule="auto"/>
              <w:jc w:val="center"/>
              <w:rPr>
                <w:rFonts w:eastAsia="Times New Roman"/>
                <w:color w:val="000000"/>
                <w:sz w:val="22"/>
                <w:szCs w:val="22"/>
              </w:rPr>
            </w:pPr>
            <w:r w:rsidRPr="00AE0DCF">
              <w:rPr>
                <w:rFonts w:eastAsia="Times New Roman"/>
                <w:color w:val="000000"/>
                <w:sz w:val="22"/>
                <w:szCs w:val="22"/>
              </w:rPr>
              <w:t>16</w:t>
            </w:r>
            <w:r>
              <w:rPr>
                <w:rFonts w:eastAsia="Times New Roman"/>
                <w:color w:val="000000"/>
                <w:sz w:val="22"/>
                <w:szCs w:val="22"/>
              </w:rPr>
              <w:t>,</w:t>
            </w:r>
            <w:r w:rsidRPr="00AE0DCF">
              <w:rPr>
                <w:rFonts w:eastAsia="Times New Roman"/>
                <w:color w:val="000000"/>
                <w:sz w:val="22"/>
                <w:szCs w:val="22"/>
              </w:rPr>
              <w:t>8</w:t>
            </w:r>
          </w:p>
        </w:tc>
        <w:tc>
          <w:tcPr>
            <w:tcW w:w="1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AE0DCF" w:rsidRPr="00AE0DCF" w:rsidRDefault="00AE0DCF" w:rsidP="00AE0DCF">
            <w:pPr>
              <w:spacing w:line="240" w:lineRule="auto"/>
              <w:jc w:val="center"/>
              <w:rPr>
                <w:rFonts w:eastAsia="Times New Roman"/>
                <w:color w:val="000000"/>
                <w:sz w:val="22"/>
                <w:szCs w:val="22"/>
              </w:rPr>
            </w:pPr>
            <w:r w:rsidRPr="00AE0DCF">
              <w:rPr>
                <w:rFonts w:eastAsia="Times New Roman"/>
                <w:color w:val="000000"/>
                <w:sz w:val="22"/>
                <w:szCs w:val="22"/>
              </w:rPr>
              <w:t>22</w:t>
            </w:r>
            <w:r>
              <w:rPr>
                <w:rFonts w:eastAsia="Times New Roman"/>
                <w:color w:val="000000"/>
                <w:sz w:val="22"/>
                <w:szCs w:val="22"/>
              </w:rPr>
              <w:t>,</w:t>
            </w:r>
            <w:r w:rsidRPr="00AE0DCF">
              <w:rPr>
                <w:rFonts w:eastAsia="Times New Roman"/>
                <w:color w:val="000000"/>
                <w:sz w:val="22"/>
                <w:szCs w:val="22"/>
              </w:rPr>
              <w:t>0</w:t>
            </w:r>
          </w:p>
        </w:tc>
        <w:tc>
          <w:tcPr>
            <w:tcW w:w="1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AE0DCF" w:rsidRPr="00AE0DCF" w:rsidRDefault="00AE0DCF" w:rsidP="00AE0DCF">
            <w:pPr>
              <w:spacing w:line="240" w:lineRule="auto"/>
              <w:jc w:val="center"/>
              <w:rPr>
                <w:rFonts w:eastAsia="Times New Roman"/>
                <w:b/>
                <w:color w:val="000000"/>
                <w:sz w:val="22"/>
                <w:szCs w:val="22"/>
              </w:rPr>
            </w:pPr>
            <w:r w:rsidRPr="00AE0DCF">
              <w:rPr>
                <w:rFonts w:eastAsia="Times New Roman"/>
                <w:b/>
                <w:color w:val="000000"/>
                <w:sz w:val="22"/>
                <w:szCs w:val="22"/>
              </w:rPr>
              <w:t>27,1</w:t>
            </w:r>
          </w:p>
        </w:tc>
      </w:tr>
      <w:tr w:rsidR="00AE0DCF" w:rsidRPr="00F27D9D" w:rsidTr="00BC22F8">
        <w:trPr>
          <w:trHeight w:val="300"/>
        </w:trPr>
        <w:tc>
          <w:tcPr>
            <w:tcW w:w="2815" w:type="dxa"/>
            <w:vMerge/>
            <w:shd w:val="clear" w:color="auto" w:fill="D9D9D9" w:themeFill="background1" w:themeFillShade="D9"/>
            <w:noWrap/>
            <w:vAlign w:val="center"/>
            <w:hideMark/>
          </w:tcPr>
          <w:p w:rsidR="00AE0DCF" w:rsidRPr="00F27D9D" w:rsidRDefault="00AE0DCF" w:rsidP="00783CC7">
            <w:pPr>
              <w:jc w:val="left"/>
              <w:rPr>
                <w:rFonts w:eastAsia="Times New Roman"/>
                <w:color w:val="000000"/>
                <w:sz w:val="22"/>
                <w:szCs w:val="22"/>
              </w:rPr>
            </w:pPr>
          </w:p>
        </w:tc>
        <w:tc>
          <w:tcPr>
            <w:tcW w:w="9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E0DCF" w:rsidRPr="00AE0DCF" w:rsidRDefault="00AE0DCF" w:rsidP="00AE0DCF">
            <w:pPr>
              <w:spacing w:line="240" w:lineRule="auto"/>
              <w:jc w:val="center"/>
              <w:rPr>
                <w:rFonts w:eastAsia="Times New Roman"/>
                <w:color w:val="000000"/>
                <w:sz w:val="22"/>
                <w:szCs w:val="22"/>
              </w:rPr>
            </w:pPr>
            <w:r w:rsidRPr="00AE0DCF">
              <w:rPr>
                <w:rFonts w:eastAsia="Times New Roman"/>
                <w:color w:val="000000"/>
                <w:sz w:val="22"/>
                <w:szCs w:val="22"/>
              </w:rPr>
              <w:t>2016</w:t>
            </w:r>
          </w:p>
        </w:tc>
        <w:tc>
          <w:tcPr>
            <w:tcW w:w="1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AE0DCF" w:rsidRPr="00AE0DCF" w:rsidRDefault="00AE0DCF" w:rsidP="00AE0DCF">
            <w:pPr>
              <w:spacing w:line="240" w:lineRule="auto"/>
              <w:jc w:val="center"/>
              <w:rPr>
                <w:rFonts w:eastAsia="Times New Roman"/>
                <w:color w:val="000000"/>
                <w:sz w:val="22"/>
                <w:szCs w:val="22"/>
              </w:rPr>
            </w:pPr>
            <w:r w:rsidRPr="00AE0DCF">
              <w:rPr>
                <w:rFonts w:eastAsia="Times New Roman"/>
                <w:color w:val="000000"/>
                <w:sz w:val="22"/>
                <w:szCs w:val="22"/>
              </w:rPr>
              <w:t>16</w:t>
            </w:r>
            <w:r>
              <w:rPr>
                <w:rFonts w:eastAsia="Times New Roman"/>
                <w:color w:val="000000"/>
                <w:sz w:val="22"/>
                <w:szCs w:val="22"/>
              </w:rPr>
              <w:t>,</w:t>
            </w:r>
            <w:r w:rsidRPr="00AE0DCF">
              <w:rPr>
                <w:rFonts w:eastAsia="Times New Roman"/>
                <w:color w:val="000000"/>
                <w:sz w:val="22"/>
                <w:szCs w:val="22"/>
              </w:rPr>
              <w:t>6</w:t>
            </w:r>
          </w:p>
        </w:tc>
        <w:tc>
          <w:tcPr>
            <w:tcW w:w="1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AE0DCF" w:rsidRPr="00AE0DCF" w:rsidRDefault="00AE0DCF" w:rsidP="00AE0DCF">
            <w:pPr>
              <w:spacing w:line="240" w:lineRule="auto"/>
              <w:jc w:val="center"/>
              <w:rPr>
                <w:rFonts w:eastAsia="Times New Roman"/>
                <w:color w:val="000000"/>
                <w:sz w:val="22"/>
                <w:szCs w:val="22"/>
              </w:rPr>
            </w:pPr>
            <w:r w:rsidRPr="00AE0DCF">
              <w:rPr>
                <w:rFonts w:eastAsia="Times New Roman"/>
                <w:color w:val="000000"/>
                <w:sz w:val="22"/>
                <w:szCs w:val="22"/>
              </w:rPr>
              <w:t>18</w:t>
            </w:r>
            <w:r>
              <w:rPr>
                <w:rFonts w:eastAsia="Times New Roman"/>
                <w:color w:val="000000"/>
                <w:sz w:val="22"/>
                <w:szCs w:val="22"/>
              </w:rPr>
              <w:t>,</w:t>
            </w:r>
            <w:r w:rsidRPr="00AE0DCF">
              <w:rPr>
                <w:rFonts w:eastAsia="Times New Roman"/>
                <w:color w:val="000000"/>
                <w:sz w:val="22"/>
                <w:szCs w:val="22"/>
              </w:rPr>
              <w:t>5</w:t>
            </w:r>
          </w:p>
        </w:tc>
        <w:tc>
          <w:tcPr>
            <w:tcW w:w="1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AE0DCF" w:rsidRPr="00AE0DCF" w:rsidRDefault="00AE0DCF" w:rsidP="00AE0DCF">
            <w:pPr>
              <w:spacing w:line="240" w:lineRule="auto"/>
              <w:jc w:val="center"/>
              <w:rPr>
                <w:rFonts w:eastAsia="Times New Roman"/>
                <w:color w:val="000000"/>
                <w:sz w:val="22"/>
                <w:szCs w:val="22"/>
              </w:rPr>
            </w:pPr>
            <w:r w:rsidRPr="00AE0DCF">
              <w:rPr>
                <w:rFonts w:eastAsia="Times New Roman"/>
                <w:color w:val="000000"/>
                <w:sz w:val="22"/>
                <w:szCs w:val="22"/>
              </w:rPr>
              <w:t>19</w:t>
            </w:r>
            <w:r>
              <w:rPr>
                <w:rFonts w:eastAsia="Times New Roman"/>
                <w:color w:val="000000"/>
                <w:sz w:val="22"/>
                <w:szCs w:val="22"/>
              </w:rPr>
              <w:t>,</w:t>
            </w:r>
            <w:r w:rsidRPr="00AE0DCF">
              <w:rPr>
                <w:rFonts w:eastAsia="Times New Roman"/>
                <w:color w:val="000000"/>
                <w:sz w:val="22"/>
                <w:szCs w:val="22"/>
              </w:rPr>
              <w:t>4</w:t>
            </w:r>
          </w:p>
        </w:tc>
        <w:tc>
          <w:tcPr>
            <w:tcW w:w="1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AE0DCF" w:rsidRPr="00AE0DCF" w:rsidRDefault="00AE0DCF" w:rsidP="00AE0DCF">
            <w:pPr>
              <w:spacing w:line="240" w:lineRule="auto"/>
              <w:jc w:val="center"/>
              <w:rPr>
                <w:rFonts w:eastAsia="Times New Roman"/>
                <w:color w:val="000000"/>
                <w:sz w:val="22"/>
                <w:szCs w:val="22"/>
              </w:rPr>
            </w:pPr>
            <w:r w:rsidRPr="00AE0DCF">
              <w:rPr>
                <w:rFonts w:eastAsia="Times New Roman"/>
                <w:color w:val="000000"/>
                <w:sz w:val="22"/>
                <w:szCs w:val="22"/>
              </w:rPr>
              <w:t>19</w:t>
            </w:r>
            <w:r>
              <w:rPr>
                <w:rFonts w:eastAsia="Times New Roman"/>
                <w:color w:val="000000"/>
                <w:sz w:val="22"/>
                <w:szCs w:val="22"/>
              </w:rPr>
              <w:t>,</w:t>
            </w:r>
            <w:r w:rsidRPr="00AE0DCF">
              <w:rPr>
                <w:rFonts w:eastAsia="Times New Roman"/>
                <w:color w:val="000000"/>
                <w:sz w:val="22"/>
                <w:szCs w:val="22"/>
              </w:rPr>
              <w:t>5</w:t>
            </w:r>
          </w:p>
        </w:tc>
        <w:tc>
          <w:tcPr>
            <w:tcW w:w="1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AE0DCF" w:rsidRPr="00AE0DCF" w:rsidRDefault="00AE0DCF" w:rsidP="00AE0DCF">
            <w:pPr>
              <w:spacing w:line="240" w:lineRule="auto"/>
              <w:jc w:val="center"/>
              <w:rPr>
                <w:rFonts w:eastAsia="Times New Roman"/>
                <w:b/>
                <w:color w:val="000000"/>
                <w:sz w:val="22"/>
                <w:szCs w:val="22"/>
              </w:rPr>
            </w:pPr>
            <w:r w:rsidRPr="00AE0DCF">
              <w:rPr>
                <w:rFonts w:eastAsia="Times New Roman"/>
                <w:b/>
                <w:color w:val="000000"/>
                <w:sz w:val="22"/>
                <w:szCs w:val="22"/>
              </w:rPr>
              <w:t>26,0</w:t>
            </w:r>
          </w:p>
        </w:tc>
      </w:tr>
      <w:tr w:rsidR="00AE0DCF" w:rsidRPr="00F27D9D" w:rsidTr="00783CC7">
        <w:trPr>
          <w:trHeight w:val="300"/>
        </w:trPr>
        <w:tc>
          <w:tcPr>
            <w:tcW w:w="2815" w:type="dxa"/>
            <w:vMerge w:val="restart"/>
            <w:shd w:val="clear" w:color="auto" w:fill="auto"/>
            <w:noWrap/>
            <w:vAlign w:val="center"/>
            <w:hideMark/>
          </w:tcPr>
          <w:p w:rsidR="00AE0DCF" w:rsidRPr="00F27D9D" w:rsidRDefault="00AE0DCF" w:rsidP="00AE0DCF">
            <w:pPr>
              <w:spacing w:line="240" w:lineRule="auto"/>
              <w:jc w:val="left"/>
              <w:rPr>
                <w:rFonts w:eastAsia="Times New Roman"/>
                <w:b/>
                <w:color w:val="000000"/>
                <w:sz w:val="22"/>
                <w:szCs w:val="22"/>
              </w:rPr>
            </w:pPr>
            <w:r w:rsidRPr="00F27D9D">
              <w:rPr>
                <w:rFonts w:eastAsia="Times New Roman"/>
                <w:b/>
                <w:color w:val="000000"/>
                <w:sz w:val="22"/>
                <w:szCs w:val="22"/>
              </w:rPr>
              <w:t xml:space="preserve">Citas mājsaimniecības </w:t>
            </w:r>
            <w:r>
              <w:rPr>
                <w:rFonts w:eastAsia="Times New Roman"/>
                <w:b/>
                <w:color w:val="000000"/>
                <w:sz w:val="22"/>
                <w:szCs w:val="22"/>
              </w:rPr>
              <w:t>bez</w:t>
            </w:r>
            <w:r w:rsidRPr="00F27D9D">
              <w:rPr>
                <w:rFonts w:eastAsia="Times New Roman"/>
                <w:b/>
                <w:color w:val="000000"/>
                <w:sz w:val="22"/>
                <w:szCs w:val="22"/>
              </w:rPr>
              <w:t xml:space="preserve"> bērniem</w:t>
            </w:r>
          </w:p>
          <w:p w:rsidR="00AE0DCF" w:rsidRPr="00F27D9D" w:rsidRDefault="00AE0DCF" w:rsidP="00783CC7">
            <w:pPr>
              <w:spacing w:line="240" w:lineRule="auto"/>
              <w:jc w:val="left"/>
              <w:rPr>
                <w:rFonts w:eastAsia="Times New Roman"/>
                <w:b/>
                <w:color w:val="000000"/>
                <w:sz w:val="22"/>
                <w:szCs w:val="22"/>
              </w:rPr>
            </w:pP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DCF" w:rsidRPr="00AE0DCF" w:rsidRDefault="00AE0DCF" w:rsidP="00AE0DCF">
            <w:pPr>
              <w:spacing w:line="240" w:lineRule="auto"/>
              <w:jc w:val="center"/>
              <w:rPr>
                <w:rFonts w:eastAsia="Times New Roman"/>
                <w:color w:val="000000"/>
                <w:sz w:val="22"/>
                <w:szCs w:val="22"/>
              </w:rPr>
            </w:pPr>
            <w:r w:rsidRPr="00AE0DCF">
              <w:rPr>
                <w:rFonts w:eastAsia="Times New Roman"/>
                <w:color w:val="000000"/>
                <w:sz w:val="22"/>
                <w:szCs w:val="22"/>
              </w:rPr>
              <w:t>2014</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DCF" w:rsidRPr="00AE0DCF" w:rsidRDefault="00AE0DCF" w:rsidP="00AE0DCF">
            <w:pPr>
              <w:spacing w:line="240" w:lineRule="auto"/>
              <w:jc w:val="center"/>
              <w:rPr>
                <w:rFonts w:eastAsia="Times New Roman"/>
                <w:color w:val="000000"/>
                <w:sz w:val="22"/>
                <w:szCs w:val="22"/>
              </w:rPr>
            </w:pPr>
            <w:r>
              <w:rPr>
                <w:rFonts w:eastAsia="Times New Roman"/>
                <w:color w:val="000000"/>
                <w:sz w:val="22"/>
                <w:szCs w:val="22"/>
              </w:rPr>
              <w:t>19,</w:t>
            </w:r>
            <w:r w:rsidRPr="00AE0DCF">
              <w:rPr>
                <w:rFonts w:eastAsia="Times New Roman"/>
                <w:color w:val="000000"/>
                <w:sz w:val="22"/>
                <w:szCs w:val="22"/>
              </w:rPr>
              <w:t>6</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DCF" w:rsidRPr="00AE0DCF" w:rsidRDefault="00AE0DCF" w:rsidP="00AE0DCF">
            <w:pPr>
              <w:spacing w:line="240" w:lineRule="auto"/>
              <w:jc w:val="center"/>
              <w:rPr>
                <w:rFonts w:eastAsia="Times New Roman"/>
                <w:color w:val="000000"/>
                <w:sz w:val="22"/>
                <w:szCs w:val="22"/>
              </w:rPr>
            </w:pPr>
            <w:r w:rsidRPr="00AE0DCF">
              <w:rPr>
                <w:rFonts w:eastAsia="Times New Roman"/>
                <w:color w:val="000000"/>
                <w:sz w:val="22"/>
                <w:szCs w:val="22"/>
              </w:rPr>
              <w:t>14</w:t>
            </w:r>
            <w:r>
              <w:rPr>
                <w:rFonts w:eastAsia="Times New Roman"/>
                <w:color w:val="000000"/>
                <w:sz w:val="22"/>
                <w:szCs w:val="22"/>
              </w:rPr>
              <w:t>,</w:t>
            </w:r>
            <w:r w:rsidRPr="00AE0DCF">
              <w:rPr>
                <w:rFonts w:eastAsia="Times New Roman"/>
                <w:color w:val="000000"/>
                <w:sz w:val="22"/>
                <w:szCs w:val="22"/>
              </w:rPr>
              <w:t>4</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DCF" w:rsidRPr="00AE0DCF" w:rsidRDefault="00AE0DCF" w:rsidP="00AE0DCF">
            <w:pPr>
              <w:spacing w:line="240" w:lineRule="auto"/>
              <w:jc w:val="center"/>
              <w:rPr>
                <w:rFonts w:eastAsia="Times New Roman"/>
                <w:color w:val="000000"/>
                <w:sz w:val="22"/>
                <w:szCs w:val="22"/>
              </w:rPr>
            </w:pPr>
            <w:r w:rsidRPr="00AE0DCF">
              <w:rPr>
                <w:rFonts w:eastAsia="Times New Roman"/>
                <w:color w:val="000000"/>
                <w:sz w:val="22"/>
                <w:szCs w:val="22"/>
              </w:rPr>
              <w:t>19</w:t>
            </w:r>
            <w:r>
              <w:rPr>
                <w:rFonts w:eastAsia="Times New Roman"/>
                <w:color w:val="000000"/>
                <w:sz w:val="22"/>
                <w:szCs w:val="22"/>
              </w:rPr>
              <w:t>,</w:t>
            </w:r>
            <w:r w:rsidRPr="00AE0DCF">
              <w:rPr>
                <w:rFonts w:eastAsia="Times New Roman"/>
                <w:color w:val="000000"/>
                <w:sz w:val="22"/>
                <w:szCs w:val="22"/>
              </w:rPr>
              <w:t>0</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DCF" w:rsidRPr="00AE0DCF" w:rsidRDefault="00AE0DCF" w:rsidP="00AE0DCF">
            <w:pPr>
              <w:spacing w:line="240" w:lineRule="auto"/>
              <w:jc w:val="center"/>
              <w:rPr>
                <w:rFonts w:eastAsia="Times New Roman"/>
                <w:b/>
                <w:color w:val="000000"/>
                <w:sz w:val="22"/>
                <w:szCs w:val="22"/>
              </w:rPr>
            </w:pPr>
            <w:r w:rsidRPr="00AE0DCF">
              <w:rPr>
                <w:rFonts w:eastAsia="Times New Roman"/>
                <w:b/>
                <w:color w:val="000000"/>
                <w:sz w:val="22"/>
                <w:szCs w:val="22"/>
              </w:rPr>
              <w:t>25,5</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DCF" w:rsidRPr="00AE0DCF" w:rsidRDefault="00AE0DCF" w:rsidP="00AE0DCF">
            <w:pPr>
              <w:spacing w:line="240" w:lineRule="auto"/>
              <w:jc w:val="center"/>
              <w:rPr>
                <w:rFonts w:eastAsia="Times New Roman"/>
                <w:color w:val="000000"/>
                <w:sz w:val="22"/>
                <w:szCs w:val="22"/>
              </w:rPr>
            </w:pPr>
            <w:r w:rsidRPr="00AE0DCF">
              <w:rPr>
                <w:rFonts w:eastAsia="Times New Roman"/>
                <w:color w:val="000000"/>
                <w:sz w:val="22"/>
                <w:szCs w:val="22"/>
              </w:rPr>
              <w:t>21</w:t>
            </w:r>
            <w:r>
              <w:rPr>
                <w:rFonts w:eastAsia="Times New Roman"/>
                <w:color w:val="000000"/>
                <w:sz w:val="22"/>
                <w:szCs w:val="22"/>
              </w:rPr>
              <w:t>,</w:t>
            </w:r>
            <w:r w:rsidRPr="00AE0DCF">
              <w:rPr>
                <w:rFonts w:eastAsia="Times New Roman"/>
                <w:color w:val="000000"/>
                <w:sz w:val="22"/>
                <w:szCs w:val="22"/>
              </w:rPr>
              <w:t>4</w:t>
            </w:r>
          </w:p>
        </w:tc>
      </w:tr>
      <w:tr w:rsidR="00AE0DCF" w:rsidRPr="00F27D9D" w:rsidTr="00783CC7">
        <w:trPr>
          <w:trHeight w:val="300"/>
        </w:trPr>
        <w:tc>
          <w:tcPr>
            <w:tcW w:w="2815" w:type="dxa"/>
            <w:vMerge/>
            <w:shd w:val="clear" w:color="auto" w:fill="auto"/>
            <w:noWrap/>
            <w:vAlign w:val="center"/>
            <w:hideMark/>
          </w:tcPr>
          <w:p w:rsidR="00AE0DCF" w:rsidRPr="00F27D9D" w:rsidRDefault="00AE0DCF" w:rsidP="00783CC7">
            <w:pPr>
              <w:spacing w:line="240" w:lineRule="auto"/>
              <w:jc w:val="left"/>
              <w:rPr>
                <w:rFonts w:eastAsia="Times New Roman"/>
                <w:color w:val="000000"/>
                <w:sz w:val="22"/>
                <w:szCs w:val="22"/>
              </w:rPr>
            </w:pP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DCF" w:rsidRPr="00AE0DCF" w:rsidRDefault="00AE0DCF" w:rsidP="00AE0DCF">
            <w:pPr>
              <w:spacing w:line="240" w:lineRule="auto"/>
              <w:jc w:val="center"/>
              <w:rPr>
                <w:rFonts w:eastAsia="Times New Roman"/>
                <w:color w:val="000000"/>
                <w:sz w:val="22"/>
                <w:szCs w:val="22"/>
              </w:rPr>
            </w:pPr>
            <w:r w:rsidRPr="00AE0DCF">
              <w:rPr>
                <w:rFonts w:eastAsia="Times New Roman"/>
                <w:color w:val="000000"/>
                <w:sz w:val="22"/>
                <w:szCs w:val="22"/>
              </w:rPr>
              <w:t>2015</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DCF" w:rsidRPr="00AE0DCF" w:rsidRDefault="00AE0DCF" w:rsidP="00AE0DCF">
            <w:pPr>
              <w:spacing w:line="240" w:lineRule="auto"/>
              <w:jc w:val="center"/>
              <w:rPr>
                <w:rFonts w:eastAsia="Times New Roman"/>
                <w:color w:val="000000"/>
                <w:sz w:val="22"/>
                <w:szCs w:val="22"/>
              </w:rPr>
            </w:pPr>
            <w:r w:rsidRPr="00AE0DCF">
              <w:rPr>
                <w:rFonts w:eastAsia="Times New Roman"/>
                <w:color w:val="000000"/>
                <w:sz w:val="22"/>
                <w:szCs w:val="22"/>
              </w:rPr>
              <w:t>17</w:t>
            </w:r>
            <w:r>
              <w:rPr>
                <w:rFonts w:eastAsia="Times New Roman"/>
                <w:color w:val="000000"/>
                <w:sz w:val="22"/>
                <w:szCs w:val="22"/>
              </w:rPr>
              <w:t>,</w:t>
            </w:r>
            <w:r w:rsidRPr="00AE0DCF">
              <w:rPr>
                <w:rFonts w:eastAsia="Times New Roman"/>
                <w:color w:val="000000"/>
                <w:sz w:val="22"/>
                <w:szCs w:val="22"/>
              </w:rPr>
              <w:t>5</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DCF" w:rsidRPr="00AE0DCF" w:rsidRDefault="00AE0DCF" w:rsidP="00AE0DCF">
            <w:pPr>
              <w:spacing w:line="240" w:lineRule="auto"/>
              <w:jc w:val="center"/>
              <w:rPr>
                <w:rFonts w:eastAsia="Times New Roman"/>
                <w:color w:val="000000"/>
                <w:sz w:val="22"/>
                <w:szCs w:val="22"/>
              </w:rPr>
            </w:pPr>
            <w:r w:rsidRPr="00AE0DCF">
              <w:rPr>
                <w:rFonts w:eastAsia="Times New Roman"/>
                <w:color w:val="000000"/>
                <w:sz w:val="22"/>
                <w:szCs w:val="22"/>
              </w:rPr>
              <w:t>14</w:t>
            </w:r>
            <w:r>
              <w:rPr>
                <w:rFonts w:eastAsia="Times New Roman"/>
                <w:color w:val="000000"/>
                <w:sz w:val="22"/>
                <w:szCs w:val="22"/>
              </w:rPr>
              <w:t>,</w:t>
            </w:r>
            <w:r w:rsidRPr="00AE0DCF">
              <w:rPr>
                <w:rFonts w:eastAsia="Times New Roman"/>
                <w:color w:val="000000"/>
                <w:sz w:val="22"/>
                <w:szCs w:val="22"/>
              </w:rPr>
              <w:t>6</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DCF" w:rsidRPr="00AE0DCF" w:rsidRDefault="00AE0DCF" w:rsidP="00AE0DCF">
            <w:pPr>
              <w:spacing w:line="240" w:lineRule="auto"/>
              <w:jc w:val="center"/>
              <w:rPr>
                <w:rFonts w:eastAsia="Times New Roman"/>
                <w:color w:val="000000"/>
                <w:sz w:val="22"/>
                <w:szCs w:val="22"/>
              </w:rPr>
            </w:pPr>
            <w:r w:rsidRPr="00AE0DCF">
              <w:rPr>
                <w:rFonts w:eastAsia="Times New Roman"/>
                <w:color w:val="000000"/>
                <w:sz w:val="22"/>
                <w:szCs w:val="22"/>
              </w:rPr>
              <w:t>18</w:t>
            </w:r>
            <w:r>
              <w:rPr>
                <w:rFonts w:eastAsia="Times New Roman"/>
                <w:color w:val="000000"/>
                <w:sz w:val="22"/>
                <w:szCs w:val="22"/>
              </w:rPr>
              <w:t>,</w:t>
            </w:r>
            <w:r w:rsidRPr="00AE0DCF">
              <w:rPr>
                <w:rFonts w:eastAsia="Times New Roman"/>
                <w:color w:val="000000"/>
                <w:sz w:val="22"/>
                <w:szCs w:val="22"/>
              </w:rPr>
              <w:t>6</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DCF" w:rsidRPr="00AE0DCF" w:rsidRDefault="00AE0DCF" w:rsidP="00AE0DCF">
            <w:pPr>
              <w:spacing w:line="240" w:lineRule="auto"/>
              <w:jc w:val="center"/>
              <w:rPr>
                <w:rFonts w:eastAsia="Times New Roman"/>
                <w:b/>
                <w:color w:val="000000"/>
                <w:sz w:val="22"/>
                <w:szCs w:val="22"/>
              </w:rPr>
            </w:pPr>
            <w:r w:rsidRPr="00AE0DCF">
              <w:rPr>
                <w:rFonts w:eastAsia="Times New Roman"/>
                <w:b/>
                <w:color w:val="000000"/>
                <w:sz w:val="22"/>
                <w:szCs w:val="22"/>
              </w:rPr>
              <w:t>27,7</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DCF" w:rsidRPr="00AE0DCF" w:rsidRDefault="00AE0DCF" w:rsidP="00AE0DCF">
            <w:pPr>
              <w:spacing w:line="240" w:lineRule="auto"/>
              <w:jc w:val="center"/>
              <w:rPr>
                <w:rFonts w:eastAsia="Times New Roman"/>
                <w:color w:val="000000"/>
                <w:sz w:val="22"/>
                <w:szCs w:val="22"/>
              </w:rPr>
            </w:pPr>
            <w:r w:rsidRPr="00AE0DCF">
              <w:rPr>
                <w:rFonts w:eastAsia="Times New Roman"/>
                <w:color w:val="000000"/>
                <w:sz w:val="22"/>
                <w:szCs w:val="22"/>
              </w:rPr>
              <w:t>21</w:t>
            </w:r>
            <w:r>
              <w:rPr>
                <w:rFonts w:eastAsia="Times New Roman"/>
                <w:color w:val="000000"/>
                <w:sz w:val="22"/>
                <w:szCs w:val="22"/>
              </w:rPr>
              <w:t>,</w:t>
            </w:r>
            <w:r w:rsidRPr="00AE0DCF">
              <w:rPr>
                <w:rFonts w:eastAsia="Times New Roman"/>
                <w:color w:val="000000"/>
                <w:sz w:val="22"/>
                <w:szCs w:val="22"/>
              </w:rPr>
              <w:t>7</w:t>
            </w:r>
          </w:p>
        </w:tc>
      </w:tr>
      <w:tr w:rsidR="00AE0DCF" w:rsidRPr="00F27D9D" w:rsidTr="00783CC7">
        <w:trPr>
          <w:trHeight w:val="300"/>
        </w:trPr>
        <w:tc>
          <w:tcPr>
            <w:tcW w:w="2815" w:type="dxa"/>
            <w:vMerge/>
            <w:shd w:val="clear" w:color="auto" w:fill="auto"/>
            <w:noWrap/>
            <w:vAlign w:val="center"/>
            <w:hideMark/>
          </w:tcPr>
          <w:p w:rsidR="00AE0DCF" w:rsidRPr="00F27D9D" w:rsidRDefault="00AE0DCF" w:rsidP="00783CC7">
            <w:pPr>
              <w:spacing w:line="240" w:lineRule="auto"/>
              <w:jc w:val="left"/>
              <w:rPr>
                <w:rFonts w:eastAsia="Times New Roman"/>
                <w:color w:val="000000"/>
                <w:sz w:val="22"/>
                <w:szCs w:val="22"/>
              </w:rPr>
            </w:pP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DCF" w:rsidRPr="00AE0DCF" w:rsidRDefault="00AE0DCF" w:rsidP="00AE0DCF">
            <w:pPr>
              <w:spacing w:line="240" w:lineRule="auto"/>
              <w:jc w:val="center"/>
              <w:rPr>
                <w:rFonts w:eastAsia="Times New Roman"/>
                <w:color w:val="000000"/>
                <w:sz w:val="22"/>
                <w:szCs w:val="22"/>
              </w:rPr>
            </w:pPr>
            <w:r w:rsidRPr="00AE0DCF">
              <w:rPr>
                <w:rFonts w:eastAsia="Times New Roman"/>
                <w:color w:val="000000"/>
                <w:sz w:val="22"/>
                <w:szCs w:val="22"/>
              </w:rPr>
              <w:t>2016</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DCF" w:rsidRPr="00AE0DCF" w:rsidRDefault="00AE0DCF" w:rsidP="00AE0DCF">
            <w:pPr>
              <w:spacing w:line="240" w:lineRule="auto"/>
              <w:jc w:val="center"/>
              <w:rPr>
                <w:rFonts w:eastAsia="Times New Roman"/>
                <w:color w:val="000000"/>
                <w:sz w:val="22"/>
                <w:szCs w:val="22"/>
              </w:rPr>
            </w:pPr>
            <w:r w:rsidRPr="00AE0DCF">
              <w:rPr>
                <w:rFonts w:eastAsia="Times New Roman"/>
                <w:color w:val="000000"/>
                <w:sz w:val="22"/>
                <w:szCs w:val="22"/>
              </w:rPr>
              <w:t>17</w:t>
            </w:r>
            <w:r>
              <w:rPr>
                <w:rFonts w:eastAsia="Times New Roman"/>
                <w:color w:val="000000"/>
                <w:sz w:val="22"/>
                <w:szCs w:val="22"/>
              </w:rPr>
              <w:t>,</w:t>
            </w:r>
            <w:r w:rsidRPr="00AE0DCF">
              <w:rPr>
                <w:rFonts w:eastAsia="Times New Roman"/>
                <w:color w:val="000000"/>
                <w:sz w:val="22"/>
                <w:szCs w:val="22"/>
              </w:rPr>
              <w:t>6</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DCF" w:rsidRPr="00AE0DCF" w:rsidRDefault="00AE0DCF" w:rsidP="00AE0DCF">
            <w:pPr>
              <w:spacing w:line="240" w:lineRule="auto"/>
              <w:jc w:val="center"/>
              <w:rPr>
                <w:rFonts w:eastAsia="Times New Roman"/>
                <w:color w:val="000000"/>
                <w:sz w:val="22"/>
                <w:szCs w:val="22"/>
              </w:rPr>
            </w:pPr>
            <w:r w:rsidRPr="00AE0DCF">
              <w:rPr>
                <w:rFonts w:eastAsia="Times New Roman"/>
                <w:color w:val="000000"/>
                <w:sz w:val="22"/>
                <w:szCs w:val="22"/>
              </w:rPr>
              <w:t>12</w:t>
            </w:r>
            <w:r>
              <w:rPr>
                <w:rFonts w:eastAsia="Times New Roman"/>
                <w:color w:val="000000"/>
                <w:sz w:val="22"/>
                <w:szCs w:val="22"/>
              </w:rPr>
              <w:t>,</w:t>
            </w:r>
            <w:r w:rsidRPr="00AE0DCF">
              <w:rPr>
                <w:rFonts w:eastAsia="Times New Roman"/>
                <w:color w:val="000000"/>
                <w:sz w:val="22"/>
                <w:szCs w:val="22"/>
              </w:rPr>
              <w:t>9</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DCF" w:rsidRPr="00AE0DCF" w:rsidRDefault="00AE0DCF" w:rsidP="00AE0DCF">
            <w:pPr>
              <w:spacing w:line="240" w:lineRule="auto"/>
              <w:jc w:val="center"/>
              <w:rPr>
                <w:rFonts w:eastAsia="Times New Roman"/>
                <w:color w:val="000000"/>
                <w:sz w:val="22"/>
                <w:szCs w:val="22"/>
              </w:rPr>
            </w:pPr>
            <w:r w:rsidRPr="00AE0DCF">
              <w:rPr>
                <w:rFonts w:eastAsia="Times New Roman"/>
                <w:color w:val="000000"/>
                <w:sz w:val="22"/>
                <w:szCs w:val="22"/>
              </w:rPr>
              <w:t>21</w:t>
            </w:r>
            <w:r>
              <w:rPr>
                <w:rFonts w:eastAsia="Times New Roman"/>
                <w:color w:val="000000"/>
                <w:sz w:val="22"/>
                <w:szCs w:val="22"/>
              </w:rPr>
              <w:t>,</w:t>
            </w:r>
            <w:r w:rsidRPr="00AE0DCF">
              <w:rPr>
                <w:rFonts w:eastAsia="Times New Roman"/>
                <w:color w:val="000000"/>
                <w:sz w:val="22"/>
                <w:szCs w:val="22"/>
              </w:rPr>
              <w:t>8</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DCF" w:rsidRPr="00AE0DCF" w:rsidRDefault="00AE0DCF" w:rsidP="00AE0DCF">
            <w:pPr>
              <w:spacing w:line="240" w:lineRule="auto"/>
              <w:jc w:val="center"/>
              <w:rPr>
                <w:rFonts w:eastAsia="Times New Roman"/>
                <w:b/>
                <w:color w:val="000000"/>
                <w:sz w:val="22"/>
                <w:szCs w:val="22"/>
              </w:rPr>
            </w:pPr>
            <w:r w:rsidRPr="00AE0DCF">
              <w:rPr>
                <w:rFonts w:eastAsia="Times New Roman"/>
                <w:b/>
                <w:color w:val="000000"/>
                <w:sz w:val="22"/>
                <w:szCs w:val="22"/>
              </w:rPr>
              <w:t>26,2</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DCF" w:rsidRPr="00AE0DCF" w:rsidRDefault="00AE0DCF" w:rsidP="00AE0DCF">
            <w:pPr>
              <w:spacing w:line="240" w:lineRule="auto"/>
              <w:jc w:val="center"/>
              <w:rPr>
                <w:rFonts w:eastAsia="Times New Roman"/>
                <w:color w:val="000000"/>
                <w:sz w:val="22"/>
                <w:szCs w:val="22"/>
              </w:rPr>
            </w:pPr>
            <w:r w:rsidRPr="00AE0DCF">
              <w:rPr>
                <w:rFonts w:eastAsia="Times New Roman"/>
                <w:color w:val="000000"/>
                <w:sz w:val="22"/>
                <w:szCs w:val="22"/>
              </w:rPr>
              <w:t>21</w:t>
            </w:r>
            <w:r>
              <w:rPr>
                <w:rFonts w:eastAsia="Times New Roman"/>
                <w:color w:val="000000"/>
                <w:sz w:val="22"/>
                <w:szCs w:val="22"/>
              </w:rPr>
              <w:t>,</w:t>
            </w:r>
            <w:r w:rsidRPr="00AE0DCF">
              <w:rPr>
                <w:rFonts w:eastAsia="Times New Roman"/>
                <w:color w:val="000000"/>
                <w:sz w:val="22"/>
                <w:szCs w:val="22"/>
              </w:rPr>
              <w:t>6</w:t>
            </w:r>
          </w:p>
        </w:tc>
      </w:tr>
    </w:tbl>
    <w:p w:rsidR="00255CC4" w:rsidRDefault="00255CC4" w:rsidP="00255CC4">
      <w:pPr>
        <w:rPr>
          <w:sz w:val="20"/>
          <w:szCs w:val="20"/>
        </w:rPr>
      </w:pPr>
      <w:r w:rsidRPr="007F0264">
        <w:rPr>
          <w:sz w:val="20"/>
          <w:szCs w:val="20"/>
        </w:rPr>
        <w:t>Avots: CSP, MVG070. Mājsaimniecību sadalījums pēc kvintiļu grupām (%)</w:t>
      </w:r>
      <w:r>
        <w:rPr>
          <w:sz w:val="20"/>
          <w:szCs w:val="20"/>
        </w:rPr>
        <w:t xml:space="preserve"> </w:t>
      </w:r>
    </w:p>
    <w:p w:rsidR="00255CC4" w:rsidRDefault="00255CC4" w:rsidP="00255CC4">
      <w:pPr>
        <w:rPr>
          <w:sz w:val="20"/>
          <w:szCs w:val="20"/>
        </w:rPr>
      </w:pPr>
    </w:p>
    <w:p w:rsidR="00446171" w:rsidRDefault="00446171" w:rsidP="00255CC4">
      <w:r w:rsidRPr="00DE672A">
        <w:t xml:space="preserve">Viena </w:t>
      </w:r>
      <w:r w:rsidR="00BA1727">
        <w:t xml:space="preserve">vecāka mājsaimniecības </w:t>
      </w:r>
      <w:r w:rsidRPr="00DE672A">
        <w:t>un daudzbērnu ģimenes koncentrējas zemāko ienākumu kvintilē</w:t>
      </w:r>
      <w:r>
        <w:t xml:space="preserve"> (attiecīgi 2016. gadā 42,6% un 42,9%)</w:t>
      </w:r>
      <w:r w:rsidRPr="00DE672A">
        <w:t xml:space="preserve">. Taču abās grupās ir vērojama pozitīva tendence to īpatsvaram samazināties. </w:t>
      </w:r>
      <w:r>
        <w:t xml:space="preserve">Viena </w:t>
      </w:r>
      <w:r w:rsidR="00BA1727">
        <w:t xml:space="preserve">vecāka mājsaimniecības </w:t>
      </w:r>
      <w:r>
        <w:t xml:space="preserve">gadījumā 1. kvintiles īpatsvars ir samazinājies par 10,6 procentpunktiem, savukārt, ģimeņu ar trīs un vairāk bērniem grupā tas ir </w:t>
      </w:r>
      <w:r>
        <w:lastRenderedPageBreak/>
        <w:t>samazinājies par 9,4 procentpunktiem. 1. kvintiles īpatsvara samazinājums ir arī citās mājsaimniecībās ar bērniem (par 10,5 procentpunktiem). Vienmērīgāks ģimeņu sadalījums ienākumu kvintiļu grupās ir ģimenēm ar vienu un diviem bērniem.</w:t>
      </w:r>
    </w:p>
    <w:p w:rsidR="00446171" w:rsidRDefault="00446171" w:rsidP="00255CC4">
      <w:pPr>
        <w:rPr>
          <w:rFonts w:eastAsia="Times New Roman"/>
          <w:bCs/>
        </w:rPr>
      </w:pPr>
    </w:p>
    <w:p w:rsidR="00B34639" w:rsidRDefault="00255CC4" w:rsidP="00255CC4">
      <w:pPr>
        <w:rPr>
          <w:rFonts w:eastAsia="Times New Roman"/>
          <w:bCs/>
        </w:rPr>
      </w:pPr>
      <w:r w:rsidRPr="00867DF2">
        <w:rPr>
          <w:rFonts w:eastAsia="Times New Roman"/>
          <w:bCs/>
        </w:rPr>
        <w:t>Kaut arī 1.</w:t>
      </w:r>
      <w:r>
        <w:rPr>
          <w:rFonts w:eastAsia="Times New Roman"/>
          <w:bCs/>
        </w:rPr>
        <w:t xml:space="preserve"> </w:t>
      </w:r>
      <w:r w:rsidRPr="00867DF2">
        <w:rPr>
          <w:rFonts w:eastAsia="Times New Roman"/>
          <w:bCs/>
        </w:rPr>
        <w:t>kvintiles īpatsvars ir samazinājies kā nepilno ģimeņu, tā daudzbērnu ģimeņu grupā, atšķirīgi veidojas to sadalījums pa kvintiļu grupām dinamikā. Daudzbērnu ģimeņu grupā laikā no 2014.</w:t>
      </w:r>
      <w:r>
        <w:rPr>
          <w:rFonts w:eastAsia="Times New Roman"/>
          <w:bCs/>
        </w:rPr>
        <w:t xml:space="preserve"> </w:t>
      </w:r>
      <w:r w:rsidRPr="00867DF2">
        <w:rPr>
          <w:rFonts w:eastAsia="Times New Roman"/>
          <w:bCs/>
        </w:rPr>
        <w:t>gada līdz 2016.</w:t>
      </w:r>
      <w:r>
        <w:rPr>
          <w:rFonts w:eastAsia="Times New Roman"/>
          <w:bCs/>
        </w:rPr>
        <w:t xml:space="preserve"> </w:t>
      </w:r>
      <w:r w:rsidRPr="00867DF2">
        <w:rPr>
          <w:rFonts w:eastAsia="Times New Roman"/>
          <w:bCs/>
        </w:rPr>
        <w:t>gadam ir vērā ņemami pieaudzis 3.</w:t>
      </w:r>
      <w:r>
        <w:rPr>
          <w:rFonts w:eastAsia="Times New Roman"/>
          <w:bCs/>
        </w:rPr>
        <w:t xml:space="preserve"> </w:t>
      </w:r>
      <w:r w:rsidRPr="00867DF2">
        <w:rPr>
          <w:rFonts w:eastAsia="Times New Roman"/>
          <w:bCs/>
        </w:rPr>
        <w:t>kvintiles īpatsvars (par 8,3 procentpunktiem), kamēr 4., 5.</w:t>
      </w:r>
      <w:r>
        <w:rPr>
          <w:rFonts w:eastAsia="Times New Roman"/>
          <w:bCs/>
        </w:rPr>
        <w:t xml:space="preserve"> </w:t>
      </w:r>
      <w:r w:rsidRPr="00867DF2">
        <w:rPr>
          <w:rFonts w:eastAsia="Times New Roman"/>
          <w:bCs/>
        </w:rPr>
        <w:t>kvintiļu grupā tas bijis svārstīgs un kopumā nav būtiski mainījies, salīdzinot 2014.</w:t>
      </w:r>
      <w:r>
        <w:rPr>
          <w:rFonts w:eastAsia="Times New Roman"/>
          <w:bCs/>
        </w:rPr>
        <w:t xml:space="preserve"> </w:t>
      </w:r>
      <w:r w:rsidRPr="00867DF2">
        <w:rPr>
          <w:rFonts w:eastAsia="Times New Roman"/>
          <w:bCs/>
        </w:rPr>
        <w:t>gadu un 2016.</w:t>
      </w:r>
      <w:r>
        <w:rPr>
          <w:rFonts w:eastAsia="Times New Roman"/>
          <w:bCs/>
        </w:rPr>
        <w:t xml:space="preserve"> </w:t>
      </w:r>
      <w:r w:rsidRPr="00867DF2">
        <w:rPr>
          <w:rFonts w:eastAsia="Times New Roman"/>
          <w:bCs/>
        </w:rPr>
        <w:t xml:space="preserve">gadu. </w:t>
      </w:r>
      <w:r>
        <w:rPr>
          <w:rFonts w:eastAsia="Times New Roman"/>
          <w:bCs/>
        </w:rPr>
        <w:t xml:space="preserve">Savukārt viena vecāku ģimeņu grupā to sadalījums visās piecās kvintiļu grupās ir bijis vienmērīgāks ar tendenci pieaugt 4.,5. kvintiļu grupā. </w:t>
      </w:r>
      <w:r w:rsidR="00B34639">
        <w:rPr>
          <w:rFonts w:eastAsia="Times New Roman"/>
          <w:bCs/>
        </w:rPr>
        <w:t xml:space="preserve">Savukārt mājsaimniecības bez bērniem vairāk koncentrējas augstāka ienākumu līmeņa kvintiļu grupās – pāri bez bērniem 5. kvintilē, citas mājsaimniecības bez bērniem – 4.kvintilē. </w:t>
      </w:r>
    </w:p>
    <w:p w:rsidR="00255CC4" w:rsidRPr="00315872" w:rsidRDefault="00255CC4" w:rsidP="00F23726">
      <w:pPr>
        <w:pStyle w:val="Heading3"/>
      </w:pPr>
      <w:bookmarkStart w:id="224" w:name="_Toc2761056"/>
      <w:bookmarkStart w:id="225" w:name="_Toc2848155"/>
      <w:bookmarkStart w:id="226" w:name="_Toc6841541"/>
      <w:r w:rsidRPr="00A661B6">
        <w:t>Nabadzības</w:t>
      </w:r>
      <w:r w:rsidRPr="00315872">
        <w:t xml:space="preserve"> </w:t>
      </w:r>
      <w:r>
        <w:t xml:space="preserve">riska </w:t>
      </w:r>
      <w:r w:rsidRPr="00315872">
        <w:t>tendences</w:t>
      </w:r>
      <w:bookmarkEnd w:id="224"/>
      <w:bookmarkEnd w:id="225"/>
      <w:bookmarkEnd w:id="226"/>
    </w:p>
    <w:p w:rsidR="00255CC4" w:rsidRPr="00FB62F8" w:rsidRDefault="00255CC4" w:rsidP="00255CC4">
      <w:r>
        <w:t>Tāpat kā ienākumu analīzē arī n</w:t>
      </w:r>
      <w:r w:rsidRPr="00FB62F8">
        <w:t xml:space="preserve">abadzības riska tendenču analīzē </w:t>
      </w:r>
      <w:r>
        <w:t>pamatā šajā I</w:t>
      </w:r>
      <w:r w:rsidRPr="00FB62F8">
        <w:t>zvērtējumā ir izmantoti atbils</w:t>
      </w:r>
      <w:r>
        <w:t>to</w:t>
      </w:r>
      <w:r w:rsidRPr="00FB62F8">
        <w:t xml:space="preserve">ši </w:t>
      </w:r>
      <w:r>
        <w:rPr>
          <w:i/>
        </w:rPr>
        <w:t>Eurostat</w:t>
      </w:r>
      <w:r w:rsidRPr="00FB62F8">
        <w:t xml:space="preserve"> metodoloģijai iegūtie un apstrādātie </w:t>
      </w:r>
      <w:r>
        <w:t>EU-</w:t>
      </w:r>
      <w:r w:rsidRPr="00FB62F8">
        <w:t xml:space="preserve">SILC apsekojuma dati, kuros ir izmantota </w:t>
      </w:r>
      <w:r w:rsidRPr="00FB62F8">
        <w:rPr>
          <w:b/>
        </w:rPr>
        <w:t>OECD modificētā ekvivalences skala</w:t>
      </w:r>
      <w:r w:rsidRPr="00FB62F8">
        <w:t xml:space="preserve">, </w:t>
      </w:r>
      <w:r>
        <w:t xml:space="preserve">kur </w:t>
      </w:r>
      <w:r w:rsidRPr="00FB62F8">
        <w:t>pirmajam pieaugušajam mājsaimniecībā ekvivalentais svars ir 1, otrajam un katram nākamajam mājsaimniecības l</w:t>
      </w:r>
      <w:r>
        <w:t>oceklim virs 14 gadu vecuma – 0,</w:t>
      </w:r>
      <w:r w:rsidRPr="00FB62F8">
        <w:t xml:space="preserve">5 </w:t>
      </w:r>
      <w:r>
        <w:t xml:space="preserve">(patēriņš 50% apmērā no pirmā mājsaimniecības locekļa) </w:t>
      </w:r>
      <w:r w:rsidRPr="00FB62F8">
        <w:t>un bērniem līdz 14 gadu vecumam – 0</w:t>
      </w:r>
      <w:r>
        <w:t>,</w:t>
      </w:r>
      <w:r w:rsidRPr="00FB62F8">
        <w:t>3</w:t>
      </w:r>
      <w:r>
        <w:t xml:space="preserve"> (patēriņš 30% apmērā no pirmā mājsaimniecības locekļa) (sk. arī 1.2.2. sadaļu par skalas lietošanas skaidrojumu un ietekmi uz rādītājiem)</w:t>
      </w:r>
      <w:r w:rsidR="00A26248">
        <w:t xml:space="preserve">. </w:t>
      </w:r>
    </w:p>
    <w:p w:rsidR="00255CC4" w:rsidRDefault="00255CC4" w:rsidP="00255CC4">
      <w:pPr>
        <w:pStyle w:val="ListParagraph"/>
        <w:ind w:left="0"/>
        <w:rPr>
          <w:color w:val="0070C0"/>
        </w:rPr>
      </w:pPr>
    </w:p>
    <w:p w:rsidR="00255CC4" w:rsidRDefault="00255CC4" w:rsidP="00255CC4">
      <w:r w:rsidRPr="00EA0927">
        <w:t>Nabadzības riska slieksnis ir 60% n</w:t>
      </w:r>
      <w:r>
        <w:t>o rīcībā esošo ienākumu mediānas pārrēķinātas</w:t>
      </w:r>
      <w:r w:rsidRPr="00EA0927">
        <w:t xml:space="preserve"> uz ekvivalento patērētāju skaitu mājsaimniecībā</w:t>
      </w:r>
      <w:r>
        <w:t xml:space="preserve"> (sk.</w:t>
      </w:r>
      <w:r w:rsidR="006E1579">
        <w:t>1.1</w:t>
      </w:r>
      <w:r w:rsidR="00446171">
        <w:t>9</w:t>
      </w:r>
      <w:r>
        <w:t>. tabulu)</w:t>
      </w:r>
      <w:r w:rsidRPr="00EA0927">
        <w:t>.</w:t>
      </w:r>
      <w:r w:rsidRPr="00EA0927">
        <w:rPr>
          <w:rStyle w:val="FootnoteReference"/>
        </w:rPr>
        <w:footnoteReference w:id="103"/>
      </w:r>
      <w:r>
        <w:t xml:space="preserve"> Nabadzības riska slieksnis vienas personas mājsaimniecībai pieaudzis no 291 EUR mēnesī 2014. gadā līdz 330 EUR mēnesī 2016. gadā, veidojot pieaugumu par 13%. Gan 2015. gadā, gan 2016. gadā vienas personas mājsaimniecības nabadzības riska slieksnis joprojām pārsniedza 1.kvintiles augstāko robežu uz vienu mājsaimniecības locekli, kas periodā no 2014. gada līdz 2016. gadam arī ir pieaugusi par 8%. Tāpat tas pārsniedz arī 2. kvintiles augstāko robežu uz vienu mājsaimniecības locekli aplūkojamajā periodā. Tas nozīmē, ka 1. un 2. kvintiļu grupā ietilpstošās vienas personas mājsaimniecības aplūkotajā periodā dzīvoja zem nabadzības sliekšņa. </w:t>
      </w:r>
    </w:p>
    <w:bookmarkStart w:id="227" w:name="_Toc6220084"/>
    <w:p w:rsidR="00255CC4" w:rsidRDefault="00AD3EDD" w:rsidP="008C6B83">
      <w:pPr>
        <w:pStyle w:val="Caption"/>
      </w:pPr>
      <w:r>
        <w:fldChar w:fldCharType="begin"/>
      </w:r>
      <w:r w:rsidR="00A46B54">
        <w:instrText xml:space="preserve"> STYLEREF 1 \s </w:instrText>
      </w:r>
      <w:r>
        <w:fldChar w:fldCharType="separate"/>
      </w:r>
      <w:bookmarkStart w:id="228" w:name="_Toc6857658"/>
      <w:r w:rsidR="00224B50">
        <w:rPr>
          <w:noProof/>
        </w:rPr>
        <w:t>1</w:t>
      </w:r>
      <w:r>
        <w:fldChar w:fldCharType="end"/>
      </w:r>
      <w:r w:rsidR="00A46B54">
        <w:t>.</w:t>
      </w:r>
      <w:r w:rsidR="00E21C32">
        <w:t>1</w:t>
      </w:r>
      <w:r w:rsidR="00446171">
        <w:t>9</w:t>
      </w:r>
      <w:r w:rsidR="00255CC4" w:rsidRPr="00820A98">
        <w:t>.</w:t>
      </w:r>
      <w:r w:rsidR="00255CC4">
        <w:t xml:space="preserve"> tabula. </w:t>
      </w:r>
      <w:r w:rsidR="00255CC4" w:rsidRPr="00EA0927">
        <w:t>Nabadzības riska slieksnis (ilustratīvās vērtības)</w:t>
      </w:r>
      <w:r w:rsidR="00255CC4">
        <w:t>, EUR gadā/ mēnesī</w:t>
      </w:r>
      <w:bookmarkEnd w:id="227"/>
      <w:bookmarkEnd w:id="228"/>
    </w:p>
    <w:tbl>
      <w:tblPr>
        <w:tblStyle w:val="TableGrid"/>
        <w:tblW w:w="9922" w:type="dxa"/>
        <w:tblInd w:w="108" w:type="dxa"/>
        <w:tblLayout w:type="fixed"/>
        <w:tblLook w:val="04A0"/>
      </w:tblPr>
      <w:tblGrid>
        <w:gridCol w:w="3969"/>
        <w:gridCol w:w="993"/>
        <w:gridCol w:w="992"/>
        <w:gridCol w:w="992"/>
        <w:gridCol w:w="992"/>
        <w:gridCol w:w="992"/>
        <w:gridCol w:w="992"/>
      </w:tblGrid>
      <w:tr w:rsidR="00255CC4" w:rsidRPr="00BC22F8" w:rsidTr="00BC22F8">
        <w:trPr>
          <w:trHeight w:val="611"/>
          <w:tblHeader/>
        </w:trPr>
        <w:tc>
          <w:tcPr>
            <w:tcW w:w="3969" w:type="dxa"/>
            <w:shd w:val="clear" w:color="auto" w:fill="B8CCE4" w:themeFill="accent1" w:themeFillTint="66"/>
            <w:noWrap/>
            <w:vAlign w:val="center"/>
            <w:hideMark/>
          </w:tcPr>
          <w:p w:rsidR="00255CC4" w:rsidRPr="00BC22F8" w:rsidRDefault="00255CC4" w:rsidP="00255CC4">
            <w:pPr>
              <w:rPr>
                <w:b/>
                <w:color w:val="002060"/>
                <w:sz w:val="22"/>
                <w:szCs w:val="22"/>
              </w:rPr>
            </w:pPr>
            <w:r w:rsidRPr="00BC22F8">
              <w:rPr>
                <w:b/>
                <w:color w:val="002060"/>
                <w:sz w:val="22"/>
                <w:szCs w:val="22"/>
              </w:rPr>
              <w:t> Mājsaimniecības tips</w:t>
            </w:r>
          </w:p>
        </w:tc>
        <w:tc>
          <w:tcPr>
            <w:tcW w:w="1985" w:type="dxa"/>
            <w:gridSpan w:val="2"/>
            <w:shd w:val="clear" w:color="auto" w:fill="B8CCE4" w:themeFill="accent1" w:themeFillTint="66"/>
            <w:noWrap/>
            <w:vAlign w:val="center"/>
            <w:hideMark/>
          </w:tcPr>
          <w:p w:rsidR="00255CC4" w:rsidRPr="00BC22F8" w:rsidRDefault="00255CC4" w:rsidP="00255CC4">
            <w:pPr>
              <w:jc w:val="center"/>
              <w:rPr>
                <w:b/>
                <w:color w:val="002060"/>
                <w:sz w:val="22"/>
                <w:szCs w:val="22"/>
              </w:rPr>
            </w:pPr>
            <w:r w:rsidRPr="00BC22F8">
              <w:rPr>
                <w:b/>
                <w:color w:val="002060"/>
                <w:sz w:val="22"/>
                <w:szCs w:val="22"/>
              </w:rPr>
              <w:t>2014</w:t>
            </w:r>
          </w:p>
        </w:tc>
        <w:tc>
          <w:tcPr>
            <w:tcW w:w="1984" w:type="dxa"/>
            <w:gridSpan w:val="2"/>
            <w:shd w:val="clear" w:color="auto" w:fill="B8CCE4" w:themeFill="accent1" w:themeFillTint="66"/>
            <w:noWrap/>
            <w:vAlign w:val="center"/>
            <w:hideMark/>
          </w:tcPr>
          <w:p w:rsidR="00255CC4" w:rsidRPr="00BC22F8" w:rsidRDefault="00255CC4" w:rsidP="00255CC4">
            <w:pPr>
              <w:jc w:val="center"/>
              <w:rPr>
                <w:b/>
                <w:color w:val="002060"/>
                <w:sz w:val="22"/>
                <w:szCs w:val="22"/>
              </w:rPr>
            </w:pPr>
            <w:r w:rsidRPr="00BC22F8">
              <w:rPr>
                <w:b/>
                <w:color w:val="002060"/>
                <w:sz w:val="22"/>
                <w:szCs w:val="22"/>
              </w:rPr>
              <w:t>2015</w:t>
            </w:r>
          </w:p>
        </w:tc>
        <w:tc>
          <w:tcPr>
            <w:tcW w:w="1984" w:type="dxa"/>
            <w:gridSpan w:val="2"/>
            <w:shd w:val="clear" w:color="auto" w:fill="B8CCE4" w:themeFill="accent1" w:themeFillTint="66"/>
            <w:vAlign w:val="center"/>
          </w:tcPr>
          <w:p w:rsidR="00255CC4" w:rsidRPr="00BC22F8" w:rsidRDefault="00255CC4" w:rsidP="00255CC4">
            <w:pPr>
              <w:jc w:val="center"/>
              <w:rPr>
                <w:b/>
                <w:color w:val="002060"/>
                <w:sz w:val="22"/>
                <w:szCs w:val="22"/>
              </w:rPr>
            </w:pPr>
            <w:r w:rsidRPr="00BC22F8">
              <w:rPr>
                <w:b/>
                <w:color w:val="002060"/>
                <w:sz w:val="22"/>
                <w:szCs w:val="22"/>
              </w:rPr>
              <w:t>2016</w:t>
            </w:r>
          </w:p>
        </w:tc>
      </w:tr>
      <w:tr w:rsidR="00255CC4" w:rsidRPr="00FE718A" w:rsidTr="00255CC4">
        <w:trPr>
          <w:trHeight w:val="330"/>
        </w:trPr>
        <w:tc>
          <w:tcPr>
            <w:tcW w:w="3969" w:type="dxa"/>
            <w:shd w:val="clear" w:color="auto" w:fill="F2F2F2" w:themeFill="background1" w:themeFillShade="F2"/>
            <w:noWrap/>
            <w:hideMark/>
          </w:tcPr>
          <w:p w:rsidR="00255CC4" w:rsidRPr="001C2D02" w:rsidRDefault="00255CC4" w:rsidP="00255CC4">
            <w:pPr>
              <w:rPr>
                <w:b/>
                <w:sz w:val="22"/>
                <w:szCs w:val="22"/>
              </w:rPr>
            </w:pPr>
            <w:r w:rsidRPr="001C2D02">
              <w:rPr>
                <w:b/>
                <w:sz w:val="22"/>
                <w:szCs w:val="22"/>
              </w:rPr>
              <w:t>Periods</w:t>
            </w:r>
          </w:p>
        </w:tc>
        <w:tc>
          <w:tcPr>
            <w:tcW w:w="993" w:type="dxa"/>
            <w:shd w:val="clear" w:color="auto" w:fill="F2F2F2" w:themeFill="background1" w:themeFillShade="F2"/>
            <w:noWrap/>
            <w:hideMark/>
          </w:tcPr>
          <w:p w:rsidR="00255CC4" w:rsidRPr="001C2D02" w:rsidRDefault="00255CC4" w:rsidP="00255CC4">
            <w:pPr>
              <w:jc w:val="center"/>
              <w:rPr>
                <w:b/>
                <w:sz w:val="22"/>
                <w:szCs w:val="22"/>
              </w:rPr>
            </w:pPr>
            <w:r w:rsidRPr="001C2D02">
              <w:rPr>
                <w:b/>
                <w:sz w:val="22"/>
                <w:szCs w:val="22"/>
              </w:rPr>
              <w:t>gadā</w:t>
            </w:r>
          </w:p>
        </w:tc>
        <w:tc>
          <w:tcPr>
            <w:tcW w:w="992" w:type="dxa"/>
            <w:shd w:val="clear" w:color="auto" w:fill="F2F2F2" w:themeFill="background1" w:themeFillShade="F2"/>
            <w:noWrap/>
            <w:hideMark/>
          </w:tcPr>
          <w:p w:rsidR="00255CC4" w:rsidRPr="001C2D02" w:rsidRDefault="00255CC4" w:rsidP="00255CC4">
            <w:pPr>
              <w:jc w:val="center"/>
              <w:rPr>
                <w:b/>
                <w:sz w:val="22"/>
                <w:szCs w:val="22"/>
              </w:rPr>
            </w:pPr>
            <w:r w:rsidRPr="001C2D02">
              <w:rPr>
                <w:b/>
                <w:sz w:val="22"/>
                <w:szCs w:val="22"/>
              </w:rPr>
              <w:t>mēnesī</w:t>
            </w:r>
          </w:p>
        </w:tc>
        <w:tc>
          <w:tcPr>
            <w:tcW w:w="992" w:type="dxa"/>
            <w:shd w:val="clear" w:color="auto" w:fill="F2F2F2" w:themeFill="background1" w:themeFillShade="F2"/>
            <w:noWrap/>
            <w:hideMark/>
          </w:tcPr>
          <w:p w:rsidR="00255CC4" w:rsidRPr="001C2D02" w:rsidRDefault="00255CC4" w:rsidP="00255CC4">
            <w:pPr>
              <w:jc w:val="center"/>
              <w:rPr>
                <w:b/>
                <w:sz w:val="22"/>
                <w:szCs w:val="22"/>
              </w:rPr>
            </w:pPr>
            <w:r w:rsidRPr="001C2D02">
              <w:rPr>
                <w:b/>
                <w:sz w:val="22"/>
                <w:szCs w:val="22"/>
              </w:rPr>
              <w:t>gadā</w:t>
            </w:r>
          </w:p>
        </w:tc>
        <w:tc>
          <w:tcPr>
            <w:tcW w:w="992" w:type="dxa"/>
            <w:shd w:val="clear" w:color="auto" w:fill="F2F2F2" w:themeFill="background1" w:themeFillShade="F2"/>
          </w:tcPr>
          <w:p w:rsidR="00255CC4" w:rsidRPr="001C2D02" w:rsidRDefault="00255CC4" w:rsidP="00255CC4">
            <w:pPr>
              <w:jc w:val="center"/>
              <w:rPr>
                <w:b/>
                <w:sz w:val="22"/>
                <w:szCs w:val="22"/>
              </w:rPr>
            </w:pPr>
            <w:r w:rsidRPr="001C2D02">
              <w:rPr>
                <w:b/>
                <w:sz w:val="22"/>
                <w:szCs w:val="22"/>
              </w:rPr>
              <w:t>mēnesī</w:t>
            </w:r>
          </w:p>
        </w:tc>
        <w:tc>
          <w:tcPr>
            <w:tcW w:w="992" w:type="dxa"/>
            <w:shd w:val="clear" w:color="auto" w:fill="F2F2F2" w:themeFill="background1" w:themeFillShade="F2"/>
          </w:tcPr>
          <w:p w:rsidR="00255CC4" w:rsidRPr="001C2D02" w:rsidRDefault="00255CC4" w:rsidP="00255CC4">
            <w:pPr>
              <w:jc w:val="center"/>
              <w:rPr>
                <w:b/>
                <w:sz w:val="22"/>
                <w:szCs w:val="22"/>
              </w:rPr>
            </w:pPr>
            <w:r w:rsidRPr="001C2D02">
              <w:rPr>
                <w:b/>
                <w:sz w:val="22"/>
                <w:szCs w:val="22"/>
              </w:rPr>
              <w:t>gadā</w:t>
            </w:r>
          </w:p>
        </w:tc>
        <w:tc>
          <w:tcPr>
            <w:tcW w:w="992" w:type="dxa"/>
            <w:shd w:val="clear" w:color="auto" w:fill="F2F2F2" w:themeFill="background1" w:themeFillShade="F2"/>
          </w:tcPr>
          <w:p w:rsidR="00255CC4" w:rsidRPr="001C2D02" w:rsidRDefault="00255CC4" w:rsidP="00255CC4">
            <w:pPr>
              <w:jc w:val="center"/>
              <w:rPr>
                <w:b/>
                <w:sz w:val="22"/>
                <w:szCs w:val="22"/>
              </w:rPr>
            </w:pPr>
            <w:r w:rsidRPr="001C2D02">
              <w:rPr>
                <w:b/>
                <w:sz w:val="22"/>
                <w:szCs w:val="22"/>
              </w:rPr>
              <w:t>mēnesī</w:t>
            </w:r>
          </w:p>
        </w:tc>
      </w:tr>
      <w:tr w:rsidR="00255CC4" w:rsidRPr="00FE718A" w:rsidTr="00255CC4">
        <w:trPr>
          <w:trHeight w:val="330"/>
        </w:trPr>
        <w:tc>
          <w:tcPr>
            <w:tcW w:w="3969" w:type="dxa"/>
            <w:noWrap/>
            <w:vAlign w:val="center"/>
            <w:hideMark/>
          </w:tcPr>
          <w:p w:rsidR="00255CC4" w:rsidRPr="00FE718A" w:rsidRDefault="00255CC4" w:rsidP="00255CC4">
            <w:pPr>
              <w:jc w:val="left"/>
              <w:rPr>
                <w:sz w:val="22"/>
                <w:szCs w:val="22"/>
              </w:rPr>
            </w:pPr>
            <w:r w:rsidRPr="00FE718A">
              <w:rPr>
                <w:sz w:val="22"/>
                <w:szCs w:val="22"/>
              </w:rPr>
              <w:t xml:space="preserve">1 personas mājsaimniecība </w:t>
            </w:r>
          </w:p>
        </w:tc>
        <w:tc>
          <w:tcPr>
            <w:tcW w:w="993" w:type="dxa"/>
            <w:noWrap/>
            <w:vAlign w:val="center"/>
            <w:hideMark/>
          </w:tcPr>
          <w:p w:rsidR="00255CC4" w:rsidRPr="00FE718A" w:rsidRDefault="00255CC4" w:rsidP="00255CC4">
            <w:pPr>
              <w:jc w:val="center"/>
              <w:rPr>
                <w:sz w:val="22"/>
                <w:szCs w:val="22"/>
              </w:rPr>
            </w:pPr>
            <w:r w:rsidRPr="00FE718A">
              <w:rPr>
                <w:sz w:val="22"/>
                <w:szCs w:val="22"/>
              </w:rPr>
              <w:t>3 497</w:t>
            </w:r>
          </w:p>
        </w:tc>
        <w:tc>
          <w:tcPr>
            <w:tcW w:w="992" w:type="dxa"/>
            <w:noWrap/>
            <w:vAlign w:val="center"/>
            <w:hideMark/>
          </w:tcPr>
          <w:p w:rsidR="00255CC4" w:rsidRPr="00FE718A" w:rsidRDefault="00255CC4" w:rsidP="00255CC4">
            <w:pPr>
              <w:jc w:val="center"/>
              <w:rPr>
                <w:sz w:val="22"/>
                <w:szCs w:val="22"/>
              </w:rPr>
            </w:pPr>
            <w:r w:rsidRPr="00FE718A">
              <w:rPr>
                <w:sz w:val="22"/>
                <w:szCs w:val="22"/>
              </w:rPr>
              <w:t>291</w:t>
            </w:r>
          </w:p>
        </w:tc>
        <w:tc>
          <w:tcPr>
            <w:tcW w:w="992" w:type="dxa"/>
            <w:noWrap/>
            <w:vAlign w:val="center"/>
            <w:hideMark/>
          </w:tcPr>
          <w:p w:rsidR="00255CC4" w:rsidRPr="00FE718A" w:rsidRDefault="00255CC4" w:rsidP="00255CC4">
            <w:pPr>
              <w:jc w:val="center"/>
              <w:rPr>
                <w:sz w:val="22"/>
                <w:szCs w:val="22"/>
              </w:rPr>
            </w:pPr>
            <w:r w:rsidRPr="00FE718A">
              <w:rPr>
                <w:sz w:val="22"/>
                <w:szCs w:val="22"/>
              </w:rPr>
              <w:t>3 819</w:t>
            </w:r>
          </w:p>
        </w:tc>
        <w:tc>
          <w:tcPr>
            <w:tcW w:w="992" w:type="dxa"/>
            <w:vAlign w:val="center"/>
          </w:tcPr>
          <w:p w:rsidR="00255CC4" w:rsidRPr="00FE718A" w:rsidRDefault="00255CC4" w:rsidP="00255CC4">
            <w:pPr>
              <w:jc w:val="center"/>
              <w:rPr>
                <w:sz w:val="22"/>
                <w:szCs w:val="22"/>
              </w:rPr>
            </w:pPr>
            <w:r w:rsidRPr="00FE718A">
              <w:rPr>
                <w:sz w:val="22"/>
                <w:szCs w:val="22"/>
              </w:rPr>
              <w:t>318</w:t>
            </w:r>
          </w:p>
        </w:tc>
        <w:tc>
          <w:tcPr>
            <w:tcW w:w="992" w:type="dxa"/>
            <w:vAlign w:val="center"/>
          </w:tcPr>
          <w:p w:rsidR="00255CC4" w:rsidRPr="00FE718A" w:rsidRDefault="00255CC4" w:rsidP="00255CC4">
            <w:pPr>
              <w:jc w:val="center"/>
              <w:rPr>
                <w:sz w:val="22"/>
                <w:szCs w:val="22"/>
              </w:rPr>
            </w:pPr>
            <w:r w:rsidRPr="00FE718A">
              <w:rPr>
                <w:sz w:val="22"/>
                <w:szCs w:val="22"/>
              </w:rPr>
              <w:t>3 964</w:t>
            </w:r>
          </w:p>
        </w:tc>
        <w:tc>
          <w:tcPr>
            <w:tcW w:w="992" w:type="dxa"/>
            <w:vAlign w:val="center"/>
          </w:tcPr>
          <w:p w:rsidR="00255CC4" w:rsidRPr="00FE718A" w:rsidRDefault="00255CC4" w:rsidP="00255CC4">
            <w:pPr>
              <w:jc w:val="center"/>
              <w:rPr>
                <w:sz w:val="22"/>
                <w:szCs w:val="22"/>
              </w:rPr>
            </w:pPr>
            <w:r w:rsidRPr="00FE718A">
              <w:rPr>
                <w:sz w:val="22"/>
                <w:szCs w:val="22"/>
              </w:rPr>
              <w:t>330</w:t>
            </w:r>
          </w:p>
        </w:tc>
      </w:tr>
      <w:tr w:rsidR="00255CC4" w:rsidRPr="00FE718A" w:rsidTr="00255CC4">
        <w:trPr>
          <w:trHeight w:val="330"/>
        </w:trPr>
        <w:tc>
          <w:tcPr>
            <w:tcW w:w="3969" w:type="dxa"/>
            <w:noWrap/>
            <w:vAlign w:val="center"/>
            <w:hideMark/>
          </w:tcPr>
          <w:p w:rsidR="00255CC4" w:rsidRPr="00FE718A" w:rsidRDefault="00255CC4" w:rsidP="00255CC4">
            <w:pPr>
              <w:jc w:val="left"/>
              <w:rPr>
                <w:sz w:val="22"/>
                <w:szCs w:val="22"/>
              </w:rPr>
            </w:pPr>
            <w:r w:rsidRPr="00FE718A">
              <w:rPr>
                <w:sz w:val="22"/>
                <w:szCs w:val="22"/>
              </w:rPr>
              <w:t xml:space="preserve">2 pieaugušie un 2 bērni jaunāki par 14 gadiem (pēc </w:t>
            </w:r>
            <w:r w:rsidRPr="00FE718A">
              <w:rPr>
                <w:b/>
                <w:sz w:val="22"/>
                <w:szCs w:val="22"/>
              </w:rPr>
              <w:t>OECD modificētās ekvivalences skalas</w:t>
            </w:r>
            <w:r w:rsidRPr="00FE718A">
              <w:rPr>
                <w:sz w:val="22"/>
                <w:szCs w:val="22"/>
              </w:rPr>
              <w:t xml:space="preserve"> (1; 0</w:t>
            </w:r>
            <w:r w:rsidR="00EB54AA">
              <w:rPr>
                <w:sz w:val="22"/>
                <w:szCs w:val="22"/>
              </w:rPr>
              <w:t>,</w:t>
            </w:r>
            <w:r w:rsidRPr="00FE718A">
              <w:rPr>
                <w:sz w:val="22"/>
                <w:szCs w:val="22"/>
              </w:rPr>
              <w:t>5; 0</w:t>
            </w:r>
            <w:r w:rsidR="00EB54AA">
              <w:rPr>
                <w:sz w:val="22"/>
                <w:szCs w:val="22"/>
              </w:rPr>
              <w:t>,</w:t>
            </w:r>
            <w:r w:rsidRPr="00FE718A">
              <w:rPr>
                <w:sz w:val="22"/>
                <w:szCs w:val="22"/>
              </w:rPr>
              <w:t>3)</w:t>
            </w:r>
          </w:p>
        </w:tc>
        <w:tc>
          <w:tcPr>
            <w:tcW w:w="993" w:type="dxa"/>
            <w:noWrap/>
            <w:vAlign w:val="center"/>
            <w:hideMark/>
          </w:tcPr>
          <w:p w:rsidR="00255CC4" w:rsidRPr="00FE718A" w:rsidRDefault="00255CC4" w:rsidP="00255CC4">
            <w:pPr>
              <w:jc w:val="center"/>
              <w:rPr>
                <w:sz w:val="22"/>
                <w:szCs w:val="22"/>
              </w:rPr>
            </w:pPr>
            <w:r w:rsidRPr="00FE718A">
              <w:rPr>
                <w:sz w:val="22"/>
                <w:szCs w:val="22"/>
              </w:rPr>
              <w:t>7 344</w:t>
            </w:r>
          </w:p>
        </w:tc>
        <w:tc>
          <w:tcPr>
            <w:tcW w:w="992" w:type="dxa"/>
            <w:noWrap/>
            <w:vAlign w:val="center"/>
            <w:hideMark/>
          </w:tcPr>
          <w:p w:rsidR="00255CC4" w:rsidRPr="00FE718A" w:rsidRDefault="00255CC4" w:rsidP="00255CC4">
            <w:pPr>
              <w:jc w:val="center"/>
              <w:rPr>
                <w:sz w:val="22"/>
                <w:szCs w:val="22"/>
              </w:rPr>
            </w:pPr>
            <w:r w:rsidRPr="00FE718A">
              <w:rPr>
                <w:sz w:val="22"/>
                <w:szCs w:val="22"/>
              </w:rPr>
              <w:t>612</w:t>
            </w:r>
          </w:p>
        </w:tc>
        <w:tc>
          <w:tcPr>
            <w:tcW w:w="992" w:type="dxa"/>
            <w:noWrap/>
            <w:vAlign w:val="center"/>
            <w:hideMark/>
          </w:tcPr>
          <w:p w:rsidR="00255CC4" w:rsidRPr="00FE718A" w:rsidRDefault="00255CC4" w:rsidP="00255CC4">
            <w:pPr>
              <w:jc w:val="center"/>
              <w:rPr>
                <w:sz w:val="22"/>
                <w:szCs w:val="22"/>
              </w:rPr>
            </w:pPr>
            <w:r w:rsidRPr="00FE718A">
              <w:rPr>
                <w:sz w:val="22"/>
                <w:szCs w:val="22"/>
              </w:rPr>
              <w:t>8 019</w:t>
            </w:r>
          </w:p>
        </w:tc>
        <w:tc>
          <w:tcPr>
            <w:tcW w:w="992" w:type="dxa"/>
            <w:vAlign w:val="center"/>
          </w:tcPr>
          <w:p w:rsidR="00255CC4" w:rsidRPr="00FE718A" w:rsidRDefault="00255CC4" w:rsidP="00255CC4">
            <w:pPr>
              <w:jc w:val="center"/>
              <w:rPr>
                <w:sz w:val="22"/>
                <w:szCs w:val="22"/>
              </w:rPr>
            </w:pPr>
            <w:r w:rsidRPr="00FE718A">
              <w:rPr>
                <w:sz w:val="22"/>
                <w:szCs w:val="22"/>
              </w:rPr>
              <w:t>668</w:t>
            </w:r>
          </w:p>
        </w:tc>
        <w:tc>
          <w:tcPr>
            <w:tcW w:w="992" w:type="dxa"/>
            <w:vAlign w:val="center"/>
          </w:tcPr>
          <w:p w:rsidR="00255CC4" w:rsidRPr="00FE718A" w:rsidRDefault="00255CC4" w:rsidP="00255CC4">
            <w:pPr>
              <w:jc w:val="center"/>
              <w:rPr>
                <w:sz w:val="22"/>
                <w:szCs w:val="22"/>
              </w:rPr>
            </w:pPr>
            <w:r w:rsidRPr="00FE718A">
              <w:rPr>
                <w:sz w:val="22"/>
                <w:szCs w:val="22"/>
              </w:rPr>
              <w:t>8 325</w:t>
            </w:r>
          </w:p>
        </w:tc>
        <w:tc>
          <w:tcPr>
            <w:tcW w:w="992" w:type="dxa"/>
            <w:vAlign w:val="center"/>
          </w:tcPr>
          <w:p w:rsidR="00255CC4" w:rsidRPr="00FE718A" w:rsidRDefault="00255CC4" w:rsidP="00255CC4">
            <w:pPr>
              <w:jc w:val="center"/>
              <w:rPr>
                <w:sz w:val="22"/>
                <w:szCs w:val="22"/>
              </w:rPr>
            </w:pPr>
            <w:r w:rsidRPr="00FE718A">
              <w:rPr>
                <w:sz w:val="22"/>
                <w:szCs w:val="22"/>
              </w:rPr>
              <w:t>693</w:t>
            </w:r>
          </w:p>
        </w:tc>
      </w:tr>
      <w:tr w:rsidR="00255CC4" w:rsidRPr="00FE718A" w:rsidTr="00255CC4">
        <w:trPr>
          <w:trHeight w:val="330"/>
        </w:trPr>
        <w:tc>
          <w:tcPr>
            <w:tcW w:w="3969" w:type="dxa"/>
            <w:shd w:val="clear" w:color="auto" w:fill="F2F2F2" w:themeFill="background1" w:themeFillShade="F2"/>
            <w:noWrap/>
            <w:vAlign w:val="center"/>
            <w:hideMark/>
          </w:tcPr>
          <w:p w:rsidR="00255CC4" w:rsidRPr="00FE718A" w:rsidRDefault="00255CC4" w:rsidP="00255CC4">
            <w:pPr>
              <w:jc w:val="left"/>
              <w:rPr>
                <w:sz w:val="22"/>
                <w:szCs w:val="22"/>
              </w:rPr>
            </w:pPr>
            <w:r w:rsidRPr="00FE718A">
              <w:rPr>
                <w:sz w:val="22"/>
                <w:szCs w:val="22"/>
              </w:rPr>
              <w:t xml:space="preserve">2 pieaugušie un 2 bērni jaunāki par 14 gadiem (pēc </w:t>
            </w:r>
            <w:r w:rsidRPr="00FE718A">
              <w:rPr>
                <w:b/>
                <w:sz w:val="22"/>
                <w:szCs w:val="22"/>
              </w:rPr>
              <w:t xml:space="preserve">OECD nemodificētās </w:t>
            </w:r>
            <w:r w:rsidRPr="00FE718A">
              <w:rPr>
                <w:b/>
                <w:sz w:val="22"/>
                <w:szCs w:val="22"/>
              </w:rPr>
              <w:lastRenderedPageBreak/>
              <w:t>ekvivalences skalas</w:t>
            </w:r>
            <w:r w:rsidRPr="00FE718A">
              <w:rPr>
                <w:sz w:val="22"/>
                <w:szCs w:val="22"/>
              </w:rPr>
              <w:t xml:space="preserve"> (1; 0</w:t>
            </w:r>
            <w:r w:rsidR="00EB54AA">
              <w:rPr>
                <w:sz w:val="22"/>
                <w:szCs w:val="22"/>
              </w:rPr>
              <w:t>,</w:t>
            </w:r>
            <w:r w:rsidRPr="00FE718A">
              <w:rPr>
                <w:sz w:val="22"/>
                <w:szCs w:val="22"/>
              </w:rPr>
              <w:t>7; 0</w:t>
            </w:r>
            <w:r w:rsidR="00EB54AA">
              <w:rPr>
                <w:sz w:val="22"/>
                <w:szCs w:val="22"/>
              </w:rPr>
              <w:t>,</w:t>
            </w:r>
            <w:r w:rsidRPr="00FE718A">
              <w:rPr>
                <w:sz w:val="22"/>
                <w:szCs w:val="22"/>
              </w:rPr>
              <w:t>5)</w:t>
            </w:r>
          </w:p>
        </w:tc>
        <w:tc>
          <w:tcPr>
            <w:tcW w:w="993" w:type="dxa"/>
            <w:shd w:val="clear" w:color="auto" w:fill="F2F2F2" w:themeFill="background1" w:themeFillShade="F2"/>
            <w:noWrap/>
            <w:vAlign w:val="center"/>
            <w:hideMark/>
          </w:tcPr>
          <w:p w:rsidR="00255CC4" w:rsidRPr="00FE718A" w:rsidRDefault="00255CC4" w:rsidP="00255CC4">
            <w:pPr>
              <w:jc w:val="center"/>
              <w:rPr>
                <w:sz w:val="22"/>
                <w:szCs w:val="22"/>
              </w:rPr>
            </w:pPr>
            <w:r>
              <w:rPr>
                <w:sz w:val="22"/>
                <w:szCs w:val="22"/>
              </w:rPr>
              <w:lastRenderedPageBreak/>
              <w:t>9 428</w:t>
            </w:r>
          </w:p>
        </w:tc>
        <w:tc>
          <w:tcPr>
            <w:tcW w:w="992" w:type="dxa"/>
            <w:shd w:val="clear" w:color="auto" w:fill="F2F2F2" w:themeFill="background1" w:themeFillShade="F2"/>
            <w:noWrap/>
            <w:vAlign w:val="center"/>
            <w:hideMark/>
          </w:tcPr>
          <w:p w:rsidR="00255CC4" w:rsidRPr="00FE718A" w:rsidRDefault="00255CC4" w:rsidP="00255CC4">
            <w:pPr>
              <w:jc w:val="center"/>
              <w:rPr>
                <w:sz w:val="22"/>
                <w:szCs w:val="22"/>
              </w:rPr>
            </w:pPr>
            <w:r>
              <w:rPr>
                <w:sz w:val="22"/>
                <w:szCs w:val="22"/>
              </w:rPr>
              <w:t>786</w:t>
            </w:r>
          </w:p>
        </w:tc>
        <w:tc>
          <w:tcPr>
            <w:tcW w:w="992" w:type="dxa"/>
            <w:shd w:val="clear" w:color="auto" w:fill="F2F2F2" w:themeFill="background1" w:themeFillShade="F2"/>
            <w:noWrap/>
            <w:vAlign w:val="center"/>
            <w:hideMark/>
          </w:tcPr>
          <w:p w:rsidR="00255CC4" w:rsidRPr="00FE718A" w:rsidRDefault="00255CC4" w:rsidP="00255CC4">
            <w:pPr>
              <w:jc w:val="center"/>
              <w:rPr>
                <w:sz w:val="22"/>
                <w:szCs w:val="22"/>
              </w:rPr>
            </w:pPr>
            <w:r>
              <w:rPr>
                <w:sz w:val="22"/>
                <w:szCs w:val="22"/>
              </w:rPr>
              <w:t>10 303</w:t>
            </w:r>
          </w:p>
        </w:tc>
        <w:tc>
          <w:tcPr>
            <w:tcW w:w="992" w:type="dxa"/>
            <w:shd w:val="clear" w:color="auto" w:fill="F2F2F2" w:themeFill="background1" w:themeFillShade="F2"/>
            <w:vAlign w:val="center"/>
          </w:tcPr>
          <w:p w:rsidR="00255CC4" w:rsidRPr="00FE718A" w:rsidRDefault="00255CC4" w:rsidP="00255CC4">
            <w:pPr>
              <w:jc w:val="center"/>
              <w:rPr>
                <w:sz w:val="22"/>
                <w:szCs w:val="22"/>
              </w:rPr>
            </w:pPr>
            <w:r>
              <w:rPr>
                <w:sz w:val="22"/>
                <w:szCs w:val="22"/>
              </w:rPr>
              <w:t>856</w:t>
            </w:r>
          </w:p>
        </w:tc>
        <w:tc>
          <w:tcPr>
            <w:tcW w:w="992" w:type="dxa"/>
            <w:shd w:val="clear" w:color="auto" w:fill="F2F2F2" w:themeFill="background1" w:themeFillShade="F2"/>
            <w:vAlign w:val="center"/>
          </w:tcPr>
          <w:p w:rsidR="00255CC4" w:rsidRPr="00FE718A" w:rsidRDefault="00255CC4" w:rsidP="00255CC4">
            <w:pPr>
              <w:jc w:val="center"/>
              <w:rPr>
                <w:sz w:val="22"/>
                <w:szCs w:val="22"/>
              </w:rPr>
            </w:pPr>
            <w:r>
              <w:rPr>
                <w:sz w:val="22"/>
                <w:szCs w:val="22"/>
              </w:rPr>
              <w:t>10 692</w:t>
            </w:r>
          </w:p>
        </w:tc>
        <w:tc>
          <w:tcPr>
            <w:tcW w:w="992" w:type="dxa"/>
            <w:shd w:val="clear" w:color="auto" w:fill="F2F2F2" w:themeFill="background1" w:themeFillShade="F2"/>
            <w:vAlign w:val="center"/>
          </w:tcPr>
          <w:p w:rsidR="00255CC4" w:rsidRPr="00FE718A" w:rsidRDefault="00255CC4" w:rsidP="00255CC4">
            <w:pPr>
              <w:jc w:val="center"/>
              <w:rPr>
                <w:sz w:val="22"/>
                <w:szCs w:val="22"/>
              </w:rPr>
            </w:pPr>
            <w:r>
              <w:rPr>
                <w:sz w:val="22"/>
                <w:szCs w:val="22"/>
              </w:rPr>
              <w:t>891</w:t>
            </w:r>
          </w:p>
        </w:tc>
      </w:tr>
      <w:tr w:rsidR="00255CC4" w:rsidRPr="00FE718A" w:rsidTr="00255CC4">
        <w:trPr>
          <w:trHeight w:val="330"/>
        </w:trPr>
        <w:tc>
          <w:tcPr>
            <w:tcW w:w="9922" w:type="dxa"/>
            <w:gridSpan w:val="7"/>
            <w:noWrap/>
            <w:hideMark/>
          </w:tcPr>
          <w:p w:rsidR="00255CC4" w:rsidRPr="00FE718A" w:rsidRDefault="00255CC4" w:rsidP="00255CC4">
            <w:pPr>
              <w:jc w:val="left"/>
              <w:rPr>
                <w:b/>
                <w:sz w:val="22"/>
                <w:szCs w:val="22"/>
              </w:rPr>
            </w:pPr>
            <w:r w:rsidRPr="00FE718A">
              <w:rPr>
                <w:b/>
                <w:sz w:val="22"/>
                <w:szCs w:val="22"/>
              </w:rPr>
              <w:lastRenderedPageBreak/>
              <w:t>Kvintiles augstāko ienākumu robeža</w:t>
            </w:r>
          </w:p>
        </w:tc>
      </w:tr>
      <w:tr w:rsidR="00255CC4" w:rsidRPr="00FE718A" w:rsidTr="00255CC4">
        <w:trPr>
          <w:trHeight w:val="689"/>
        </w:trPr>
        <w:tc>
          <w:tcPr>
            <w:tcW w:w="3969" w:type="dxa"/>
            <w:noWrap/>
            <w:hideMark/>
          </w:tcPr>
          <w:p w:rsidR="00255CC4" w:rsidRPr="00FE718A" w:rsidRDefault="00255CC4" w:rsidP="00255CC4">
            <w:pPr>
              <w:jc w:val="left"/>
              <w:rPr>
                <w:sz w:val="22"/>
                <w:szCs w:val="22"/>
              </w:rPr>
            </w:pPr>
            <w:r w:rsidRPr="00FE718A">
              <w:rPr>
                <w:sz w:val="22"/>
                <w:szCs w:val="22"/>
              </w:rPr>
              <w:t>1. kvintiles augstākā robeža, EUR mēnesī uz vienu mājsaimniecības locekli</w:t>
            </w:r>
          </w:p>
        </w:tc>
        <w:tc>
          <w:tcPr>
            <w:tcW w:w="993" w:type="dxa"/>
            <w:noWrap/>
            <w:vAlign w:val="center"/>
            <w:hideMark/>
          </w:tcPr>
          <w:p w:rsidR="00255CC4" w:rsidRPr="00FE718A" w:rsidRDefault="00255CC4" w:rsidP="00255CC4">
            <w:pPr>
              <w:jc w:val="center"/>
              <w:rPr>
                <w:sz w:val="22"/>
                <w:szCs w:val="22"/>
              </w:rPr>
            </w:pPr>
            <w:r w:rsidRPr="00FE718A">
              <w:rPr>
                <w:sz w:val="22"/>
                <w:szCs w:val="22"/>
              </w:rPr>
              <w:t>-</w:t>
            </w:r>
          </w:p>
        </w:tc>
        <w:tc>
          <w:tcPr>
            <w:tcW w:w="992" w:type="dxa"/>
            <w:noWrap/>
            <w:vAlign w:val="center"/>
            <w:hideMark/>
          </w:tcPr>
          <w:p w:rsidR="00255CC4" w:rsidRPr="00FE718A" w:rsidRDefault="00255CC4" w:rsidP="00255CC4">
            <w:pPr>
              <w:jc w:val="center"/>
              <w:rPr>
                <w:sz w:val="22"/>
                <w:szCs w:val="22"/>
              </w:rPr>
            </w:pPr>
            <w:r w:rsidRPr="00FE718A">
              <w:rPr>
                <w:sz w:val="22"/>
                <w:szCs w:val="22"/>
              </w:rPr>
              <w:t>213</w:t>
            </w:r>
          </w:p>
        </w:tc>
        <w:tc>
          <w:tcPr>
            <w:tcW w:w="992" w:type="dxa"/>
            <w:noWrap/>
            <w:vAlign w:val="center"/>
            <w:hideMark/>
          </w:tcPr>
          <w:p w:rsidR="00255CC4" w:rsidRPr="00FE718A" w:rsidRDefault="00255CC4" w:rsidP="00255CC4">
            <w:pPr>
              <w:jc w:val="center"/>
              <w:rPr>
                <w:sz w:val="22"/>
                <w:szCs w:val="22"/>
              </w:rPr>
            </w:pPr>
            <w:r w:rsidRPr="00FE718A">
              <w:rPr>
                <w:sz w:val="22"/>
                <w:szCs w:val="22"/>
              </w:rPr>
              <w:t>-</w:t>
            </w:r>
          </w:p>
        </w:tc>
        <w:tc>
          <w:tcPr>
            <w:tcW w:w="992" w:type="dxa"/>
            <w:vAlign w:val="center"/>
          </w:tcPr>
          <w:p w:rsidR="00255CC4" w:rsidRPr="00FE718A" w:rsidRDefault="00255CC4" w:rsidP="00255CC4">
            <w:pPr>
              <w:jc w:val="center"/>
              <w:rPr>
                <w:sz w:val="22"/>
                <w:szCs w:val="22"/>
              </w:rPr>
            </w:pPr>
            <w:r w:rsidRPr="00FE718A">
              <w:rPr>
                <w:sz w:val="22"/>
                <w:szCs w:val="22"/>
              </w:rPr>
              <w:t>224</w:t>
            </w:r>
          </w:p>
        </w:tc>
        <w:tc>
          <w:tcPr>
            <w:tcW w:w="992" w:type="dxa"/>
            <w:vAlign w:val="center"/>
          </w:tcPr>
          <w:p w:rsidR="00255CC4" w:rsidRPr="00FE718A" w:rsidRDefault="00255CC4" w:rsidP="00255CC4">
            <w:pPr>
              <w:jc w:val="center"/>
              <w:rPr>
                <w:sz w:val="22"/>
                <w:szCs w:val="22"/>
              </w:rPr>
            </w:pPr>
            <w:r w:rsidRPr="00FE718A">
              <w:rPr>
                <w:sz w:val="22"/>
                <w:szCs w:val="22"/>
              </w:rPr>
              <w:t>-</w:t>
            </w:r>
          </w:p>
        </w:tc>
        <w:tc>
          <w:tcPr>
            <w:tcW w:w="992" w:type="dxa"/>
            <w:vAlign w:val="center"/>
          </w:tcPr>
          <w:p w:rsidR="00255CC4" w:rsidRPr="00FE718A" w:rsidRDefault="00255CC4" w:rsidP="00255CC4">
            <w:pPr>
              <w:jc w:val="center"/>
              <w:rPr>
                <w:sz w:val="22"/>
                <w:szCs w:val="22"/>
              </w:rPr>
            </w:pPr>
            <w:r w:rsidRPr="00FE718A">
              <w:rPr>
                <w:sz w:val="22"/>
                <w:szCs w:val="22"/>
              </w:rPr>
              <w:t>231</w:t>
            </w:r>
          </w:p>
        </w:tc>
      </w:tr>
      <w:tr w:rsidR="00255CC4" w:rsidRPr="00FE718A" w:rsidTr="00255CC4">
        <w:trPr>
          <w:trHeight w:val="330"/>
        </w:trPr>
        <w:tc>
          <w:tcPr>
            <w:tcW w:w="3969" w:type="dxa"/>
            <w:noWrap/>
            <w:hideMark/>
          </w:tcPr>
          <w:p w:rsidR="00255CC4" w:rsidRPr="00FE718A" w:rsidRDefault="00255CC4" w:rsidP="00255CC4">
            <w:pPr>
              <w:jc w:val="left"/>
              <w:rPr>
                <w:sz w:val="22"/>
                <w:szCs w:val="22"/>
              </w:rPr>
            </w:pPr>
            <w:r w:rsidRPr="00FE718A">
              <w:rPr>
                <w:sz w:val="22"/>
                <w:szCs w:val="22"/>
              </w:rPr>
              <w:t>2. kvintiles augstākā robeža, EUR mēnesī uz vienu mājsaimniecības locekli</w:t>
            </w:r>
          </w:p>
        </w:tc>
        <w:tc>
          <w:tcPr>
            <w:tcW w:w="993" w:type="dxa"/>
            <w:noWrap/>
            <w:vAlign w:val="center"/>
            <w:hideMark/>
          </w:tcPr>
          <w:p w:rsidR="00255CC4" w:rsidRPr="00FE718A" w:rsidRDefault="00255CC4" w:rsidP="00255CC4">
            <w:pPr>
              <w:jc w:val="center"/>
              <w:rPr>
                <w:sz w:val="22"/>
                <w:szCs w:val="22"/>
              </w:rPr>
            </w:pPr>
            <w:r w:rsidRPr="00FE718A">
              <w:rPr>
                <w:sz w:val="22"/>
                <w:szCs w:val="22"/>
              </w:rPr>
              <w:t>-</w:t>
            </w:r>
          </w:p>
        </w:tc>
        <w:tc>
          <w:tcPr>
            <w:tcW w:w="992" w:type="dxa"/>
            <w:noWrap/>
            <w:vAlign w:val="center"/>
            <w:hideMark/>
          </w:tcPr>
          <w:p w:rsidR="00255CC4" w:rsidRPr="00FE718A" w:rsidRDefault="00255CC4" w:rsidP="00255CC4">
            <w:pPr>
              <w:jc w:val="center"/>
              <w:rPr>
                <w:sz w:val="22"/>
                <w:szCs w:val="22"/>
              </w:rPr>
            </w:pPr>
            <w:r w:rsidRPr="00FE718A">
              <w:rPr>
                <w:sz w:val="22"/>
                <w:szCs w:val="22"/>
              </w:rPr>
              <w:t>275</w:t>
            </w:r>
          </w:p>
        </w:tc>
        <w:tc>
          <w:tcPr>
            <w:tcW w:w="992" w:type="dxa"/>
            <w:noWrap/>
            <w:vAlign w:val="center"/>
            <w:hideMark/>
          </w:tcPr>
          <w:p w:rsidR="00255CC4" w:rsidRPr="00FE718A" w:rsidRDefault="00255CC4" w:rsidP="00255CC4">
            <w:pPr>
              <w:jc w:val="center"/>
              <w:rPr>
                <w:sz w:val="22"/>
                <w:szCs w:val="22"/>
              </w:rPr>
            </w:pPr>
            <w:r w:rsidRPr="00FE718A">
              <w:rPr>
                <w:sz w:val="22"/>
                <w:szCs w:val="22"/>
              </w:rPr>
              <w:t>-</w:t>
            </w:r>
          </w:p>
        </w:tc>
        <w:tc>
          <w:tcPr>
            <w:tcW w:w="992" w:type="dxa"/>
            <w:vAlign w:val="center"/>
          </w:tcPr>
          <w:p w:rsidR="00255CC4" w:rsidRPr="00FE718A" w:rsidRDefault="00255CC4" w:rsidP="00255CC4">
            <w:pPr>
              <w:jc w:val="center"/>
              <w:rPr>
                <w:sz w:val="22"/>
                <w:szCs w:val="22"/>
              </w:rPr>
            </w:pPr>
            <w:r w:rsidRPr="00FE718A">
              <w:rPr>
                <w:sz w:val="22"/>
                <w:szCs w:val="22"/>
              </w:rPr>
              <w:t>288</w:t>
            </w:r>
          </w:p>
        </w:tc>
        <w:tc>
          <w:tcPr>
            <w:tcW w:w="992" w:type="dxa"/>
            <w:vAlign w:val="center"/>
          </w:tcPr>
          <w:p w:rsidR="00255CC4" w:rsidRPr="00FE718A" w:rsidRDefault="00255CC4" w:rsidP="00255CC4">
            <w:pPr>
              <w:jc w:val="center"/>
              <w:rPr>
                <w:sz w:val="22"/>
                <w:szCs w:val="22"/>
              </w:rPr>
            </w:pPr>
            <w:r w:rsidRPr="00FE718A">
              <w:rPr>
                <w:sz w:val="22"/>
                <w:szCs w:val="22"/>
              </w:rPr>
              <w:t>-</w:t>
            </w:r>
          </w:p>
        </w:tc>
        <w:tc>
          <w:tcPr>
            <w:tcW w:w="992" w:type="dxa"/>
            <w:vAlign w:val="center"/>
          </w:tcPr>
          <w:p w:rsidR="00255CC4" w:rsidRPr="00FE718A" w:rsidRDefault="00255CC4" w:rsidP="00255CC4">
            <w:pPr>
              <w:jc w:val="center"/>
              <w:rPr>
                <w:sz w:val="22"/>
                <w:szCs w:val="22"/>
              </w:rPr>
            </w:pPr>
            <w:r w:rsidRPr="00FE718A">
              <w:rPr>
                <w:sz w:val="22"/>
                <w:szCs w:val="22"/>
              </w:rPr>
              <w:t>301</w:t>
            </w:r>
          </w:p>
        </w:tc>
      </w:tr>
    </w:tbl>
    <w:p w:rsidR="00255CC4" w:rsidRDefault="00255CC4" w:rsidP="00255CC4">
      <w:pPr>
        <w:spacing w:line="240" w:lineRule="auto"/>
        <w:ind w:right="249"/>
        <w:rPr>
          <w:rFonts w:eastAsia="Times New Roman"/>
          <w:color w:val="000000"/>
          <w:sz w:val="20"/>
          <w:szCs w:val="20"/>
        </w:rPr>
      </w:pPr>
      <w:r w:rsidRPr="00EE14A7">
        <w:rPr>
          <w:sz w:val="20"/>
          <w:szCs w:val="20"/>
        </w:rPr>
        <w:t xml:space="preserve">Avots: CSP, </w:t>
      </w:r>
      <w:r>
        <w:rPr>
          <w:sz w:val="20"/>
          <w:szCs w:val="20"/>
        </w:rPr>
        <w:t>„</w:t>
      </w:r>
      <w:r w:rsidRPr="00EE14A7">
        <w:rPr>
          <w:sz w:val="20"/>
          <w:szCs w:val="20"/>
        </w:rPr>
        <w:t>NIG 02</w:t>
      </w:r>
      <w:r>
        <w:rPr>
          <w:sz w:val="20"/>
          <w:szCs w:val="20"/>
        </w:rPr>
        <w:t xml:space="preserve"> </w:t>
      </w:r>
      <w:r w:rsidRPr="00D6111A">
        <w:rPr>
          <w:sz w:val="20"/>
          <w:szCs w:val="20"/>
        </w:rPr>
        <w:t>Nabadzības riska slieksnis (ilustratīvās vērtības)”</w:t>
      </w:r>
      <w:r w:rsidRPr="00EE14A7">
        <w:rPr>
          <w:sz w:val="20"/>
          <w:szCs w:val="20"/>
        </w:rPr>
        <w:t>, IIG090</w:t>
      </w:r>
      <w:r>
        <w:rPr>
          <w:sz w:val="20"/>
          <w:szCs w:val="20"/>
        </w:rPr>
        <w:t xml:space="preserve"> </w:t>
      </w:r>
      <w:r w:rsidRPr="00F13BE5">
        <w:rPr>
          <w:rFonts w:eastAsia="Times New Roman"/>
          <w:color w:val="000000"/>
          <w:sz w:val="20"/>
          <w:szCs w:val="20"/>
        </w:rPr>
        <w:t>„IIG090. Mājsaimniecību rīcībā esošie ienākumi kvintiļu grupās (</w:t>
      </w:r>
      <w:r>
        <w:rPr>
          <w:rFonts w:eastAsia="Times New Roman"/>
          <w:color w:val="000000"/>
          <w:sz w:val="20"/>
          <w:szCs w:val="20"/>
        </w:rPr>
        <w:t>EUR</w:t>
      </w:r>
      <w:r w:rsidRPr="00F13BE5">
        <w:rPr>
          <w:rFonts w:eastAsia="Times New Roman"/>
          <w:color w:val="000000"/>
          <w:sz w:val="20"/>
          <w:szCs w:val="20"/>
        </w:rPr>
        <w:t>, mēnesī)”</w:t>
      </w:r>
      <w:r>
        <w:rPr>
          <w:rFonts w:eastAsia="Times New Roman"/>
          <w:color w:val="000000"/>
          <w:sz w:val="20"/>
          <w:szCs w:val="20"/>
        </w:rPr>
        <w:t>.</w:t>
      </w:r>
    </w:p>
    <w:p w:rsidR="00941067" w:rsidRPr="00F13BE5" w:rsidRDefault="00941067" w:rsidP="00255CC4">
      <w:pPr>
        <w:spacing w:line="240" w:lineRule="auto"/>
        <w:ind w:right="249"/>
        <w:rPr>
          <w:rFonts w:eastAsia="Times New Roman"/>
          <w:color w:val="000000"/>
          <w:sz w:val="20"/>
          <w:szCs w:val="20"/>
        </w:rPr>
      </w:pPr>
    </w:p>
    <w:p w:rsidR="00255CC4" w:rsidRPr="00897EA6" w:rsidRDefault="00931F0D" w:rsidP="00255CC4">
      <w:r>
        <w:t xml:space="preserve">Raugoties no mājsaimniecību struktūras perspektīvas, 1. un 2. </w:t>
      </w:r>
      <w:r w:rsidR="000675B4">
        <w:t>k</w:t>
      </w:r>
      <w:r>
        <w:t>vintilē</w:t>
      </w:r>
      <w:r w:rsidR="000675B4">
        <w:t>, ņemot vērā ienākumu līmeni absolūtajos skaitļos,</w:t>
      </w:r>
      <w:r>
        <w:t xml:space="preserve"> kopumā 2014. gadā ietilpa 40,6% vienas personas mājsaimniecību, 2015. gadā – 44,6%, 2016. gadā – 47,9%</w:t>
      </w:r>
      <w:r>
        <w:rPr>
          <w:rStyle w:val="FootnoteReference"/>
        </w:rPr>
        <w:footnoteReference w:id="104"/>
      </w:r>
      <w:r>
        <w:t xml:space="preserve">. Tātad 2016. gadā gandrīz puse vienas personas mājsaimniecību dzīvoja zem nabadzības riska sliekšņa.  </w:t>
      </w:r>
      <w:r w:rsidR="00255CC4">
        <w:t xml:space="preserve">Mājsaimniecību ar diviem pieaugušajiem un diviem bērniem jaunākiem par 14 gadiem, piemērojot OECD modificēto ekvivalences skalu, nabadzības riska sliekšņa ilustratīvā vērtība no 2014.gada līdz 2016.gadam ir pieaugusi par 13,2% (attiecīgi no 612 EUR uz 693 EUR). Atbilstoši šai skalai četru personu mājsaimniecības (no tām divas ir bērni) nabadzības riska slieksnis ir 2,1 reizes augstāks nekā vienas personas mājsaimniecībai. </w:t>
      </w:r>
      <w:r w:rsidR="00255CC4" w:rsidRPr="00897EA6">
        <w:t>Savukārt, piemērojot OECD nemodificēto ekvivalences skalu, nabadzības riska slieksnis ir būtiski augstāks – 786 EUR 2014.gadā un 891 EUR 2016.</w:t>
      </w:r>
      <w:r w:rsidR="00255CC4">
        <w:t xml:space="preserve"> </w:t>
      </w:r>
      <w:r w:rsidR="00255CC4" w:rsidRPr="00897EA6">
        <w:t xml:space="preserve">gadā, veidojot pieaugumu par 105 EUR, kas ir 13,4%. </w:t>
      </w:r>
      <w:r w:rsidR="00255CC4">
        <w:t xml:space="preserve">Atbilstoši šai skalai četru personu mājsaimniecības (no tām divas ir bērni) nabadzības riska slieksnis ir 2,7 reizes augstāks nekā vienas personas mājsaimniecībai. </w:t>
      </w:r>
    </w:p>
    <w:p w:rsidR="00255CC4" w:rsidRDefault="00255CC4" w:rsidP="00255CC4"/>
    <w:p w:rsidR="00255CC4" w:rsidRDefault="00255CC4" w:rsidP="00255CC4">
      <w:r w:rsidRPr="00EA0927">
        <w:t xml:space="preserve">Nabadzības </w:t>
      </w:r>
      <w:r>
        <w:t>līmeņa analīzei</w:t>
      </w:r>
      <w:r w:rsidRPr="00EA0927">
        <w:t xml:space="preserve"> </w:t>
      </w:r>
      <w:r>
        <w:t xml:space="preserve">ir </w:t>
      </w:r>
      <w:r w:rsidRPr="00EA0927">
        <w:t xml:space="preserve">izmantots </w:t>
      </w:r>
      <w:r w:rsidRPr="00686592">
        <w:rPr>
          <w:b/>
        </w:rPr>
        <w:t>nabadzības riska indekss</w:t>
      </w:r>
      <w:r w:rsidRPr="00EA0927">
        <w:t xml:space="preserve">, kas raksturo iedzīvotāju īpatsvaru (procentos), kuru ekvivalentie rīcībā esošie ienākumi ir </w:t>
      </w:r>
      <w:r w:rsidRPr="00844557">
        <w:rPr>
          <w:b/>
        </w:rPr>
        <w:t>zem nabadzība</w:t>
      </w:r>
      <w:r w:rsidR="00EB54AA">
        <w:rPr>
          <w:b/>
        </w:rPr>
        <w:t>s</w:t>
      </w:r>
      <w:r w:rsidRPr="00844557">
        <w:rPr>
          <w:b/>
        </w:rPr>
        <w:t xml:space="preserve"> riska sliekšņa</w:t>
      </w:r>
      <w:r w:rsidRPr="00EA0927">
        <w:t>.</w:t>
      </w:r>
      <w:r w:rsidRPr="00EA0927">
        <w:rPr>
          <w:rStyle w:val="FootnoteReference"/>
        </w:rPr>
        <w:footnoteReference w:id="105"/>
      </w:r>
      <w:r>
        <w:t xml:space="preserve"> Kopējais n</w:t>
      </w:r>
      <w:r w:rsidRPr="00EA0927">
        <w:t xml:space="preserve">abadzības riska indekss </w:t>
      </w:r>
      <w:r>
        <w:t xml:space="preserve">Latvijā laika posmā no 2014. gada līdz 2016. gadam ir bijis svārstīgs. 2016. </w:t>
      </w:r>
      <w:r w:rsidRPr="00EA0927">
        <w:t xml:space="preserve">gadā </w:t>
      </w:r>
      <w:r w:rsidR="003C77DA">
        <w:t>–</w:t>
      </w:r>
      <w:r>
        <w:t xml:space="preserve"> 22,2%, savukārt 2015.</w:t>
      </w:r>
      <w:r w:rsidRPr="00EA0927">
        <w:t xml:space="preserve">gadā </w:t>
      </w:r>
      <w:r w:rsidR="003C77DA">
        <w:t>–</w:t>
      </w:r>
      <w:r>
        <w:t xml:space="preserve"> </w:t>
      </w:r>
      <w:r w:rsidRPr="00EA0927">
        <w:t>21,8%, kas bija kritums</w:t>
      </w:r>
      <w:r>
        <w:t>,</w:t>
      </w:r>
      <w:r w:rsidRPr="00EA0927">
        <w:t xml:space="preserve"> salīdzinot ar 2014.</w:t>
      </w:r>
      <w:r>
        <w:t xml:space="preserve"> </w:t>
      </w:r>
      <w:r w:rsidRPr="00EA0927">
        <w:t>gadu, kad tas bija 22,4%</w:t>
      </w:r>
      <w:r>
        <w:t xml:space="preserve"> (sk.</w:t>
      </w:r>
      <w:r w:rsidR="006E1579">
        <w:t>1.</w:t>
      </w:r>
      <w:r w:rsidR="00446171">
        <w:t>20</w:t>
      </w:r>
      <w:r>
        <w:t>. tabulu)</w:t>
      </w:r>
      <w:r w:rsidRPr="00EA0927">
        <w:t>.</w:t>
      </w:r>
    </w:p>
    <w:bookmarkStart w:id="229" w:name="_Toc6220085"/>
    <w:p w:rsidR="00255CC4" w:rsidRPr="00EA0927" w:rsidRDefault="00AD3EDD" w:rsidP="008C6B83">
      <w:pPr>
        <w:pStyle w:val="Caption"/>
      </w:pPr>
      <w:r>
        <w:fldChar w:fldCharType="begin"/>
      </w:r>
      <w:r w:rsidR="00A46B54">
        <w:instrText xml:space="preserve"> STYLEREF 1 \s </w:instrText>
      </w:r>
      <w:r>
        <w:fldChar w:fldCharType="separate"/>
      </w:r>
      <w:bookmarkStart w:id="230" w:name="_Toc6857659"/>
      <w:r w:rsidR="00224B50">
        <w:rPr>
          <w:noProof/>
        </w:rPr>
        <w:t>1</w:t>
      </w:r>
      <w:r>
        <w:fldChar w:fldCharType="end"/>
      </w:r>
      <w:r w:rsidR="00A46B54">
        <w:t>.</w:t>
      </w:r>
      <w:r w:rsidR="00446171">
        <w:t>20</w:t>
      </w:r>
      <w:r w:rsidR="00255CC4">
        <w:t xml:space="preserve">. </w:t>
      </w:r>
      <w:r w:rsidR="00255CC4" w:rsidRPr="00EA0927">
        <w:t>tabula. Nabadzības riska indekss pē</w:t>
      </w:r>
      <w:r w:rsidR="00255CC4">
        <w:t>c mājsaimniecības tipa, t.sk. pēc vecuma un dzimuma pazīmēm</w:t>
      </w:r>
      <w:r w:rsidR="00255CC4" w:rsidRPr="00EA0927">
        <w:t xml:space="preserve"> (%)</w:t>
      </w:r>
      <w:bookmarkEnd w:id="229"/>
      <w:bookmarkEnd w:id="230"/>
    </w:p>
    <w:tbl>
      <w:tblPr>
        <w:tblStyle w:val="TableGrid"/>
        <w:tblW w:w="9180" w:type="dxa"/>
        <w:tblInd w:w="108" w:type="dxa"/>
        <w:tblLayout w:type="fixed"/>
        <w:tblLook w:val="04A0"/>
      </w:tblPr>
      <w:tblGrid>
        <w:gridCol w:w="5920"/>
        <w:gridCol w:w="1086"/>
        <w:gridCol w:w="1087"/>
        <w:gridCol w:w="1087"/>
      </w:tblGrid>
      <w:tr w:rsidR="00255CC4" w:rsidRPr="00BC22F8" w:rsidTr="00BC22F8">
        <w:trPr>
          <w:trHeight w:val="330"/>
        </w:trPr>
        <w:tc>
          <w:tcPr>
            <w:tcW w:w="5920" w:type="dxa"/>
            <w:shd w:val="clear" w:color="auto" w:fill="B8CCE4" w:themeFill="accent1" w:themeFillTint="66"/>
            <w:noWrap/>
            <w:hideMark/>
          </w:tcPr>
          <w:p w:rsidR="00255CC4" w:rsidRPr="00BC22F8" w:rsidRDefault="00255CC4" w:rsidP="00255CC4">
            <w:pPr>
              <w:pStyle w:val="ListParagraph"/>
              <w:ind w:left="0"/>
              <w:rPr>
                <w:b/>
                <w:bCs/>
                <w:color w:val="002060"/>
                <w:sz w:val="22"/>
                <w:szCs w:val="22"/>
              </w:rPr>
            </w:pPr>
            <w:r w:rsidRPr="00BC22F8">
              <w:rPr>
                <w:b/>
                <w:bCs/>
                <w:color w:val="002060"/>
                <w:sz w:val="22"/>
                <w:szCs w:val="22"/>
              </w:rPr>
              <w:t>Mājsaimniecību tips</w:t>
            </w:r>
          </w:p>
        </w:tc>
        <w:tc>
          <w:tcPr>
            <w:tcW w:w="1086" w:type="dxa"/>
            <w:shd w:val="clear" w:color="auto" w:fill="B8CCE4" w:themeFill="accent1" w:themeFillTint="66"/>
            <w:noWrap/>
            <w:hideMark/>
          </w:tcPr>
          <w:p w:rsidR="00255CC4" w:rsidRPr="00BC22F8" w:rsidRDefault="00255CC4" w:rsidP="00255CC4">
            <w:pPr>
              <w:pStyle w:val="ListParagraph"/>
              <w:ind w:left="0" w:hanging="105"/>
              <w:jc w:val="center"/>
              <w:rPr>
                <w:b/>
                <w:bCs/>
                <w:color w:val="002060"/>
                <w:sz w:val="22"/>
                <w:szCs w:val="22"/>
              </w:rPr>
            </w:pPr>
            <w:r w:rsidRPr="00BC22F8">
              <w:rPr>
                <w:b/>
                <w:bCs/>
                <w:color w:val="002060"/>
                <w:sz w:val="22"/>
                <w:szCs w:val="22"/>
              </w:rPr>
              <w:t>2014</w:t>
            </w:r>
          </w:p>
        </w:tc>
        <w:tc>
          <w:tcPr>
            <w:tcW w:w="1087" w:type="dxa"/>
            <w:shd w:val="clear" w:color="auto" w:fill="B8CCE4" w:themeFill="accent1" w:themeFillTint="66"/>
            <w:noWrap/>
            <w:hideMark/>
          </w:tcPr>
          <w:p w:rsidR="00255CC4" w:rsidRPr="00BC22F8" w:rsidRDefault="00255CC4" w:rsidP="00255CC4">
            <w:pPr>
              <w:pStyle w:val="ListParagraph"/>
              <w:ind w:left="0"/>
              <w:jc w:val="center"/>
              <w:rPr>
                <w:b/>
                <w:bCs/>
                <w:color w:val="002060"/>
                <w:sz w:val="22"/>
                <w:szCs w:val="22"/>
              </w:rPr>
            </w:pPr>
            <w:r w:rsidRPr="00BC22F8">
              <w:rPr>
                <w:b/>
                <w:bCs/>
                <w:color w:val="002060"/>
                <w:sz w:val="22"/>
                <w:szCs w:val="22"/>
              </w:rPr>
              <w:t>2015</w:t>
            </w:r>
          </w:p>
        </w:tc>
        <w:tc>
          <w:tcPr>
            <w:tcW w:w="1087" w:type="dxa"/>
            <w:shd w:val="clear" w:color="auto" w:fill="B8CCE4" w:themeFill="accent1" w:themeFillTint="66"/>
            <w:noWrap/>
            <w:hideMark/>
          </w:tcPr>
          <w:p w:rsidR="00255CC4" w:rsidRPr="00BC22F8" w:rsidRDefault="00255CC4" w:rsidP="00255CC4">
            <w:pPr>
              <w:pStyle w:val="ListParagraph"/>
              <w:ind w:left="0"/>
              <w:jc w:val="center"/>
              <w:rPr>
                <w:b/>
                <w:bCs/>
                <w:color w:val="002060"/>
                <w:sz w:val="22"/>
                <w:szCs w:val="22"/>
              </w:rPr>
            </w:pPr>
            <w:r w:rsidRPr="00BC22F8">
              <w:rPr>
                <w:b/>
                <w:bCs/>
                <w:color w:val="002060"/>
                <w:sz w:val="22"/>
                <w:szCs w:val="22"/>
              </w:rPr>
              <w:t>2016</w:t>
            </w:r>
          </w:p>
        </w:tc>
      </w:tr>
      <w:tr w:rsidR="00255CC4" w:rsidRPr="00281824" w:rsidTr="00255CC4">
        <w:trPr>
          <w:trHeight w:val="330"/>
        </w:trPr>
        <w:tc>
          <w:tcPr>
            <w:tcW w:w="5920" w:type="dxa"/>
            <w:noWrap/>
            <w:hideMark/>
          </w:tcPr>
          <w:p w:rsidR="00255CC4" w:rsidRPr="00281824" w:rsidRDefault="00255CC4" w:rsidP="00255CC4">
            <w:pPr>
              <w:pStyle w:val="ListParagraph"/>
              <w:ind w:left="0" w:firstLine="29"/>
              <w:rPr>
                <w:b/>
                <w:bCs/>
                <w:sz w:val="22"/>
                <w:szCs w:val="22"/>
              </w:rPr>
            </w:pPr>
            <w:r w:rsidRPr="00281824">
              <w:rPr>
                <w:b/>
                <w:bCs/>
                <w:sz w:val="22"/>
                <w:szCs w:val="22"/>
              </w:rPr>
              <w:t>Pavisam</w:t>
            </w:r>
          </w:p>
        </w:tc>
        <w:tc>
          <w:tcPr>
            <w:tcW w:w="1086" w:type="dxa"/>
            <w:noWrap/>
            <w:hideMark/>
          </w:tcPr>
          <w:p w:rsidR="00255CC4" w:rsidRPr="00281824" w:rsidRDefault="00255CC4" w:rsidP="00255CC4">
            <w:pPr>
              <w:pStyle w:val="ListParagraph"/>
              <w:ind w:left="0"/>
              <w:jc w:val="center"/>
              <w:rPr>
                <w:b/>
                <w:bCs/>
                <w:sz w:val="22"/>
                <w:szCs w:val="22"/>
              </w:rPr>
            </w:pPr>
            <w:r w:rsidRPr="00281824">
              <w:rPr>
                <w:b/>
                <w:bCs/>
                <w:sz w:val="22"/>
                <w:szCs w:val="22"/>
              </w:rPr>
              <w:t>22,4</w:t>
            </w:r>
          </w:p>
        </w:tc>
        <w:tc>
          <w:tcPr>
            <w:tcW w:w="1087" w:type="dxa"/>
            <w:noWrap/>
            <w:hideMark/>
          </w:tcPr>
          <w:p w:rsidR="00255CC4" w:rsidRPr="00281824" w:rsidRDefault="00255CC4" w:rsidP="00255CC4">
            <w:pPr>
              <w:pStyle w:val="ListParagraph"/>
              <w:ind w:left="0"/>
              <w:jc w:val="center"/>
              <w:rPr>
                <w:b/>
                <w:bCs/>
                <w:sz w:val="22"/>
                <w:szCs w:val="22"/>
              </w:rPr>
            </w:pPr>
            <w:r w:rsidRPr="00281824">
              <w:rPr>
                <w:b/>
                <w:bCs/>
                <w:sz w:val="22"/>
                <w:szCs w:val="22"/>
              </w:rPr>
              <w:t>21,8</w:t>
            </w:r>
          </w:p>
        </w:tc>
        <w:tc>
          <w:tcPr>
            <w:tcW w:w="1087" w:type="dxa"/>
            <w:noWrap/>
            <w:hideMark/>
          </w:tcPr>
          <w:p w:rsidR="00255CC4" w:rsidRPr="00281824" w:rsidRDefault="00255CC4" w:rsidP="00255CC4">
            <w:pPr>
              <w:pStyle w:val="ListParagraph"/>
              <w:ind w:left="0"/>
              <w:jc w:val="center"/>
              <w:rPr>
                <w:b/>
                <w:bCs/>
                <w:sz w:val="22"/>
                <w:szCs w:val="22"/>
              </w:rPr>
            </w:pPr>
            <w:r w:rsidRPr="00281824">
              <w:rPr>
                <w:b/>
                <w:bCs/>
                <w:sz w:val="22"/>
                <w:szCs w:val="22"/>
              </w:rPr>
              <w:t>22,2</w:t>
            </w:r>
          </w:p>
        </w:tc>
      </w:tr>
      <w:tr w:rsidR="00255CC4" w:rsidRPr="00281824" w:rsidTr="00255CC4">
        <w:trPr>
          <w:trHeight w:val="330"/>
        </w:trPr>
        <w:tc>
          <w:tcPr>
            <w:tcW w:w="5920" w:type="dxa"/>
            <w:noWrap/>
            <w:hideMark/>
          </w:tcPr>
          <w:p w:rsidR="00255CC4" w:rsidRPr="00281824" w:rsidRDefault="00255CC4" w:rsidP="00255CC4">
            <w:pPr>
              <w:pStyle w:val="ListParagraph"/>
              <w:ind w:left="0"/>
              <w:rPr>
                <w:sz w:val="22"/>
                <w:szCs w:val="22"/>
              </w:rPr>
            </w:pPr>
            <w:r w:rsidRPr="00281824">
              <w:rPr>
                <w:sz w:val="22"/>
                <w:szCs w:val="22"/>
              </w:rPr>
              <w:t>Visas mājsaimniecības bez apgādībā esošiem bērniem</w:t>
            </w:r>
          </w:p>
        </w:tc>
        <w:tc>
          <w:tcPr>
            <w:tcW w:w="1086" w:type="dxa"/>
            <w:noWrap/>
            <w:hideMark/>
          </w:tcPr>
          <w:p w:rsidR="00255CC4" w:rsidRPr="00281824" w:rsidRDefault="00255CC4" w:rsidP="00255CC4">
            <w:pPr>
              <w:pStyle w:val="ListParagraph"/>
              <w:ind w:left="0"/>
              <w:jc w:val="center"/>
              <w:rPr>
                <w:sz w:val="22"/>
                <w:szCs w:val="22"/>
              </w:rPr>
            </w:pPr>
            <w:r w:rsidRPr="00281824">
              <w:rPr>
                <w:sz w:val="22"/>
                <w:szCs w:val="22"/>
              </w:rPr>
              <w:t>25,3</w:t>
            </w:r>
          </w:p>
        </w:tc>
        <w:tc>
          <w:tcPr>
            <w:tcW w:w="1087" w:type="dxa"/>
            <w:noWrap/>
            <w:hideMark/>
          </w:tcPr>
          <w:p w:rsidR="00255CC4" w:rsidRPr="00281824" w:rsidRDefault="00255CC4" w:rsidP="00255CC4">
            <w:pPr>
              <w:pStyle w:val="ListParagraph"/>
              <w:ind w:left="0"/>
              <w:jc w:val="center"/>
              <w:rPr>
                <w:sz w:val="22"/>
                <w:szCs w:val="22"/>
              </w:rPr>
            </w:pPr>
            <w:r w:rsidRPr="00281824">
              <w:rPr>
                <w:sz w:val="22"/>
                <w:szCs w:val="22"/>
              </w:rPr>
              <w:t>27,7</w:t>
            </w:r>
          </w:p>
        </w:tc>
        <w:tc>
          <w:tcPr>
            <w:tcW w:w="1087" w:type="dxa"/>
            <w:noWrap/>
            <w:hideMark/>
          </w:tcPr>
          <w:p w:rsidR="00255CC4" w:rsidRPr="00281824" w:rsidRDefault="00255CC4" w:rsidP="00255CC4">
            <w:pPr>
              <w:pStyle w:val="ListParagraph"/>
              <w:ind w:left="0"/>
              <w:jc w:val="center"/>
              <w:rPr>
                <w:sz w:val="22"/>
                <w:szCs w:val="22"/>
              </w:rPr>
            </w:pPr>
            <w:r w:rsidRPr="00281824">
              <w:rPr>
                <w:sz w:val="22"/>
                <w:szCs w:val="22"/>
              </w:rPr>
              <w:t>28,0</w:t>
            </w:r>
          </w:p>
        </w:tc>
      </w:tr>
      <w:tr w:rsidR="00255CC4" w:rsidRPr="00BC22F8" w:rsidTr="00BC22F8">
        <w:trPr>
          <w:trHeight w:val="330"/>
        </w:trPr>
        <w:tc>
          <w:tcPr>
            <w:tcW w:w="9180" w:type="dxa"/>
            <w:gridSpan w:val="4"/>
            <w:shd w:val="clear" w:color="auto" w:fill="B8CCE4" w:themeFill="accent1" w:themeFillTint="66"/>
            <w:noWrap/>
            <w:hideMark/>
          </w:tcPr>
          <w:p w:rsidR="00255CC4" w:rsidRPr="00BC22F8" w:rsidRDefault="00255CC4" w:rsidP="00255CC4">
            <w:pPr>
              <w:pStyle w:val="ListParagraph"/>
              <w:ind w:left="0"/>
              <w:rPr>
                <w:color w:val="002060"/>
                <w:sz w:val="22"/>
                <w:szCs w:val="22"/>
              </w:rPr>
            </w:pPr>
            <w:r w:rsidRPr="00BC22F8">
              <w:rPr>
                <w:b/>
                <w:color w:val="002060"/>
                <w:sz w:val="22"/>
                <w:szCs w:val="22"/>
              </w:rPr>
              <w:t>Vienas personas mājsaimniecības</w:t>
            </w:r>
          </w:p>
        </w:tc>
      </w:tr>
      <w:tr w:rsidR="00255CC4" w:rsidRPr="00281824" w:rsidTr="00255CC4">
        <w:trPr>
          <w:trHeight w:val="330"/>
        </w:trPr>
        <w:tc>
          <w:tcPr>
            <w:tcW w:w="5920" w:type="dxa"/>
            <w:noWrap/>
            <w:hideMark/>
          </w:tcPr>
          <w:p w:rsidR="00255CC4" w:rsidRPr="00281824" w:rsidRDefault="00255CC4" w:rsidP="00255CC4">
            <w:pPr>
              <w:pStyle w:val="ListParagraph"/>
              <w:ind w:left="29"/>
              <w:rPr>
                <w:sz w:val="22"/>
                <w:szCs w:val="22"/>
              </w:rPr>
            </w:pPr>
            <w:r w:rsidRPr="00281824">
              <w:rPr>
                <w:sz w:val="22"/>
                <w:szCs w:val="22"/>
              </w:rPr>
              <w:t>1 personas mājsaimniecības – pavisam</w:t>
            </w:r>
          </w:p>
        </w:tc>
        <w:tc>
          <w:tcPr>
            <w:tcW w:w="1086" w:type="dxa"/>
            <w:noWrap/>
            <w:hideMark/>
          </w:tcPr>
          <w:p w:rsidR="00255CC4" w:rsidRPr="00281824" w:rsidRDefault="00255CC4" w:rsidP="00255CC4">
            <w:pPr>
              <w:pStyle w:val="ListParagraph"/>
              <w:ind w:left="0"/>
              <w:jc w:val="center"/>
              <w:rPr>
                <w:sz w:val="22"/>
                <w:szCs w:val="22"/>
              </w:rPr>
            </w:pPr>
            <w:r w:rsidRPr="00281824">
              <w:rPr>
                <w:sz w:val="22"/>
                <w:szCs w:val="22"/>
              </w:rPr>
              <w:t>50,9</w:t>
            </w:r>
          </w:p>
        </w:tc>
        <w:tc>
          <w:tcPr>
            <w:tcW w:w="1087" w:type="dxa"/>
            <w:noWrap/>
            <w:hideMark/>
          </w:tcPr>
          <w:p w:rsidR="00255CC4" w:rsidRPr="00281824" w:rsidRDefault="00255CC4" w:rsidP="00255CC4">
            <w:pPr>
              <w:pStyle w:val="ListParagraph"/>
              <w:ind w:left="0"/>
              <w:jc w:val="center"/>
              <w:rPr>
                <w:sz w:val="22"/>
                <w:szCs w:val="22"/>
              </w:rPr>
            </w:pPr>
            <w:r w:rsidRPr="00281824">
              <w:rPr>
                <w:sz w:val="22"/>
                <w:szCs w:val="22"/>
              </w:rPr>
              <w:t>55,7</w:t>
            </w:r>
          </w:p>
        </w:tc>
        <w:tc>
          <w:tcPr>
            <w:tcW w:w="1087" w:type="dxa"/>
            <w:noWrap/>
            <w:hideMark/>
          </w:tcPr>
          <w:p w:rsidR="00255CC4" w:rsidRPr="00281824" w:rsidRDefault="00255CC4" w:rsidP="00255CC4">
            <w:pPr>
              <w:pStyle w:val="ListParagraph"/>
              <w:ind w:left="0"/>
              <w:jc w:val="center"/>
              <w:rPr>
                <w:sz w:val="22"/>
                <w:szCs w:val="22"/>
              </w:rPr>
            </w:pPr>
            <w:r w:rsidRPr="00281824">
              <w:rPr>
                <w:sz w:val="22"/>
                <w:szCs w:val="22"/>
              </w:rPr>
              <w:t>54,9</w:t>
            </w:r>
          </w:p>
        </w:tc>
      </w:tr>
      <w:tr w:rsidR="00255CC4" w:rsidRPr="00281824" w:rsidTr="00255CC4">
        <w:trPr>
          <w:trHeight w:val="330"/>
        </w:trPr>
        <w:tc>
          <w:tcPr>
            <w:tcW w:w="5920" w:type="dxa"/>
            <w:noWrap/>
            <w:hideMark/>
          </w:tcPr>
          <w:p w:rsidR="00255CC4" w:rsidRPr="00281824" w:rsidRDefault="00255CC4" w:rsidP="00255CC4">
            <w:pPr>
              <w:pStyle w:val="ListParagraph"/>
              <w:ind w:left="29"/>
              <w:rPr>
                <w:sz w:val="22"/>
                <w:szCs w:val="22"/>
              </w:rPr>
            </w:pPr>
            <w:r w:rsidRPr="00281824">
              <w:rPr>
                <w:sz w:val="22"/>
                <w:szCs w:val="22"/>
              </w:rPr>
              <w:t>1 personas mājsaimniecības – vīrieši</w:t>
            </w:r>
          </w:p>
        </w:tc>
        <w:tc>
          <w:tcPr>
            <w:tcW w:w="1086" w:type="dxa"/>
            <w:noWrap/>
            <w:hideMark/>
          </w:tcPr>
          <w:p w:rsidR="00255CC4" w:rsidRPr="00281824" w:rsidRDefault="00255CC4" w:rsidP="00255CC4">
            <w:pPr>
              <w:pStyle w:val="ListParagraph"/>
              <w:ind w:left="0"/>
              <w:jc w:val="center"/>
              <w:rPr>
                <w:b/>
                <w:color w:val="FF0000"/>
                <w:sz w:val="22"/>
                <w:szCs w:val="22"/>
              </w:rPr>
            </w:pPr>
            <w:r w:rsidRPr="00281824">
              <w:rPr>
                <w:b/>
                <w:color w:val="FF0000"/>
                <w:sz w:val="22"/>
                <w:szCs w:val="22"/>
              </w:rPr>
              <w:t>42,0</w:t>
            </w:r>
          </w:p>
        </w:tc>
        <w:tc>
          <w:tcPr>
            <w:tcW w:w="1087" w:type="dxa"/>
            <w:noWrap/>
            <w:hideMark/>
          </w:tcPr>
          <w:p w:rsidR="00255CC4" w:rsidRPr="00281824" w:rsidRDefault="00255CC4" w:rsidP="00255CC4">
            <w:pPr>
              <w:pStyle w:val="ListParagraph"/>
              <w:ind w:left="0"/>
              <w:jc w:val="center"/>
              <w:rPr>
                <w:b/>
                <w:color w:val="FF0000"/>
                <w:sz w:val="22"/>
                <w:szCs w:val="22"/>
              </w:rPr>
            </w:pPr>
            <w:r w:rsidRPr="00281824">
              <w:rPr>
                <w:b/>
                <w:color w:val="FF0000"/>
                <w:sz w:val="22"/>
                <w:szCs w:val="22"/>
              </w:rPr>
              <w:t>46,1</w:t>
            </w:r>
          </w:p>
        </w:tc>
        <w:tc>
          <w:tcPr>
            <w:tcW w:w="1087" w:type="dxa"/>
            <w:noWrap/>
            <w:hideMark/>
          </w:tcPr>
          <w:p w:rsidR="00255CC4" w:rsidRPr="00281824" w:rsidRDefault="00255CC4" w:rsidP="00255CC4">
            <w:pPr>
              <w:pStyle w:val="ListParagraph"/>
              <w:ind w:left="0"/>
              <w:jc w:val="center"/>
              <w:rPr>
                <w:b/>
                <w:color w:val="FF0000"/>
                <w:sz w:val="22"/>
                <w:szCs w:val="22"/>
              </w:rPr>
            </w:pPr>
            <w:r w:rsidRPr="00281824">
              <w:rPr>
                <w:b/>
                <w:color w:val="FF0000"/>
                <w:sz w:val="22"/>
                <w:szCs w:val="22"/>
              </w:rPr>
              <w:t>47,7</w:t>
            </w:r>
          </w:p>
        </w:tc>
      </w:tr>
      <w:tr w:rsidR="00255CC4" w:rsidRPr="00281824" w:rsidTr="00255CC4">
        <w:trPr>
          <w:trHeight w:val="330"/>
        </w:trPr>
        <w:tc>
          <w:tcPr>
            <w:tcW w:w="5920" w:type="dxa"/>
            <w:noWrap/>
            <w:hideMark/>
          </w:tcPr>
          <w:p w:rsidR="00255CC4" w:rsidRPr="00281824" w:rsidRDefault="00255CC4" w:rsidP="00255CC4">
            <w:pPr>
              <w:pStyle w:val="ListParagraph"/>
              <w:ind w:left="29"/>
              <w:rPr>
                <w:sz w:val="22"/>
                <w:szCs w:val="22"/>
              </w:rPr>
            </w:pPr>
            <w:r w:rsidRPr="00281824">
              <w:rPr>
                <w:sz w:val="22"/>
                <w:szCs w:val="22"/>
              </w:rPr>
              <w:t>1 personas mājsaimniecības – sievietes</w:t>
            </w:r>
          </w:p>
        </w:tc>
        <w:tc>
          <w:tcPr>
            <w:tcW w:w="1086" w:type="dxa"/>
            <w:noWrap/>
            <w:hideMark/>
          </w:tcPr>
          <w:p w:rsidR="00255CC4" w:rsidRPr="00281824" w:rsidRDefault="00255CC4" w:rsidP="00255CC4">
            <w:pPr>
              <w:pStyle w:val="ListParagraph"/>
              <w:ind w:left="0"/>
              <w:jc w:val="center"/>
              <w:rPr>
                <w:b/>
                <w:color w:val="FF0000"/>
                <w:sz w:val="22"/>
                <w:szCs w:val="22"/>
              </w:rPr>
            </w:pPr>
            <w:r w:rsidRPr="00281824">
              <w:rPr>
                <w:b/>
                <w:color w:val="FF0000"/>
                <w:sz w:val="22"/>
                <w:szCs w:val="22"/>
              </w:rPr>
              <w:t>54,9</w:t>
            </w:r>
          </w:p>
        </w:tc>
        <w:tc>
          <w:tcPr>
            <w:tcW w:w="1087" w:type="dxa"/>
            <w:noWrap/>
            <w:hideMark/>
          </w:tcPr>
          <w:p w:rsidR="00255CC4" w:rsidRPr="00281824" w:rsidRDefault="00255CC4" w:rsidP="00255CC4">
            <w:pPr>
              <w:pStyle w:val="ListParagraph"/>
              <w:ind w:left="0"/>
              <w:jc w:val="center"/>
              <w:rPr>
                <w:b/>
                <w:color w:val="FF0000"/>
                <w:sz w:val="22"/>
                <w:szCs w:val="22"/>
              </w:rPr>
            </w:pPr>
            <w:r w:rsidRPr="00281824">
              <w:rPr>
                <w:b/>
                <w:color w:val="FF0000"/>
                <w:sz w:val="22"/>
                <w:szCs w:val="22"/>
              </w:rPr>
              <w:t>60,3</w:t>
            </w:r>
          </w:p>
        </w:tc>
        <w:tc>
          <w:tcPr>
            <w:tcW w:w="1087" w:type="dxa"/>
            <w:noWrap/>
            <w:hideMark/>
          </w:tcPr>
          <w:p w:rsidR="00255CC4" w:rsidRPr="00281824" w:rsidRDefault="00255CC4" w:rsidP="00255CC4">
            <w:pPr>
              <w:pStyle w:val="ListParagraph"/>
              <w:ind w:left="0"/>
              <w:jc w:val="center"/>
              <w:rPr>
                <w:b/>
                <w:color w:val="FF0000"/>
                <w:sz w:val="22"/>
                <w:szCs w:val="22"/>
              </w:rPr>
            </w:pPr>
            <w:r w:rsidRPr="00281824">
              <w:rPr>
                <w:b/>
                <w:color w:val="FF0000"/>
                <w:sz w:val="22"/>
                <w:szCs w:val="22"/>
              </w:rPr>
              <w:t>58,2</w:t>
            </w:r>
          </w:p>
        </w:tc>
      </w:tr>
      <w:tr w:rsidR="00255CC4" w:rsidRPr="00281824" w:rsidTr="00255CC4">
        <w:trPr>
          <w:trHeight w:val="330"/>
        </w:trPr>
        <w:tc>
          <w:tcPr>
            <w:tcW w:w="5920" w:type="dxa"/>
            <w:noWrap/>
            <w:hideMark/>
          </w:tcPr>
          <w:p w:rsidR="00255CC4" w:rsidRPr="009E4D59" w:rsidRDefault="00255CC4" w:rsidP="00255CC4">
            <w:pPr>
              <w:pStyle w:val="ListParagraph"/>
              <w:ind w:left="29"/>
              <w:rPr>
                <w:sz w:val="22"/>
                <w:szCs w:val="22"/>
              </w:rPr>
            </w:pPr>
            <w:r w:rsidRPr="009E4D59">
              <w:rPr>
                <w:sz w:val="22"/>
                <w:szCs w:val="22"/>
              </w:rPr>
              <w:t>1 personas mājsaimniecības līdz 64 gadu vecumam</w:t>
            </w:r>
          </w:p>
        </w:tc>
        <w:tc>
          <w:tcPr>
            <w:tcW w:w="1086" w:type="dxa"/>
            <w:noWrap/>
            <w:hideMark/>
          </w:tcPr>
          <w:p w:rsidR="00255CC4" w:rsidRPr="00281824" w:rsidRDefault="00255CC4" w:rsidP="00255CC4">
            <w:pPr>
              <w:pStyle w:val="ListParagraph"/>
              <w:ind w:left="0"/>
              <w:jc w:val="center"/>
              <w:rPr>
                <w:sz w:val="22"/>
                <w:szCs w:val="22"/>
              </w:rPr>
            </w:pPr>
            <w:r w:rsidRPr="00281824">
              <w:rPr>
                <w:sz w:val="22"/>
                <w:szCs w:val="22"/>
              </w:rPr>
              <w:t>32,3</w:t>
            </w:r>
          </w:p>
        </w:tc>
        <w:tc>
          <w:tcPr>
            <w:tcW w:w="1087" w:type="dxa"/>
            <w:noWrap/>
            <w:hideMark/>
          </w:tcPr>
          <w:p w:rsidR="00255CC4" w:rsidRPr="00281824" w:rsidRDefault="00255CC4" w:rsidP="00255CC4">
            <w:pPr>
              <w:pStyle w:val="ListParagraph"/>
              <w:ind w:left="0"/>
              <w:jc w:val="center"/>
              <w:rPr>
                <w:sz w:val="22"/>
                <w:szCs w:val="22"/>
              </w:rPr>
            </w:pPr>
            <w:r w:rsidRPr="00281824">
              <w:rPr>
                <w:sz w:val="22"/>
                <w:szCs w:val="22"/>
              </w:rPr>
              <w:t>35,2</w:t>
            </w:r>
          </w:p>
        </w:tc>
        <w:tc>
          <w:tcPr>
            <w:tcW w:w="1087" w:type="dxa"/>
            <w:noWrap/>
            <w:hideMark/>
          </w:tcPr>
          <w:p w:rsidR="00255CC4" w:rsidRPr="00281824" w:rsidRDefault="00255CC4" w:rsidP="00255CC4">
            <w:pPr>
              <w:pStyle w:val="ListParagraph"/>
              <w:ind w:left="0"/>
              <w:jc w:val="center"/>
              <w:rPr>
                <w:sz w:val="22"/>
                <w:szCs w:val="22"/>
              </w:rPr>
            </w:pPr>
            <w:r w:rsidRPr="00281824">
              <w:rPr>
                <w:sz w:val="22"/>
                <w:szCs w:val="22"/>
              </w:rPr>
              <w:t>34,9</w:t>
            </w:r>
          </w:p>
        </w:tc>
      </w:tr>
      <w:tr w:rsidR="00255CC4" w:rsidRPr="00281824" w:rsidTr="00255CC4">
        <w:trPr>
          <w:trHeight w:val="330"/>
        </w:trPr>
        <w:tc>
          <w:tcPr>
            <w:tcW w:w="5920" w:type="dxa"/>
            <w:noWrap/>
            <w:hideMark/>
          </w:tcPr>
          <w:p w:rsidR="00255CC4" w:rsidRPr="009E4D59" w:rsidRDefault="00255CC4" w:rsidP="00255CC4">
            <w:pPr>
              <w:pStyle w:val="ListParagraph"/>
              <w:ind w:left="29"/>
              <w:rPr>
                <w:sz w:val="22"/>
                <w:szCs w:val="22"/>
              </w:rPr>
            </w:pPr>
            <w:r w:rsidRPr="009E4D59">
              <w:rPr>
                <w:sz w:val="22"/>
                <w:szCs w:val="22"/>
              </w:rPr>
              <w:t>1 personas mājsaimniecības 65 gadi un vecākas</w:t>
            </w:r>
          </w:p>
        </w:tc>
        <w:tc>
          <w:tcPr>
            <w:tcW w:w="1086" w:type="dxa"/>
            <w:noWrap/>
            <w:hideMark/>
          </w:tcPr>
          <w:p w:rsidR="00255CC4" w:rsidRPr="00281824" w:rsidRDefault="00255CC4" w:rsidP="00255CC4">
            <w:pPr>
              <w:pStyle w:val="ListParagraph"/>
              <w:ind w:left="0"/>
              <w:jc w:val="center"/>
              <w:rPr>
                <w:b/>
                <w:color w:val="FF0000"/>
                <w:sz w:val="22"/>
                <w:szCs w:val="22"/>
              </w:rPr>
            </w:pPr>
            <w:r w:rsidRPr="00281824">
              <w:rPr>
                <w:b/>
                <w:color w:val="FF0000"/>
                <w:sz w:val="22"/>
                <w:szCs w:val="22"/>
              </w:rPr>
              <w:t>67,4</w:t>
            </w:r>
          </w:p>
        </w:tc>
        <w:tc>
          <w:tcPr>
            <w:tcW w:w="1087" w:type="dxa"/>
            <w:noWrap/>
            <w:hideMark/>
          </w:tcPr>
          <w:p w:rsidR="00255CC4" w:rsidRPr="00281824" w:rsidRDefault="00255CC4" w:rsidP="00255CC4">
            <w:pPr>
              <w:pStyle w:val="ListParagraph"/>
              <w:ind w:left="0"/>
              <w:jc w:val="center"/>
              <w:rPr>
                <w:b/>
                <w:color w:val="FF0000"/>
                <w:sz w:val="22"/>
                <w:szCs w:val="22"/>
              </w:rPr>
            </w:pPr>
            <w:r w:rsidRPr="00281824">
              <w:rPr>
                <w:b/>
                <w:color w:val="FF0000"/>
                <w:sz w:val="22"/>
                <w:szCs w:val="22"/>
              </w:rPr>
              <w:t>74,0</w:t>
            </w:r>
          </w:p>
        </w:tc>
        <w:tc>
          <w:tcPr>
            <w:tcW w:w="1087" w:type="dxa"/>
            <w:noWrap/>
            <w:hideMark/>
          </w:tcPr>
          <w:p w:rsidR="00255CC4" w:rsidRPr="00281824" w:rsidRDefault="00255CC4" w:rsidP="00255CC4">
            <w:pPr>
              <w:pStyle w:val="ListParagraph"/>
              <w:ind w:left="0"/>
              <w:jc w:val="center"/>
              <w:rPr>
                <w:b/>
                <w:color w:val="FF0000"/>
                <w:sz w:val="22"/>
                <w:szCs w:val="22"/>
              </w:rPr>
            </w:pPr>
            <w:r w:rsidRPr="00281824">
              <w:rPr>
                <w:b/>
                <w:color w:val="FF0000"/>
                <w:sz w:val="22"/>
                <w:szCs w:val="22"/>
              </w:rPr>
              <w:t>72,8</w:t>
            </w:r>
          </w:p>
        </w:tc>
      </w:tr>
      <w:tr w:rsidR="00255CC4" w:rsidRPr="00281824" w:rsidTr="00BC22F8">
        <w:trPr>
          <w:trHeight w:val="330"/>
        </w:trPr>
        <w:tc>
          <w:tcPr>
            <w:tcW w:w="9180" w:type="dxa"/>
            <w:gridSpan w:val="4"/>
            <w:shd w:val="clear" w:color="auto" w:fill="B8CCE4" w:themeFill="accent1" w:themeFillTint="66"/>
            <w:noWrap/>
            <w:hideMark/>
          </w:tcPr>
          <w:p w:rsidR="00255CC4" w:rsidRPr="00281824" w:rsidRDefault="00255CC4" w:rsidP="00255CC4">
            <w:pPr>
              <w:pStyle w:val="ListParagraph"/>
              <w:ind w:left="0"/>
              <w:rPr>
                <w:sz w:val="22"/>
                <w:szCs w:val="22"/>
              </w:rPr>
            </w:pPr>
            <w:r w:rsidRPr="00281824">
              <w:rPr>
                <w:b/>
                <w:sz w:val="22"/>
                <w:szCs w:val="22"/>
              </w:rPr>
              <w:lastRenderedPageBreak/>
              <w:t>Mājsaimniecības ar bērniem</w:t>
            </w:r>
          </w:p>
        </w:tc>
      </w:tr>
      <w:tr w:rsidR="00255CC4" w:rsidRPr="00281824" w:rsidTr="00255CC4">
        <w:trPr>
          <w:trHeight w:val="330"/>
        </w:trPr>
        <w:tc>
          <w:tcPr>
            <w:tcW w:w="5920" w:type="dxa"/>
            <w:noWrap/>
            <w:hideMark/>
          </w:tcPr>
          <w:p w:rsidR="00255CC4" w:rsidRPr="00281824" w:rsidRDefault="00255CC4" w:rsidP="00255CC4">
            <w:pPr>
              <w:pStyle w:val="ListParagraph"/>
              <w:ind w:left="29"/>
              <w:rPr>
                <w:sz w:val="22"/>
                <w:szCs w:val="22"/>
              </w:rPr>
            </w:pPr>
            <w:r w:rsidRPr="00281824">
              <w:rPr>
                <w:sz w:val="22"/>
                <w:szCs w:val="22"/>
              </w:rPr>
              <w:t>Visas mājsaimniecības ar apgādībā esošiem bērniem</w:t>
            </w:r>
          </w:p>
        </w:tc>
        <w:tc>
          <w:tcPr>
            <w:tcW w:w="1086" w:type="dxa"/>
            <w:noWrap/>
            <w:hideMark/>
          </w:tcPr>
          <w:p w:rsidR="00255CC4" w:rsidRPr="00281824" w:rsidRDefault="00255CC4" w:rsidP="00255CC4">
            <w:pPr>
              <w:pStyle w:val="ListParagraph"/>
              <w:ind w:left="0"/>
              <w:jc w:val="center"/>
              <w:rPr>
                <w:sz w:val="22"/>
                <w:szCs w:val="22"/>
              </w:rPr>
            </w:pPr>
            <w:r w:rsidRPr="00281824">
              <w:rPr>
                <w:sz w:val="22"/>
                <w:szCs w:val="22"/>
              </w:rPr>
              <w:t>19,5</w:t>
            </w:r>
          </w:p>
        </w:tc>
        <w:tc>
          <w:tcPr>
            <w:tcW w:w="1087" w:type="dxa"/>
            <w:noWrap/>
            <w:hideMark/>
          </w:tcPr>
          <w:p w:rsidR="00255CC4" w:rsidRPr="00281824" w:rsidRDefault="00255CC4" w:rsidP="00255CC4">
            <w:pPr>
              <w:pStyle w:val="ListParagraph"/>
              <w:ind w:left="0"/>
              <w:jc w:val="center"/>
              <w:rPr>
                <w:sz w:val="22"/>
                <w:szCs w:val="22"/>
              </w:rPr>
            </w:pPr>
            <w:r w:rsidRPr="00281824">
              <w:rPr>
                <w:sz w:val="22"/>
                <w:szCs w:val="22"/>
              </w:rPr>
              <w:t>16,0</w:t>
            </w:r>
          </w:p>
        </w:tc>
        <w:tc>
          <w:tcPr>
            <w:tcW w:w="1087" w:type="dxa"/>
            <w:noWrap/>
            <w:hideMark/>
          </w:tcPr>
          <w:p w:rsidR="00255CC4" w:rsidRPr="00281824" w:rsidRDefault="00255CC4" w:rsidP="00255CC4">
            <w:pPr>
              <w:pStyle w:val="ListParagraph"/>
              <w:ind w:left="0"/>
              <w:jc w:val="center"/>
              <w:rPr>
                <w:sz w:val="22"/>
                <w:szCs w:val="22"/>
              </w:rPr>
            </w:pPr>
            <w:r w:rsidRPr="00281824">
              <w:rPr>
                <w:sz w:val="22"/>
                <w:szCs w:val="22"/>
              </w:rPr>
              <w:t>16,3</w:t>
            </w:r>
          </w:p>
        </w:tc>
      </w:tr>
      <w:tr w:rsidR="00255CC4" w:rsidRPr="00281824" w:rsidTr="00255CC4">
        <w:trPr>
          <w:trHeight w:val="330"/>
        </w:trPr>
        <w:tc>
          <w:tcPr>
            <w:tcW w:w="5920" w:type="dxa"/>
            <w:noWrap/>
            <w:hideMark/>
          </w:tcPr>
          <w:p w:rsidR="00255CC4" w:rsidRPr="00281824" w:rsidRDefault="00255CC4" w:rsidP="00255CC4">
            <w:pPr>
              <w:pStyle w:val="ListParagraph"/>
              <w:ind w:left="29"/>
              <w:rPr>
                <w:sz w:val="22"/>
                <w:szCs w:val="22"/>
              </w:rPr>
            </w:pPr>
            <w:r w:rsidRPr="00281824">
              <w:rPr>
                <w:sz w:val="22"/>
                <w:szCs w:val="22"/>
              </w:rPr>
              <w:t>1 pieaugušais ar bērniem</w:t>
            </w:r>
          </w:p>
        </w:tc>
        <w:tc>
          <w:tcPr>
            <w:tcW w:w="1086" w:type="dxa"/>
            <w:noWrap/>
            <w:hideMark/>
          </w:tcPr>
          <w:p w:rsidR="00255CC4" w:rsidRPr="00281824" w:rsidRDefault="00255CC4" w:rsidP="00255CC4">
            <w:pPr>
              <w:pStyle w:val="ListParagraph"/>
              <w:ind w:left="0"/>
              <w:jc w:val="center"/>
              <w:rPr>
                <w:b/>
                <w:color w:val="00B050"/>
                <w:sz w:val="22"/>
                <w:szCs w:val="22"/>
              </w:rPr>
            </w:pPr>
            <w:r w:rsidRPr="00281824">
              <w:rPr>
                <w:b/>
                <w:color w:val="00B050"/>
                <w:sz w:val="22"/>
                <w:szCs w:val="22"/>
              </w:rPr>
              <w:t>37,0</w:t>
            </w:r>
          </w:p>
        </w:tc>
        <w:tc>
          <w:tcPr>
            <w:tcW w:w="1087" w:type="dxa"/>
            <w:noWrap/>
            <w:hideMark/>
          </w:tcPr>
          <w:p w:rsidR="00255CC4" w:rsidRPr="00281824" w:rsidRDefault="00255CC4" w:rsidP="00255CC4">
            <w:pPr>
              <w:pStyle w:val="ListParagraph"/>
              <w:ind w:left="0"/>
              <w:jc w:val="center"/>
              <w:rPr>
                <w:b/>
                <w:color w:val="00B050"/>
                <w:sz w:val="22"/>
                <w:szCs w:val="22"/>
              </w:rPr>
            </w:pPr>
            <w:r w:rsidRPr="00281824">
              <w:rPr>
                <w:b/>
                <w:color w:val="00B050"/>
                <w:sz w:val="22"/>
                <w:szCs w:val="22"/>
              </w:rPr>
              <w:t>34,4</w:t>
            </w:r>
          </w:p>
        </w:tc>
        <w:tc>
          <w:tcPr>
            <w:tcW w:w="1087" w:type="dxa"/>
            <w:noWrap/>
            <w:hideMark/>
          </w:tcPr>
          <w:p w:rsidR="00255CC4" w:rsidRPr="00281824" w:rsidRDefault="00255CC4" w:rsidP="00255CC4">
            <w:pPr>
              <w:pStyle w:val="ListParagraph"/>
              <w:ind w:left="0"/>
              <w:jc w:val="center"/>
              <w:rPr>
                <w:b/>
                <w:color w:val="00B050"/>
                <w:sz w:val="22"/>
                <w:szCs w:val="22"/>
              </w:rPr>
            </w:pPr>
            <w:r w:rsidRPr="00281824">
              <w:rPr>
                <w:b/>
                <w:color w:val="00B050"/>
                <w:sz w:val="22"/>
                <w:szCs w:val="22"/>
              </w:rPr>
              <w:t>34,3</w:t>
            </w:r>
          </w:p>
        </w:tc>
      </w:tr>
      <w:tr w:rsidR="00255CC4" w:rsidRPr="00281824" w:rsidTr="00255CC4">
        <w:trPr>
          <w:trHeight w:val="330"/>
        </w:trPr>
        <w:tc>
          <w:tcPr>
            <w:tcW w:w="5920" w:type="dxa"/>
            <w:noWrap/>
            <w:hideMark/>
          </w:tcPr>
          <w:p w:rsidR="00255CC4" w:rsidRPr="00281824" w:rsidRDefault="00255CC4" w:rsidP="00255CC4">
            <w:pPr>
              <w:pStyle w:val="ListParagraph"/>
              <w:ind w:left="29"/>
              <w:rPr>
                <w:sz w:val="22"/>
                <w:szCs w:val="22"/>
              </w:rPr>
            </w:pPr>
            <w:r w:rsidRPr="00281824">
              <w:rPr>
                <w:sz w:val="22"/>
                <w:szCs w:val="22"/>
              </w:rPr>
              <w:t>2 pieaugušie, 1 apgādībā esošs bērns</w:t>
            </w:r>
          </w:p>
        </w:tc>
        <w:tc>
          <w:tcPr>
            <w:tcW w:w="1086" w:type="dxa"/>
            <w:noWrap/>
            <w:hideMark/>
          </w:tcPr>
          <w:p w:rsidR="00255CC4" w:rsidRPr="00281824" w:rsidRDefault="00255CC4" w:rsidP="00255CC4">
            <w:pPr>
              <w:pStyle w:val="ListParagraph"/>
              <w:ind w:left="0"/>
              <w:jc w:val="center"/>
              <w:rPr>
                <w:sz w:val="22"/>
                <w:szCs w:val="22"/>
              </w:rPr>
            </w:pPr>
            <w:r w:rsidRPr="00281824">
              <w:rPr>
                <w:sz w:val="22"/>
                <w:szCs w:val="22"/>
              </w:rPr>
              <w:t>15,1</w:t>
            </w:r>
          </w:p>
        </w:tc>
        <w:tc>
          <w:tcPr>
            <w:tcW w:w="1087" w:type="dxa"/>
            <w:noWrap/>
            <w:hideMark/>
          </w:tcPr>
          <w:p w:rsidR="00255CC4" w:rsidRPr="00281824" w:rsidRDefault="00255CC4" w:rsidP="00255CC4">
            <w:pPr>
              <w:pStyle w:val="ListParagraph"/>
              <w:ind w:left="0"/>
              <w:jc w:val="center"/>
              <w:rPr>
                <w:sz w:val="22"/>
                <w:szCs w:val="22"/>
              </w:rPr>
            </w:pPr>
            <w:r w:rsidRPr="00281824">
              <w:rPr>
                <w:sz w:val="22"/>
                <w:szCs w:val="22"/>
              </w:rPr>
              <w:t>11,2</w:t>
            </w:r>
          </w:p>
        </w:tc>
        <w:tc>
          <w:tcPr>
            <w:tcW w:w="1087" w:type="dxa"/>
            <w:noWrap/>
            <w:hideMark/>
          </w:tcPr>
          <w:p w:rsidR="00255CC4" w:rsidRPr="00281824" w:rsidRDefault="00255CC4" w:rsidP="00255CC4">
            <w:pPr>
              <w:pStyle w:val="ListParagraph"/>
              <w:ind w:left="0"/>
              <w:jc w:val="center"/>
              <w:rPr>
                <w:sz w:val="22"/>
                <w:szCs w:val="22"/>
              </w:rPr>
            </w:pPr>
            <w:r w:rsidRPr="00281824">
              <w:rPr>
                <w:sz w:val="22"/>
                <w:szCs w:val="22"/>
              </w:rPr>
              <w:t>13,4</w:t>
            </w:r>
          </w:p>
        </w:tc>
      </w:tr>
      <w:tr w:rsidR="00255CC4" w:rsidRPr="00281824" w:rsidTr="00255CC4">
        <w:trPr>
          <w:trHeight w:val="330"/>
        </w:trPr>
        <w:tc>
          <w:tcPr>
            <w:tcW w:w="5920" w:type="dxa"/>
            <w:noWrap/>
            <w:hideMark/>
          </w:tcPr>
          <w:p w:rsidR="00255CC4" w:rsidRPr="00281824" w:rsidRDefault="00255CC4" w:rsidP="00255CC4">
            <w:pPr>
              <w:pStyle w:val="ListParagraph"/>
              <w:ind w:left="29"/>
              <w:rPr>
                <w:sz w:val="22"/>
                <w:szCs w:val="22"/>
              </w:rPr>
            </w:pPr>
            <w:r w:rsidRPr="00281824">
              <w:rPr>
                <w:sz w:val="22"/>
                <w:szCs w:val="22"/>
              </w:rPr>
              <w:t>2 pieaugušie, 2 apgādībā esoši bērni</w:t>
            </w:r>
          </w:p>
        </w:tc>
        <w:tc>
          <w:tcPr>
            <w:tcW w:w="1086" w:type="dxa"/>
            <w:noWrap/>
            <w:hideMark/>
          </w:tcPr>
          <w:p w:rsidR="00255CC4" w:rsidRPr="00281824" w:rsidRDefault="00255CC4" w:rsidP="00255CC4">
            <w:pPr>
              <w:pStyle w:val="ListParagraph"/>
              <w:ind w:left="0"/>
              <w:jc w:val="center"/>
              <w:rPr>
                <w:sz w:val="22"/>
                <w:szCs w:val="22"/>
              </w:rPr>
            </w:pPr>
            <w:r w:rsidRPr="00281824">
              <w:rPr>
                <w:sz w:val="22"/>
                <w:szCs w:val="22"/>
              </w:rPr>
              <w:t>15,9</w:t>
            </w:r>
          </w:p>
        </w:tc>
        <w:tc>
          <w:tcPr>
            <w:tcW w:w="1087" w:type="dxa"/>
            <w:noWrap/>
            <w:hideMark/>
          </w:tcPr>
          <w:p w:rsidR="00255CC4" w:rsidRPr="00281824" w:rsidRDefault="00255CC4" w:rsidP="00255CC4">
            <w:pPr>
              <w:pStyle w:val="ListParagraph"/>
              <w:ind w:left="0"/>
              <w:jc w:val="center"/>
              <w:rPr>
                <w:sz w:val="22"/>
                <w:szCs w:val="22"/>
              </w:rPr>
            </w:pPr>
            <w:r w:rsidRPr="00281824">
              <w:rPr>
                <w:sz w:val="22"/>
                <w:szCs w:val="22"/>
              </w:rPr>
              <w:t>14,7</w:t>
            </w:r>
          </w:p>
        </w:tc>
        <w:tc>
          <w:tcPr>
            <w:tcW w:w="1087" w:type="dxa"/>
            <w:noWrap/>
            <w:hideMark/>
          </w:tcPr>
          <w:p w:rsidR="00255CC4" w:rsidRPr="00281824" w:rsidRDefault="00255CC4" w:rsidP="00255CC4">
            <w:pPr>
              <w:pStyle w:val="ListParagraph"/>
              <w:ind w:left="0"/>
              <w:jc w:val="center"/>
              <w:rPr>
                <w:sz w:val="22"/>
                <w:szCs w:val="22"/>
              </w:rPr>
            </w:pPr>
            <w:r w:rsidRPr="00281824">
              <w:rPr>
                <w:sz w:val="22"/>
                <w:szCs w:val="22"/>
              </w:rPr>
              <w:t>14,4</w:t>
            </w:r>
          </w:p>
        </w:tc>
      </w:tr>
      <w:tr w:rsidR="00255CC4" w:rsidRPr="00281824" w:rsidTr="00255CC4">
        <w:trPr>
          <w:trHeight w:val="330"/>
        </w:trPr>
        <w:tc>
          <w:tcPr>
            <w:tcW w:w="5920" w:type="dxa"/>
            <w:noWrap/>
            <w:hideMark/>
          </w:tcPr>
          <w:p w:rsidR="00255CC4" w:rsidRPr="00281824" w:rsidRDefault="00255CC4" w:rsidP="00255CC4">
            <w:pPr>
              <w:pStyle w:val="ListParagraph"/>
              <w:ind w:left="29"/>
              <w:rPr>
                <w:sz w:val="22"/>
                <w:szCs w:val="22"/>
              </w:rPr>
            </w:pPr>
            <w:r w:rsidRPr="00281824">
              <w:rPr>
                <w:sz w:val="22"/>
                <w:szCs w:val="22"/>
              </w:rPr>
              <w:t>2 pieaugušie, 3 un vairāk apgādībā esoši bērni</w:t>
            </w:r>
          </w:p>
        </w:tc>
        <w:tc>
          <w:tcPr>
            <w:tcW w:w="1086" w:type="dxa"/>
            <w:shd w:val="clear" w:color="auto" w:fill="auto"/>
            <w:noWrap/>
            <w:hideMark/>
          </w:tcPr>
          <w:p w:rsidR="00255CC4" w:rsidRPr="00281824" w:rsidRDefault="00255CC4" w:rsidP="00255CC4">
            <w:pPr>
              <w:pStyle w:val="ListParagraph"/>
              <w:ind w:left="0"/>
              <w:jc w:val="center"/>
              <w:rPr>
                <w:b/>
                <w:color w:val="00B050"/>
                <w:sz w:val="22"/>
                <w:szCs w:val="22"/>
              </w:rPr>
            </w:pPr>
            <w:r w:rsidRPr="00281824">
              <w:rPr>
                <w:b/>
                <w:color w:val="00B050"/>
                <w:sz w:val="22"/>
                <w:szCs w:val="22"/>
              </w:rPr>
              <w:t>34,5</w:t>
            </w:r>
          </w:p>
        </w:tc>
        <w:tc>
          <w:tcPr>
            <w:tcW w:w="1087" w:type="dxa"/>
            <w:shd w:val="clear" w:color="auto" w:fill="auto"/>
            <w:noWrap/>
            <w:hideMark/>
          </w:tcPr>
          <w:p w:rsidR="00255CC4" w:rsidRPr="00281824" w:rsidRDefault="00255CC4" w:rsidP="00255CC4">
            <w:pPr>
              <w:pStyle w:val="ListParagraph"/>
              <w:ind w:left="0"/>
              <w:jc w:val="center"/>
              <w:rPr>
                <w:b/>
                <w:color w:val="00B050"/>
                <w:sz w:val="22"/>
                <w:szCs w:val="22"/>
              </w:rPr>
            </w:pPr>
            <w:r w:rsidRPr="00281824">
              <w:rPr>
                <w:b/>
                <w:color w:val="00B050"/>
                <w:sz w:val="22"/>
                <w:szCs w:val="22"/>
              </w:rPr>
              <w:t>25,5</w:t>
            </w:r>
          </w:p>
        </w:tc>
        <w:tc>
          <w:tcPr>
            <w:tcW w:w="1087" w:type="dxa"/>
            <w:shd w:val="clear" w:color="auto" w:fill="auto"/>
            <w:noWrap/>
            <w:hideMark/>
          </w:tcPr>
          <w:p w:rsidR="00255CC4" w:rsidRPr="00281824" w:rsidRDefault="00255CC4" w:rsidP="00255CC4">
            <w:pPr>
              <w:pStyle w:val="ListParagraph"/>
              <w:ind w:left="0"/>
              <w:jc w:val="center"/>
              <w:rPr>
                <w:b/>
                <w:color w:val="00B050"/>
                <w:sz w:val="22"/>
                <w:szCs w:val="22"/>
              </w:rPr>
            </w:pPr>
            <w:r w:rsidRPr="00281824">
              <w:rPr>
                <w:b/>
                <w:color w:val="00B050"/>
                <w:sz w:val="22"/>
                <w:szCs w:val="22"/>
              </w:rPr>
              <w:t>19,8</w:t>
            </w:r>
          </w:p>
        </w:tc>
      </w:tr>
      <w:tr w:rsidR="00255CC4" w:rsidRPr="00281824" w:rsidTr="00255CC4">
        <w:trPr>
          <w:trHeight w:val="330"/>
        </w:trPr>
        <w:tc>
          <w:tcPr>
            <w:tcW w:w="5920" w:type="dxa"/>
            <w:noWrap/>
            <w:hideMark/>
          </w:tcPr>
          <w:p w:rsidR="00255CC4" w:rsidRPr="00281824" w:rsidRDefault="00255CC4" w:rsidP="00255CC4">
            <w:pPr>
              <w:pStyle w:val="ListParagraph"/>
              <w:ind w:left="29"/>
              <w:rPr>
                <w:sz w:val="22"/>
                <w:szCs w:val="22"/>
              </w:rPr>
            </w:pPr>
            <w:r w:rsidRPr="00281824">
              <w:rPr>
                <w:sz w:val="22"/>
                <w:szCs w:val="22"/>
              </w:rPr>
              <w:t>2 vai vairāk pieaugušie ar apgādībā esošiem bērniem</w:t>
            </w:r>
          </w:p>
        </w:tc>
        <w:tc>
          <w:tcPr>
            <w:tcW w:w="1086" w:type="dxa"/>
            <w:noWrap/>
            <w:hideMark/>
          </w:tcPr>
          <w:p w:rsidR="00255CC4" w:rsidRPr="00281824" w:rsidRDefault="00255CC4" w:rsidP="00255CC4">
            <w:pPr>
              <w:pStyle w:val="ListParagraph"/>
              <w:ind w:left="0"/>
              <w:jc w:val="center"/>
              <w:rPr>
                <w:sz w:val="22"/>
                <w:szCs w:val="22"/>
              </w:rPr>
            </w:pPr>
            <w:r w:rsidRPr="00281824">
              <w:rPr>
                <w:sz w:val="22"/>
                <w:szCs w:val="22"/>
              </w:rPr>
              <w:t>17,8</w:t>
            </w:r>
          </w:p>
        </w:tc>
        <w:tc>
          <w:tcPr>
            <w:tcW w:w="1087" w:type="dxa"/>
            <w:noWrap/>
            <w:hideMark/>
          </w:tcPr>
          <w:p w:rsidR="00255CC4" w:rsidRPr="00281824" w:rsidRDefault="00255CC4" w:rsidP="00255CC4">
            <w:pPr>
              <w:pStyle w:val="ListParagraph"/>
              <w:ind w:left="0"/>
              <w:jc w:val="center"/>
              <w:rPr>
                <w:sz w:val="22"/>
                <w:szCs w:val="22"/>
              </w:rPr>
            </w:pPr>
            <w:r w:rsidRPr="00281824">
              <w:rPr>
                <w:sz w:val="22"/>
                <w:szCs w:val="22"/>
              </w:rPr>
              <w:t>17,8</w:t>
            </w:r>
          </w:p>
        </w:tc>
        <w:tc>
          <w:tcPr>
            <w:tcW w:w="1087" w:type="dxa"/>
            <w:noWrap/>
            <w:hideMark/>
          </w:tcPr>
          <w:p w:rsidR="00255CC4" w:rsidRPr="00281824" w:rsidRDefault="00255CC4" w:rsidP="00255CC4">
            <w:pPr>
              <w:pStyle w:val="ListParagraph"/>
              <w:ind w:left="0"/>
              <w:jc w:val="center"/>
              <w:rPr>
                <w:sz w:val="22"/>
                <w:szCs w:val="22"/>
              </w:rPr>
            </w:pPr>
            <w:r w:rsidRPr="00281824">
              <w:rPr>
                <w:sz w:val="22"/>
                <w:szCs w:val="22"/>
              </w:rPr>
              <w:t>17,5</w:t>
            </w:r>
          </w:p>
        </w:tc>
      </w:tr>
      <w:tr w:rsidR="00255CC4" w:rsidRPr="00281824" w:rsidTr="00255CC4">
        <w:trPr>
          <w:trHeight w:val="330"/>
        </w:trPr>
        <w:tc>
          <w:tcPr>
            <w:tcW w:w="5920" w:type="dxa"/>
            <w:noWrap/>
            <w:hideMark/>
          </w:tcPr>
          <w:p w:rsidR="00255CC4" w:rsidRPr="00281824" w:rsidRDefault="00255CC4" w:rsidP="00255CC4">
            <w:pPr>
              <w:pStyle w:val="ListParagraph"/>
              <w:ind w:left="29"/>
              <w:rPr>
                <w:sz w:val="22"/>
                <w:szCs w:val="22"/>
              </w:rPr>
            </w:pPr>
            <w:r w:rsidRPr="00281824">
              <w:rPr>
                <w:sz w:val="22"/>
                <w:szCs w:val="22"/>
              </w:rPr>
              <w:t>3 vai vairāk pieaugušie ar apgādībā esošiem bērniem</w:t>
            </w:r>
          </w:p>
        </w:tc>
        <w:tc>
          <w:tcPr>
            <w:tcW w:w="1086" w:type="dxa"/>
            <w:noWrap/>
            <w:hideMark/>
          </w:tcPr>
          <w:p w:rsidR="00255CC4" w:rsidRPr="00281824" w:rsidRDefault="00255CC4" w:rsidP="00255CC4">
            <w:pPr>
              <w:pStyle w:val="ListParagraph"/>
              <w:ind w:left="0"/>
              <w:jc w:val="center"/>
              <w:rPr>
                <w:sz w:val="22"/>
                <w:szCs w:val="22"/>
              </w:rPr>
            </w:pPr>
            <w:r w:rsidRPr="00281824">
              <w:rPr>
                <w:sz w:val="22"/>
                <w:szCs w:val="22"/>
              </w:rPr>
              <w:t>16,6</w:t>
            </w:r>
          </w:p>
        </w:tc>
        <w:tc>
          <w:tcPr>
            <w:tcW w:w="1087" w:type="dxa"/>
            <w:noWrap/>
            <w:hideMark/>
          </w:tcPr>
          <w:p w:rsidR="00255CC4" w:rsidRPr="00281824" w:rsidRDefault="00255CC4" w:rsidP="00255CC4">
            <w:pPr>
              <w:pStyle w:val="ListParagraph"/>
              <w:ind w:left="0"/>
              <w:jc w:val="center"/>
              <w:rPr>
                <w:sz w:val="22"/>
                <w:szCs w:val="22"/>
              </w:rPr>
            </w:pPr>
            <w:r w:rsidRPr="00281824">
              <w:rPr>
                <w:sz w:val="22"/>
                <w:szCs w:val="22"/>
              </w:rPr>
              <w:t>12,5</w:t>
            </w:r>
          </w:p>
        </w:tc>
        <w:tc>
          <w:tcPr>
            <w:tcW w:w="1087" w:type="dxa"/>
            <w:noWrap/>
            <w:hideMark/>
          </w:tcPr>
          <w:p w:rsidR="00255CC4" w:rsidRPr="00281824" w:rsidRDefault="00255CC4" w:rsidP="00255CC4">
            <w:pPr>
              <w:pStyle w:val="ListParagraph"/>
              <w:ind w:left="0"/>
              <w:jc w:val="center"/>
              <w:rPr>
                <w:sz w:val="22"/>
                <w:szCs w:val="22"/>
              </w:rPr>
            </w:pPr>
            <w:r w:rsidRPr="00281824">
              <w:rPr>
                <w:sz w:val="22"/>
                <w:szCs w:val="22"/>
              </w:rPr>
              <w:t>12,8</w:t>
            </w:r>
          </w:p>
        </w:tc>
      </w:tr>
      <w:tr w:rsidR="00255CC4" w:rsidRPr="00281824" w:rsidTr="00BC22F8">
        <w:trPr>
          <w:trHeight w:val="330"/>
        </w:trPr>
        <w:tc>
          <w:tcPr>
            <w:tcW w:w="9180" w:type="dxa"/>
            <w:gridSpan w:val="4"/>
            <w:shd w:val="clear" w:color="auto" w:fill="B8CCE4" w:themeFill="accent1" w:themeFillTint="66"/>
            <w:noWrap/>
            <w:hideMark/>
          </w:tcPr>
          <w:p w:rsidR="00255CC4" w:rsidRPr="00281824" w:rsidRDefault="00255CC4" w:rsidP="00255CC4">
            <w:pPr>
              <w:pStyle w:val="ListParagraph"/>
              <w:ind w:left="0"/>
              <w:rPr>
                <w:sz w:val="22"/>
                <w:szCs w:val="22"/>
              </w:rPr>
            </w:pPr>
            <w:r w:rsidRPr="00281824">
              <w:rPr>
                <w:b/>
                <w:sz w:val="22"/>
                <w:szCs w:val="22"/>
              </w:rPr>
              <w:t>Mājsaimniecības bez bērniem</w:t>
            </w:r>
          </w:p>
        </w:tc>
      </w:tr>
      <w:tr w:rsidR="00255CC4" w:rsidRPr="00281824" w:rsidTr="00255CC4">
        <w:trPr>
          <w:trHeight w:val="330"/>
        </w:trPr>
        <w:tc>
          <w:tcPr>
            <w:tcW w:w="5920" w:type="dxa"/>
            <w:noWrap/>
            <w:hideMark/>
          </w:tcPr>
          <w:p w:rsidR="00255CC4" w:rsidRPr="00281824" w:rsidRDefault="00255CC4" w:rsidP="00255CC4">
            <w:pPr>
              <w:pStyle w:val="ListParagraph"/>
              <w:ind w:left="29"/>
              <w:rPr>
                <w:sz w:val="22"/>
                <w:szCs w:val="22"/>
              </w:rPr>
            </w:pPr>
            <w:r w:rsidRPr="00281824">
              <w:rPr>
                <w:sz w:val="22"/>
                <w:szCs w:val="22"/>
              </w:rPr>
              <w:t>2 pieaugušie bez apgādībā esošiem bērniem</w:t>
            </w:r>
          </w:p>
        </w:tc>
        <w:tc>
          <w:tcPr>
            <w:tcW w:w="1086" w:type="dxa"/>
            <w:noWrap/>
            <w:hideMark/>
          </w:tcPr>
          <w:p w:rsidR="00255CC4" w:rsidRPr="00281824" w:rsidRDefault="00255CC4" w:rsidP="00255CC4">
            <w:pPr>
              <w:pStyle w:val="ListParagraph"/>
              <w:ind w:left="0"/>
              <w:jc w:val="center"/>
              <w:rPr>
                <w:sz w:val="22"/>
                <w:szCs w:val="22"/>
              </w:rPr>
            </w:pPr>
            <w:r w:rsidRPr="00281824">
              <w:rPr>
                <w:sz w:val="22"/>
                <w:szCs w:val="22"/>
              </w:rPr>
              <w:t>19,1</w:t>
            </w:r>
          </w:p>
        </w:tc>
        <w:tc>
          <w:tcPr>
            <w:tcW w:w="1087" w:type="dxa"/>
            <w:noWrap/>
            <w:hideMark/>
          </w:tcPr>
          <w:p w:rsidR="00255CC4" w:rsidRPr="00281824" w:rsidRDefault="00255CC4" w:rsidP="00255CC4">
            <w:pPr>
              <w:pStyle w:val="ListParagraph"/>
              <w:ind w:left="0"/>
              <w:jc w:val="center"/>
              <w:rPr>
                <w:sz w:val="22"/>
                <w:szCs w:val="22"/>
              </w:rPr>
            </w:pPr>
            <w:r w:rsidRPr="00281824">
              <w:rPr>
                <w:sz w:val="22"/>
                <w:szCs w:val="22"/>
              </w:rPr>
              <w:t>21,4</w:t>
            </w:r>
          </w:p>
        </w:tc>
        <w:tc>
          <w:tcPr>
            <w:tcW w:w="1087" w:type="dxa"/>
            <w:noWrap/>
            <w:hideMark/>
          </w:tcPr>
          <w:p w:rsidR="00255CC4" w:rsidRPr="00281824" w:rsidRDefault="00255CC4" w:rsidP="00255CC4">
            <w:pPr>
              <w:pStyle w:val="ListParagraph"/>
              <w:ind w:left="0"/>
              <w:jc w:val="center"/>
              <w:rPr>
                <w:sz w:val="22"/>
                <w:szCs w:val="22"/>
              </w:rPr>
            </w:pPr>
            <w:r w:rsidRPr="00281824">
              <w:rPr>
                <w:sz w:val="22"/>
                <w:szCs w:val="22"/>
              </w:rPr>
              <w:t>21,3</w:t>
            </w:r>
          </w:p>
        </w:tc>
      </w:tr>
      <w:tr w:rsidR="00255CC4" w:rsidRPr="00281824" w:rsidTr="00255CC4">
        <w:trPr>
          <w:trHeight w:val="330"/>
        </w:trPr>
        <w:tc>
          <w:tcPr>
            <w:tcW w:w="5920" w:type="dxa"/>
            <w:noWrap/>
            <w:hideMark/>
          </w:tcPr>
          <w:p w:rsidR="00255CC4" w:rsidRPr="00281824" w:rsidRDefault="00255CC4" w:rsidP="00255CC4">
            <w:pPr>
              <w:pStyle w:val="ListParagraph"/>
              <w:ind w:left="29"/>
              <w:rPr>
                <w:sz w:val="22"/>
                <w:szCs w:val="22"/>
              </w:rPr>
            </w:pPr>
            <w:r w:rsidRPr="00281824">
              <w:rPr>
                <w:sz w:val="22"/>
                <w:szCs w:val="22"/>
              </w:rPr>
              <w:t>2 pieaugušie bez apgādībā esošiem bērniem (abi jaunāki par 65 gadiem)</w:t>
            </w:r>
          </w:p>
        </w:tc>
        <w:tc>
          <w:tcPr>
            <w:tcW w:w="1086" w:type="dxa"/>
            <w:noWrap/>
            <w:hideMark/>
          </w:tcPr>
          <w:p w:rsidR="00255CC4" w:rsidRPr="00281824" w:rsidRDefault="00255CC4" w:rsidP="00255CC4">
            <w:pPr>
              <w:pStyle w:val="ListParagraph"/>
              <w:ind w:left="0"/>
              <w:jc w:val="center"/>
              <w:rPr>
                <w:sz w:val="22"/>
                <w:szCs w:val="22"/>
              </w:rPr>
            </w:pPr>
            <w:r w:rsidRPr="00281824">
              <w:rPr>
                <w:sz w:val="22"/>
                <w:szCs w:val="22"/>
              </w:rPr>
              <w:t>18,6</w:t>
            </w:r>
          </w:p>
        </w:tc>
        <w:tc>
          <w:tcPr>
            <w:tcW w:w="1087" w:type="dxa"/>
            <w:noWrap/>
            <w:hideMark/>
          </w:tcPr>
          <w:p w:rsidR="00255CC4" w:rsidRPr="00281824" w:rsidRDefault="00255CC4" w:rsidP="00255CC4">
            <w:pPr>
              <w:pStyle w:val="ListParagraph"/>
              <w:ind w:left="0"/>
              <w:jc w:val="center"/>
              <w:rPr>
                <w:sz w:val="22"/>
                <w:szCs w:val="22"/>
              </w:rPr>
            </w:pPr>
            <w:r w:rsidRPr="00281824">
              <w:rPr>
                <w:sz w:val="22"/>
                <w:szCs w:val="22"/>
              </w:rPr>
              <w:t>19,9</w:t>
            </w:r>
          </w:p>
        </w:tc>
        <w:tc>
          <w:tcPr>
            <w:tcW w:w="1087" w:type="dxa"/>
            <w:noWrap/>
            <w:hideMark/>
          </w:tcPr>
          <w:p w:rsidR="00255CC4" w:rsidRPr="00281824" w:rsidRDefault="00255CC4" w:rsidP="00255CC4">
            <w:pPr>
              <w:pStyle w:val="ListParagraph"/>
              <w:ind w:left="0"/>
              <w:jc w:val="center"/>
              <w:rPr>
                <w:sz w:val="22"/>
                <w:szCs w:val="22"/>
              </w:rPr>
            </w:pPr>
            <w:r w:rsidRPr="00281824">
              <w:rPr>
                <w:sz w:val="22"/>
                <w:szCs w:val="22"/>
              </w:rPr>
              <w:t>18,7</w:t>
            </w:r>
          </w:p>
        </w:tc>
      </w:tr>
      <w:tr w:rsidR="00255CC4" w:rsidRPr="00281824" w:rsidTr="00255CC4">
        <w:trPr>
          <w:trHeight w:val="330"/>
        </w:trPr>
        <w:tc>
          <w:tcPr>
            <w:tcW w:w="5920" w:type="dxa"/>
            <w:noWrap/>
            <w:hideMark/>
          </w:tcPr>
          <w:p w:rsidR="00255CC4" w:rsidRPr="00281824" w:rsidRDefault="00255CC4" w:rsidP="00255CC4">
            <w:pPr>
              <w:pStyle w:val="ListParagraph"/>
              <w:ind w:left="29"/>
              <w:rPr>
                <w:sz w:val="22"/>
                <w:szCs w:val="22"/>
              </w:rPr>
            </w:pPr>
            <w:r w:rsidRPr="00281824">
              <w:rPr>
                <w:sz w:val="22"/>
                <w:szCs w:val="22"/>
              </w:rPr>
              <w:t>2 pieaugušie bez apgādībā esošiem bērniem (vismaz viens 65 gadi un vecāks)</w:t>
            </w:r>
          </w:p>
        </w:tc>
        <w:tc>
          <w:tcPr>
            <w:tcW w:w="1086" w:type="dxa"/>
            <w:noWrap/>
            <w:hideMark/>
          </w:tcPr>
          <w:p w:rsidR="00255CC4" w:rsidRPr="00281824" w:rsidRDefault="00255CC4" w:rsidP="00255CC4">
            <w:pPr>
              <w:pStyle w:val="ListParagraph"/>
              <w:ind w:left="0"/>
              <w:jc w:val="center"/>
              <w:rPr>
                <w:b/>
                <w:color w:val="FF0000"/>
                <w:sz w:val="22"/>
                <w:szCs w:val="22"/>
              </w:rPr>
            </w:pPr>
            <w:r w:rsidRPr="00281824">
              <w:rPr>
                <w:b/>
                <w:color w:val="FF0000"/>
                <w:sz w:val="22"/>
                <w:szCs w:val="22"/>
              </w:rPr>
              <w:t>19,8</w:t>
            </w:r>
          </w:p>
        </w:tc>
        <w:tc>
          <w:tcPr>
            <w:tcW w:w="1087" w:type="dxa"/>
            <w:noWrap/>
            <w:hideMark/>
          </w:tcPr>
          <w:p w:rsidR="00255CC4" w:rsidRPr="00281824" w:rsidRDefault="00255CC4" w:rsidP="00255CC4">
            <w:pPr>
              <w:pStyle w:val="ListParagraph"/>
              <w:ind w:left="0"/>
              <w:jc w:val="center"/>
              <w:rPr>
                <w:b/>
                <w:color w:val="FF0000"/>
                <w:sz w:val="22"/>
                <w:szCs w:val="22"/>
              </w:rPr>
            </w:pPr>
            <w:r w:rsidRPr="00281824">
              <w:rPr>
                <w:b/>
                <w:color w:val="FF0000"/>
                <w:sz w:val="22"/>
                <w:szCs w:val="22"/>
              </w:rPr>
              <w:t>23,1</w:t>
            </w:r>
          </w:p>
        </w:tc>
        <w:tc>
          <w:tcPr>
            <w:tcW w:w="1087" w:type="dxa"/>
            <w:noWrap/>
            <w:hideMark/>
          </w:tcPr>
          <w:p w:rsidR="00255CC4" w:rsidRPr="00281824" w:rsidRDefault="00255CC4" w:rsidP="00255CC4">
            <w:pPr>
              <w:pStyle w:val="ListParagraph"/>
              <w:ind w:left="0"/>
              <w:jc w:val="center"/>
              <w:rPr>
                <w:b/>
                <w:color w:val="FF0000"/>
                <w:sz w:val="22"/>
                <w:szCs w:val="22"/>
              </w:rPr>
            </w:pPr>
            <w:r w:rsidRPr="00281824">
              <w:rPr>
                <w:b/>
                <w:color w:val="FF0000"/>
                <w:sz w:val="22"/>
                <w:szCs w:val="22"/>
              </w:rPr>
              <w:t>24,2</w:t>
            </w:r>
          </w:p>
        </w:tc>
      </w:tr>
      <w:tr w:rsidR="00255CC4" w:rsidRPr="00281824" w:rsidTr="00255CC4">
        <w:trPr>
          <w:trHeight w:val="330"/>
        </w:trPr>
        <w:tc>
          <w:tcPr>
            <w:tcW w:w="5920" w:type="dxa"/>
            <w:noWrap/>
            <w:hideMark/>
          </w:tcPr>
          <w:p w:rsidR="00255CC4" w:rsidRPr="00281824" w:rsidRDefault="00255CC4" w:rsidP="00255CC4">
            <w:pPr>
              <w:pStyle w:val="ListParagraph"/>
              <w:ind w:left="29"/>
              <w:rPr>
                <w:sz w:val="22"/>
                <w:szCs w:val="22"/>
              </w:rPr>
            </w:pPr>
            <w:r w:rsidRPr="00281824">
              <w:rPr>
                <w:sz w:val="22"/>
                <w:szCs w:val="22"/>
              </w:rPr>
              <w:t>2 vai vairāk pieaugušie bez apgādībā esošiem bērniem</w:t>
            </w:r>
          </w:p>
        </w:tc>
        <w:tc>
          <w:tcPr>
            <w:tcW w:w="1086" w:type="dxa"/>
            <w:noWrap/>
            <w:hideMark/>
          </w:tcPr>
          <w:p w:rsidR="00255CC4" w:rsidRPr="00281824" w:rsidRDefault="00255CC4" w:rsidP="00255CC4">
            <w:pPr>
              <w:pStyle w:val="ListParagraph"/>
              <w:ind w:left="0"/>
              <w:jc w:val="center"/>
              <w:rPr>
                <w:sz w:val="22"/>
                <w:szCs w:val="22"/>
              </w:rPr>
            </w:pPr>
            <w:r w:rsidRPr="00281824">
              <w:rPr>
                <w:sz w:val="22"/>
                <w:szCs w:val="22"/>
              </w:rPr>
              <w:t>16,3</w:t>
            </w:r>
          </w:p>
        </w:tc>
        <w:tc>
          <w:tcPr>
            <w:tcW w:w="1087" w:type="dxa"/>
            <w:noWrap/>
            <w:hideMark/>
          </w:tcPr>
          <w:p w:rsidR="00255CC4" w:rsidRPr="00281824" w:rsidRDefault="00255CC4" w:rsidP="00255CC4">
            <w:pPr>
              <w:pStyle w:val="ListParagraph"/>
              <w:ind w:left="0"/>
              <w:jc w:val="center"/>
              <w:rPr>
                <w:sz w:val="22"/>
                <w:szCs w:val="22"/>
              </w:rPr>
            </w:pPr>
            <w:r w:rsidRPr="00281824">
              <w:rPr>
                <w:sz w:val="22"/>
                <w:szCs w:val="22"/>
              </w:rPr>
              <w:t>14,0</w:t>
            </w:r>
          </w:p>
        </w:tc>
        <w:tc>
          <w:tcPr>
            <w:tcW w:w="1087" w:type="dxa"/>
            <w:noWrap/>
            <w:hideMark/>
          </w:tcPr>
          <w:p w:rsidR="00255CC4" w:rsidRPr="00281824" w:rsidRDefault="00255CC4" w:rsidP="00255CC4">
            <w:pPr>
              <w:pStyle w:val="ListParagraph"/>
              <w:ind w:left="0"/>
              <w:jc w:val="center"/>
              <w:rPr>
                <w:sz w:val="22"/>
                <w:szCs w:val="22"/>
              </w:rPr>
            </w:pPr>
            <w:r w:rsidRPr="00281824">
              <w:rPr>
                <w:sz w:val="22"/>
                <w:szCs w:val="22"/>
              </w:rPr>
              <w:t>14,2</w:t>
            </w:r>
          </w:p>
        </w:tc>
      </w:tr>
      <w:tr w:rsidR="00255CC4" w:rsidRPr="00281824" w:rsidTr="00255CC4">
        <w:trPr>
          <w:trHeight w:val="330"/>
        </w:trPr>
        <w:tc>
          <w:tcPr>
            <w:tcW w:w="5920" w:type="dxa"/>
            <w:noWrap/>
            <w:hideMark/>
          </w:tcPr>
          <w:p w:rsidR="00255CC4" w:rsidRPr="00281824" w:rsidRDefault="00255CC4" w:rsidP="00255CC4">
            <w:pPr>
              <w:pStyle w:val="ListParagraph"/>
              <w:ind w:left="29"/>
              <w:rPr>
                <w:sz w:val="22"/>
                <w:szCs w:val="22"/>
              </w:rPr>
            </w:pPr>
            <w:r w:rsidRPr="00281824">
              <w:rPr>
                <w:sz w:val="22"/>
                <w:szCs w:val="22"/>
              </w:rPr>
              <w:t>3 vai vairāk pieaugušie bez apgādībā esošiem bērniem</w:t>
            </w:r>
          </w:p>
        </w:tc>
        <w:tc>
          <w:tcPr>
            <w:tcW w:w="1086" w:type="dxa"/>
            <w:noWrap/>
            <w:hideMark/>
          </w:tcPr>
          <w:p w:rsidR="00255CC4" w:rsidRPr="00281824" w:rsidRDefault="00255CC4" w:rsidP="00255CC4">
            <w:pPr>
              <w:pStyle w:val="ListParagraph"/>
              <w:ind w:left="0"/>
              <w:jc w:val="center"/>
              <w:rPr>
                <w:sz w:val="22"/>
                <w:szCs w:val="22"/>
              </w:rPr>
            </w:pPr>
            <w:r w:rsidRPr="00281824">
              <w:rPr>
                <w:sz w:val="22"/>
                <w:szCs w:val="22"/>
              </w:rPr>
              <w:t>11,3</w:t>
            </w:r>
          </w:p>
        </w:tc>
        <w:tc>
          <w:tcPr>
            <w:tcW w:w="1087" w:type="dxa"/>
            <w:noWrap/>
            <w:hideMark/>
          </w:tcPr>
          <w:p w:rsidR="00255CC4" w:rsidRPr="00281824" w:rsidRDefault="00255CC4" w:rsidP="00255CC4">
            <w:pPr>
              <w:pStyle w:val="ListParagraph"/>
              <w:ind w:left="0"/>
              <w:jc w:val="center"/>
              <w:rPr>
                <w:sz w:val="22"/>
                <w:szCs w:val="22"/>
              </w:rPr>
            </w:pPr>
            <w:r w:rsidRPr="00281824">
              <w:rPr>
                <w:sz w:val="22"/>
                <w:szCs w:val="22"/>
              </w:rPr>
              <w:t>11,6</w:t>
            </w:r>
          </w:p>
        </w:tc>
        <w:tc>
          <w:tcPr>
            <w:tcW w:w="1087" w:type="dxa"/>
            <w:noWrap/>
            <w:hideMark/>
          </w:tcPr>
          <w:p w:rsidR="00255CC4" w:rsidRPr="00281824" w:rsidRDefault="00255CC4" w:rsidP="00255CC4">
            <w:pPr>
              <w:pStyle w:val="ListParagraph"/>
              <w:ind w:left="0"/>
              <w:jc w:val="center"/>
              <w:rPr>
                <w:sz w:val="22"/>
                <w:szCs w:val="22"/>
              </w:rPr>
            </w:pPr>
            <w:r w:rsidRPr="00281824">
              <w:rPr>
                <w:sz w:val="22"/>
                <w:szCs w:val="22"/>
              </w:rPr>
              <w:t>10,2</w:t>
            </w:r>
          </w:p>
        </w:tc>
      </w:tr>
    </w:tbl>
    <w:p w:rsidR="00255CC4" w:rsidRDefault="00255CC4" w:rsidP="00255CC4">
      <w:pPr>
        <w:pStyle w:val="ListParagraph"/>
        <w:ind w:left="0"/>
        <w:rPr>
          <w:sz w:val="20"/>
          <w:szCs w:val="20"/>
        </w:rPr>
      </w:pPr>
      <w:r w:rsidRPr="00764037">
        <w:rPr>
          <w:sz w:val="20"/>
          <w:szCs w:val="20"/>
        </w:rPr>
        <w:t>Avots: CSP, “NIG050. Nabadzības riska indekss pēc mājsaimniecības tipa (%)”.</w:t>
      </w:r>
    </w:p>
    <w:p w:rsidR="00680FCD" w:rsidRDefault="00680FCD" w:rsidP="00255CC4">
      <w:pPr>
        <w:rPr>
          <w:rFonts w:eastAsia="Times New Roman"/>
          <w:u w:val="single"/>
        </w:rPr>
      </w:pPr>
    </w:p>
    <w:p w:rsidR="008C60A0" w:rsidRDefault="008C60A0" w:rsidP="008C60A0">
      <w:r>
        <w:t xml:space="preserve">Vērtējot nabadzības riska indeksa vērtību izmaiņas, jāņem vērā to aprēķināšanas metodikas ietekmi uz iegūto rezultātu. </w:t>
      </w:r>
      <w:r w:rsidRPr="00680FCD">
        <w:t>LU Sociālo un polit</w:t>
      </w:r>
      <w:r>
        <w:t xml:space="preserve">isko pētījumu institūta pētnieks M.Niklass vērš uzmanību uz to, kā Latvijā, salīdzinot ar citām ES valstīm, ir mainījies nabadzības riska indekss dažādos laika posmos pēc ekonomiskās recesijas 2009. – 2010. gadā, secinot, ka šis rādītājs ir mazinformatīvs personas </w:t>
      </w:r>
      <w:r w:rsidRPr="003C77DA">
        <w:t>reāl</w:t>
      </w:r>
      <w:r>
        <w:t>ās</w:t>
      </w:r>
      <w:r w:rsidRPr="003C77DA">
        <w:t xml:space="preserve"> materiāl</w:t>
      </w:r>
      <w:r>
        <w:t>ās</w:t>
      </w:r>
      <w:r w:rsidRPr="003C77DA">
        <w:t xml:space="preserve"> nenodrošinātīb</w:t>
      </w:r>
      <w:r>
        <w:t>as</w:t>
      </w:r>
      <w:r w:rsidRPr="003C77DA">
        <w:t xml:space="preserve"> (</w:t>
      </w:r>
      <w:r w:rsidRPr="003C77DA">
        <w:rPr>
          <w:i/>
        </w:rPr>
        <w:t>material deprivation</w:t>
      </w:r>
      <w:r>
        <w:t>) – ierobežotās iespējas iegādāties pirmās nepieciešamības preces un pakalpojumus – raksturošanai</w:t>
      </w:r>
      <w:r>
        <w:rPr>
          <w:rStyle w:val="FootnoteReference"/>
        </w:rPr>
        <w:footnoteReference w:id="106"/>
      </w:r>
      <w:r>
        <w:t>. Veicot nabadzības riska indeksa izmaiņu analīzi, M. Niklass norāda, ka gadījumos, ja</w:t>
      </w:r>
      <w:r w:rsidRPr="005F42C6">
        <w:t xml:space="preserve"> vidējais atalgojums </w:t>
      </w:r>
      <w:r>
        <w:t xml:space="preserve">valstī </w:t>
      </w:r>
      <w:r w:rsidRPr="005F42C6">
        <w:t>ir neliels, tad arī mediāna</w:t>
      </w:r>
      <w:r>
        <w:t>, kura tiek izmantota par atskaites punktu rādītāja aprēķināšanai,</w:t>
      </w:r>
      <w:r w:rsidRPr="005F42C6">
        <w:t xml:space="preserve"> ir maza</w:t>
      </w:r>
      <w:r>
        <w:t>, tāpēc</w:t>
      </w:r>
      <w:r w:rsidRPr="005F42C6">
        <w:t xml:space="preserve"> nabadzības riska slieksnis ir zems</w:t>
      </w:r>
      <w:r>
        <w:t xml:space="preserve">. Tā rezultātā Latvijā laika posmā 2009. – 2012. gads, kad </w:t>
      </w:r>
      <w:r w:rsidRPr="00743D0F">
        <w:t>kopējā ekonomiskā situācija pasliktinājās</w:t>
      </w:r>
      <w:r>
        <w:t xml:space="preserve"> un reālās darba algas bija zemākas</w:t>
      </w:r>
      <w:r w:rsidRPr="00743D0F">
        <w:t xml:space="preserve">, strādājošo </w:t>
      </w:r>
      <w:r>
        <w:t xml:space="preserve">personu </w:t>
      </w:r>
      <w:r w:rsidRPr="00743D0F">
        <w:t>nabadzības riska indekss samazinājās, tādējādi nespējot raksturot reālo situāciju. Tā vietā auto</w:t>
      </w:r>
      <w:r>
        <w:t>r</w:t>
      </w:r>
      <w:r w:rsidRPr="00743D0F">
        <w:t>s piedāvā izmantot materiālās nenodrošinātības indeksu, kas EU-SILC apsekojumā ietver noteiktu preču un pakalpojumu iegādes iespēju, t.i., mēra personas ierobežojumus iegādāties noteiktas preču grupas</w:t>
      </w:r>
      <w:r>
        <w:t xml:space="preserve">, </w:t>
      </w:r>
      <w:r w:rsidRPr="00172FE7">
        <w:t>ir mazākā mērā atkarīgi no attiecīgās valsts ienākumu līmeņa un atšķirībām,</w:t>
      </w:r>
      <w:r>
        <w:t xml:space="preserve"> kā arī no nodokļu sloga</w:t>
      </w:r>
      <w:r w:rsidRPr="00743D0F">
        <w:rPr>
          <w:rStyle w:val="FootnoteReference"/>
        </w:rPr>
        <w:footnoteReference w:id="107"/>
      </w:r>
      <w:r w:rsidRPr="00743D0F">
        <w:t>.</w:t>
      </w:r>
      <w:r>
        <w:t xml:space="preserve"> </w:t>
      </w:r>
      <w:r w:rsidRPr="00680FCD">
        <w:rPr>
          <w:rFonts w:eastAsia="Times New Roman"/>
        </w:rPr>
        <w:t>Neskatoties uz iepriekš minēto rādītāja kritiku</w:t>
      </w:r>
      <w:r>
        <w:t>, nabadzības riska indekss šobrīd joprojām tiek izmantots par vienu no būtiskā</w:t>
      </w:r>
      <w:r w:rsidR="00C548CE">
        <w:t>k</w:t>
      </w:r>
      <w:r>
        <w:t>ajiem rādītājiem nabadzības raksturošanai, tādējādi turpinājumā ir aplūkotas šī indeksa vērtības dažādos sociāli demogrāfiskajos griezumos.</w:t>
      </w:r>
    </w:p>
    <w:p w:rsidR="008C60A0" w:rsidRDefault="008C60A0" w:rsidP="00255CC4"/>
    <w:p w:rsidR="00255CC4" w:rsidRDefault="00255CC4" w:rsidP="00255CC4">
      <w:r>
        <w:t>Analizējot</w:t>
      </w:r>
      <w:r w:rsidR="008C6B83">
        <w:t xml:space="preserve"> </w:t>
      </w:r>
      <w:r w:rsidR="006E1579">
        <w:t>1.</w:t>
      </w:r>
      <w:r w:rsidR="00446171">
        <w:t>20</w:t>
      </w:r>
      <w:r w:rsidR="00680FCD">
        <w:t xml:space="preserve">. tabulā aplūkoto </w:t>
      </w:r>
      <w:r>
        <w:t xml:space="preserve">nabadzības riska indeksu sadalījumā pēc </w:t>
      </w:r>
      <w:r w:rsidRPr="00764037">
        <w:rPr>
          <w:b/>
        </w:rPr>
        <w:t>mājsaimniecības tipa pazīmes</w:t>
      </w:r>
      <w:r>
        <w:t>, konstatējams, ka v</w:t>
      </w:r>
      <w:r w:rsidRPr="00EA0927">
        <w:t xml:space="preserve">islielākais nabadzības </w:t>
      </w:r>
      <w:r>
        <w:t xml:space="preserve">riska </w:t>
      </w:r>
      <w:r w:rsidRPr="00EA0927">
        <w:t>indeks</w:t>
      </w:r>
      <w:r>
        <w:t>s 2016.</w:t>
      </w:r>
      <w:r w:rsidR="00F216C6">
        <w:t xml:space="preserve"> </w:t>
      </w:r>
      <w:r w:rsidRPr="00EA0927">
        <w:t>gadā bija vienas personas mājsaimniecībai</w:t>
      </w:r>
      <w:r>
        <w:t xml:space="preserve"> vecumā virs 65 gadiem. Š</w:t>
      </w:r>
      <w:r w:rsidRPr="00EA0927">
        <w:t>ādas mājsaimniecības nabad</w:t>
      </w:r>
      <w:r>
        <w:t xml:space="preserve">zības riska indekss bija 72,8%, kas nozīmē, ka </w:t>
      </w:r>
      <w:r w:rsidRPr="00281824">
        <w:rPr>
          <w:b/>
        </w:rPr>
        <w:t>72,8% atsevišķi dzīvojošu senioru</w:t>
      </w:r>
      <w:r>
        <w:rPr>
          <w:b/>
        </w:rPr>
        <w:t xml:space="preserve"> ekvivalentie rīcībā esošie ienākumi </w:t>
      </w:r>
      <w:r w:rsidRPr="00281824">
        <w:rPr>
          <w:b/>
        </w:rPr>
        <w:t>2016.gadā</w:t>
      </w:r>
      <w:r>
        <w:t xml:space="preserve"> </w:t>
      </w:r>
      <w:r w:rsidRPr="007133FE">
        <w:rPr>
          <w:b/>
        </w:rPr>
        <w:t>bija zem nabadzības riska sliekšņa</w:t>
      </w:r>
      <w:r>
        <w:t xml:space="preserve">. Vienlaikus šo datu interpretācijā jāņem vērā, ka tie </w:t>
      </w:r>
      <w:r>
        <w:lastRenderedPageBreak/>
        <w:t>ir aprēķināti, piemērojot OECD modificēto ekvivalences skalu (1; 0,5; 0,3), kas Latvijas situācijai ir pielietojama ar ierobežojumiem, ņemot vērā CSP datus</w:t>
      </w:r>
      <w:r>
        <w:rPr>
          <w:rStyle w:val="FootnoteReference"/>
        </w:rPr>
        <w:footnoteReference w:id="108"/>
      </w:r>
      <w:r>
        <w:t xml:space="preserve"> par patēriņa izdevumiem uz vienu mājsaimniecības locekli (2016. gadā pārtika tika tērēti 24,8%, apģērbam un apaviem 6,9%, veselības aprūpei 4,9%, mājoklim 19,1%, atpūtai un kultūrai 7,9%, kas ir izdevumu pozīcijas, kuras attiecināmas arī bērniem un liecina, ka patēriņš uz vienu bērnu visdrīzāk ir augstāk</w:t>
      </w:r>
      <w:r w:rsidR="00F216C6">
        <w:t>s</w:t>
      </w:r>
      <w:r>
        <w:t xml:space="preserve"> par 30% no pirmās personas mājsaimniecībā). Tas nozīmē, ka ģimenēm ar bērniem nabadzības riska indekss pēc reālās ekvivalences skalas būtu augstāks. Vienlaikus dati rada pamatu pieņēmumam, ka nabadzības riska rādītāju mājsaimniecībās ietekmē ne tikai personu skaits un vecums, bet arī ienākumu avots. Piemēram, ja salīdzina vienas personas mājsaimniecības kopumā un viena pieaugušā ar bērnu/-iem mājsaimniecības, tad nabadzības riska indekss augstāks ir vienas personas mājsaimniecībām (2016. gadā – 54,9%), vienas personas vecumā virs 65 gadiem mājsaimniecībās tas ir 72,8%,  kamēr </w:t>
      </w:r>
      <w:r w:rsidRPr="00967C07">
        <w:t xml:space="preserve">viena </w:t>
      </w:r>
      <w:r w:rsidR="00BA1727">
        <w:t xml:space="preserve">vecāka mājsaimniecībās </w:t>
      </w:r>
      <w:r w:rsidRPr="00967C07">
        <w:t>tas ir 34,3%. Piemērojot citu ekvivalences skalu, kurā bērniem</w:t>
      </w:r>
      <w:r>
        <w:t xml:space="preserve"> piešķirtais koeficients būtu augstāk</w:t>
      </w:r>
      <w:r w:rsidR="00E21C32">
        <w:t>s</w:t>
      </w:r>
      <w:r>
        <w:t xml:space="preserve">, arī nabadzības riska rādītājs būtu augstāks, taču visdrīzāk nesasniegtu 54,9% līmeni. Tas skaidrojams ar to, ka viena </w:t>
      </w:r>
      <w:r w:rsidR="00BA1727">
        <w:t xml:space="preserve">vecāka mājsaimniecību </w:t>
      </w:r>
      <w:r>
        <w:t xml:space="preserve">ienākumus mēnesī pamatā veido ienākumi no algota darba un visdrīzāk arī ģimenes valsts pabalsts. Savukārt vienas personas virs 65 gadiem mājsaimniecību gadījumā tās pamatā ir vecuma pensijas, kas ietekmē arī kopējos vienas personas mājsaimniecību rādītāju, ņemot vērā, ka šajā grupā ietilpst liela daļa pirmspensijas un pensijas vecuma personas, kurām ir caurmērā zemāki ienākumi nekā strādājošajiem iedzīvotājiem. </w:t>
      </w:r>
    </w:p>
    <w:p w:rsidR="00255CC4" w:rsidRPr="00EA0927" w:rsidRDefault="00255CC4" w:rsidP="00255CC4">
      <w:pPr>
        <w:pStyle w:val="ListParagraph"/>
        <w:ind w:left="0"/>
        <w:rPr>
          <w:u w:val="single"/>
        </w:rPr>
      </w:pPr>
    </w:p>
    <w:p w:rsidR="00255CC4" w:rsidRDefault="00255CC4" w:rsidP="00255CC4">
      <w:r>
        <w:t>Viszemākais nabadzības risks</w:t>
      </w:r>
      <w:r w:rsidRPr="00EA0927">
        <w:t xml:space="preserve"> </w:t>
      </w:r>
      <w:r>
        <w:t xml:space="preserve">(2016. gadā – 10,2%) Izvērtējuma periodā bija vairāku paaudžu pieaugušo personu ģimenēm, t.i., </w:t>
      </w:r>
      <w:r w:rsidRPr="00EA0927">
        <w:t>mājsaimniecīb</w:t>
      </w:r>
      <w:r>
        <w:t>ām</w:t>
      </w:r>
      <w:r w:rsidRPr="00EA0927">
        <w:t xml:space="preserve">, kurās ir </w:t>
      </w:r>
      <w:r>
        <w:t>trīs</w:t>
      </w:r>
      <w:r w:rsidRPr="00EA0927">
        <w:t xml:space="preserve"> vai vairāk pieaugušie bez apgādībā esošiem bērniem. </w:t>
      </w:r>
      <w:r>
        <w:t xml:space="preserve">Savukārt visaugstākais nabadzības risks bija divu pieaugušo mājsaimniecībām, kurās vismaz vienam no tās locekļiem ir vairāk nekā 65 gadi, attiecīgi šajā grupā nabadzības riska indekss 2016. gadā sasniedza 24,2%, paaugstinoties par 4,4, procentpunktiem kopš 2014. gada. </w:t>
      </w:r>
      <w:r w:rsidR="00F216C6">
        <w:t>Tas rāda, ka e</w:t>
      </w:r>
      <w:r w:rsidR="00140D2A">
        <w:t xml:space="preserve">konomiskie riski tiek pārdalīti mājsaimniecības locekļu ietvaros. </w:t>
      </w:r>
    </w:p>
    <w:p w:rsidR="00255CC4" w:rsidRDefault="00255CC4" w:rsidP="00255CC4"/>
    <w:p w:rsidR="00255CC4" w:rsidRPr="00696446" w:rsidRDefault="00255CC4" w:rsidP="00255CC4">
      <w:r w:rsidRPr="009E4D59">
        <w:rPr>
          <w:b/>
        </w:rPr>
        <w:t>Straujākais nabadzības riska indeksa kritums no 2014.</w:t>
      </w:r>
      <w:r>
        <w:rPr>
          <w:b/>
        </w:rPr>
        <w:t xml:space="preserve"> </w:t>
      </w:r>
      <w:r w:rsidRPr="009E4D59">
        <w:rPr>
          <w:b/>
        </w:rPr>
        <w:t>gada līdz 2016.</w:t>
      </w:r>
      <w:r>
        <w:rPr>
          <w:b/>
        </w:rPr>
        <w:t xml:space="preserve"> </w:t>
      </w:r>
      <w:r w:rsidRPr="009E4D59">
        <w:rPr>
          <w:b/>
        </w:rPr>
        <w:t>gadam bijis daudzbērnu ģimenēm</w:t>
      </w:r>
      <w:r>
        <w:t>, t.i.,</w:t>
      </w:r>
      <w:r w:rsidRPr="00EA0927">
        <w:t xml:space="preserve"> mājsaimniecībām, kurās ir </w:t>
      </w:r>
      <w:r>
        <w:t>divi</w:t>
      </w:r>
      <w:r w:rsidRPr="00EA0927">
        <w:t xml:space="preserve"> pieaugušie, </w:t>
      </w:r>
      <w:r>
        <w:t>trīs</w:t>
      </w:r>
      <w:r w:rsidRPr="00EA0927">
        <w:t xml:space="preserve"> un vairāk apgādībā esoši bērni</w:t>
      </w:r>
      <w:r>
        <w:t>. Šīm mājsaimniecībām konstatēts 14,7 procentpunktu</w:t>
      </w:r>
      <w:r w:rsidRPr="00EA0927">
        <w:t xml:space="preserve"> kri</w:t>
      </w:r>
      <w:r>
        <w:t>t</w:t>
      </w:r>
      <w:r w:rsidRPr="00EA0927">
        <w:t>ums nabadzības</w:t>
      </w:r>
      <w:r>
        <w:t xml:space="preserve"> riska</w:t>
      </w:r>
      <w:r w:rsidRPr="00EA0927">
        <w:t xml:space="preserve"> indeksa</w:t>
      </w:r>
      <w:r>
        <w:t xml:space="preserve"> vērtībai</w:t>
      </w:r>
      <w:r w:rsidRPr="00EA0927">
        <w:t xml:space="preserve">, </w:t>
      </w:r>
      <w:r>
        <w:t xml:space="preserve">savukārt </w:t>
      </w:r>
      <w:r w:rsidRPr="00696446">
        <w:rPr>
          <w:b/>
        </w:rPr>
        <w:t>straujākais kāpums šajā periodā 5,7 procentpunktu apmērā bijis mājsaimniecībās, kurās dzīvo viens vīrietis</w:t>
      </w:r>
      <w:r w:rsidRPr="00696446">
        <w:t xml:space="preserve">. </w:t>
      </w:r>
    </w:p>
    <w:p w:rsidR="00255CC4" w:rsidRDefault="00255CC4" w:rsidP="00255CC4"/>
    <w:p w:rsidR="00255CC4" w:rsidRDefault="00452E24" w:rsidP="00255CC4">
      <w:r>
        <w:t>Jāņem vērā, ka t</w:t>
      </w:r>
      <w:r w:rsidR="00255CC4" w:rsidRPr="00E26EEE">
        <w:t>urpinājumā nabadzības riska indeksa analīzē izmantotie dati citos griezumos (reģions, dzimums, vecums, izglītība, nodarbošanās), izņemot mājsaimniecības tipu, ir balstīti uz aprēķiniem par vienu pieaugušo mājsaimniecības locekli, kuram piemērots koeficients 1. Vecumā grupā līdz 18 gadiem, ņemot vērā EU SILC apsekojumā izmantoto kopējo metodiku datu aprēķinos, piemērojot OECD modificēto ekvivalences skalu, bērniem vecumā līdz 14 gadiem piemērots koeficients 0,3, bērniem vecumā virs 14 gadiem – koeficients 0,5.</w:t>
      </w:r>
      <w:r w:rsidR="00255CC4">
        <w:t xml:space="preserve"> </w:t>
      </w:r>
    </w:p>
    <w:p w:rsidR="00255CC4" w:rsidRDefault="00255CC4" w:rsidP="00255CC4"/>
    <w:p w:rsidR="00255CC4" w:rsidRDefault="00255CC4" w:rsidP="00255CC4">
      <w:r>
        <w:lastRenderedPageBreak/>
        <w:t xml:space="preserve">Analizējot nabadzības riska indeksa vērtības </w:t>
      </w:r>
      <w:r w:rsidRPr="001776BA">
        <w:rPr>
          <w:b/>
        </w:rPr>
        <w:t>r</w:t>
      </w:r>
      <w:r w:rsidRPr="009E4D59">
        <w:rPr>
          <w:b/>
        </w:rPr>
        <w:t>eģionu griezumā</w:t>
      </w:r>
      <w:r>
        <w:rPr>
          <w:b/>
        </w:rPr>
        <w:t>,</w:t>
      </w:r>
      <w:r>
        <w:t xml:space="preserve"> </w:t>
      </w:r>
      <w:r w:rsidRPr="00696446">
        <w:rPr>
          <w:b/>
        </w:rPr>
        <w:t>pozitīvā nozīmē izceļas Rīga un Pierīga</w:t>
      </w:r>
      <w:r>
        <w:t>, kur nabadzības riska indekss visā Izvērtējuma periodā ir bijis zemāks nekā citos reģionos (sk.</w:t>
      </w:r>
      <w:r w:rsidR="008C6B83">
        <w:t xml:space="preserve"> </w:t>
      </w:r>
      <w:r w:rsidR="006E1579">
        <w:t>1.10</w:t>
      </w:r>
      <w:r>
        <w:t xml:space="preserve">. attēlu). Savukārt, visaugstākais tas bijis </w:t>
      </w:r>
      <w:r w:rsidRPr="00B464AB">
        <w:rPr>
          <w:b/>
        </w:rPr>
        <w:t>Latgales reģionā</w:t>
      </w:r>
      <w:r>
        <w:t xml:space="preserve">, kur tas ievērojami pārsniedz citu reģionu nabadzības riska indeksa vērtības (par vairāk nekā 10 procentpunktiem). Vienlaikus tieši Latgales reģionā vērojama, kaut arī neliela, tomēr pozitīva tendence šim rādītājam samazināties no 40,4% 2014. gadā līdz 37,7% 2016. gadā, kas ir kritums par 2,7 procentpunktiem. Šāda tendence novērojama vēl tikai Pierīgas reģionā. </w:t>
      </w:r>
    </w:p>
    <w:bookmarkStart w:id="231" w:name="_Toc6220086"/>
    <w:p w:rsidR="00255CC4" w:rsidRPr="002809B6" w:rsidRDefault="00AD3EDD" w:rsidP="002809B6">
      <w:pPr>
        <w:spacing w:before="240" w:after="120"/>
        <w:rPr>
          <w:b/>
          <w:color w:val="002060"/>
        </w:rPr>
      </w:pPr>
      <w:r w:rsidRPr="002809B6">
        <w:rPr>
          <w:b/>
          <w:color w:val="002060"/>
        </w:rPr>
        <w:fldChar w:fldCharType="begin"/>
      </w:r>
      <w:r w:rsidR="006B5456" w:rsidRPr="002809B6">
        <w:rPr>
          <w:b/>
          <w:color w:val="002060"/>
        </w:rPr>
        <w:instrText xml:space="preserve"> STYLEREF 1 \s </w:instrText>
      </w:r>
      <w:r w:rsidRPr="002809B6">
        <w:rPr>
          <w:b/>
          <w:color w:val="002060"/>
        </w:rPr>
        <w:fldChar w:fldCharType="separate"/>
      </w:r>
      <w:bookmarkStart w:id="232" w:name="_Toc6855764"/>
      <w:r w:rsidR="00224B50">
        <w:rPr>
          <w:b/>
          <w:noProof/>
          <w:color w:val="002060"/>
        </w:rPr>
        <w:t>1</w:t>
      </w:r>
      <w:r w:rsidRPr="002809B6">
        <w:rPr>
          <w:b/>
          <w:color w:val="002060"/>
        </w:rPr>
        <w:fldChar w:fldCharType="end"/>
      </w:r>
      <w:r w:rsidR="006B5456" w:rsidRPr="002809B6">
        <w:rPr>
          <w:b/>
          <w:color w:val="002060"/>
        </w:rPr>
        <w:t>.</w:t>
      </w:r>
      <w:r w:rsidRPr="002809B6">
        <w:rPr>
          <w:b/>
          <w:color w:val="002060"/>
        </w:rPr>
        <w:fldChar w:fldCharType="begin"/>
      </w:r>
      <w:r w:rsidR="000F1524" w:rsidRPr="002809B6">
        <w:rPr>
          <w:b/>
          <w:color w:val="002060"/>
        </w:rPr>
        <w:instrText xml:space="preserve"> SEQ Ilustrācija \* ARABIC \s 1 </w:instrText>
      </w:r>
      <w:r w:rsidRPr="002809B6">
        <w:rPr>
          <w:b/>
          <w:color w:val="002060"/>
        </w:rPr>
        <w:fldChar w:fldCharType="separate"/>
      </w:r>
      <w:r w:rsidR="00224B50">
        <w:rPr>
          <w:b/>
          <w:noProof/>
          <w:color w:val="002060"/>
        </w:rPr>
        <w:t>10</w:t>
      </w:r>
      <w:r w:rsidRPr="002809B6">
        <w:rPr>
          <w:b/>
          <w:color w:val="002060"/>
        </w:rPr>
        <w:fldChar w:fldCharType="end"/>
      </w:r>
      <w:r w:rsidR="00255CC4" w:rsidRPr="002809B6">
        <w:rPr>
          <w:b/>
          <w:color w:val="002060"/>
        </w:rPr>
        <w:t>. attēls. Nabadzības riska indekss Latvijas reģionos (2014 - 2016) (%)</w:t>
      </w:r>
      <w:bookmarkEnd w:id="231"/>
      <w:bookmarkEnd w:id="232"/>
    </w:p>
    <w:p w:rsidR="00255CC4" w:rsidRPr="00EA0927" w:rsidRDefault="00AD3EDD" w:rsidP="00255CC4">
      <w:r w:rsidRPr="00AD3EDD">
        <w:rPr>
          <w:noProof/>
          <w:lang w:val="en-US" w:eastAsia="zh-TW"/>
        </w:rPr>
        <w:pict>
          <v:shapetype id="_x0000_t202" coordsize="21600,21600" o:spt="202" path="m,l,21600r21600,l21600,xe">
            <v:stroke joinstyle="miter"/>
            <v:path gradientshapeok="t" o:connecttype="rect"/>
          </v:shapetype>
          <v:shape id="Text Box 4" o:spid="_x0000_s1026" type="#_x0000_t202" style="position:absolute;left:0;text-align:left;margin-left:35.4pt;margin-top:40.4pt;width:97.35pt;height: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" stroked="f">
            <v:textbox>
              <w:txbxContent>
                <w:p w:rsidR="00224B50" w:rsidRPr="00441392" w:rsidRDefault="00224B50" w:rsidP="00255CC4">
                  <w:pPr>
                    <w:jc w:val="left"/>
                    <w:rPr>
                      <w:rFonts w:asciiTheme="minorHAnsi" w:hAnsiTheme="minorHAnsi"/>
                      <w:sz w:val="20"/>
                      <w:szCs w:val="20"/>
                    </w:rPr>
                  </w:pPr>
                  <w:r w:rsidRPr="00441392">
                    <w:rPr>
                      <w:rFonts w:asciiTheme="minorHAnsi" w:hAnsiTheme="minorHAnsi"/>
                      <w:sz w:val="20"/>
                      <w:szCs w:val="20"/>
                    </w:rPr>
                    <w:t>Vidēji valstī no 2014.-2016.g. 22,1%</w:t>
                  </w:r>
                </w:p>
              </w:txbxContent>
            </v:textbox>
          </v:shape>
        </w:pict>
      </w:r>
      <w:r w:rsidRPr="00AD3EDD">
        <w:rPr>
          <w:noProof/>
          <w:color w:val="FF0000"/>
        </w:rPr>
        <w:pict>
          <v:shapetype id="_x0000_t32" coordsize="21600,21600" o:spt="32" o:oned="t" path="m,l21600,21600e" filled="f">
            <v:path arrowok="t" fillok="f" o:connecttype="none"/>
            <o:lock v:ext="edit" shapetype="t"/>
          </v:shapetype>
          <v:shape id="AutoShape 3" o:spid="_x0000_s1031" type="#_x0000_t32" style="position:absolute;left:0;text-align:left;margin-left:30.6pt;margin-top:102.65pt;width:360.7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" strokecolor="#c00000" strokeweight="1.5pt">
            <v:stroke dashstyle="dash"/>
          </v:shape>
        </w:pict>
      </w:r>
      <w:r w:rsidR="00255CC4">
        <w:rPr>
          <w:noProof/>
        </w:rPr>
        <w:drawing>
          <wp:inline distT="0" distB="0" distL="0" distR="0">
            <wp:extent cx="4991100" cy="3076575"/>
            <wp:effectExtent l="1905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00" cy="3076575"/>
                    </a:xfrm>
                    <a:prstGeom prst="rect">
                      <a:avLst/>
                    </a:prstGeom>
                    <a:noFill/>
                  </pic:spPr>
                </pic:pic>
              </a:graphicData>
            </a:graphic>
          </wp:inline>
        </w:drawing>
      </w:r>
    </w:p>
    <w:p w:rsidR="00255CC4" w:rsidRDefault="00255CC4" w:rsidP="00DE4D97">
      <w:pPr>
        <w:pStyle w:val="avotiemft10"/>
        <w:rPr>
          <w:shd w:val="clear" w:color="auto" w:fill="FFFFFF"/>
        </w:rPr>
      </w:pPr>
      <w:bookmarkStart w:id="233" w:name="_Toc6841542"/>
      <w:r w:rsidRPr="00AB7A9E">
        <w:t>Avots: CSP, “</w:t>
      </w:r>
      <w:r w:rsidRPr="00AB7A9E">
        <w:rPr>
          <w:shd w:val="clear" w:color="auto" w:fill="FFFFFF"/>
        </w:rPr>
        <w:t>NIG150. Nabadzības riska indekss Latvijas reģionos pēc vecuma un dzimuma (%)”.</w:t>
      </w:r>
      <w:bookmarkEnd w:id="233"/>
    </w:p>
    <w:p w:rsidR="00373D88" w:rsidRPr="00C94377" w:rsidRDefault="00373D88" w:rsidP="00C94377">
      <w:pPr>
        <w:pStyle w:val="avotiemft10"/>
        <w:rPr>
          <w:shd w:val="clear" w:color="auto" w:fill="FFFFFF"/>
        </w:rPr>
      </w:pPr>
    </w:p>
    <w:p w:rsidR="00373D88" w:rsidRDefault="00373D88" w:rsidP="00DE4D97">
      <w:r>
        <w:t>1.11</w:t>
      </w:r>
      <w:r w:rsidRPr="005A1125">
        <w:t>. attēlā ir atspoguļoti kopējie dati par nabadzības riska indeksa vērtībām</w:t>
      </w:r>
      <w:r>
        <w:t xml:space="preserve"> sadalījumā pēc vecuma un dzimuma pazīmēm, kas uzskatāmi parāda, ka </w:t>
      </w:r>
      <w:r w:rsidRPr="006939D6">
        <w:rPr>
          <w:b/>
        </w:rPr>
        <w:t>augstākam nabadzības riskam ir pakļautas sievietes vecumā virs 65 gadiem</w:t>
      </w:r>
      <w:r>
        <w:t>. Turklāt, palielinoties personu vecumam, pieaug arī nabadzības riska indekss. Salīdzinot šo rādītāju ar nabadzības riska indeksu sadalījumā pēc mājsaimniecību tipiem, var izd</w:t>
      </w:r>
      <w:r w:rsidR="00C548CE">
        <w:t>a</w:t>
      </w:r>
      <w:r>
        <w:t xml:space="preserve">rīt pieņēmumu, ka tas ir saistīts arī ar augstāku vidējo dzīvildzi sievietēm, kas, savukārt, nozīmē to, ka, palielinoties vecumam, palielinās arī to sieviešu īpatsvars, kas dzīvo vienas (vienas personas mājsaimniecības, īpaši sieviešu grupā un vecumā virs 65 gadiem, ir pakļautas augstākajiem nabadzības riskiem, sk. 1.17. tabulu). Vecāko sieviešu grupā nabadzības riska indeksa vērtības ir augstākas visā analīzes periodā, būdamas par 16 līdz pat 17,8 procentpunktiem lielākas, nekā tas ir vīriešu grupā. Citās vecuma grupās atšķirības starp sievietēm un vīriešiem nav tik ievērojamas, indeksa vērtības abu dzimumu grupās ir ļoti tuvas. Zemākās indeksa vērtības, salīdzinot dažādas vecuma grupas, ir vecuma grupā no 25 līdz 49 gadiem, pēc tam arvien straujāk pieaugot, palielinoties vecumam. </w:t>
      </w:r>
    </w:p>
    <w:p w:rsidR="00373D88" w:rsidRPr="00AB7A9E" w:rsidRDefault="00373D88" w:rsidP="00F23726">
      <w:pPr>
        <w:pStyle w:val="avotiemft10"/>
        <w:outlineLvl w:val="0"/>
        <w:rPr>
          <w:shd w:val="clear" w:color="auto" w:fill="FFFFFF"/>
        </w:rPr>
      </w:pPr>
    </w:p>
    <w:p w:rsidR="002809B6" w:rsidRDefault="002809B6">
      <w:pPr>
        <w:spacing w:line="240" w:lineRule="auto"/>
        <w:jc w:val="left"/>
        <w:rPr>
          <w:b/>
          <w:color w:val="002060"/>
        </w:rPr>
      </w:pPr>
      <w:bookmarkStart w:id="234" w:name="_Toc6220087"/>
      <w:r>
        <w:rPr>
          <w:b/>
          <w:color w:val="002060"/>
        </w:rPr>
        <w:br w:type="page"/>
      </w:r>
    </w:p>
    <w:p w:rsidR="00255CC4" w:rsidRPr="002809B6" w:rsidRDefault="00AD3EDD" w:rsidP="002809B6">
      <w:pPr>
        <w:spacing w:before="240" w:after="120"/>
        <w:jc w:val="left"/>
        <w:rPr>
          <w:b/>
          <w:color w:val="002060"/>
        </w:rPr>
      </w:pPr>
      <w:r w:rsidRPr="002809B6">
        <w:rPr>
          <w:b/>
          <w:color w:val="002060"/>
        </w:rPr>
        <w:lastRenderedPageBreak/>
        <w:fldChar w:fldCharType="begin"/>
      </w:r>
      <w:r w:rsidR="006B5456" w:rsidRPr="002809B6">
        <w:rPr>
          <w:b/>
          <w:color w:val="002060"/>
        </w:rPr>
        <w:instrText xml:space="preserve"> STYLEREF 1 \s </w:instrText>
      </w:r>
      <w:r w:rsidRPr="002809B6">
        <w:rPr>
          <w:b/>
          <w:color w:val="002060"/>
        </w:rPr>
        <w:fldChar w:fldCharType="separate"/>
      </w:r>
      <w:bookmarkStart w:id="235" w:name="_Toc6855765"/>
      <w:r w:rsidR="00224B50">
        <w:rPr>
          <w:b/>
          <w:noProof/>
          <w:color w:val="002060"/>
        </w:rPr>
        <w:t>1</w:t>
      </w:r>
      <w:r w:rsidRPr="002809B6">
        <w:rPr>
          <w:b/>
          <w:color w:val="002060"/>
        </w:rPr>
        <w:fldChar w:fldCharType="end"/>
      </w:r>
      <w:r w:rsidR="006B5456" w:rsidRPr="002809B6">
        <w:rPr>
          <w:b/>
          <w:color w:val="002060"/>
        </w:rPr>
        <w:t>.</w:t>
      </w:r>
      <w:r w:rsidRPr="002809B6">
        <w:rPr>
          <w:b/>
          <w:color w:val="002060"/>
        </w:rPr>
        <w:fldChar w:fldCharType="begin"/>
      </w:r>
      <w:r w:rsidR="000F1524" w:rsidRPr="002809B6">
        <w:rPr>
          <w:b/>
          <w:color w:val="002060"/>
        </w:rPr>
        <w:instrText xml:space="preserve"> SEQ Ilustrācija \* ARABIC \s 1 </w:instrText>
      </w:r>
      <w:r w:rsidRPr="002809B6">
        <w:rPr>
          <w:b/>
          <w:color w:val="002060"/>
        </w:rPr>
        <w:fldChar w:fldCharType="separate"/>
      </w:r>
      <w:r w:rsidR="00224B50">
        <w:rPr>
          <w:b/>
          <w:noProof/>
          <w:color w:val="002060"/>
        </w:rPr>
        <w:t>11</w:t>
      </w:r>
      <w:r w:rsidRPr="002809B6">
        <w:rPr>
          <w:b/>
          <w:color w:val="002060"/>
        </w:rPr>
        <w:fldChar w:fldCharType="end"/>
      </w:r>
      <w:r w:rsidR="00255CC4" w:rsidRPr="002809B6">
        <w:rPr>
          <w:b/>
          <w:color w:val="002060"/>
        </w:rPr>
        <w:t>. attēls. Nabadzības riska indekss pēc vecuma un dzimuma (2014 – 2016, %)</w:t>
      </w:r>
      <w:bookmarkEnd w:id="234"/>
      <w:bookmarkEnd w:id="235"/>
    </w:p>
    <w:p w:rsidR="00255CC4" w:rsidRDefault="00255CC4" w:rsidP="00255CC4">
      <w:pPr>
        <w:pStyle w:val="ListParagraph"/>
        <w:ind w:left="0"/>
      </w:pPr>
      <w:r w:rsidRPr="00A45EC5">
        <w:rPr>
          <w:noProof/>
        </w:rPr>
        <w:drawing>
          <wp:inline distT="0" distB="0" distL="0" distR="0">
            <wp:extent cx="4476750" cy="6185717"/>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4479241" cy="6189159"/>
                    </a:xfrm>
                    <a:prstGeom prst="rect">
                      <a:avLst/>
                    </a:prstGeom>
                    <a:noFill/>
                    <a:ln w="9525">
                      <a:noFill/>
                      <a:miter lim="800000"/>
                      <a:headEnd/>
                      <a:tailEnd/>
                    </a:ln>
                  </pic:spPr>
                </pic:pic>
              </a:graphicData>
            </a:graphic>
          </wp:inline>
        </w:drawing>
      </w:r>
    </w:p>
    <w:p w:rsidR="00255CC4" w:rsidRPr="00AB7A9E" w:rsidRDefault="00255CC4" w:rsidP="00DE4D97">
      <w:pPr>
        <w:pStyle w:val="avotiemft10"/>
      </w:pPr>
      <w:bookmarkStart w:id="236" w:name="_Toc6841543"/>
      <w:r w:rsidRPr="00AB7A9E">
        <w:t xml:space="preserve">Avots: </w:t>
      </w:r>
      <w:r w:rsidRPr="00AB7A9E">
        <w:rPr>
          <w:shd w:val="clear" w:color="auto" w:fill="FFFFFF"/>
        </w:rPr>
        <w:t>NIG030. Nabadzības riska indekss pēc vecuma un dzimuma (%)</w:t>
      </w:r>
      <w:bookmarkEnd w:id="236"/>
    </w:p>
    <w:p w:rsidR="00255CC4" w:rsidRDefault="00255CC4" w:rsidP="00255CC4">
      <w:pPr>
        <w:pStyle w:val="ListParagraph"/>
        <w:ind w:left="0"/>
      </w:pPr>
      <w:bookmarkStart w:id="237" w:name="_Ref872799"/>
    </w:p>
    <w:p w:rsidR="008C60A0" w:rsidRDefault="008C60A0" w:rsidP="00255CC4"/>
    <w:p w:rsidR="00255CC4" w:rsidRDefault="00255CC4" w:rsidP="00255CC4">
      <w:r w:rsidRPr="00EA0927">
        <w:t xml:space="preserve">Nabadzības risks ir tieši </w:t>
      </w:r>
      <w:r>
        <w:t>saistīts ar</w:t>
      </w:r>
      <w:r w:rsidRPr="00EA0927">
        <w:t xml:space="preserve"> personas </w:t>
      </w:r>
      <w:r w:rsidRPr="00844557">
        <w:rPr>
          <w:b/>
        </w:rPr>
        <w:t>izglītība</w:t>
      </w:r>
      <w:r>
        <w:rPr>
          <w:b/>
        </w:rPr>
        <w:t>s līmeni</w:t>
      </w:r>
      <w:r>
        <w:t xml:space="preserve"> (sk.</w:t>
      </w:r>
      <w:r w:rsidR="008C6B83">
        <w:t xml:space="preserve"> </w:t>
      </w:r>
      <w:r w:rsidR="006E1579">
        <w:t>1.2</w:t>
      </w:r>
      <w:r w:rsidR="00446171">
        <w:t>1</w:t>
      </w:r>
      <w:r>
        <w:t>. tabulu)</w:t>
      </w:r>
      <w:r w:rsidRPr="00EA0927">
        <w:t>. Dati rāda</w:t>
      </w:r>
      <w:r>
        <w:t>,</w:t>
      </w:r>
      <w:r w:rsidRPr="00EA0927">
        <w:t xml:space="preserve"> ka 2016.</w:t>
      </w:r>
      <w:r>
        <w:t xml:space="preserve"> </w:t>
      </w:r>
      <w:r w:rsidRPr="00EA0927">
        <w:t xml:space="preserve">gadā personām ar pirmsskolas, sākumskolas vai pamatskolas izglītību nabadzības </w:t>
      </w:r>
      <w:r>
        <w:t xml:space="preserve">riska </w:t>
      </w:r>
      <w:r w:rsidRPr="00EA0927">
        <w:t xml:space="preserve">indekss </w:t>
      </w:r>
      <w:r>
        <w:t>bija</w:t>
      </w:r>
      <w:r w:rsidRPr="00EA0927">
        <w:t xml:space="preserve"> 28,9%, kamēr </w:t>
      </w:r>
      <w:r>
        <w:t>iedzīvotājiem ar</w:t>
      </w:r>
      <w:r w:rsidRPr="00EA0927">
        <w:t xml:space="preserve"> augstāk</w:t>
      </w:r>
      <w:r>
        <w:t>o</w:t>
      </w:r>
      <w:r w:rsidRPr="00EA0927">
        <w:t xml:space="preserve"> izglītīb</w:t>
      </w:r>
      <w:r>
        <w:t>u</w:t>
      </w:r>
      <w:r w:rsidRPr="00EA0927">
        <w:t xml:space="preserve"> – </w:t>
      </w:r>
      <w:r>
        <w:t xml:space="preserve">tikai </w:t>
      </w:r>
      <w:r w:rsidRPr="00EA0927">
        <w:t xml:space="preserve">5%. </w:t>
      </w:r>
      <w:r>
        <w:t xml:space="preserve">Kopējā tendence ir skaidri redzama – </w:t>
      </w:r>
      <w:r w:rsidRPr="00C22BC2">
        <w:rPr>
          <w:b/>
        </w:rPr>
        <w:t>jo zemāks iz</w:t>
      </w:r>
      <w:r>
        <w:rPr>
          <w:b/>
        </w:rPr>
        <w:t>g</w:t>
      </w:r>
      <w:r w:rsidRPr="00C22BC2">
        <w:rPr>
          <w:b/>
        </w:rPr>
        <w:t>lītības līmenis, jo augstāks nabadzības riska indekss</w:t>
      </w:r>
      <w:r>
        <w:t>. Jāpievērš uzmanība tam</w:t>
      </w:r>
      <w:r w:rsidRPr="00EA0927">
        <w:t xml:space="preserve">, ka </w:t>
      </w:r>
      <w:r>
        <w:t>rādītājam</w:t>
      </w:r>
      <w:r w:rsidRPr="00EA0927">
        <w:t xml:space="preserve"> pamatskolas un augstākās izglītības </w:t>
      </w:r>
      <w:r>
        <w:t>līmenī</w:t>
      </w:r>
      <w:r w:rsidRPr="00EA0927">
        <w:t xml:space="preserve"> ir tendence kristies attiecīgi par 5,5</w:t>
      </w:r>
      <w:r>
        <w:t xml:space="preserve"> procentpunktiem</w:t>
      </w:r>
      <w:r w:rsidRPr="00EA0927">
        <w:t xml:space="preserve"> un 1,8</w:t>
      </w:r>
      <w:r>
        <w:t xml:space="preserve"> procentpunktiem</w:t>
      </w:r>
      <w:r w:rsidRPr="00EA0927">
        <w:t>, bet vidējās izglītības gadījumā šajā posmā redzams 0,8</w:t>
      </w:r>
      <w:r>
        <w:t xml:space="preserve"> procentpunktu</w:t>
      </w:r>
      <w:r w:rsidRPr="00EA0927">
        <w:t xml:space="preserve"> pieaugums.</w:t>
      </w:r>
    </w:p>
    <w:bookmarkStart w:id="238" w:name="_Toc6220088"/>
    <w:p w:rsidR="00255CC4" w:rsidRPr="00EA0927" w:rsidRDefault="00AD3EDD" w:rsidP="008C6B83">
      <w:pPr>
        <w:pStyle w:val="Caption"/>
      </w:pPr>
      <w:r>
        <w:lastRenderedPageBreak/>
        <w:fldChar w:fldCharType="begin"/>
      </w:r>
      <w:r w:rsidR="00A46B54">
        <w:instrText xml:space="preserve"> STYLEREF 1 \s </w:instrText>
      </w:r>
      <w:r>
        <w:fldChar w:fldCharType="separate"/>
      </w:r>
      <w:r w:rsidR="00224B50">
        <w:rPr>
          <w:noProof/>
        </w:rPr>
        <w:t>1</w:t>
      </w:r>
      <w:r>
        <w:fldChar w:fldCharType="end"/>
      </w:r>
      <w:r w:rsidR="00A46B54">
        <w:t>.</w:t>
      </w:r>
      <w:r w:rsidR="000A7157">
        <w:t>2</w:t>
      </w:r>
      <w:r w:rsidR="00446171">
        <w:t>1</w:t>
      </w:r>
      <w:r w:rsidR="00255CC4">
        <w:t xml:space="preserve">. tabula </w:t>
      </w:r>
      <w:r w:rsidR="00255CC4" w:rsidRPr="00EA0927">
        <w:t>Nabadzības riska indekss 18 gadus veciem un vecākiem iedzīvotājiem pēc izglītības līmeņa (%)</w:t>
      </w:r>
      <w:bookmarkEnd w:id="238"/>
    </w:p>
    <w:tbl>
      <w:tblPr>
        <w:tblStyle w:val="TableGrid"/>
        <w:tblW w:w="9781" w:type="dxa"/>
        <w:tblInd w:w="108" w:type="dxa"/>
        <w:tblLook w:val="04A0"/>
      </w:tblPr>
      <w:tblGrid>
        <w:gridCol w:w="4678"/>
        <w:gridCol w:w="1426"/>
        <w:gridCol w:w="1267"/>
        <w:gridCol w:w="1276"/>
        <w:gridCol w:w="1134"/>
      </w:tblGrid>
      <w:tr w:rsidR="00255CC4" w:rsidRPr="00C96E20" w:rsidTr="00BC22F8">
        <w:trPr>
          <w:trHeight w:val="330"/>
        </w:trPr>
        <w:tc>
          <w:tcPr>
            <w:tcW w:w="4678" w:type="dxa"/>
            <w:shd w:val="clear" w:color="auto" w:fill="B8CCE4" w:themeFill="accent1" w:themeFillTint="66"/>
            <w:noWrap/>
            <w:vAlign w:val="center"/>
            <w:hideMark/>
          </w:tcPr>
          <w:p w:rsidR="00255CC4" w:rsidRPr="00C96E20" w:rsidRDefault="00255CC4" w:rsidP="00255CC4">
            <w:pPr>
              <w:rPr>
                <w:b/>
                <w:sz w:val="22"/>
                <w:szCs w:val="22"/>
              </w:rPr>
            </w:pPr>
            <w:r w:rsidRPr="00C96E20">
              <w:rPr>
                <w:b/>
                <w:sz w:val="22"/>
                <w:szCs w:val="22"/>
              </w:rPr>
              <w:t>Izglītība</w:t>
            </w:r>
            <w:r>
              <w:rPr>
                <w:b/>
                <w:sz w:val="22"/>
                <w:szCs w:val="22"/>
              </w:rPr>
              <w:t>s līmenis</w:t>
            </w:r>
          </w:p>
        </w:tc>
        <w:tc>
          <w:tcPr>
            <w:tcW w:w="1426" w:type="dxa"/>
            <w:shd w:val="clear" w:color="auto" w:fill="B8CCE4" w:themeFill="accent1" w:themeFillTint="66"/>
            <w:vAlign w:val="center"/>
          </w:tcPr>
          <w:p w:rsidR="00255CC4" w:rsidRPr="00C96E20" w:rsidRDefault="00255CC4" w:rsidP="00255CC4">
            <w:pPr>
              <w:jc w:val="center"/>
              <w:rPr>
                <w:b/>
                <w:sz w:val="22"/>
                <w:szCs w:val="22"/>
              </w:rPr>
            </w:pPr>
          </w:p>
        </w:tc>
        <w:tc>
          <w:tcPr>
            <w:tcW w:w="1267" w:type="dxa"/>
            <w:shd w:val="clear" w:color="auto" w:fill="B8CCE4" w:themeFill="accent1" w:themeFillTint="66"/>
            <w:noWrap/>
            <w:vAlign w:val="center"/>
            <w:hideMark/>
          </w:tcPr>
          <w:p w:rsidR="00255CC4" w:rsidRPr="00C96E20" w:rsidRDefault="00255CC4" w:rsidP="00255CC4">
            <w:pPr>
              <w:jc w:val="center"/>
              <w:rPr>
                <w:b/>
                <w:sz w:val="22"/>
                <w:szCs w:val="22"/>
              </w:rPr>
            </w:pPr>
            <w:r w:rsidRPr="00C96E20">
              <w:rPr>
                <w:b/>
                <w:sz w:val="22"/>
                <w:szCs w:val="22"/>
              </w:rPr>
              <w:t>2014</w:t>
            </w:r>
          </w:p>
        </w:tc>
        <w:tc>
          <w:tcPr>
            <w:tcW w:w="1276" w:type="dxa"/>
            <w:shd w:val="clear" w:color="auto" w:fill="B8CCE4" w:themeFill="accent1" w:themeFillTint="66"/>
            <w:noWrap/>
            <w:vAlign w:val="center"/>
            <w:hideMark/>
          </w:tcPr>
          <w:p w:rsidR="00255CC4" w:rsidRPr="00C96E20" w:rsidRDefault="00255CC4" w:rsidP="00255CC4">
            <w:pPr>
              <w:jc w:val="center"/>
              <w:rPr>
                <w:b/>
                <w:sz w:val="22"/>
                <w:szCs w:val="22"/>
              </w:rPr>
            </w:pPr>
            <w:r w:rsidRPr="00C96E20">
              <w:rPr>
                <w:b/>
                <w:sz w:val="22"/>
                <w:szCs w:val="22"/>
              </w:rPr>
              <w:t>2015</w:t>
            </w:r>
          </w:p>
        </w:tc>
        <w:tc>
          <w:tcPr>
            <w:tcW w:w="1134" w:type="dxa"/>
            <w:shd w:val="clear" w:color="auto" w:fill="B8CCE4" w:themeFill="accent1" w:themeFillTint="66"/>
            <w:noWrap/>
            <w:vAlign w:val="center"/>
            <w:hideMark/>
          </w:tcPr>
          <w:p w:rsidR="00255CC4" w:rsidRPr="00C96E20" w:rsidRDefault="00255CC4" w:rsidP="00255CC4">
            <w:pPr>
              <w:jc w:val="center"/>
              <w:rPr>
                <w:b/>
                <w:sz w:val="22"/>
                <w:szCs w:val="22"/>
              </w:rPr>
            </w:pPr>
            <w:r w:rsidRPr="00C96E20">
              <w:rPr>
                <w:b/>
                <w:sz w:val="22"/>
                <w:szCs w:val="22"/>
              </w:rPr>
              <w:t>2016</w:t>
            </w:r>
          </w:p>
        </w:tc>
      </w:tr>
      <w:tr w:rsidR="00255CC4" w:rsidRPr="00C96E20" w:rsidTr="00255CC4">
        <w:trPr>
          <w:trHeight w:val="330"/>
        </w:trPr>
        <w:tc>
          <w:tcPr>
            <w:tcW w:w="4678" w:type="dxa"/>
            <w:noWrap/>
            <w:vAlign w:val="center"/>
            <w:hideMark/>
          </w:tcPr>
          <w:p w:rsidR="00255CC4" w:rsidRPr="00C96E20" w:rsidRDefault="00255CC4" w:rsidP="00255CC4">
            <w:pPr>
              <w:rPr>
                <w:sz w:val="22"/>
                <w:szCs w:val="22"/>
              </w:rPr>
            </w:pPr>
            <w:r w:rsidRPr="00C96E20">
              <w:rPr>
                <w:sz w:val="22"/>
                <w:szCs w:val="22"/>
              </w:rPr>
              <w:t>Pirmsskolas, sākumskolas vai pamatskolas izglītība</w:t>
            </w:r>
          </w:p>
        </w:tc>
        <w:tc>
          <w:tcPr>
            <w:tcW w:w="1426" w:type="dxa"/>
            <w:vAlign w:val="center"/>
          </w:tcPr>
          <w:p w:rsidR="00255CC4" w:rsidRPr="0007362C" w:rsidRDefault="00255CC4" w:rsidP="00255CC4">
            <w:pPr>
              <w:jc w:val="center"/>
              <w:rPr>
                <w:b/>
                <w:color w:val="FF0000"/>
                <w:sz w:val="22"/>
                <w:szCs w:val="22"/>
              </w:rPr>
            </w:pPr>
            <w:r w:rsidRPr="0007362C">
              <w:rPr>
                <w:b/>
                <w:color w:val="FF0000"/>
                <w:sz w:val="22"/>
                <w:szCs w:val="22"/>
              </w:rPr>
              <w:t>PAMATA</w:t>
            </w:r>
          </w:p>
        </w:tc>
        <w:tc>
          <w:tcPr>
            <w:tcW w:w="1267" w:type="dxa"/>
            <w:noWrap/>
            <w:vAlign w:val="center"/>
            <w:hideMark/>
          </w:tcPr>
          <w:p w:rsidR="00255CC4" w:rsidRPr="0007362C" w:rsidRDefault="00255CC4" w:rsidP="00255CC4">
            <w:pPr>
              <w:jc w:val="center"/>
              <w:rPr>
                <w:b/>
                <w:color w:val="FF0000"/>
                <w:sz w:val="22"/>
                <w:szCs w:val="22"/>
              </w:rPr>
            </w:pPr>
            <w:r w:rsidRPr="0007362C">
              <w:rPr>
                <w:b/>
                <w:color w:val="FF0000"/>
                <w:sz w:val="22"/>
                <w:szCs w:val="22"/>
              </w:rPr>
              <w:t>34,4</w:t>
            </w:r>
          </w:p>
        </w:tc>
        <w:tc>
          <w:tcPr>
            <w:tcW w:w="1276" w:type="dxa"/>
            <w:noWrap/>
            <w:vAlign w:val="center"/>
            <w:hideMark/>
          </w:tcPr>
          <w:p w:rsidR="00255CC4" w:rsidRPr="0007362C" w:rsidRDefault="00255CC4" w:rsidP="00255CC4">
            <w:pPr>
              <w:jc w:val="center"/>
              <w:rPr>
                <w:b/>
                <w:color w:val="FF0000"/>
                <w:sz w:val="22"/>
                <w:szCs w:val="22"/>
              </w:rPr>
            </w:pPr>
            <w:r w:rsidRPr="0007362C">
              <w:rPr>
                <w:b/>
                <w:color w:val="FF0000"/>
                <w:sz w:val="22"/>
                <w:szCs w:val="22"/>
              </w:rPr>
              <w:t>33,2</w:t>
            </w:r>
          </w:p>
        </w:tc>
        <w:tc>
          <w:tcPr>
            <w:tcW w:w="1134" w:type="dxa"/>
            <w:noWrap/>
            <w:vAlign w:val="center"/>
            <w:hideMark/>
          </w:tcPr>
          <w:p w:rsidR="00255CC4" w:rsidRPr="0007362C" w:rsidRDefault="00255CC4" w:rsidP="00255CC4">
            <w:pPr>
              <w:jc w:val="center"/>
              <w:rPr>
                <w:b/>
                <w:color w:val="FF0000"/>
                <w:sz w:val="22"/>
                <w:szCs w:val="22"/>
              </w:rPr>
            </w:pPr>
            <w:r w:rsidRPr="0007362C">
              <w:rPr>
                <w:b/>
                <w:color w:val="FF0000"/>
                <w:sz w:val="22"/>
                <w:szCs w:val="22"/>
              </w:rPr>
              <w:t>28,9</w:t>
            </w:r>
          </w:p>
        </w:tc>
      </w:tr>
      <w:tr w:rsidR="00255CC4" w:rsidRPr="00C96E20" w:rsidTr="00255CC4">
        <w:trPr>
          <w:trHeight w:val="330"/>
        </w:trPr>
        <w:tc>
          <w:tcPr>
            <w:tcW w:w="4678" w:type="dxa"/>
            <w:noWrap/>
            <w:vAlign w:val="center"/>
            <w:hideMark/>
          </w:tcPr>
          <w:p w:rsidR="00255CC4" w:rsidRPr="00C96E20" w:rsidRDefault="00255CC4" w:rsidP="00255CC4">
            <w:pPr>
              <w:rPr>
                <w:sz w:val="22"/>
                <w:szCs w:val="22"/>
              </w:rPr>
            </w:pPr>
            <w:r w:rsidRPr="00C96E20">
              <w:rPr>
                <w:sz w:val="22"/>
                <w:szCs w:val="22"/>
              </w:rPr>
              <w:t>Vidējā, vidējā profesionālā izglītība vai izglītība pēc vidējās, bet ne augstākā</w:t>
            </w:r>
          </w:p>
        </w:tc>
        <w:tc>
          <w:tcPr>
            <w:tcW w:w="1426" w:type="dxa"/>
            <w:vAlign w:val="center"/>
          </w:tcPr>
          <w:p w:rsidR="00255CC4" w:rsidRPr="0007362C" w:rsidRDefault="00255CC4" w:rsidP="00255CC4">
            <w:pPr>
              <w:jc w:val="center"/>
              <w:rPr>
                <w:sz w:val="22"/>
                <w:szCs w:val="22"/>
              </w:rPr>
            </w:pPr>
            <w:r w:rsidRPr="0007362C">
              <w:rPr>
                <w:sz w:val="22"/>
                <w:szCs w:val="22"/>
              </w:rPr>
              <w:t>VIDĒJĀ</w:t>
            </w:r>
          </w:p>
        </w:tc>
        <w:tc>
          <w:tcPr>
            <w:tcW w:w="1267" w:type="dxa"/>
            <w:noWrap/>
            <w:vAlign w:val="center"/>
            <w:hideMark/>
          </w:tcPr>
          <w:p w:rsidR="00255CC4" w:rsidRPr="0007362C" w:rsidRDefault="00255CC4" w:rsidP="00255CC4">
            <w:pPr>
              <w:jc w:val="center"/>
              <w:rPr>
                <w:sz w:val="22"/>
                <w:szCs w:val="22"/>
              </w:rPr>
            </w:pPr>
            <w:r w:rsidRPr="0007362C">
              <w:rPr>
                <w:sz w:val="22"/>
                <w:szCs w:val="22"/>
              </w:rPr>
              <w:t>19,9</w:t>
            </w:r>
          </w:p>
        </w:tc>
        <w:tc>
          <w:tcPr>
            <w:tcW w:w="1276" w:type="dxa"/>
            <w:noWrap/>
            <w:vAlign w:val="center"/>
            <w:hideMark/>
          </w:tcPr>
          <w:p w:rsidR="00255CC4" w:rsidRPr="0007362C" w:rsidRDefault="00255CC4" w:rsidP="00255CC4">
            <w:pPr>
              <w:jc w:val="center"/>
              <w:rPr>
                <w:sz w:val="22"/>
                <w:szCs w:val="22"/>
              </w:rPr>
            </w:pPr>
            <w:r w:rsidRPr="0007362C">
              <w:rPr>
                <w:sz w:val="22"/>
                <w:szCs w:val="22"/>
              </w:rPr>
              <w:t>19,1</w:t>
            </w:r>
          </w:p>
        </w:tc>
        <w:tc>
          <w:tcPr>
            <w:tcW w:w="1134" w:type="dxa"/>
            <w:noWrap/>
            <w:vAlign w:val="center"/>
            <w:hideMark/>
          </w:tcPr>
          <w:p w:rsidR="00255CC4" w:rsidRPr="0007362C" w:rsidRDefault="00255CC4" w:rsidP="00255CC4">
            <w:pPr>
              <w:jc w:val="center"/>
              <w:rPr>
                <w:sz w:val="22"/>
                <w:szCs w:val="22"/>
              </w:rPr>
            </w:pPr>
            <w:r w:rsidRPr="0007362C">
              <w:rPr>
                <w:sz w:val="22"/>
                <w:szCs w:val="22"/>
              </w:rPr>
              <w:t>20,7</w:t>
            </w:r>
          </w:p>
        </w:tc>
      </w:tr>
      <w:tr w:rsidR="00255CC4" w:rsidRPr="00C96E20" w:rsidTr="00255CC4">
        <w:trPr>
          <w:trHeight w:val="330"/>
        </w:trPr>
        <w:tc>
          <w:tcPr>
            <w:tcW w:w="4678" w:type="dxa"/>
            <w:noWrap/>
            <w:vAlign w:val="center"/>
            <w:hideMark/>
          </w:tcPr>
          <w:p w:rsidR="00255CC4" w:rsidRPr="00C96E20" w:rsidRDefault="00255CC4" w:rsidP="00255CC4">
            <w:pPr>
              <w:rPr>
                <w:sz w:val="22"/>
                <w:szCs w:val="22"/>
              </w:rPr>
            </w:pPr>
            <w:r w:rsidRPr="00C96E20">
              <w:rPr>
                <w:sz w:val="22"/>
                <w:szCs w:val="22"/>
              </w:rPr>
              <w:t>Augstākā izglītība</w:t>
            </w:r>
          </w:p>
        </w:tc>
        <w:tc>
          <w:tcPr>
            <w:tcW w:w="1426" w:type="dxa"/>
            <w:vAlign w:val="center"/>
          </w:tcPr>
          <w:p w:rsidR="00255CC4" w:rsidRPr="00C96E20" w:rsidRDefault="00255CC4" w:rsidP="00255CC4">
            <w:pPr>
              <w:jc w:val="center"/>
              <w:rPr>
                <w:sz w:val="22"/>
                <w:szCs w:val="22"/>
              </w:rPr>
            </w:pPr>
            <w:r>
              <w:rPr>
                <w:sz w:val="22"/>
                <w:szCs w:val="22"/>
              </w:rPr>
              <w:t>AUGSTĀKĀ</w:t>
            </w:r>
          </w:p>
        </w:tc>
        <w:tc>
          <w:tcPr>
            <w:tcW w:w="1267" w:type="dxa"/>
            <w:noWrap/>
            <w:vAlign w:val="center"/>
            <w:hideMark/>
          </w:tcPr>
          <w:p w:rsidR="00255CC4" w:rsidRPr="00C96E20" w:rsidRDefault="00255CC4" w:rsidP="00255CC4">
            <w:pPr>
              <w:jc w:val="center"/>
              <w:rPr>
                <w:sz w:val="22"/>
                <w:szCs w:val="22"/>
              </w:rPr>
            </w:pPr>
            <w:r w:rsidRPr="00C96E20">
              <w:rPr>
                <w:sz w:val="22"/>
                <w:szCs w:val="22"/>
              </w:rPr>
              <w:t>6,8</w:t>
            </w:r>
          </w:p>
        </w:tc>
        <w:tc>
          <w:tcPr>
            <w:tcW w:w="1276" w:type="dxa"/>
            <w:noWrap/>
            <w:vAlign w:val="center"/>
            <w:hideMark/>
          </w:tcPr>
          <w:p w:rsidR="00255CC4" w:rsidRPr="00C96E20" w:rsidRDefault="00255CC4" w:rsidP="00255CC4">
            <w:pPr>
              <w:jc w:val="center"/>
              <w:rPr>
                <w:sz w:val="22"/>
                <w:szCs w:val="22"/>
              </w:rPr>
            </w:pPr>
            <w:r w:rsidRPr="00C96E20">
              <w:rPr>
                <w:sz w:val="22"/>
                <w:szCs w:val="22"/>
              </w:rPr>
              <w:t>6,7</w:t>
            </w:r>
          </w:p>
        </w:tc>
        <w:tc>
          <w:tcPr>
            <w:tcW w:w="1134" w:type="dxa"/>
            <w:noWrap/>
            <w:vAlign w:val="center"/>
            <w:hideMark/>
          </w:tcPr>
          <w:p w:rsidR="00255CC4" w:rsidRPr="00C96E20" w:rsidRDefault="00255CC4" w:rsidP="00255CC4">
            <w:pPr>
              <w:jc w:val="center"/>
              <w:rPr>
                <w:sz w:val="22"/>
                <w:szCs w:val="22"/>
              </w:rPr>
            </w:pPr>
            <w:r w:rsidRPr="00C96E20">
              <w:rPr>
                <w:sz w:val="22"/>
                <w:szCs w:val="22"/>
              </w:rPr>
              <w:t>5,0</w:t>
            </w:r>
          </w:p>
        </w:tc>
      </w:tr>
    </w:tbl>
    <w:p w:rsidR="00255CC4" w:rsidRDefault="00255CC4" w:rsidP="00255CC4">
      <w:pPr>
        <w:rPr>
          <w:sz w:val="20"/>
          <w:szCs w:val="20"/>
        </w:rPr>
      </w:pPr>
      <w:r w:rsidRPr="00C96E20">
        <w:rPr>
          <w:sz w:val="20"/>
          <w:szCs w:val="20"/>
        </w:rPr>
        <w:t>Avots: CSP, “NIG190. Nabadzības riska indekss 18 gadus veciem un vecākiem iedzīvotāji</w:t>
      </w:r>
      <w:r>
        <w:rPr>
          <w:sz w:val="20"/>
          <w:szCs w:val="20"/>
        </w:rPr>
        <w:t>em pēc izglītības līmeņa (%)”.</w:t>
      </w:r>
    </w:p>
    <w:bookmarkStart w:id="239" w:name="_Toc6220089"/>
    <w:bookmarkEnd w:id="237"/>
    <w:p w:rsidR="00255CC4" w:rsidRPr="00F734EF" w:rsidRDefault="00AD3EDD" w:rsidP="008C6B83">
      <w:pPr>
        <w:pStyle w:val="Caption"/>
      </w:pPr>
      <w:r>
        <w:fldChar w:fldCharType="begin"/>
      </w:r>
      <w:r w:rsidR="00A46B54">
        <w:instrText xml:space="preserve"> STYLEREF 1 \s </w:instrText>
      </w:r>
      <w:r>
        <w:fldChar w:fldCharType="separate"/>
      </w:r>
      <w:r w:rsidR="00224B50">
        <w:rPr>
          <w:noProof/>
        </w:rPr>
        <w:t>1</w:t>
      </w:r>
      <w:r>
        <w:fldChar w:fldCharType="end"/>
      </w:r>
      <w:r w:rsidR="00A46B54">
        <w:t>.</w:t>
      </w:r>
      <w:r w:rsidR="000A7157">
        <w:t>2</w:t>
      </w:r>
      <w:r w:rsidR="00446171">
        <w:t>2</w:t>
      </w:r>
      <w:r w:rsidR="00255CC4">
        <w:t xml:space="preserve">. </w:t>
      </w:r>
      <w:r w:rsidR="00255CC4" w:rsidRPr="00F734EF">
        <w:t>tabula. Nabadzības riska indeks</w:t>
      </w:r>
      <w:r w:rsidR="00255CC4">
        <w:t xml:space="preserve">s pēc pamatnodarbošanās statusa, vecuma un dzimuma </w:t>
      </w:r>
      <w:r w:rsidR="00255CC4" w:rsidRPr="00F734EF">
        <w:t>(%)</w:t>
      </w:r>
      <w:bookmarkEnd w:id="239"/>
    </w:p>
    <w:tbl>
      <w:tblPr>
        <w:tblStyle w:val="TableGrid"/>
        <w:tblW w:w="9781" w:type="dxa"/>
        <w:tblInd w:w="108" w:type="dxa"/>
        <w:tblLook w:val="04A0"/>
      </w:tblPr>
      <w:tblGrid>
        <w:gridCol w:w="1276"/>
        <w:gridCol w:w="2693"/>
        <w:gridCol w:w="1611"/>
        <w:gridCol w:w="851"/>
        <w:gridCol w:w="708"/>
        <w:gridCol w:w="601"/>
        <w:gridCol w:w="2041"/>
      </w:tblGrid>
      <w:tr w:rsidR="00255CC4" w:rsidRPr="007965DB" w:rsidTr="00037D97">
        <w:trPr>
          <w:trHeight w:val="330"/>
          <w:tblHeader/>
        </w:trPr>
        <w:tc>
          <w:tcPr>
            <w:tcW w:w="1276" w:type="dxa"/>
            <w:shd w:val="clear" w:color="auto" w:fill="B8CCE4" w:themeFill="accent1" w:themeFillTint="66"/>
            <w:noWrap/>
            <w:vAlign w:val="center"/>
            <w:hideMark/>
          </w:tcPr>
          <w:p w:rsidR="00255CC4" w:rsidRPr="007965DB" w:rsidRDefault="00255CC4" w:rsidP="00255CC4">
            <w:pPr>
              <w:pStyle w:val="ListParagraph"/>
              <w:ind w:left="0"/>
              <w:rPr>
                <w:b/>
                <w:bCs/>
                <w:sz w:val="22"/>
                <w:szCs w:val="22"/>
              </w:rPr>
            </w:pPr>
            <w:r w:rsidRPr="007965DB">
              <w:rPr>
                <w:b/>
                <w:bCs/>
                <w:sz w:val="22"/>
                <w:szCs w:val="22"/>
              </w:rPr>
              <w:t>Vecums</w:t>
            </w:r>
          </w:p>
        </w:tc>
        <w:tc>
          <w:tcPr>
            <w:tcW w:w="2693" w:type="dxa"/>
            <w:shd w:val="clear" w:color="auto" w:fill="B8CCE4" w:themeFill="accent1" w:themeFillTint="66"/>
            <w:noWrap/>
            <w:vAlign w:val="center"/>
            <w:hideMark/>
          </w:tcPr>
          <w:p w:rsidR="00255CC4" w:rsidRPr="007965DB" w:rsidRDefault="00255CC4" w:rsidP="00255CC4">
            <w:pPr>
              <w:pStyle w:val="ListParagraph"/>
              <w:ind w:left="58"/>
              <w:rPr>
                <w:b/>
                <w:bCs/>
                <w:sz w:val="22"/>
                <w:szCs w:val="22"/>
              </w:rPr>
            </w:pPr>
            <w:r w:rsidRPr="007965DB">
              <w:rPr>
                <w:b/>
                <w:bCs/>
                <w:sz w:val="22"/>
                <w:szCs w:val="22"/>
              </w:rPr>
              <w:t>Pamatnodarbošanās</w:t>
            </w:r>
          </w:p>
        </w:tc>
        <w:tc>
          <w:tcPr>
            <w:tcW w:w="1611" w:type="dxa"/>
            <w:shd w:val="clear" w:color="auto" w:fill="B8CCE4" w:themeFill="accent1" w:themeFillTint="66"/>
            <w:noWrap/>
            <w:vAlign w:val="center"/>
            <w:hideMark/>
          </w:tcPr>
          <w:p w:rsidR="00255CC4" w:rsidRPr="007965DB" w:rsidRDefault="00255CC4" w:rsidP="00255CC4">
            <w:pPr>
              <w:pStyle w:val="ListParagraph"/>
              <w:ind w:left="0"/>
              <w:rPr>
                <w:b/>
                <w:bCs/>
                <w:sz w:val="22"/>
                <w:szCs w:val="22"/>
              </w:rPr>
            </w:pPr>
            <w:r w:rsidRPr="007965DB">
              <w:rPr>
                <w:b/>
                <w:bCs/>
                <w:sz w:val="22"/>
                <w:szCs w:val="22"/>
              </w:rPr>
              <w:t>Dzimums</w:t>
            </w:r>
          </w:p>
        </w:tc>
        <w:tc>
          <w:tcPr>
            <w:tcW w:w="851" w:type="dxa"/>
            <w:shd w:val="clear" w:color="auto" w:fill="B8CCE4" w:themeFill="accent1" w:themeFillTint="66"/>
            <w:noWrap/>
            <w:vAlign w:val="center"/>
            <w:hideMark/>
          </w:tcPr>
          <w:p w:rsidR="00255CC4" w:rsidRPr="007965DB" w:rsidRDefault="00255CC4" w:rsidP="00255CC4">
            <w:pPr>
              <w:pStyle w:val="ListParagraph"/>
              <w:ind w:left="115"/>
              <w:jc w:val="center"/>
              <w:rPr>
                <w:b/>
                <w:bCs/>
                <w:sz w:val="22"/>
                <w:szCs w:val="22"/>
              </w:rPr>
            </w:pPr>
            <w:r w:rsidRPr="007965DB">
              <w:rPr>
                <w:b/>
                <w:bCs/>
                <w:sz w:val="22"/>
                <w:szCs w:val="22"/>
              </w:rPr>
              <w:t>2014</w:t>
            </w:r>
          </w:p>
          <w:p w:rsidR="00255CC4" w:rsidRPr="007965DB" w:rsidRDefault="00255CC4" w:rsidP="00255CC4">
            <w:pPr>
              <w:pStyle w:val="ListParagraph"/>
              <w:ind w:left="115"/>
              <w:jc w:val="center"/>
              <w:rPr>
                <w:b/>
                <w:bCs/>
                <w:sz w:val="22"/>
                <w:szCs w:val="22"/>
              </w:rPr>
            </w:pPr>
            <w:r w:rsidRPr="007965DB">
              <w:rPr>
                <w:b/>
                <w:bCs/>
                <w:sz w:val="22"/>
                <w:szCs w:val="22"/>
              </w:rPr>
              <w:t>%</w:t>
            </w:r>
          </w:p>
        </w:tc>
        <w:tc>
          <w:tcPr>
            <w:tcW w:w="708" w:type="dxa"/>
            <w:shd w:val="clear" w:color="auto" w:fill="B8CCE4" w:themeFill="accent1" w:themeFillTint="66"/>
            <w:noWrap/>
            <w:vAlign w:val="center"/>
            <w:hideMark/>
          </w:tcPr>
          <w:p w:rsidR="00255CC4" w:rsidRPr="007965DB" w:rsidRDefault="00255CC4" w:rsidP="00255CC4">
            <w:pPr>
              <w:pStyle w:val="ListParagraph"/>
              <w:ind w:left="-78"/>
              <w:jc w:val="center"/>
              <w:rPr>
                <w:b/>
                <w:bCs/>
                <w:sz w:val="22"/>
                <w:szCs w:val="22"/>
              </w:rPr>
            </w:pPr>
            <w:r w:rsidRPr="007965DB">
              <w:rPr>
                <w:b/>
                <w:bCs/>
                <w:sz w:val="22"/>
                <w:szCs w:val="22"/>
              </w:rPr>
              <w:t>2015</w:t>
            </w:r>
          </w:p>
          <w:p w:rsidR="00255CC4" w:rsidRPr="007965DB" w:rsidRDefault="00255CC4" w:rsidP="00255CC4">
            <w:pPr>
              <w:pStyle w:val="ListParagraph"/>
              <w:ind w:left="-78"/>
              <w:jc w:val="center"/>
              <w:rPr>
                <w:b/>
                <w:bCs/>
                <w:sz w:val="22"/>
                <w:szCs w:val="22"/>
              </w:rPr>
            </w:pPr>
            <w:r w:rsidRPr="007965DB">
              <w:rPr>
                <w:b/>
                <w:bCs/>
                <w:sz w:val="22"/>
                <w:szCs w:val="22"/>
              </w:rPr>
              <w:t>%</w:t>
            </w:r>
          </w:p>
        </w:tc>
        <w:tc>
          <w:tcPr>
            <w:tcW w:w="601" w:type="dxa"/>
            <w:shd w:val="clear" w:color="auto" w:fill="B8CCE4" w:themeFill="accent1" w:themeFillTint="66"/>
            <w:vAlign w:val="center"/>
          </w:tcPr>
          <w:p w:rsidR="00255CC4" w:rsidRPr="007965DB" w:rsidRDefault="00255CC4" w:rsidP="00255CC4">
            <w:pPr>
              <w:pStyle w:val="ListParagraph"/>
              <w:ind w:left="-78"/>
              <w:jc w:val="center"/>
              <w:rPr>
                <w:b/>
                <w:bCs/>
                <w:sz w:val="22"/>
                <w:szCs w:val="22"/>
              </w:rPr>
            </w:pPr>
            <w:r w:rsidRPr="007965DB">
              <w:rPr>
                <w:b/>
                <w:bCs/>
                <w:sz w:val="22"/>
                <w:szCs w:val="22"/>
              </w:rPr>
              <w:t>2016</w:t>
            </w:r>
          </w:p>
          <w:p w:rsidR="00255CC4" w:rsidRPr="007965DB" w:rsidRDefault="00255CC4" w:rsidP="00255CC4">
            <w:pPr>
              <w:pStyle w:val="ListParagraph"/>
              <w:ind w:left="-78"/>
              <w:jc w:val="center"/>
              <w:rPr>
                <w:b/>
                <w:bCs/>
                <w:sz w:val="22"/>
                <w:szCs w:val="22"/>
              </w:rPr>
            </w:pPr>
            <w:r w:rsidRPr="007965DB">
              <w:rPr>
                <w:b/>
                <w:bCs/>
                <w:sz w:val="22"/>
                <w:szCs w:val="22"/>
              </w:rPr>
              <w:t>%</w:t>
            </w:r>
          </w:p>
        </w:tc>
        <w:tc>
          <w:tcPr>
            <w:tcW w:w="2041" w:type="dxa"/>
            <w:shd w:val="clear" w:color="auto" w:fill="B8CCE4" w:themeFill="accent1" w:themeFillTint="66"/>
            <w:noWrap/>
            <w:vAlign w:val="center"/>
            <w:hideMark/>
          </w:tcPr>
          <w:p w:rsidR="00255CC4" w:rsidRPr="007965DB" w:rsidRDefault="00255CC4" w:rsidP="00255CC4">
            <w:pPr>
              <w:pStyle w:val="ListParagraph"/>
              <w:ind w:left="-78"/>
              <w:jc w:val="center"/>
              <w:rPr>
                <w:b/>
                <w:bCs/>
                <w:sz w:val="22"/>
                <w:szCs w:val="22"/>
              </w:rPr>
            </w:pPr>
            <w:r w:rsidRPr="007965DB">
              <w:rPr>
                <w:b/>
                <w:bCs/>
                <w:sz w:val="22"/>
                <w:szCs w:val="22"/>
              </w:rPr>
              <w:t>Tendence</w:t>
            </w:r>
          </w:p>
          <w:p w:rsidR="00255CC4" w:rsidRPr="007965DB" w:rsidRDefault="00255CC4" w:rsidP="00255CC4">
            <w:pPr>
              <w:pStyle w:val="ListParagraph"/>
              <w:ind w:left="-78"/>
              <w:jc w:val="center"/>
              <w:rPr>
                <w:b/>
                <w:bCs/>
                <w:sz w:val="22"/>
                <w:szCs w:val="22"/>
              </w:rPr>
            </w:pPr>
            <w:r w:rsidRPr="007965DB">
              <w:rPr>
                <w:b/>
                <w:bCs/>
                <w:sz w:val="22"/>
                <w:szCs w:val="22"/>
              </w:rPr>
              <w:t>(procentpunktos)</w:t>
            </w:r>
          </w:p>
          <w:p w:rsidR="00255CC4" w:rsidRPr="007965DB" w:rsidRDefault="00255CC4" w:rsidP="00255CC4">
            <w:pPr>
              <w:pStyle w:val="ListParagraph"/>
              <w:ind w:left="-78"/>
              <w:jc w:val="center"/>
              <w:rPr>
                <w:b/>
                <w:bCs/>
                <w:sz w:val="22"/>
                <w:szCs w:val="22"/>
              </w:rPr>
            </w:pPr>
            <w:r w:rsidRPr="007965DB">
              <w:rPr>
                <w:b/>
                <w:bCs/>
                <w:sz w:val="22"/>
                <w:szCs w:val="22"/>
              </w:rPr>
              <w:t>2014.g.→2016.g.</w:t>
            </w:r>
          </w:p>
        </w:tc>
      </w:tr>
      <w:tr w:rsidR="00255CC4" w:rsidRPr="007965DB" w:rsidTr="00037D97">
        <w:trPr>
          <w:trHeight w:val="330"/>
        </w:trPr>
        <w:tc>
          <w:tcPr>
            <w:tcW w:w="1276" w:type="dxa"/>
            <w:vMerge w:val="restart"/>
            <w:noWrap/>
            <w:vAlign w:val="center"/>
            <w:hideMark/>
          </w:tcPr>
          <w:p w:rsidR="00255CC4" w:rsidRPr="007965DB" w:rsidRDefault="00255CC4" w:rsidP="00255CC4">
            <w:pPr>
              <w:pStyle w:val="ListParagraph"/>
              <w:ind w:left="0"/>
              <w:rPr>
                <w:b/>
                <w:sz w:val="22"/>
                <w:szCs w:val="22"/>
              </w:rPr>
            </w:pPr>
            <w:r w:rsidRPr="007965DB">
              <w:rPr>
                <w:b/>
                <w:sz w:val="22"/>
                <w:szCs w:val="22"/>
              </w:rPr>
              <w:t>16- 64 gadi</w:t>
            </w:r>
          </w:p>
          <w:p w:rsidR="00255CC4" w:rsidRPr="007965DB" w:rsidRDefault="00255CC4" w:rsidP="00255CC4">
            <w:pPr>
              <w:pStyle w:val="ListParagraph"/>
              <w:ind w:left="0"/>
              <w:rPr>
                <w:b/>
                <w:sz w:val="22"/>
                <w:szCs w:val="22"/>
              </w:rPr>
            </w:pPr>
            <w:r w:rsidRPr="007965DB">
              <w:rPr>
                <w:b/>
                <w:sz w:val="22"/>
                <w:szCs w:val="22"/>
              </w:rPr>
              <w:t> </w:t>
            </w:r>
          </w:p>
        </w:tc>
        <w:tc>
          <w:tcPr>
            <w:tcW w:w="2693" w:type="dxa"/>
            <w:vMerge w:val="restart"/>
            <w:noWrap/>
            <w:vAlign w:val="center"/>
            <w:hideMark/>
          </w:tcPr>
          <w:p w:rsidR="00255CC4" w:rsidRPr="007965DB" w:rsidRDefault="00255CC4" w:rsidP="00255CC4">
            <w:pPr>
              <w:pStyle w:val="ListParagraph"/>
              <w:ind w:left="58"/>
              <w:rPr>
                <w:sz w:val="22"/>
                <w:szCs w:val="22"/>
              </w:rPr>
            </w:pPr>
            <w:r w:rsidRPr="007965DB">
              <w:rPr>
                <w:sz w:val="22"/>
                <w:szCs w:val="22"/>
              </w:rPr>
              <w:t>STRĀDĀJOŠIE</w:t>
            </w:r>
          </w:p>
        </w:tc>
        <w:tc>
          <w:tcPr>
            <w:tcW w:w="1611" w:type="dxa"/>
            <w:noWrap/>
            <w:vAlign w:val="center"/>
            <w:hideMark/>
          </w:tcPr>
          <w:p w:rsidR="00255CC4" w:rsidRPr="007965DB" w:rsidRDefault="00255CC4" w:rsidP="00255CC4">
            <w:pPr>
              <w:pStyle w:val="ListParagraph"/>
              <w:ind w:left="0"/>
              <w:rPr>
                <w:sz w:val="22"/>
                <w:szCs w:val="22"/>
              </w:rPr>
            </w:pPr>
            <w:r w:rsidRPr="007965DB">
              <w:rPr>
                <w:sz w:val="22"/>
                <w:szCs w:val="22"/>
              </w:rPr>
              <w:t xml:space="preserve">Kopā </w:t>
            </w:r>
          </w:p>
        </w:tc>
        <w:tc>
          <w:tcPr>
            <w:tcW w:w="851" w:type="dxa"/>
            <w:noWrap/>
            <w:vAlign w:val="center"/>
            <w:hideMark/>
          </w:tcPr>
          <w:p w:rsidR="00255CC4" w:rsidRPr="007965DB" w:rsidRDefault="00255CC4" w:rsidP="00255CC4">
            <w:pPr>
              <w:pStyle w:val="ListParagraph"/>
              <w:ind w:left="0"/>
              <w:jc w:val="center"/>
              <w:rPr>
                <w:sz w:val="22"/>
                <w:szCs w:val="22"/>
              </w:rPr>
            </w:pPr>
            <w:r w:rsidRPr="007965DB">
              <w:rPr>
                <w:sz w:val="22"/>
                <w:szCs w:val="22"/>
              </w:rPr>
              <w:t>9,4</w:t>
            </w:r>
          </w:p>
        </w:tc>
        <w:tc>
          <w:tcPr>
            <w:tcW w:w="708" w:type="dxa"/>
            <w:noWrap/>
            <w:vAlign w:val="center"/>
            <w:hideMark/>
          </w:tcPr>
          <w:p w:rsidR="00255CC4" w:rsidRPr="007965DB" w:rsidRDefault="00255CC4" w:rsidP="00255CC4">
            <w:pPr>
              <w:pStyle w:val="ListParagraph"/>
              <w:ind w:left="1"/>
              <w:jc w:val="center"/>
              <w:rPr>
                <w:sz w:val="22"/>
                <w:szCs w:val="22"/>
              </w:rPr>
            </w:pPr>
            <w:r w:rsidRPr="007965DB">
              <w:rPr>
                <w:sz w:val="22"/>
                <w:szCs w:val="22"/>
              </w:rPr>
              <w:t>8,5</w:t>
            </w:r>
          </w:p>
        </w:tc>
        <w:tc>
          <w:tcPr>
            <w:tcW w:w="601" w:type="dxa"/>
            <w:vAlign w:val="center"/>
          </w:tcPr>
          <w:p w:rsidR="00255CC4" w:rsidRPr="007965DB" w:rsidRDefault="00255CC4" w:rsidP="00255CC4">
            <w:pPr>
              <w:pStyle w:val="ListParagraph"/>
              <w:ind w:left="0"/>
              <w:jc w:val="center"/>
              <w:rPr>
                <w:sz w:val="22"/>
                <w:szCs w:val="22"/>
              </w:rPr>
            </w:pPr>
            <w:r w:rsidRPr="007965DB">
              <w:rPr>
                <w:sz w:val="22"/>
                <w:szCs w:val="22"/>
              </w:rPr>
              <w:t>9,0</w:t>
            </w:r>
          </w:p>
        </w:tc>
        <w:tc>
          <w:tcPr>
            <w:tcW w:w="2041" w:type="dxa"/>
            <w:noWrap/>
            <w:vAlign w:val="center"/>
            <w:hideMark/>
          </w:tcPr>
          <w:p w:rsidR="00255CC4" w:rsidRPr="007965DB" w:rsidRDefault="00255CC4" w:rsidP="00255CC4">
            <w:pPr>
              <w:pStyle w:val="ListParagraph"/>
              <w:ind w:left="0"/>
              <w:jc w:val="center"/>
              <w:rPr>
                <w:sz w:val="22"/>
                <w:szCs w:val="22"/>
              </w:rPr>
            </w:pPr>
            <w:r w:rsidRPr="007965DB">
              <w:rPr>
                <w:sz w:val="22"/>
                <w:szCs w:val="22"/>
              </w:rPr>
              <w:t>↓ 0,4</w:t>
            </w:r>
          </w:p>
        </w:tc>
      </w:tr>
      <w:tr w:rsidR="00255CC4" w:rsidRPr="007965DB" w:rsidTr="00037D97">
        <w:trPr>
          <w:trHeight w:val="330"/>
        </w:trPr>
        <w:tc>
          <w:tcPr>
            <w:tcW w:w="1276" w:type="dxa"/>
            <w:vMerge/>
            <w:noWrap/>
            <w:hideMark/>
          </w:tcPr>
          <w:p w:rsidR="00255CC4" w:rsidRPr="007965DB" w:rsidRDefault="00255CC4" w:rsidP="00255CC4">
            <w:pPr>
              <w:pStyle w:val="ListParagraph"/>
              <w:ind w:left="0"/>
              <w:rPr>
                <w:sz w:val="22"/>
                <w:szCs w:val="22"/>
              </w:rPr>
            </w:pPr>
          </w:p>
        </w:tc>
        <w:tc>
          <w:tcPr>
            <w:tcW w:w="2693" w:type="dxa"/>
            <w:vMerge/>
            <w:noWrap/>
            <w:vAlign w:val="center"/>
            <w:hideMark/>
          </w:tcPr>
          <w:p w:rsidR="00255CC4" w:rsidRPr="007965DB" w:rsidRDefault="00255CC4" w:rsidP="00255CC4">
            <w:pPr>
              <w:pStyle w:val="ListParagraph"/>
              <w:ind w:left="58"/>
              <w:rPr>
                <w:sz w:val="22"/>
                <w:szCs w:val="22"/>
              </w:rPr>
            </w:pPr>
          </w:p>
        </w:tc>
        <w:tc>
          <w:tcPr>
            <w:tcW w:w="1611" w:type="dxa"/>
            <w:noWrap/>
            <w:vAlign w:val="center"/>
            <w:hideMark/>
          </w:tcPr>
          <w:p w:rsidR="00255CC4" w:rsidRPr="007965DB" w:rsidRDefault="00255CC4" w:rsidP="00255CC4">
            <w:pPr>
              <w:pStyle w:val="ListParagraph"/>
              <w:ind w:left="0"/>
              <w:rPr>
                <w:b/>
                <w:sz w:val="22"/>
                <w:szCs w:val="22"/>
              </w:rPr>
            </w:pPr>
            <w:r w:rsidRPr="007965DB">
              <w:rPr>
                <w:b/>
                <w:sz w:val="22"/>
                <w:szCs w:val="22"/>
              </w:rPr>
              <w:t>Vīrieši</w:t>
            </w:r>
          </w:p>
        </w:tc>
        <w:tc>
          <w:tcPr>
            <w:tcW w:w="851" w:type="dxa"/>
            <w:noWrap/>
            <w:vAlign w:val="center"/>
            <w:hideMark/>
          </w:tcPr>
          <w:p w:rsidR="00255CC4" w:rsidRPr="007965DB" w:rsidRDefault="00255CC4" w:rsidP="00255CC4">
            <w:pPr>
              <w:pStyle w:val="ListParagraph"/>
              <w:ind w:left="0"/>
              <w:jc w:val="center"/>
              <w:rPr>
                <w:sz w:val="22"/>
                <w:szCs w:val="22"/>
              </w:rPr>
            </w:pPr>
            <w:r w:rsidRPr="007965DB">
              <w:rPr>
                <w:sz w:val="22"/>
                <w:szCs w:val="22"/>
              </w:rPr>
              <w:t>9,2</w:t>
            </w:r>
          </w:p>
        </w:tc>
        <w:tc>
          <w:tcPr>
            <w:tcW w:w="708" w:type="dxa"/>
            <w:noWrap/>
            <w:vAlign w:val="center"/>
            <w:hideMark/>
          </w:tcPr>
          <w:p w:rsidR="00255CC4" w:rsidRPr="007965DB" w:rsidRDefault="00255CC4" w:rsidP="00255CC4">
            <w:pPr>
              <w:pStyle w:val="ListParagraph"/>
              <w:ind w:left="1"/>
              <w:jc w:val="center"/>
              <w:rPr>
                <w:sz w:val="22"/>
                <w:szCs w:val="22"/>
              </w:rPr>
            </w:pPr>
            <w:r w:rsidRPr="007965DB">
              <w:rPr>
                <w:sz w:val="22"/>
                <w:szCs w:val="22"/>
              </w:rPr>
              <w:t>8,5</w:t>
            </w:r>
          </w:p>
        </w:tc>
        <w:tc>
          <w:tcPr>
            <w:tcW w:w="601" w:type="dxa"/>
            <w:vAlign w:val="center"/>
          </w:tcPr>
          <w:p w:rsidR="00255CC4" w:rsidRPr="007965DB" w:rsidRDefault="00255CC4" w:rsidP="00255CC4">
            <w:pPr>
              <w:pStyle w:val="ListParagraph"/>
              <w:ind w:left="0"/>
              <w:jc w:val="center"/>
              <w:rPr>
                <w:sz w:val="22"/>
                <w:szCs w:val="22"/>
              </w:rPr>
            </w:pPr>
            <w:r w:rsidRPr="007965DB">
              <w:rPr>
                <w:sz w:val="22"/>
                <w:szCs w:val="22"/>
              </w:rPr>
              <w:t>8,4</w:t>
            </w:r>
          </w:p>
        </w:tc>
        <w:tc>
          <w:tcPr>
            <w:tcW w:w="2041" w:type="dxa"/>
            <w:noWrap/>
            <w:vAlign w:val="center"/>
            <w:hideMark/>
          </w:tcPr>
          <w:p w:rsidR="00255CC4" w:rsidRPr="007965DB" w:rsidRDefault="00255CC4" w:rsidP="00255CC4">
            <w:pPr>
              <w:pStyle w:val="ListParagraph"/>
              <w:ind w:left="0"/>
              <w:jc w:val="center"/>
              <w:rPr>
                <w:sz w:val="22"/>
                <w:szCs w:val="22"/>
              </w:rPr>
            </w:pPr>
            <w:r w:rsidRPr="007965DB">
              <w:rPr>
                <w:sz w:val="22"/>
                <w:szCs w:val="22"/>
              </w:rPr>
              <w:t>↓ 0,8</w:t>
            </w:r>
          </w:p>
        </w:tc>
      </w:tr>
      <w:tr w:rsidR="00255CC4" w:rsidRPr="007965DB" w:rsidTr="00037D97">
        <w:trPr>
          <w:trHeight w:val="330"/>
        </w:trPr>
        <w:tc>
          <w:tcPr>
            <w:tcW w:w="1276" w:type="dxa"/>
            <w:vMerge/>
            <w:noWrap/>
            <w:hideMark/>
          </w:tcPr>
          <w:p w:rsidR="00255CC4" w:rsidRPr="007965DB" w:rsidRDefault="00255CC4" w:rsidP="00255CC4">
            <w:pPr>
              <w:pStyle w:val="ListParagraph"/>
              <w:ind w:left="0"/>
              <w:rPr>
                <w:sz w:val="22"/>
                <w:szCs w:val="22"/>
              </w:rPr>
            </w:pPr>
          </w:p>
        </w:tc>
        <w:tc>
          <w:tcPr>
            <w:tcW w:w="2693" w:type="dxa"/>
            <w:vMerge/>
            <w:noWrap/>
            <w:vAlign w:val="center"/>
            <w:hideMark/>
          </w:tcPr>
          <w:p w:rsidR="00255CC4" w:rsidRPr="007965DB" w:rsidRDefault="00255CC4" w:rsidP="00255CC4">
            <w:pPr>
              <w:pStyle w:val="ListParagraph"/>
              <w:ind w:left="58"/>
              <w:rPr>
                <w:sz w:val="22"/>
                <w:szCs w:val="22"/>
              </w:rPr>
            </w:pPr>
          </w:p>
        </w:tc>
        <w:tc>
          <w:tcPr>
            <w:tcW w:w="1611" w:type="dxa"/>
            <w:noWrap/>
            <w:vAlign w:val="center"/>
            <w:hideMark/>
          </w:tcPr>
          <w:p w:rsidR="00255CC4" w:rsidRPr="007965DB" w:rsidRDefault="00255CC4" w:rsidP="00255CC4">
            <w:pPr>
              <w:pStyle w:val="ListParagraph"/>
              <w:ind w:left="0"/>
              <w:rPr>
                <w:b/>
                <w:sz w:val="22"/>
                <w:szCs w:val="22"/>
              </w:rPr>
            </w:pPr>
            <w:r w:rsidRPr="007965DB">
              <w:rPr>
                <w:b/>
                <w:sz w:val="22"/>
                <w:szCs w:val="22"/>
              </w:rPr>
              <w:t>Sievietes</w:t>
            </w:r>
          </w:p>
        </w:tc>
        <w:tc>
          <w:tcPr>
            <w:tcW w:w="851" w:type="dxa"/>
            <w:noWrap/>
            <w:vAlign w:val="center"/>
            <w:hideMark/>
          </w:tcPr>
          <w:p w:rsidR="00255CC4" w:rsidRPr="007965DB" w:rsidRDefault="00255CC4" w:rsidP="00255CC4">
            <w:pPr>
              <w:pStyle w:val="ListParagraph"/>
              <w:ind w:left="0"/>
              <w:jc w:val="center"/>
              <w:rPr>
                <w:sz w:val="22"/>
                <w:szCs w:val="22"/>
              </w:rPr>
            </w:pPr>
            <w:r w:rsidRPr="007965DB">
              <w:rPr>
                <w:sz w:val="22"/>
                <w:szCs w:val="22"/>
              </w:rPr>
              <w:t>9,7</w:t>
            </w:r>
          </w:p>
        </w:tc>
        <w:tc>
          <w:tcPr>
            <w:tcW w:w="708" w:type="dxa"/>
            <w:noWrap/>
            <w:vAlign w:val="center"/>
            <w:hideMark/>
          </w:tcPr>
          <w:p w:rsidR="00255CC4" w:rsidRPr="007965DB" w:rsidRDefault="00255CC4" w:rsidP="00255CC4">
            <w:pPr>
              <w:pStyle w:val="ListParagraph"/>
              <w:ind w:left="1"/>
              <w:jc w:val="center"/>
              <w:rPr>
                <w:sz w:val="22"/>
                <w:szCs w:val="22"/>
              </w:rPr>
            </w:pPr>
            <w:r w:rsidRPr="007965DB">
              <w:rPr>
                <w:sz w:val="22"/>
                <w:szCs w:val="22"/>
              </w:rPr>
              <w:t>8,5</w:t>
            </w:r>
          </w:p>
        </w:tc>
        <w:tc>
          <w:tcPr>
            <w:tcW w:w="601" w:type="dxa"/>
            <w:vAlign w:val="center"/>
          </w:tcPr>
          <w:p w:rsidR="00255CC4" w:rsidRPr="007965DB" w:rsidRDefault="00255CC4" w:rsidP="00255CC4">
            <w:pPr>
              <w:pStyle w:val="ListParagraph"/>
              <w:ind w:left="0"/>
              <w:jc w:val="center"/>
              <w:rPr>
                <w:sz w:val="22"/>
                <w:szCs w:val="22"/>
              </w:rPr>
            </w:pPr>
            <w:r w:rsidRPr="007965DB">
              <w:rPr>
                <w:sz w:val="22"/>
                <w:szCs w:val="22"/>
              </w:rPr>
              <w:t>9,6</w:t>
            </w:r>
          </w:p>
        </w:tc>
        <w:tc>
          <w:tcPr>
            <w:tcW w:w="2041" w:type="dxa"/>
            <w:noWrap/>
            <w:vAlign w:val="center"/>
            <w:hideMark/>
          </w:tcPr>
          <w:p w:rsidR="00255CC4" w:rsidRPr="007965DB" w:rsidRDefault="00255CC4" w:rsidP="00255CC4">
            <w:pPr>
              <w:pStyle w:val="ListParagraph"/>
              <w:ind w:left="0"/>
              <w:jc w:val="center"/>
              <w:rPr>
                <w:sz w:val="22"/>
                <w:szCs w:val="22"/>
              </w:rPr>
            </w:pPr>
            <w:r w:rsidRPr="007965DB">
              <w:rPr>
                <w:sz w:val="22"/>
                <w:szCs w:val="22"/>
              </w:rPr>
              <w:t>↓ 0,1</w:t>
            </w:r>
          </w:p>
        </w:tc>
      </w:tr>
      <w:tr w:rsidR="00255CC4" w:rsidRPr="007965DB" w:rsidTr="00037D97">
        <w:trPr>
          <w:trHeight w:val="330"/>
        </w:trPr>
        <w:tc>
          <w:tcPr>
            <w:tcW w:w="1276" w:type="dxa"/>
            <w:vMerge/>
            <w:noWrap/>
            <w:hideMark/>
          </w:tcPr>
          <w:p w:rsidR="00255CC4" w:rsidRPr="007965DB" w:rsidRDefault="00255CC4" w:rsidP="00255CC4">
            <w:pPr>
              <w:pStyle w:val="ListParagraph"/>
              <w:ind w:left="0"/>
              <w:rPr>
                <w:sz w:val="22"/>
                <w:szCs w:val="22"/>
              </w:rPr>
            </w:pPr>
          </w:p>
        </w:tc>
        <w:tc>
          <w:tcPr>
            <w:tcW w:w="2693" w:type="dxa"/>
            <w:vMerge w:val="restart"/>
            <w:noWrap/>
            <w:vAlign w:val="center"/>
            <w:hideMark/>
          </w:tcPr>
          <w:p w:rsidR="00255CC4" w:rsidRPr="007965DB" w:rsidRDefault="00255CC4" w:rsidP="00255CC4">
            <w:pPr>
              <w:pStyle w:val="ListParagraph"/>
              <w:ind w:left="58"/>
              <w:rPr>
                <w:sz w:val="22"/>
                <w:szCs w:val="22"/>
              </w:rPr>
            </w:pPr>
            <w:r w:rsidRPr="007965DB">
              <w:rPr>
                <w:sz w:val="22"/>
                <w:szCs w:val="22"/>
              </w:rPr>
              <w:t>NESTRĀDĀJOŠIE</w:t>
            </w:r>
          </w:p>
        </w:tc>
        <w:tc>
          <w:tcPr>
            <w:tcW w:w="1611" w:type="dxa"/>
            <w:noWrap/>
            <w:vAlign w:val="center"/>
            <w:hideMark/>
          </w:tcPr>
          <w:p w:rsidR="00255CC4" w:rsidRPr="007965DB" w:rsidRDefault="00255CC4" w:rsidP="00255CC4">
            <w:pPr>
              <w:pStyle w:val="ListParagraph"/>
              <w:ind w:left="0"/>
              <w:rPr>
                <w:sz w:val="22"/>
                <w:szCs w:val="22"/>
              </w:rPr>
            </w:pPr>
            <w:r w:rsidRPr="007965DB">
              <w:rPr>
                <w:sz w:val="22"/>
                <w:szCs w:val="22"/>
              </w:rPr>
              <w:t xml:space="preserve">Kopā </w:t>
            </w:r>
          </w:p>
        </w:tc>
        <w:tc>
          <w:tcPr>
            <w:tcW w:w="851" w:type="dxa"/>
            <w:noWrap/>
            <w:vAlign w:val="center"/>
            <w:hideMark/>
          </w:tcPr>
          <w:p w:rsidR="00255CC4" w:rsidRPr="007965DB" w:rsidRDefault="00255CC4" w:rsidP="00255CC4">
            <w:pPr>
              <w:pStyle w:val="ListParagraph"/>
              <w:ind w:left="0"/>
              <w:jc w:val="center"/>
              <w:rPr>
                <w:sz w:val="22"/>
                <w:szCs w:val="22"/>
              </w:rPr>
            </w:pPr>
            <w:r w:rsidRPr="007965DB">
              <w:rPr>
                <w:sz w:val="22"/>
                <w:szCs w:val="22"/>
              </w:rPr>
              <w:t>38,1</w:t>
            </w:r>
          </w:p>
        </w:tc>
        <w:tc>
          <w:tcPr>
            <w:tcW w:w="708" w:type="dxa"/>
            <w:noWrap/>
            <w:vAlign w:val="center"/>
            <w:hideMark/>
          </w:tcPr>
          <w:p w:rsidR="00255CC4" w:rsidRPr="007965DB" w:rsidRDefault="00255CC4" w:rsidP="00255CC4">
            <w:pPr>
              <w:pStyle w:val="ListParagraph"/>
              <w:ind w:left="1"/>
              <w:jc w:val="center"/>
              <w:rPr>
                <w:sz w:val="22"/>
                <w:szCs w:val="22"/>
              </w:rPr>
            </w:pPr>
            <w:r w:rsidRPr="007965DB">
              <w:rPr>
                <w:sz w:val="22"/>
                <w:szCs w:val="22"/>
              </w:rPr>
              <w:t>38,2</w:t>
            </w:r>
          </w:p>
        </w:tc>
        <w:tc>
          <w:tcPr>
            <w:tcW w:w="601" w:type="dxa"/>
            <w:vAlign w:val="center"/>
          </w:tcPr>
          <w:p w:rsidR="00255CC4" w:rsidRPr="007965DB" w:rsidRDefault="00255CC4" w:rsidP="00255CC4">
            <w:pPr>
              <w:pStyle w:val="ListParagraph"/>
              <w:ind w:left="0"/>
              <w:jc w:val="center"/>
              <w:rPr>
                <w:sz w:val="22"/>
                <w:szCs w:val="22"/>
              </w:rPr>
            </w:pPr>
            <w:r w:rsidRPr="007965DB">
              <w:rPr>
                <w:sz w:val="22"/>
                <w:szCs w:val="22"/>
              </w:rPr>
              <w:t>37,5</w:t>
            </w:r>
          </w:p>
        </w:tc>
        <w:tc>
          <w:tcPr>
            <w:tcW w:w="2041" w:type="dxa"/>
            <w:noWrap/>
            <w:vAlign w:val="center"/>
            <w:hideMark/>
          </w:tcPr>
          <w:p w:rsidR="00255CC4" w:rsidRPr="007965DB" w:rsidRDefault="00255CC4" w:rsidP="00255CC4">
            <w:pPr>
              <w:pStyle w:val="ListParagraph"/>
              <w:ind w:left="0"/>
              <w:jc w:val="center"/>
              <w:rPr>
                <w:sz w:val="22"/>
                <w:szCs w:val="22"/>
              </w:rPr>
            </w:pPr>
            <w:r w:rsidRPr="007965DB">
              <w:rPr>
                <w:sz w:val="22"/>
                <w:szCs w:val="22"/>
              </w:rPr>
              <w:t>↓ 0,6</w:t>
            </w:r>
          </w:p>
        </w:tc>
      </w:tr>
      <w:tr w:rsidR="00255CC4" w:rsidRPr="007965DB" w:rsidTr="00037D97">
        <w:trPr>
          <w:trHeight w:val="330"/>
        </w:trPr>
        <w:tc>
          <w:tcPr>
            <w:tcW w:w="1276" w:type="dxa"/>
            <w:vMerge/>
            <w:noWrap/>
            <w:hideMark/>
          </w:tcPr>
          <w:p w:rsidR="00255CC4" w:rsidRPr="007965DB" w:rsidRDefault="00255CC4" w:rsidP="00255CC4">
            <w:pPr>
              <w:pStyle w:val="ListParagraph"/>
              <w:ind w:left="0"/>
              <w:rPr>
                <w:sz w:val="22"/>
                <w:szCs w:val="22"/>
              </w:rPr>
            </w:pPr>
          </w:p>
        </w:tc>
        <w:tc>
          <w:tcPr>
            <w:tcW w:w="2693" w:type="dxa"/>
            <w:vMerge/>
            <w:noWrap/>
            <w:hideMark/>
          </w:tcPr>
          <w:p w:rsidR="00255CC4" w:rsidRPr="007965DB" w:rsidRDefault="00255CC4" w:rsidP="00255CC4">
            <w:pPr>
              <w:pStyle w:val="ListParagraph"/>
              <w:ind w:left="58"/>
              <w:rPr>
                <w:sz w:val="22"/>
                <w:szCs w:val="22"/>
              </w:rPr>
            </w:pPr>
          </w:p>
        </w:tc>
        <w:tc>
          <w:tcPr>
            <w:tcW w:w="1611" w:type="dxa"/>
            <w:noWrap/>
            <w:vAlign w:val="center"/>
            <w:hideMark/>
          </w:tcPr>
          <w:p w:rsidR="00255CC4" w:rsidRPr="007965DB" w:rsidRDefault="00255CC4" w:rsidP="00255CC4">
            <w:pPr>
              <w:pStyle w:val="ListParagraph"/>
              <w:ind w:left="0"/>
              <w:rPr>
                <w:b/>
                <w:sz w:val="22"/>
                <w:szCs w:val="22"/>
              </w:rPr>
            </w:pPr>
            <w:r w:rsidRPr="007965DB">
              <w:rPr>
                <w:b/>
                <w:sz w:val="22"/>
                <w:szCs w:val="22"/>
              </w:rPr>
              <w:t>Vīrieši</w:t>
            </w:r>
          </w:p>
        </w:tc>
        <w:tc>
          <w:tcPr>
            <w:tcW w:w="851" w:type="dxa"/>
            <w:noWrap/>
            <w:vAlign w:val="center"/>
            <w:hideMark/>
          </w:tcPr>
          <w:p w:rsidR="00255CC4" w:rsidRPr="007965DB" w:rsidRDefault="00255CC4" w:rsidP="00255CC4">
            <w:pPr>
              <w:pStyle w:val="ListParagraph"/>
              <w:ind w:left="0"/>
              <w:jc w:val="center"/>
              <w:rPr>
                <w:sz w:val="22"/>
                <w:szCs w:val="22"/>
              </w:rPr>
            </w:pPr>
            <w:r w:rsidRPr="007965DB">
              <w:rPr>
                <w:sz w:val="22"/>
                <w:szCs w:val="22"/>
              </w:rPr>
              <w:t>39,9</w:t>
            </w:r>
          </w:p>
        </w:tc>
        <w:tc>
          <w:tcPr>
            <w:tcW w:w="708" w:type="dxa"/>
            <w:noWrap/>
            <w:vAlign w:val="center"/>
            <w:hideMark/>
          </w:tcPr>
          <w:p w:rsidR="00255CC4" w:rsidRPr="007965DB" w:rsidRDefault="00255CC4" w:rsidP="00255CC4">
            <w:pPr>
              <w:pStyle w:val="ListParagraph"/>
              <w:ind w:left="1"/>
              <w:jc w:val="center"/>
              <w:rPr>
                <w:sz w:val="22"/>
                <w:szCs w:val="22"/>
              </w:rPr>
            </w:pPr>
            <w:r w:rsidRPr="007965DB">
              <w:rPr>
                <w:sz w:val="22"/>
                <w:szCs w:val="22"/>
              </w:rPr>
              <w:t>41,2</w:t>
            </w:r>
          </w:p>
        </w:tc>
        <w:tc>
          <w:tcPr>
            <w:tcW w:w="601" w:type="dxa"/>
            <w:vAlign w:val="center"/>
          </w:tcPr>
          <w:p w:rsidR="00255CC4" w:rsidRPr="007965DB" w:rsidRDefault="00255CC4" w:rsidP="00255CC4">
            <w:pPr>
              <w:pStyle w:val="ListParagraph"/>
              <w:ind w:left="0"/>
              <w:jc w:val="center"/>
              <w:rPr>
                <w:sz w:val="22"/>
                <w:szCs w:val="22"/>
              </w:rPr>
            </w:pPr>
            <w:r w:rsidRPr="007965DB">
              <w:rPr>
                <w:sz w:val="22"/>
                <w:szCs w:val="22"/>
              </w:rPr>
              <w:t>42,5</w:t>
            </w:r>
          </w:p>
        </w:tc>
        <w:tc>
          <w:tcPr>
            <w:tcW w:w="2041" w:type="dxa"/>
            <w:noWrap/>
            <w:vAlign w:val="center"/>
            <w:hideMark/>
          </w:tcPr>
          <w:p w:rsidR="00255CC4" w:rsidRPr="007965DB" w:rsidRDefault="00255CC4" w:rsidP="00255CC4">
            <w:pPr>
              <w:pStyle w:val="ListParagraph"/>
              <w:ind w:left="0"/>
              <w:jc w:val="center"/>
              <w:rPr>
                <w:b/>
                <w:color w:val="FF0000"/>
                <w:sz w:val="22"/>
                <w:szCs w:val="22"/>
              </w:rPr>
            </w:pPr>
            <w:r w:rsidRPr="007965DB">
              <w:rPr>
                <w:b/>
                <w:color w:val="FF0000"/>
                <w:sz w:val="22"/>
                <w:szCs w:val="22"/>
              </w:rPr>
              <w:t>↑ 2,6</w:t>
            </w:r>
          </w:p>
        </w:tc>
      </w:tr>
      <w:tr w:rsidR="00255CC4" w:rsidRPr="007965DB" w:rsidTr="00037D97">
        <w:trPr>
          <w:trHeight w:val="330"/>
        </w:trPr>
        <w:tc>
          <w:tcPr>
            <w:tcW w:w="1276" w:type="dxa"/>
            <w:vMerge/>
            <w:noWrap/>
            <w:hideMark/>
          </w:tcPr>
          <w:p w:rsidR="00255CC4" w:rsidRPr="007965DB" w:rsidRDefault="00255CC4" w:rsidP="00255CC4">
            <w:pPr>
              <w:pStyle w:val="ListParagraph"/>
              <w:ind w:left="0"/>
              <w:rPr>
                <w:sz w:val="22"/>
                <w:szCs w:val="22"/>
              </w:rPr>
            </w:pPr>
          </w:p>
        </w:tc>
        <w:tc>
          <w:tcPr>
            <w:tcW w:w="2693" w:type="dxa"/>
            <w:vMerge/>
            <w:noWrap/>
            <w:hideMark/>
          </w:tcPr>
          <w:p w:rsidR="00255CC4" w:rsidRPr="007965DB" w:rsidRDefault="00255CC4" w:rsidP="00255CC4">
            <w:pPr>
              <w:pStyle w:val="ListParagraph"/>
              <w:ind w:left="58"/>
              <w:rPr>
                <w:sz w:val="22"/>
                <w:szCs w:val="22"/>
              </w:rPr>
            </w:pPr>
          </w:p>
        </w:tc>
        <w:tc>
          <w:tcPr>
            <w:tcW w:w="1611" w:type="dxa"/>
            <w:noWrap/>
            <w:vAlign w:val="center"/>
            <w:hideMark/>
          </w:tcPr>
          <w:p w:rsidR="00255CC4" w:rsidRPr="007965DB" w:rsidRDefault="00255CC4" w:rsidP="00255CC4">
            <w:pPr>
              <w:pStyle w:val="ListParagraph"/>
              <w:ind w:left="0"/>
              <w:rPr>
                <w:b/>
                <w:sz w:val="22"/>
                <w:szCs w:val="22"/>
              </w:rPr>
            </w:pPr>
            <w:r w:rsidRPr="007965DB">
              <w:rPr>
                <w:b/>
                <w:sz w:val="22"/>
                <w:szCs w:val="22"/>
              </w:rPr>
              <w:t>Sievietes</w:t>
            </w:r>
          </w:p>
        </w:tc>
        <w:tc>
          <w:tcPr>
            <w:tcW w:w="851" w:type="dxa"/>
            <w:noWrap/>
            <w:vAlign w:val="center"/>
            <w:hideMark/>
          </w:tcPr>
          <w:p w:rsidR="00255CC4" w:rsidRPr="007965DB" w:rsidRDefault="00255CC4" w:rsidP="00255CC4">
            <w:pPr>
              <w:pStyle w:val="ListParagraph"/>
              <w:ind w:left="0"/>
              <w:jc w:val="center"/>
              <w:rPr>
                <w:sz w:val="22"/>
                <w:szCs w:val="22"/>
              </w:rPr>
            </w:pPr>
            <w:r w:rsidRPr="007965DB">
              <w:rPr>
                <w:sz w:val="22"/>
                <w:szCs w:val="22"/>
              </w:rPr>
              <w:t>36,6</w:t>
            </w:r>
          </w:p>
        </w:tc>
        <w:tc>
          <w:tcPr>
            <w:tcW w:w="708" w:type="dxa"/>
            <w:noWrap/>
            <w:vAlign w:val="center"/>
            <w:hideMark/>
          </w:tcPr>
          <w:p w:rsidR="00255CC4" w:rsidRPr="007965DB" w:rsidRDefault="00255CC4" w:rsidP="00255CC4">
            <w:pPr>
              <w:pStyle w:val="ListParagraph"/>
              <w:ind w:left="1"/>
              <w:jc w:val="center"/>
              <w:rPr>
                <w:sz w:val="22"/>
                <w:szCs w:val="22"/>
              </w:rPr>
            </w:pPr>
            <w:r w:rsidRPr="007965DB">
              <w:rPr>
                <w:sz w:val="22"/>
                <w:szCs w:val="22"/>
              </w:rPr>
              <w:t>36,0</w:t>
            </w:r>
          </w:p>
        </w:tc>
        <w:tc>
          <w:tcPr>
            <w:tcW w:w="601" w:type="dxa"/>
            <w:vAlign w:val="center"/>
          </w:tcPr>
          <w:p w:rsidR="00255CC4" w:rsidRPr="007965DB" w:rsidRDefault="00255CC4" w:rsidP="00255CC4">
            <w:pPr>
              <w:pStyle w:val="ListParagraph"/>
              <w:ind w:left="0"/>
              <w:jc w:val="center"/>
              <w:rPr>
                <w:sz w:val="22"/>
                <w:szCs w:val="22"/>
              </w:rPr>
            </w:pPr>
            <w:r w:rsidRPr="007965DB">
              <w:rPr>
                <w:sz w:val="22"/>
                <w:szCs w:val="22"/>
              </w:rPr>
              <w:t>33,8</w:t>
            </w:r>
          </w:p>
        </w:tc>
        <w:tc>
          <w:tcPr>
            <w:tcW w:w="2041" w:type="dxa"/>
            <w:noWrap/>
            <w:vAlign w:val="center"/>
            <w:hideMark/>
          </w:tcPr>
          <w:p w:rsidR="00255CC4" w:rsidRPr="007965DB" w:rsidRDefault="00255CC4" w:rsidP="00255CC4">
            <w:pPr>
              <w:pStyle w:val="ListParagraph"/>
              <w:ind w:left="0"/>
              <w:jc w:val="center"/>
              <w:rPr>
                <w:sz w:val="22"/>
                <w:szCs w:val="22"/>
              </w:rPr>
            </w:pPr>
            <w:r w:rsidRPr="007965DB">
              <w:rPr>
                <w:sz w:val="22"/>
                <w:szCs w:val="22"/>
              </w:rPr>
              <w:t>↓ 2,8</w:t>
            </w:r>
          </w:p>
        </w:tc>
      </w:tr>
      <w:tr w:rsidR="00255CC4" w:rsidRPr="007965DB" w:rsidTr="00037D97">
        <w:trPr>
          <w:trHeight w:val="330"/>
        </w:trPr>
        <w:tc>
          <w:tcPr>
            <w:tcW w:w="1276" w:type="dxa"/>
            <w:vMerge/>
            <w:noWrap/>
            <w:hideMark/>
          </w:tcPr>
          <w:p w:rsidR="00255CC4" w:rsidRPr="007965DB" w:rsidRDefault="00255CC4" w:rsidP="00255CC4">
            <w:pPr>
              <w:pStyle w:val="ListParagraph"/>
              <w:ind w:left="0"/>
              <w:rPr>
                <w:sz w:val="22"/>
                <w:szCs w:val="22"/>
              </w:rPr>
            </w:pPr>
          </w:p>
        </w:tc>
        <w:tc>
          <w:tcPr>
            <w:tcW w:w="2693" w:type="dxa"/>
            <w:noWrap/>
            <w:hideMark/>
          </w:tcPr>
          <w:p w:rsidR="00255CC4" w:rsidRPr="007965DB" w:rsidRDefault="00255CC4" w:rsidP="00255CC4">
            <w:pPr>
              <w:pStyle w:val="ListParagraph"/>
              <w:ind w:left="58"/>
              <w:rPr>
                <w:i/>
                <w:iCs/>
                <w:sz w:val="22"/>
                <w:szCs w:val="22"/>
              </w:rPr>
            </w:pPr>
            <w:r w:rsidRPr="007965DB">
              <w:rPr>
                <w:i/>
                <w:iCs/>
                <w:sz w:val="22"/>
                <w:szCs w:val="22"/>
              </w:rPr>
              <w:t>no tiem:</w:t>
            </w:r>
          </w:p>
        </w:tc>
        <w:tc>
          <w:tcPr>
            <w:tcW w:w="5812" w:type="dxa"/>
            <w:gridSpan w:val="5"/>
            <w:vAlign w:val="center"/>
          </w:tcPr>
          <w:p w:rsidR="00255CC4" w:rsidRPr="007965DB" w:rsidRDefault="00255CC4" w:rsidP="00255CC4">
            <w:pPr>
              <w:pStyle w:val="ListParagraph"/>
              <w:ind w:left="0"/>
              <w:rPr>
                <w:sz w:val="22"/>
                <w:szCs w:val="22"/>
              </w:rPr>
            </w:pPr>
            <w:r w:rsidRPr="007965DB">
              <w:rPr>
                <w:sz w:val="22"/>
                <w:szCs w:val="22"/>
              </w:rPr>
              <w:t> </w:t>
            </w:r>
          </w:p>
        </w:tc>
      </w:tr>
      <w:tr w:rsidR="00255CC4" w:rsidRPr="007965DB" w:rsidTr="00037D97">
        <w:trPr>
          <w:trHeight w:val="330"/>
        </w:trPr>
        <w:tc>
          <w:tcPr>
            <w:tcW w:w="1276" w:type="dxa"/>
            <w:vMerge/>
            <w:noWrap/>
            <w:hideMark/>
          </w:tcPr>
          <w:p w:rsidR="00255CC4" w:rsidRPr="007965DB" w:rsidRDefault="00255CC4" w:rsidP="00255CC4">
            <w:pPr>
              <w:pStyle w:val="ListParagraph"/>
              <w:ind w:left="0"/>
              <w:rPr>
                <w:sz w:val="22"/>
                <w:szCs w:val="22"/>
              </w:rPr>
            </w:pPr>
          </w:p>
        </w:tc>
        <w:tc>
          <w:tcPr>
            <w:tcW w:w="2693" w:type="dxa"/>
            <w:vMerge w:val="restart"/>
            <w:noWrap/>
            <w:vAlign w:val="center"/>
            <w:hideMark/>
          </w:tcPr>
          <w:p w:rsidR="00255CC4" w:rsidRPr="007965DB" w:rsidRDefault="00255CC4" w:rsidP="00255CC4">
            <w:pPr>
              <w:pStyle w:val="ListParagraph"/>
              <w:ind w:left="58"/>
              <w:rPr>
                <w:b/>
                <w:sz w:val="22"/>
                <w:szCs w:val="22"/>
              </w:rPr>
            </w:pPr>
            <w:r w:rsidRPr="007965DB">
              <w:rPr>
                <w:b/>
                <w:sz w:val="22"/>
                <w:szCs w:val="22"/>
              </w:rPr>
              <w:t>... bezdarbnieki</w:t>
            </w:r>
          </w:p>
        </w:tc>
        <w:tc>
          <w:tcPr>
            <w:tcW w:w="1611" w:type="dxa"/>
            <w:noWrap/>
            <w:vAlign w:val="center"/>
            <w:hideMark/>
          </w:tcPr>
          <w:p w:rsidR="00255CC4" w:rsidRPr="007965DB" w:rsidRDefault="00255CC4" w:rsidP="00255CC4">
            <w:pPr>
              <w:pStyle w:val="ListParagraph"/>
              <w:ind w:left="0"/>
              <w:rPr>
                <w:sz w:val="22"/>
                <w:szCs w:val="22"/>
              </w:rPr>
            </w:pPr>
            <w:r w:rsidRPr="007965DB">
              <w:rPr>
                <w:sz w:val="22"/>
                <w:szCs w:val="22"/>
              </w:rPr>
              <w:t>Kopā</w:t>
            </w:r>
          </w:p>
        </w:tc>
        <w:tc>
          <w:tcPr>
            <w:tcW w:w="851" w:type="dxa"/>
            <w:noWrap/>
            <w:vAlign w:val="center"/>
            <w:hideMark/>
          </w:tcPr>
          <w:p w:rsidR="00255CC4" w:rsidRPr="007965DB" w:rsidRDefault="00255CC4" w:rsidP="00255CC4">
            <w:pPr>
              <w:pStyle w:val="ListParagraph"/>
              <w:ind w:left="0"/>
              <w:jc w:val="center"/>
              <w:rPr>
                <w:sz w:val="22"/>
                <w:szCs w:val="22"/>
              </w:rPr>
            </w:pPr>
            <w:r w:rsidRPr="007965DB">
              <w:rPr>
                <w:sz w:val="22"/>
                <w:szCs w:val="22"/>
              </w:rPr>
              <w:t>55,0</w:t>
            </w:r>
          </w:p>
        </w:tc>
        <w:tc>
          <w:tcPr>
            <w:tcW w:w="708" w:type="dxa"/>
            <w:noWrap/>
            <w:vAlign w:val="center"/>
            <w:hideMark/>
          </w:tcPr>
          <w:p w:rsidR="00255CC4" w:rsidRPr="007965DB" w:rsidRDefault="00255CC4" w:rsidP="00255CC4">
            <w:pPr>
              <w:pStyle w:val="ListParagraph"/>
              <w:ind w:left="1"/>
              <w:jc w:val="center"/>
              <w:rPr>
                <w:sz w:val="22"/>
                <w:szCs w:val="22"/>
              </w:rPr>
            </w:pPr>
            <w:r w:rsidRPr="007965DB">
              <w:rPr>
                <w:sz w:val="22"/>
                <w:szCs w:val="22"/>
              </w:rPr>
              <w:t>55,8</w:t>
            </w:r>
          </w:p>
        </w:tc>
        <w:tc>
          <w:tcPr>
            <w:tcW w:w="601" w:type="dxa"/>
            <w:vAlign w:val="center"/>
          </w:tcPr>
          <w:p w:rsidR="00255CC4" w:rsidRPr="007965DB" w:rsidRDefault="00255CC4" w:rsidP="00255CC4">
            <w:pPr>
              <w:pStyle w:val="ListParagraph"/>
              <w:ind w:left="0"/>
              <w:jc w:val="center"/>
              <w:rPr>
                <w:sz w:val="22"/>
                <w:szCs w:val="22"/>
              </w:rPr>
            </w:pPr>
            <w:r w:rsidRPr="007965DB">
              <w:rPr>
                <w:sz w:val="22"/>
                <w:szCs w:val="22"/>
              </w:rPr>
              <w:t>56,5</w:t>
            </w:r>
          </w:p>
        </w:tc>
        <w:tc>
          <w:tcPr>
            <w:tcW w:w="2041" w:type="dxa"/>
            <w:noWrap/>
            <w:vAlign w:val="center"/>
            <w:hideMark/>
          </w:tcPr>
          <w:p w:rsidR="00255CC4" w:rsidRPr="007965DB" w:rsidRDefault="00255CC4" w:rsidP="00255CC4">
            <w:pPr>
              <w:pStyle w:val="ListParagraph"/>
              <w:ind w:left="0"/>
              <w:jc w:val="center"/>
              <w:rPr>
                <w:b/>
                <w:sz w:val="22"/>
                <w:szCs w:val="22"/>
              </w:rPr>
            </w:pPr>
            <w:r w:rsidRPr="007965DB">
              <w:rPr>
                <w:b/>
                <w:sz w:val="22"/>
                <w:szCs w:val="22"/>
              </w:rPr>
              <w:t>↑ 1,5</w:t>
            </w:r>
          </w:p>
        </w:tc>
      </w:tr>
      <w:tr w:rsidR="00255CC4" w:rsidRPr="007965DB" w:rsidTr="00037D97">
        <w:trPr>
          <w:trHeight w:val="330"/>
        </w:trPr>
        <w:tc>
          <w:tcPr>
            <w:tcW w:w="1276" w:type="dxa"/>
            <w:vMerge/>
            <w:noWrap/>
            <w:hideMark/>
          </w:tcPr>
          <w:p w:rsidR="00255CC4" w:rsidRPr="007965DB" w:rsidRDefault="00255CC4" w:rsidP="00255CC4">
            <w:pPr>
              <w:pStyle w:val="ListParagraph"/>
              <w:ind w:left="0"/>
              <w:rPr>
                <w:sz w:val="22"/>
                <w:szCs w:val="22"/>
              </w:rPr>
            </w:pPr>
          </w:p>
        </w:tc>
        <w:tc>
          <w:tcPr>
            <w:tcW w:w="2693" w:type="dxa"/>
            <w:vMerge/>
            <w:noWrap/>
            <w:vAlign w:val="center"/>
            <w:hideMark/>
          </w:tcPr>
          <w:p w:rsidR="00255CC4" w:rsidRPr="007965DB" w:rsidRDefault="00255CC4" w:rsidP="00255CC4">
            <w:pPr>
              <w:pStyle w:val="ListParagraph"/>
              <w:ind w:left="58"/>
              <w:rPr>
                <w:sz w:val="22"/>
                <w:szCs w:val="22"/>
              </w:rPr>
            </w:pPr>
          </w:p>
        </w:tc>
        <w:tc>
          <w:tcPr>
            <w:tcW w:w="1611" w:type="dxa"/>
            <w:noWrap/>
            <w:vAlign w:val="center"/>
            <w:hideMark/>
          </w:tcPr>
          <w:p w:rsidR="00255CC4" w:rsidRPr="007965DB" w:rsidRDefault="00255CC4" w:rsidP="00255CC4">
            <w:pPr>
              <w:pStyle w:val="ListParagraph"/>
              <w:ind w:left="0"/>
              <w:rPr>
                <w:b/>
                <w:sz w:val="22"/>
                <w:szCs w:val="22"/>
              </w:rPr>
            </w:pPr>
            <w:r w:rsidRPr="007965DB">
              <w:rPr>
                <w:b/>
                <w:sz w:val="22"/>
                <w:szCs w:val="22"/>
              </w:rPr>
              <w:t>Vīrieši</w:t>
            </w:r>
          </w:p>
        </w:tc>
        <w:tc>
          <w:tcPr>
            <w:tcW w:w="851" w:type="dxa"/>
            <w:noWrap/>
            <w:vAlign w:val="center"/>
            <w:hideMark/>
          </w:tcPr>
          <w:p w:rsidR="00255CC4" w:rsidRPr="007965DB" w:rsidRDefault="00255CC4" w:rsidP="00255CC4">
            <w:pPr>
              <w:pStyle w:val="ListParagraph"/>
              <w:ind w:left="0"/>
              <w:jc w:val="center"/>
              <w:rPr>
                <w:sz w:val="22"/>
                <w:szCs w:val="22"/>
              </w:rPr>
            </w:pPr>
            <w:r w:rsidRPr="007965DB">
              <w:rPr>
                <w:sz w:val="22"/>
                <w:szCs w:val="22"/>
              </w:rPr>
              <w:t>53,1</w:t>
            </w:r>
          </w:p>
        </w:tc>
        <w:tc>
          <w:tcPr>
            <w:tcW w:w="708" w:type="dxa"/>
            <w:noWrap/>
            <w:vAlign w:val="center"/>
            <w:hideMark/>
          </w:tcPr>
          <w:p w:rsidR="00255CC4" w:rsidRPr="007965DB" w:rsidRDefault="00255CC4" w:rsidP="00255CC4">
            <w:pPr>
              <w:pStyle w:val="ListParagraph"/>
              <w:ind w:left="1"/>
              <w:jc w:val="center"/>
              <w:rPr>
                <w:sz w:val="22"/>
                <w:szCs w:val="22"/>
              </w:rPr>
            </w:pPr>
            <w:r w:rsidRPr="007965DB">
              <w:rPr>
                <w:sz w:val="22"/>
                <w:szCs w:val="22"/>
              </w:rPr>
              <w:t>56,3</w:t>
            </w:r>
          </w:p>
        </w:tc>
        <w:tc>
          <w:tcPr>
            <w:tcW w:w="601" w:type="dxa"/>
            <w:vAlign w:val="center"/>
          </w:tcPr>
          <w:p w:rsidR="00255CC4" w:rsidRPr="007965DB" w:rsidRDefault="00255CC4" w:rsidP="00255CC4">
            <w:pPr>
              <w:pStyle w:val="ListParagraph"/>
              <w:ind w:left="0"/>
              <w:jc w:val="center"/>
              <w:rPr>
                <w:sz w:val="22"/>
                <w:szCs w:val="22"/>
              </w:rPr>
            </w:pPr>
            <w:r w:rsidRPr="007965DB">
              <w:rPr>
                <w:sz w:val="22"/>
                <w:szCs w:val="22"/>
              </w:rPr>
              <w:t>62,7</w:t>
            </w:r>
          </w:p>
        </w:tc>
        <w:tc>
          <w:tcPr>
            <w:tcW w:w="2041" w:type="dxa"/>
            <w:noWrap/>
            <w:vAlign w:val="center"/>
            <w:hideMark/>
          </w:tcPr>
          <w:p w:rsidR="00255CC4" w:rsidRPr="007965DB" w:rsidRDefault="00255CC4" w:rsidP="00255CC4">
            <w:pPr>
              <w:pStyle w:val="ListParagraph"/>
              <w:ind w:left="0"/>
              <w:jc w:val="center"/>
              <w:rPr>
                <w:b/>
                <w:color w:val="FF0000"/>
                <w:sz w:val="22"/>
                <w:szCs w:val="22"/>
              </w:rPr>
            </w:pPr>
            <w:r w:rsidRPr="007965DB">
              <w:rPr>
                <w:b/>
                <w:color w:val="FF0000"/>
                <w:sz w:val="22"/>
                <w:szCs w:val="22"/>
              </w:rPr>
              <w:t>↑ 9,6</w:t>
            </w:r>
          </w:p>
        </w:tc>
      </w:tr>
      <w:tr w:rsidR="00255CC4" w:rsidRPr="007965DB" w:rsidTr="00037D97">
        <w:trPr>
          <w:trHeight w:val="330"/>
        </w:trPr>
        <w:tc>
          <w:tcPr>
            <w:tcW w:w="1276" w:type="dxa"/>
            <w:vMerge/>
            <w:noWrap/>
            <w:hideMark/>
          </w:tcPr>
          <w:p w:rsidR="00255CC4" w:rsidRPr="007965DB" w:rsidRDefault="00255CC4" w:rsidP="00255CC4">
            <w:pPr>
              <w:pStyle w:val="ListParagraph"/>
              <w:ind w:left="0"/>
              <w:rPr>
                <w:sz w:val="22"/>
                <w:szCs w:val="22"/>
              </w:rPr>
            </w:pPr>
          </w:p>
        </w:tc>
        <w:tc>
          <w:tcPr>
            <w:tcW w:w="2693" w:type="dxa"/>
            <w:vMerge/>
            <w:noWrap/>
            <w:vAlign w:val="center"/>
            <w:hideMark/>
          </w:tcPr>
          <w:p w:rsidR="00255CC4" w:rsidRPr="007965DB" w:rsidRDefault="00255CC4" w:rsidP="00255CC4">
            <w:pPr>
              <w:pStyle w:val="ListParagraph"/>
              <w:ind w:left="58"/>
              <w:rPr>
                <w:sz w:val="22"/>
                <w:szCs w:val="22"/>
              </w:rPr>
            </w:pPr>
          </w:p>
        </w:tc>
        <w:tc>
          <w:tcPr>
            <w:tcW w:w="1611" w:type="dxa"/>
            <w:noWrap/>
            <w:vAlign w:val="center"/>
            <w:hideMark/>
          </w:tcPr>
          <w:p w:rsidR="00255CC4" w:rsidRPr="007965DB" w:rsidRDefault="00255CC4" w:rsidP="00255CC4">
            <w:pPr>
              <w:pStyle w:val="ListParagraph"/>
              <w:ind w:left="0"/>
              <w:rPr>
                <w:b/>
                <w:sz w:val="22"/>
                <w:szCs w:val="22"/>
              </w:rPr>
            </w:pPr>
            <w:r w:rsidRPr="007965DB">
              <w:rPr>
                <w:b/>
                <w:sz w:val="22"/>
                <w:szCs w:val="22"/>
              </w:rPr>
              <w:t>Sievietes</w:t>
            </w:r>
          </w:p>
        </w:tc>
        <w:tc>
          <w:tcPr>
            <w:tcW w:w="851" w:type="dxa"/>
            <w:noWrap/>
            <w:vAlign w:val="center"/>
            <w:hideMark/>
          </w:tcPr>
          <w:p w:rsidR="00255CC4" w:rsidRPr="007965DB" w:rsidRDefault="00255CC4" w:rsidP="00255CC4">
            <w:pPr>
              <w:pStyle w:val="ListParagraph"/>
              <w:ind w:left="0"/>
              <w:jc w:val="center"/>
              <w:rPr>
                <w:sz w:val="22"/>
                <w:szCs w:val="22"/>
              </w:rPr>
            </w:pPr>
            <w:r w:rsidRPr="007965DB">
              <w:rPr>
                <w:sz w:val="22"/>
                <w:szCs w:val="22"/>
              </w:rPr>
              <w:t>57,9</w:t>
            </w:r>
          </w:p>
        </w:tc>
        <w:tc>
          <w:tcPr>
            <w:tcW w:w="708" w:type="dxa"/>
            <w:noWrap/>
            <w:vAlign w:val="center"/>
            <w:hideMark/>
          </w:tcPr>
          <w:p w:rsidR="00255CC4" w:rsidRPr="007965DB" w:rsidRDefault="00255CC4" w:rsidP="00255CC4">
            <w:pPr>
              <w:pStyle w:val="ListParagraph"/>
              <w:ind w:left="1"/>
              <w:jc w:val="center"/>
              <w:rPr>
                <w:sz w:val="22"/>
                <w:szCs w:val="22"/>
              </w:rPr>
            </w:pPr>
            <w:r w:rsidRPr="007965DB">
              <w:rPr>
                <w:sz w:val="22"/>
                <w:szCs w:val="22"/>
              </w:rPr>
              <w:t>55,0</w:t>
            </w:r>
          </w:p>
        </w:tc>
        <w:tc>
          <w:tcPr>
            <w:tcW w:w="601" w:type="dxa"/>
            <w:vAlign w:val="center"/>
          </w:tcPr>
          <w:p w:rsidR="00255CC4" w:rsidRPr="007965DB" w:rsidRDefault="00255CC4" w:rsidP="00255CC4">
            <w:pPr>
              <w:pStyle w:val="ListParagraph"/>
              <w:ind w:left="0"/>
              <w:jc w:val="center"/>
              <w:rPr>
                <w:sz w:val="22"/>
                <w:szCs w:val="22"/>
              </w:rPr>
            </w:pPr>
            <w:r w:rsidRPr="007965DB">
              <w:rPr>
                <w:sz w:val="22"/>
                <w:szCs w:val="22"/>
              </w:rPr>
              <w:t>48,5</w:t>
            </w:r>
          </w:p>
        </w:tc>
        <w:tc>
          <w:tcPr>
            <w:tcW w:w="2041" w:type="dxa"/>
            <w:noWrap/>
            <w:vAlign w:val="center"/>
            <w:hideMark/>
          </w:tcPr>
          <w:p w:rsidR="00255CC4" w:rsidRPr="007965DB" w:rsidRDefault="00255CC4" w:rsidP="00255CC4">
            <w:pPr>
              <w:pStyle w:val="ListParagraph"/>
              <w:ind w:left="0"/>
              <w:jc w:val="center"/>
              <w:rPr>
                <w:sz w:val="22"/>
                <w:szCs w:val="22"/>
              </w:rPr>
            </w:pPr>
            <w:r w:rsidRPr="007965DB">
              <w:rPr>
                <w:sz w:val="22"/>
                <w:szCs w:val="22"/>
              </w:rPr>
              <w:t>↓ 9,4</w:t>
            </w:r>
          </w:p>
        </w:tc>
      </w:tr>
      <w:tr w:rsidR="00255CC4" w:rsidRPr="007965DB" w:rsidTr="00037D97">
        <w:trPr>
          <w:trHeight w:val="330"/>
        </w:trPr>
        <w:tc>
          <w:tcPr>
            <w:tcW w:w="1276" w:type="dxa"/>
            <w:vMerge/>
            <w:noWrap/>
            <w:hideMark/>
          </w:tcPr>
          <w:p w:rsidR="00255CC4" w:rsidRPr="007965DB" w:rsidRDefault="00255CC4" w:rsidP="00255CC4">
            <w:pPr>
              <w:pStyle w:val="ListParagraph"/>
              <w:ind w:left="0"/>
              <w:rPr>
                <w:sz w:val="22"/>
                <w:szCs w:val="22"/>
              </w:rPr>
            </w:pPr>
          </w:p>
        </w:tc>
        <w:tc>
          <w:tcPr>
            <w:tcW w:w="2693" w:type="dxa"/>
            <w:vMerge w:val="restart"/>
            <w:noWrap/>
            <w:vAlign w:val="center"/>
            <w:hideMark/>
          </w:tcPr>
          <w:p w:rsidR="00255CC4" w:rsidRPr="007965DB" w:rsidRDefault="00255CC4" w:rsidP="00255CC4">
            <w:pPr>
              <w:pStyle w:val="ListParagraph"/>
              <w:ind w:left="58"/>
              <w:rPr>
                <w:b/>
                <w:sz w:val="22"/>
                <w:szCs w:val="22"/>
              </w:rPr>
            </w:pPr>
            <w:r w:rsidRPr="007965DB">
              <w:rPr>
                <w:b/>
                <w:sz w:val="22"/>
                <w:szCs w:val="22"/>
              </w:rPr>
              <w:t>... pensionāri</w:t>
            </w:r>
          </w:p>
        </w:tc>
        <w:tc>
          <w:tcPr>
            <w:tcW w:w="1611" w:type="dxa"/>
            <w:noWrap/>
            <w:vAlign w:val="center"/>
            <w:hideMark/>
          </w:tcPr>
          <w:p w:rsidR="00255CC4" w:rsidRPr="007965DB" w:rsidRDefault="00255CC4" w:rsidP="00255CC4">
            <w:pPr>
              <w:pStyle w:val="ListParagraph"/>
              <w:ind w:left="0"/>
              <w:rPr>
                <w:sz w:val="22"/>
                <w:szCs w:val="22"/>
              </w:rPr>
            </w:pPr>
            <w:r w:rsidRPr="007965DB">
              <w:rPr>
                <w:sz w:val="22"/>
                <w:szCs w:val="22"/>
              </w:rPr>
              <w:t>Kopā</w:t>
            </w:r>
          </w:p>
        </w:tc>
        <w:tc>
          <w:tcPr>
            <w:tcW w:w="851" w:type="dxa"/>
            <w:noWrap/>
            <w:vAlign w:val="center"/>
            <w:hideMark/>
          </w:tcPr>
          <w:p w:rsidR="00255CC4" w:rsidRPr="007965DB" w:rsidRDefault="00255CC4" w:rsidP="00255CC4">
            <w:pPr>
              <w:pStyle w:val="ListParagraph"/>
              <w:ind w:left="0"/>
              <w:jc w:val="center"/>
              <w:rPr>
                <w:sz w:val="22"/>
                <w:szCs w:val="22"/>
              </w:rPr>
            </w:pPr>
            <w:r w:rsidRPr="007965DB">
              <w:rPr>
                <w:sz w:val="22"/>
                <w:szCs w:val="22"/>
              </w:rPr>
              <w:t>32,9</w:t>
            </w:r>
          </w:p>
        </w:tc>
        <w:tc>
          <w:tcPr>
            <w:tcW w:w="708" w:type="dxa"/>
            <w:noWrap/>
            <w:vAlign w:val="center"/>
            <w:hideMark/>
          </w:tcPr>
          <w:p w:rsidR="00255CC4" w:rsidRPr="007965DB" w:rsidRDefault="00255CC4" w:rsidP="00255CC4">
            <w:pPr>
              <w:pStyle w:val="ListParagraph"/>
              <w:ind w:left="1"/>
              <w:jc w:val="center"/>
              <w:rPr>
                <w:sz w:val="22"/>
                <w:szCs w:val="22"/>
              </w:rPr>
            </w:pPr>
            <w:r w:rsidRPr="007965DB">
              <w:rPr>
                <w:sz w:val="22"/>
                <w:szCs w:val="22"/>
              </w:rPr>
              <w:t>43,6</w:t>
            </w:r>
          </w:p>
        </w:tc>
        <w:tc>
          <w:tcPr>
            <w:tcW w:w="601" w:type="dxa"/>
            <w:vAlign w:val="center"/>
          </w:tcPr>
          <w:p w:rsidR="00255CC4" w:rsidRPr="007965DB" w:rsidRDefault="00255CC4" w:rsidP="00255CC4">
            <w:pPr>
              <w:pStyle w:val="ListParagraph"/>
              <w:ind w:left="0"/>
              <w:jc w:val="center"/>
              <w:rPr>
                <w:sz w:val="22"/>
                <w:szCs w:val="22"/>
              </w:rPr>
            </w:pPr>
            <w:r w:rsidRPr="007965DB">
              <w:rPr>
                <w:sz w:val="22"/>
                <w:szCs w:val="22"/>
              </w:rPr>
              <w:t>39,8</w:t>
            </w:r>
          </w:p>
        </w:tc>
        <w:tc>
          <w:tcPr>
            <w:tcW w:w="2041" w:type="dxa"/>
            <w:noWrap/>
            <w:vAlign w:val="center"/>
            <w:hideMark/>
          </w:tcPr>
          <w:p w:rsidR="00255CC4" w:rsidRPr="0011341D" w:rsidRDefault="00255CC4" w:rsidP="00255CC4">
            <w:pPr>
              <w:jc w:val="center"/>
              <w:rPr>
                <w:b/>
                <w:sz w:val="22"/>
                <w:szCs w:val="22"/>
              </w:rPr>
            </w:pPr>
            <w:r w:rsidRPr="0011341D">
              <w:rPr>
                <w:b/>
                <w:sz w:val="22"/>
                <w:szCs w:val="22"/>
              </w:rPr>
              <w:t>↑ 6,9</w:t>
            </w:r>
          </w:p>
        </w:tc>
      </w:tr>
      <w:tr w:rsidR="00255CC4" w:rsidRPr="007965DB" w:rsidTr="00037D97">
        <w:trPr>
          <w:trHeight w:val="330"/>
        </w:trPr>
        <w:tc>
          <w:tcPr>
            <w:tcW w:w="1276" w:type="dxa"/>
            <w:vMerge/>
            <w:noWrap/>
            <w:hideMark/>
          </w:tcPr>
          <w:p w:rsidR="00255CC4" w:rsidRPr="007965DB" w:rsidRDefault="00255CC4" w:rsidP="00255CC4">
            <w:pPr>
              <w:pStyle w:val="ListParagraph"/>
              <w:ind w:left="0"/>
              <w:rPr>
                <w:sz w:val="22"/>
                <w:szCs w:val="22"/>
              </w:rPr>
            </w:pPr>
          </w:p>
        </w:tc>
        <w:tc>
          <w:tcPr>
            <w:tcW w:w="2693" w:type="dxa"/>
            <w:vMerge/>
            <w:noWrap/>
            <w:vAlign w:val="center"/>
            <w:hideMark/>
          </w:tcPr>
          <w:p w:rsidR="00255CC4" w:rsidRPr="007965DB" w:rsidRDefault="00255CC4" w:rsidP="00255CC4">
            <w:pPr>
              <w:pStyle w:val="ListParagraph"/>
              <w:ind w:left="58"/>
              <w:rPr>
                <w:sz w:val="22"/>
                <w:szCs w:val="22"/>
              </w:rPr>
            </w:pPr>
          </w:p>
        </w:tc>
        <w:tc>
          <w:tcPr>
            <w:tcW w:w="1611" w:type="dxa"/>
            <w:noWrap/>
            <w:vAlign w:val="center"/>
            <w:hideMark/>
          </w:tcPr>
          <w:p w:rsidR="00255CC4" w:rsidRPr="007965DB" w:rsidRDefault="00255CC4" w:rsidP="00255CC4">
            <w:pPr>
              <w:pStyle w:val="ListParagraph"/>
              <w:ind w:left="0"/>
              <w:rPr>
                <w:b/>
                <w:sz w:val="22"/>
                <w:szCs w:val="22"/>
              </w:rPr>
            </w:pPr>
            <w:r w:rsidRPr="007965DB">
              <w:rPr>
                <w:b/>
                <w:sz w:val="22"/>
                <w:szCs w:val="22"/>
              </w:rPr>
              <w:t>Vīrieši</w:t>
            </w:r>
          </w:p>
        </w:tc>
        <w:tc>
          <w:tcPr>
            <w:tcW w:w="851" w:type="dxa"/>
            <w:noWrap/>
            <w:vAlign w:val="center"/>
            <w:hideMark/>
          </w:tcPr>
          <w:p w:rsidR="00255CC4" w:rsidRPr="007965DB" w:rsidRDefault="00255CC4" w:rsidP="00255CC4">
            <w:pPr>
              <w:pStyle w:val="ListParagraph"/>
              <w:ind w:left="0"/>
              <w:jc w:val="center"/>
              <w:rPr>
                <w:sz w:val="22"/>
                <w:szCs w:val="22"/>
              </w:rPr>
            </w:pPr>
            <w:r w:rsidRPr="007965DB">
              <w:rPr>
                <w:sz w:val="22"/>
                <w:szCs w:val="22"/>
              </w:rPr>
              <w:t>32,2</w:t>
            </w:r>
          </w:p>
        </w:tc>
        <w:tc>
          <w:tcPr>
            <w:tcW w:w="708" w:type="dxa"/>
            <w:noWrap/>
            <w:vAlign w:val="center"/>
            <w:hideMark/>
          </w:tcPr>
          <w:p w:rsidR="00255CC4" w:rsidRPr="007965DB" w:rsidRDefault="00255CC4" w:rsidP="00255CC4">
            <w:pPr>
              <w:pStyle w:val="ListParagraph"/>
              <w:ind w:left="1"/>
              <w:jc w:val="center"/>
              <w:rPr>
                <w:sz w:val="22"/>
                <w:szCs w:val="22"/>
              </w:rPr>
            </w:pPr>
            <w:r w:rsidRPr="007965DB">
              <w:rPr>
                <w:sz w:val="22"/>
                <w:szCs w:val="22"/>
              </w:rPr>
              <w:t>39,5</w:t>
            </w:r>
          </w:p>
        </w:tc>
        <w:tc>
          <w:tcPr>
            <w:tcW w:w="601" w:type="dxa"/>
            <w:vAlign w:val="center"/>
          </w:tcPr>
          <w:p w:rsidR="00255CC4" w:rsidRPr="007965DB" w:rsidRDefault="00255CC4" w:rsidP="00255CC4">
            <w:pPr>
              <w:pStyle w:val="ListParagraph"/>
              <w:ind w:left="0"/>
              <w:jc w:val="center"/>
              <w:rPr>
                <w:sz w:val="22"/>
                <w:szCs w:val="22"/>
              </w:rPr>
            </w:pPr>
            <w:r w:rsidRPr="007965DB">
              <w:rPr>
                <w:sz w:val="22"/>
                <w:szCs w:val="22"/>
              </w:rPr>
              <w:t>38,3</w:t>
            </w:r>
          </w:p>
        </w:tc>
        <w:tc>
          <w:tcPr>
            <w:tcW w:w="2041" w:type="dxa"/>
            <w:noWrap/>
            <w:vAlign w:val="center"/>
            <w:hideMark/>
          </w:tcPr>
          <w:p w:rsidR="00255CC4" w:rsidRPr="007965DB" w:rsidRDefault="00255CC4" w:rsidP="00255CC4">
            <w:pPr>
              <w:jc w:val="center"/>
              <w:rPr>
                <w:b/>
                <w:color w:val="FF0000"/>
                <w:sz w:val="22"/>
                <w:szCs w:val="22"/>
              </w:rPr>
            </w:pPr>
            <w:r w:rsidRPr="007965DB">
              <w:rPr>
                <w:b/>
                <w:color w:val="FF0000"/>
                <w:sz w:val="22"/>
                <w:szCs w:val="22"/>
              </w:rPr>
              <w:t>↑ 6,1</w:t>
            </w:r>
          </w:p>
        </w:tc>
      </w:tr>
      <w:tr w:rsidR="00255CC4" w:rsidRPr="007965DB" w:rsidTr="00037D97">
        <w:trPr>
          <w:trHeight w:val="330"/>
        </w:trPr>
        <w:tc>
          <w:tcPr>
            <w:tcW w:w="1276" w:type="dxa"/>
            <w:vMerge/>
            <w:noWrap/>
            <w:hideMark/>
          </w:tcPr>
          <w:p w:rsidR="00255CC4" w:rsidRPr="007965DB" w:rsidRDefault="00255CC4" w:rsidP="00255CC4">
            <w:pPr>
              <w:pStyle w:val="ListParagraph"/>
              <w:ind w:left="0"/>
              <w:rPr>
                <w:sz w:val="22"/>
                <w:szCs w:val="22"/>
              </w:rPr>
            </w:pPr>
          </w:p>
        </w:tc>
        <w:tc>
          <w:tcPr>
            <w:tcW w:w="2693" w:type="dxa"/>
            <w:vMerge/>
            <w:noWrap/>
            <w:vAlign w:val="center"/>
            <w:hideMark/>
          </w:tcPr>
          <w:p w:rsidR="00255CC4" w:rsidRPr="007965DB" w:rsidRDefault="00255CC4" w:rsidP="00255CC4">
            <w:pPr>
              <w:pStyle w:val="ListParagraph"/>
              <w:ind w:left="58"/>
              <w:rPr>
                <w:sz w:val="22"/>
                <w:szCs w:val="22"/>
              </w:rPr>
            </w:pPr>
          </w:p>
        </w:tc>
        <w:tc>
          <w:tcPr>
            <w:tcW w:w="1611" w:type="dxa"/>
            <w:noWrap/>
            <w:vAlign w:val="center"/>
            <w:hideMark/>
          </w:tcPr>
          <w:p w:rsidR="00255CC4" w:rsidRPr="007965DB" w:rsidRDefault="00255CC4" w:rsidP="00255CC4">
            <w:pPr>
              <w:pStyle w:val="ListParagraph"/>
              <w:ind w:left="0"/>
              <w:rPr>
                <w:b/>
                <w:sz w:val="22"/>
                <w:szCs w:val="22"/>
              </w:rPr>
            </w:pPr>
            <w:r w:rsidRPr="007965DB">
              <w:rPr>
                <w:b/>
                <w:sz w:val="22"/>
                <w:szCs w:val="22"/>
              </w:rPr>
              <w:t>Sievietes</w:t>
            </w:r>
          </w:p>
        </w:tc>
        <w:tc>
          <w:tcPr>
            <w:tcW w:w="851" w:type="dxa"/>
            <w:noWrap/>
            <w:vAlign w:val="center"/>
            <w:hideMark/>
          </w:tcPr>
          <w:p w:rsidR="00255CC4" w:rsidRPr="007965DB" w:rsidRDefault="00255CC4" w:rsidP="00255CC4">
            <w:pPr>
              <w:pStyle w:val="ListParagraph"/>
              <w:ind w:left="0"/>
              <w:jc w:val="center"/>
              <w:rPr>
                <w:sz w:val="22"/>
                <w:szCs w:val="22"/>
              </w:rPr>
            </w:pPr>
            <w:r w:rsidRPr="007965DB">
              <w:rPr>
                <w:sz w:val="22"/>
                <w:szCs w:val="22"/>
              </w:rPr>
              <w:t>33,5</w:t>
            </w:r>
          </w:p>
        </w:tc>
        <w:tc>
          <w:tcPr>
            <w:tcW w:w="708" w:type="dxa"/>
            <w:noWrap/>
            <w:vAlign w:val="center"/>
            <w:hideMark/>
          </w:tcPr>
          <w:p w:rsidR="00255CC4" w:rsidRPr="007965DB" w:rsidRDefault="00255CC4" w:rsidP="00255CC4">
            <w:pPr>
              <w:pStyle w:val="ListParagraph"/>
              <w:ind w:left="1"/>
              <w:jc w:val="center"/>
              <w:rPr>
                <w:sz w:val="22"/>
                <w:szCs w:val="22"/>
              </w:rPr>
            </w:pPr>
            <w:r w:rsidRPr="007965DB">
              <w:rPr>
                <w:sz w:val="22"/>
                <w:szCs w:val="22"/>
              </w:rPr>
              <w:t>46,7</w:t>
            </w:r>
          </w:p>
        </w:tc>
        <w:tc>
          <w:tcPr>
            <w:tcW w:w="601" w:type="dxa"/>
            <w:vAlign w:val="center"/>
          </w:tcPr>
          <w:p w:rsidR="00255CC4" w:rsidRPr="007965DB" w:rsidRDefault="00255CC4" w:rsidP="00255CC4">
            <w:pPr>
              <w:pStyle w:val="ListParagraph"/>
              <w:ind w:left="0"/>
              <w:jc w:val="center"/>
              <w:rPr>
                <w:sz w:val="22"/>
                <w:szCs w:val="22"/>
              </w:rPr>
            </w:pPr>
            <w:r w:rsidRPr="007965DB">
              <w:rPr>
                <w:sz w:val="22"/>
                <w:szCs w:val="22"/>
              </w:rPr>
              <w:t>40,8</w:t>
            </w:r>
          </w:p>
        </w:tc>
        <w:tc>
          <w:tcPr>
            <w:tcW w:w="2041" w:type="dxa"/>
            <w:noWrap/>
            <w:vAlign w:val="center"/>
            <w:hideMark/>
          </w:tcPr>
          <w:p w:rsidR="00255CC4" w:rsidRPr="007965DB" w:rsidRDefault="00255CC4" w:rsidP="00255CC4">
            <w:pPr>
              <w:jc w:val="center"/>
              <w:rPr>
                <w:b/>
                <w:color w:val="FF0000"/>
                <w:sz w:val="22"/>
                <w:szCs w:val="22"/>
              </w:rPr>
            </w:pPr>
            <w:r w:rsidRPr="007965DB">
              <w:rPr>
                <w:b/>
                <w:color w:val="FF0000"/>
                <w:sz w:val="22"/>
                <w:szCs w:val="22"/>
              </w:rPr>
              <w:t>↑ 7,3</w:t>
            </w:r>
          </w:p>
        </w:tc>
      </w:tr>
      <w:tr w:rsidR="00255CC4" w:rsidRPr="007965DB" w:rsidTr="00037D97">
        <w:trPr>
          <w:trHeight w:val="330"/>
        </w:trPr>
        <w:tc>
          <w:tcPr>
            <w:tcW w:w="1276" w:type="dxa"/>
            <w:vMerge/>
            <w:noWrap/>
            <w:hideMark/>
          </w:tcPr>
          <w:p w:rsidR="00255CC4" w:rsidRPr="007965DB" w:rsidRDefault="00255CC4" w:rsidP="00255CC4">
            <w:pPr>
              <w:pStyle w:val="ListParagraph"/>
              <w:ind w:left="0"/>
              <w:rPr>
                <w:sz w:val="22"/>
                <w:szCs w:val="22"/>
              </w:rPr>
            </w:pPr>
          </w:p>
        </w:tc>
        <w:tc>
          <w:tcPr>
            <w:tcW w:w="2693" w:type="dxa"/>
            <w:vMerge w:val="restart"/>
            <w:noWrap/>
            <w:vAlign w:val="center"/>
            <w:hideMark/>
          </w:tcPr>
          <w:p w:rsidR="00255CC4" w:rsidRPr="007965DB" w:rsidRDefault="00255CC4" w:rsidP="00255CC4">
            <w:pPr>
              <w:pStyle w:val="ListParagraph"/>
              <w:ind w:left="58"/>
              <w:rPr>
                <w:b/>
                <w:sz w:val="22"/>
                <w:szCs w:val="22"/>
              </w:rPr>
            </w:pPr>
            <w:r w:rsidRPr="007965DB">
              <w:rPr>
                <w:b/>
                <w:sz w:val="22"/>
                <w:szCs w:val="22"/>
              </w:rPr>
              <w:t>... citas neaktīvas personas</w:t>
            </w:r>
          </w:p>
        </w:tc>
        <w:tc>
          <w:tcPr>
            <w:tcW w:w="1611" w:type="dxa"/>
            <w:noWrap/>
            <w:vAlign w:val="center"/>
            <w:hideMark/>
          </w:tcPr>
          <w:p w:rsidR="00255CC4" w:rsidRPr="007965DB" w:rsidRDefault="00255CC4" w:rsidP="00255CC4">
            <w:pPr>
              <w:pStyle w:val="ListParagraph"/>
              <w:ind w:left="0"/>
              <w:rPr>
                <w:sz w:val="22"/>
                <w:szCs w:val="22"/>
              </w:rPr>
            </w:pPr>
            <w:r>
              <w:rPr>
                <w:sz w:val="22"/>
                <w:szCs w:val="22"/>
              </w:rPr>
              <w:t>Kopā</w:t>
            </w:r>
          </w:p>
        </w:tc>
        <w:tc>
          <w:tcPr>
            <w:tcW w:w="851" w:type="dxa"/>
            <w:noWrap/>
            <w:vAlign w:val="center"/>
            <w:hideMark/>
          </w:tcPr>
          <w:p w:rsidR="00255CC4" w:rsidRPr="007965DB" w:rsidRDefault="00255CC4" w:rsidP="00255CC4">
            <w:pPr>
              <w:pStyle w:val="ListParagraph"/>
              <w:ind w:left="0"/>
              <w:jc w:val="center"/>
              <w:rPr>
                <w:sz w:val="22"/>
                <w:szCs w:val="22"/>
              </w:rPr>
            </w:pPr>
            <w:r w:rsidRPr="007965DB">
              <w:rPr>
                <w:sz w:val="22"/>
                <w:szCs w:val="22"/>
              </w:rPr>
              <w:t>31,8</w:t>
            </w:r>
          </w:p>
        </w:tc>
        <w:tc>
          <w:tcPr>
            <w:tcW w:w="708" w:type="dxa"/>
            <w:noWrap/>
            <w:vAlign w:val="center"/>
            <w:hideMark/>
          </w:tcPr>
          <w:p w:rsidR="00255CC4" w:rsidRPr="007965DB" w:rsidRDefault="00255CC4" w:rsidP="00255CC4">
            <w:pPr>
              <w:pStyle w:val="ListParagraph"/>
              <w:ind w:left="1"/>
              <w:jc w:val="center"/>
              <w:rPr>
                <w:sz w:val="22"/>
                <w:szCs w:val="22"/>
              </w:rPr>
            </w:pPr>
            <w:r w:rsidRPr="007965DB">
              <w:rPr>
                <w:sz w:val="22"/>
                <w:szCs w:val="22"/>
              </w:rPr>
              <w:t>29,2</w:t>
            </w:r>
          </w:p>
        </w:tc>
        <w:tc>
          <w:tcPr>
            <w:tcW w:w="601" w:type="dxa"/>
            <w:vAlign w:val="center"/>
          </w:tcPr>
          <w:p w:rsidR="00255CC4" w:rsidRPr="007965DB" w:rsidRDefault="00255CC4" w:rsidP="00255CC4">
            <w:pPr>
              <w:pStyle w:val="ListParagraph"/>
              <w:ind w:left="0"/>
              <w:jc w:val="center"/>
              <w:rPr>
                <w:sz w:val="22"/>
                <w:szCs w:val="22"/>
              </w:rPr>
            </w:pPr>
            <w:r w:rsidRPr="007965DB">
              <w:rPr>
                <w:sz w:val="22"/>
                <w:szCs w:val="22"/>
              </w:rPr>
              <w:t>29,6</w:t>
            </w:r>
          </w:p>
        </w:tc>
        <w:tc>
          <w:tcPr>
            <w:tcW w:w="2041" w:type="dxa"/>
            <w:noWrap/>
            <w:vAlign w:val="center"/>
            <w:hideMark/>
          </w:tcPr>
          <w:p w:rsidR="00255CC4" w:rsidRPr="007965DB" w:rsidRDefault="00255CC4" w:rsidP="00255CC4">
            <w:pPr>
              <w:pStyle w:val="ListParagraph"/>
              <w:ind w:left="0"/>
              <w:jc w:val="center"/>
              <w:rPr>
                <w:sz w:val="22"/>
                <w:szCs w:val="22"/>
              </w:rPr>
            </w:pPr>
            <w:r w:rsidRPr="007965DB">
              <w:rPr>
                <w:sz w:val="22"/>
                <w:szCs w:val="22"/>
              </w:rPr>
              <w:t>↓ 2,2</w:t>
            </w:r>
          </w:p>
        </w:tc>
      </w:tr>
      <w:tr w:rsidR="00255CC4" w:rsidRPr="007965DB" w:rsidTr="00037D97">
        <w:trPr>
          <w:trHeight w:val="330"/>
        </w:trPr>
        <w:tc>
          <w:tcPr>
            <w:tcW w:w="1276" w:type="dxa"/>
            <w:vMerge/>
            <w:noWrap/>
            <w:hideMark/>
          </w:tcPr>
          <w:p w:rsidR="00255CC4" w:rsidRPr="007965DB" w:rsidRDefault="00255CC4" w:rsidP="00255CC4">
            <w:pPr>
              <w:pStyle w:val="ListParagraph"/>
              <w:ind w:left="0"/>
              <w:rPr>
                <w:sz w:val="22"/>
                <w:szCs w:val="22"/>
              </w:rPr>
            </w:pPr>
          </w:p>
        </w:tc>
        <w:tc>
          <w:tcPr>
            <w:tcW w:w="2693" w:type="dxa"/>
            <w:vMerge/>
            <w:noWrap/>
            <w:hideMark/>
          </w:tcPr>
          <w:p w:rsidR="00255CC4" w:rsidRPr="007965DB" w:rsidRDefault="00255CC4" w:rsidP="00255CC4">
            <w:pPr>
              <w:pStyle w:val="ListParagraph"/>
              <w:ind w:left="58"/>
              <w:rPr>
                <w:sz w:val="22"/>
                <w:szCs w:val="22"/>
              </w:rPr>
            </w:pPr>
          </w:p>
        </w:tc>
        <w:tc>
          <w:tcPr>
            <w:tcW w:w="1611" w:type="dxa"/>
            <w:noWrap/>
            <w:vAlign w:val="center"/>
            <w:hideMark/>
          </w:tcPr>
          <w:p w:rsidR="00255CC4" w:rsidRPr="007965DB" w:rsidRDefault="00255CC4" w:rsidP="00255CC4">
            <w:pPr>
              <w:pStyle w:val="ListParagraph"/>
              <w:ind w:left="0"/>
              <w:rPr>
                <w:b/>
                <w:sz w:val="22"/>
                <w:szCs w:val="22"/>
              </w:rPr>
            </w:pPr>
            <w:r w:rsidRPr="007965DB">
              <w:rPr>
                <w:b/>
                <w:sz w:val="22"/>
                <w:szCs w:val="22"/>
              </w:rPr>
              <w:t>Vīrieši</w:t>
            </w:r>
          </w:p>
        </w:tc>
        <w:tc>
          <w:tcPr>
            <w:tcW w:w="851" w:type="dxa"/>
            <w:noWrap/>
            <w:vAlign w:val="center"/>
            <w:hideMark/>
          </w:tcPr>
          <w:p w:rsidR="00255CC4" w:rsidRPr="007965DB" w:rsidRDefault="00255CC4" w:rsidP="00255CC4">
            <w:pPr>
              <w:pStyle w:val="ListParagraph"/>
              <w:ind w:left="0"/>
              <w:jc w:val="center"/>
              <w:rPr>
                <w:sz w:val="22"/>
                <w:szCs w:val="22"/>
              </w:rPr>
            </w:pPr>
            <w:r w:rsidRPr="007965DB">
              <w:rPr>
                <w:sz w:val="22"/>
                <w:szCs w:val="22"/>
              </w:rPr>
              <w:t>32,9</w:t>
            </w:r>
          </w:p>
        </w:tc>
        <w:tc>
          <w:tcPr>
            <w:tcW w:w="708" w:type="dxa"/>
            <w:noWrap/>
            <w:vAlign w:val="center"/>
            <w:hideMark/>
          </w:tcPr>
          <w:p w:rsidR="00255CC4" w:rsidRPr="007965DB" w:rsidRDefault="00255CC4" w:rsidP="00255CC4">
            <w:pPr>
              <w:pStyle w:val="ListParagraph"/>
              <w:ind w:left="1"/>
              <w:jc w:val="center"/>
              <w:rPr>
                <w:sz w:val="22"/>
                <w:szCs w:val="22"/>
              </w:rPr>
            </w:pPr>
            <w:r w:rsidRPr="007965DB">
              <w:rPr>
                <w:sz w:val="22"/>
                <w:szCs w:val="22"/>
              </w:rPr>
              <w:t>31,6</w:t>
            </w:r>
          </w:p>
        </w:tc>
        <w:tc>
          <w:tcPr>
            <w:tcW w:w="601" w:type="dxa"/>
            <w:vAlign w:val="center"/>
          </w:tcPr>
          <w:p w:rsidR="00255CC4" w:rsidRPr="007965DB" w:rsidRDefault="00255CC4" w:rsidP="00255CC4">
            <w:pPr>
              <w:pStyle w:val="ListParagraph"/>
              <w:ind w:left="0"/>
              <w:jc w:val="center"/>
              <w:rPr>
                <w:sz w:val="22"/>
                <w:szCs w:val="22"/>
              </w:rPr>
            </w:pPr>
            <w:r w:rsidRPr="007965DB">
              <w:rPr>
                <w:sz w:val="22"/>
                <w:szCs w:val="22"/>
              </w:rPr>
              <w:t>31,3</w:t>
            </w:r>
          </w:p>
        </w:tc>
        <w:tc>
          <w:tcPr>
            <w:tcW w:w="2041" w:type="dxa"/>
            <w:noWrap/>
            <w:vAlign w:val="center"/>
            <w:hideMark/>
          </w:tcPr>
          <w:p w:rsidR="00255CC4" w:rsidRPr="007965DB" w:rsidRDefault="00255CC4" w:rsidP="00255CC4">
            <w:pPr>
              <w:pStyle w:val="ListParagraph"/>
              <w:ind w:left="0"/>
              <w:jc w:val="center"/>
              <w:rPr>
                <w:sz w:val="22"/>
                <w:szCs w:val="22"/>
              </w:rPr>
            </w:pPr>
            <w:r w:rsidRPr="007965DB">
              <w:rPr>
                <w:sz w:val="22"/>
                <w:szCs w:val="22"/>
              </w:rPr>
              <w:t>↓ 1,6</w:t>
            </w:r>
          </w:p>
        </w:tc>
      </w:tr>
      <w:tr w:rsidR="00255CC4" w:rsidRPr="007965DB" w:rsidTr="00037D97">
        <w:trPr>
          <w:trHeight w:val="330"/>
        </w:trPr>
        <w:tc>
          <w:tcPr>
            <w:tcW w:w="1276" w:type="dxa"/>
            <w:vMerge/>
            <w:noWrap/>
            <w:hideMark/>
          </w:tcPr>
          <w:p w:rsidR="00255CC4" w:rsidRPr="007965DB" w:rsidRDefault="00255CC4" w:rsidP="00255CC4">
            <w:pPr>
              <w:pStyle w:val="ListParagraph"/>
              <w:ind w:left="0"/>
              <w:rPr>
                <w:sz w:val="22"/>
                <w:szCs w:val="22"/>
              </w:rPr>
            </w:pPr>
          </w:p>
        </w:tc>
        <w:tc>
          <w:tcPr>
            <w:tcW w:w="2693" w:type="dxa"/>
            <w:vMerge/>
            <w:noWrap/>
            <w:hideMark/>
          </w:tcPr>
          <w:p w:rsidR="00255CC4" w:rsidRPr="007965DB" w:rsidRDefault="00255CC4" w:rsidP="00255CC4">
            <w:pPr>
              <w:pStyle w:val="ListParagraph"/>
              <w:ind w:left="58"/>
              <w:rPr>
                <w:sz w:val="22"/>
                <w:szCs w:val="22"/>
              </w:rPr>
            </w:pPr>
          </w:p>
        </w:tc>
        <w:tc>
          <w:tcPr>
            <w:tcW w:w="1611" w:type="dxa"/>
            <w:noWrap/>
            <w:vAlign w:val="center"/>
            <w:hideMark/>
          </w:tcPr>
          <w:p w:rsidR="00255CC4" w:rsidRPr="007965DB" w:rsidRDefault="00255CC4" w:rsidP="00255CC4">
            <w:pPr>
              <w:pStyle w:val="ListParagraph"/>
              <w:ind w:left="0"/>
              <w:rPr>
                <w:b/>
                <w:sz w:val="22"/>
                <w:szCs w:val="22"/>
              </w:rPr>
            </w:pPr>
            <w:r w:rsidRPr="007965DB">
              <w:rPr>
                <w:b/>
                <w:sz w:val="22"/>
                <w:szCs w:val="22"/>
              </w:rPr>
              <w:t>Sievietes</w:t>
            </w:r>
          </w:p>
        </w:tc>
        <w:tc>
          <w:tcPr>
            <w:tcW w:w="851" w:type="dxa"/>
            <w:noWrap/>
            <w:vAlign w:val="center"/>
            <w:hideMark/>
          </w:tcPr>
          <w:p w:rsidR="00255CC4" w:rsidRPr="007965DB" w:rsidRDefault="00255CC4" w:rsidP="00255CC4">
            <w:pPr>
              <w:pStyle w:val="ListParagraph"/>
              <w:ind w:left="0"/>
              <w:jc w:val="center"/>
              <w:rPr>
                <w:sz w:val="22"/>
                <w:szCs w:val="22"/>
              </w:rPr>
            </w:pPr>
            <w:r w:rsidRPr="007965DB">
              <w:rPr>
                <w:sz w:val="22"/>
                <w:szCs w:val="22"/>
              </w:rPr>
              <w:t>31,1</w:t>
            </w:r>
          </w:p>
        </w:tc>
        <w:tc>
          <w:tcPr>
            <w:tcW w:w="708" w:type="dxa"/>
            <w:noWrap/>
            <w:vAlign w:val="center"/>
            <w:hideMark/>
          </w:tcPr>
          <w:p w:rsidR="00255CC4" w:rsidRPr="007965DB" w:rsidRDefault="00255CC4" w:rsidP="00255CC4">
            <w:pPr>
              <w:pStyle w:val="ListParagraph"/>
              <w:ind w:left="1"/>
              <w:jc w:val="center"/>
              <w:rPr>
                <w:sz w:val="22"/>
                <w:szCs w:val="22"/>
              </w:rPr>
            </w:pPr>
            <w:r w:rsidRPr="007965DB">
              <w:rPr>
                <w:sz w:val="22"/>
                <w:szCs w:val="22"/>
              </w:rPr>
              <w:t>27,8</w:t>
            </w:r>
          </w:p>
        </w:tc>
        <w:tc>
          <w:tcPr>
            <w:tcW w:w="601" w:type="dxa"/>
            <w:vAlign w:val="center"/>
          </w:tcPr>
          <w:p w:rsidR="00255CC4" w:rsidRPr="007965DB" w:rsidRDefault="00255CC4" w:rsidP="00255CC4">
            <w:pPr>
              <w:pStyle w:val="ListParagraph"/>
              <w:ind w:left="0"/>
              <w:jc w:val="center"/>
              <w:rPr>
                <w:sz w:val="22"/>
                <w:szCs w:val="22"/>
              </w:rPr>
            </w:pPr>
            <w:r w:rsidRPr="007965DB">
              <w:rPr>
                <w:sz w:val="22"/>
                <w:szCs w:val="22"/>
              </w:rPr>
              <w:t>28,5</w:t>
            </w:r>
          </w:p>
        </w:tc>
        <w:tc>
          <w:tcPr>
            <w:tcW w:w="2041" w:type="dxa"/>
            <w:noWrap/>
            <w:vAlign w:val="center"/>
            <w:hideMark/>
          </w:tcPr>
          <w:p w:rsidR="00255CC4" w:rsidRPr="007965DB" w:rsidRDefault="00255CC4" w:rsidP="00255CC4">
            <w:pPr>
              <w:pStyle w:val="ListParagraph"/>
              <w:ind w:left="0"/>
              <w:jc w:val="center"/>
              <w:rPr>
                <w:sz w:val="22"/>
                <w:szCs w:val="22"/>
              </w:rPr>
            </w:pPr>
            <w:r w:rsidRPr="007965DB">
              <w:rPr>
                <w:sz w:val="22"/>
                <w:szCs w:val="22"/>
              </w:rPr>
              <w:t>↓ 2,6</w:t>
            </w:r>
          </w:p>
        </w:tc>
      </w:tr>
      <w:tr w:rsidR="00255CC4" w:rsidRPr="007965DB" w:rsidTr="00037D97">
        <w:trPr>
          <w:trHeight w:val="330"/>
        </w:trPr>
        <w:tc>
          <w:tcPr>
            <w:tcW w:w="1276" w:type="dxa"/>
            <w:vMerge w:val="restart"/>
            <w:noWrap/>
            <w:vAlign w:val="center"/>
            <w:hideMark/>
          </w:tcPr>
          <w:p w:rsidR="00255CC4" w:rsidRPr="007965DB" w:rsidRDefault="00255CC4" w:rsidP="00255CC4">
            <w:pPr>
              <w:pStyle w:val="ListParagraph"/>
              <w:ind w:left="0"/>
              <w:rPr>
                <w:b/>
                <w:sz w:val="22"/>
                <w:szCs w:val="22"/>
              </w:rPr>
            </w:pPr>
            <w:r w:rsidRPr="007965DB">
              <w:rPr>
                <w:b/>
                <w:sz w:val="22"/>
                <w:szCs w:val="22"/>
              </w:rPr>
              <w:t>65+ gadi</w:t>
            </w:r>
          </w:p>
        </w:tc>
        <w:tc>
          <w:tcPr>
            <w:tcW w:w="2693" w:type="dxa"/>
            <w:vMerge w:val="restart"/>
            <w:noWrap/>
            <w:vAlign w:val="center"/>
            <w:hideMark/>
          </w:tcPr>
          <w:p w:rsidR="00255CC4" w:rsidRPr="007965DB" w:rsidRDefault="00255CC4" w:rsidP="00255CC4">
            <w:pPr>
              <w:pStyle w:val="ListParagraph"/>
              <w:ind w:left="58"/>
              <w:rPr>
                <w:sz w:val="22"/>
                <w:szCs w:val="22"/>
              </w:rPr>
            </w:pPr>
            <w:r w:rsidRPr="007965DB">
              <w:rPr>
                <w:sz w:val="22"/>
                <w:szCs w:val="22"/>
              </w:rPr>
              <w:t>STRĀDĀJOŠIE</w:t>
            </w:r>
          </w:p>
        </w:tc>
        <w:tc>
          <w:tcPr>
            <w:tcW w:w="1611" w:type="dxa"/>
            <w:noWrap/>
            <w:vAlign w:val="center"/>
            <w:hideMark/>
          </w:tcPr>
          <w:p w:rsidR="00255CC4" w:rsidRPr="007965DB" w:rsidRDefault="00255CC4" w:rsidP="00255CC4">
            <w:pPr>
              <w:pStyle w:val="ListParagraph"/>
              <w:ind w:left="0"/>
              <w:rPr>
                <w:sz w:val="22"/>
                <w:szCs w:val="22"/>
              </w:rPr>
            </w:pPr>
            <w:r w:rsidRPr="007965DB">
              <w:rPr>
                <w:sz w:val="22"/>
                <w:szCs w:val="22"/>
              </w:rPr>
              <w:t>Kopā</w:t>
            </w:r>
          </w:p>
        </w:tc>
        <w:tc>
          <w:tcPr>
            <w:tcW w:w="851" w:type="dxa"/>
            <w:noWrap/>
            <w:vAlign w:val="center"/>
            <w:hideMark/>
          </w:tcPr>
          <w:p w:rsidR="00255CC4" w:rsidRPr="007965DB" w:rsidRDefault="00255CC4" w:rsidP="00255CC4">
            <w:pPr>
              <w:pStyle w:val="ListParagraph"/>
              <w:ind w:left="0"/>
              <w:jc w:val="center"/>
              <w:rPr>
                <w:sz w:val="22"/>
                <w:szCs w:val="22"/>
              </w:rPr>
            </w:pPr>
            <w:r w:rsidRPr="007965DB">
              <w:rPr>
                <w:sz w:val="22"/>
                <w:szCs w:val="22"/>
              </w:rPr>
              <w:t>3,1</w:t>
            </w:r>
          </w:p>
        </w:tc>
        <w:tc>
          <w:tcPr>
            <w:tcW w:w="708" w:type="dxa"/>
            <w:noWrap/>
            <w:vAlign w:val="center"/>
            <w:hideMark/>
          </w:tcPr>
          <w:p w:rsidR="00255CC4" w:rsidRPr="007965DB" w:rsidRDefault="00255CC4" w:rsidP="00255CC4">
            <w:pPr>
              <w:pStyle w:val="ListParagraph"/>
              <w:ind w:left="1"/>
              <w:jc w:val="center"/>
              <w:rPr>
                <w:sz w:val="22"/>
                <w:szCs w:val="22"/>
              </w:rPr>
            </w:pPr>
            <w:r w:rsidRPr="007965DB">
              <w:rPr>
                <w:sz w:val="22"/>
                <w:szCs w:val="22"/>
              </w:rPr>
              <w:t>4,2</w:t>
            </w:r>
          </w:p>
        </w:tc>
        <w:tc>
          <w:tcPr>
            <w:tcW w:w="601" w:type="dxa"/>
            <w:vAlign w:val="center"/>
          </w:tcPr>
          <w:p w:rsidR="00255CC4" w:rsidRPr="007965DB" w:rsidRDefault="00255CC4" w:rsidP="00255CC4">
            <w:pPr>
              <w:pStyle w:val="ListParagraph"/>
              <w:ind w:left="0"/>
              <w:jc w:val="center"/>
              <w:rPr>
                <w:sz w:val="22"/>
                <w:szCs w:val="22"/>
              </w:rPr>
            </w:pPr>
            <w:r w:rsidRPr="007965DB">
              <w:rPr>
                <w:sz w:val="22"/>
                <w:szCs w:val="22"/>
              </w:rPr>
              <w:t>4,2</w:t>
            </w:r>
          </w:p>
        </w:tc>
        <w:tc>
          <w:tcPr>
            <w:tcW w:w="2041" w:type="dxa"/>
            <w:noWrap/>
            <w:vAlign w:val="center"/>
            <w:hideMark/>
          </w:tcPr>
          <w:p w:rsidR="00255CC4" w:rsidRPr="007965DB" w:rsidRDefault="00255CC4" w:rsidP="00255CC4">
            <w:pPr>
              <w:pStyle w:val="ListParagraph"/>
              <w:ind w:left="0"/>
              <w:jc w:val="center"/>
              <w:rPr>
                <w:sz w:val="22"/>
                <w:szCs w:val="22"/>
              </w:rPr>
            </w:pPr>
            <w:r w:rsidRPr="007965DB">
              <w:rPr>
                <w:sz w:val="22"/>
                <w:szCs w:val="22"/>
              </w:rPr>
              <w:t>↑ 1,1</w:t>
            </w:r>
          </w:p>
        </w:tc>
      </w:tr>
      <w:tr w:rsidR="00255CC4" w:rsidRPr="007965DB" w:rsidTr="00037D97">
        <w:trPr>
          <w:trHeight w:val="330"/>
        </w:trPr>
        <w:tc>
          <w:tcPr>
            <w:tcW w:w="1276" w:type="dxa"/>
            <w:vMerge/>
            <w:noWrap/>
            <w:hideMark/>
          </w:tcPr>
          <w:p w:rsidR="00255CC4" w:rsidRPr="007965DB" w:rsidRDefault="00255CC4" w:rsidP="00255CC4">
            <w:pPr>
              <w:pStyle w:val="ListParagraph"/>
              <w:ind w:left="0"/>
              <w:rPr>
                <w:sz w:val="22"/>
                <w:szCs w:val="22"/>
              </w:rPr>
            </w:pPr>
          </w:p>
        </w:tc>
        <w:tc>
          <w:tcPr>
            <w:tcW w:w="2693" w:type="dxa"/>
            <w:vMerge/>
            <w:noWrap/>
            <w:vAlign w:val="center"/>
            <w:hideMark/>
          </w:tcPr>
          <w:p w:rsidR="00255CC4" w:rsidRPr="007965DB" w:rsidRDefault="00255CC4" w:rsidP="00255CC4">
            <w:pPr>
              <w:pStyle w:val="ListParagraph"/>
              <w:ind w:left="58"/>
              <w:rPr>
                <w:sz w:val="22"/>
                <w:szCs w:val="22"/>
              </w:rPr>
            </w:pPr>
          </w:p>
        </w:tc>
        <w:tc>
          <w:tcPr>
            <w:tcW w:w="1611" w:type="dxa"/>
            <w:noWrap/>
            <w:vAlign w:val="center"/>
            <w:hideMark/>
          </w:tcPr>
          <w:p w:rsidR="00255CC4" w:rsidRPr="007965DB" w:rsidRDefault="00255CC4" w:rsidP="00255CC4">
            <w:pPr>
              <w:pStyle w:val="ListParagraph"/>
              <w:ind w:left="0"/>
              <w:rPr>
                <w:b/>
                <w:sz w:val="22"/>
                <w:szCs w:val="22"/>
              </w:rPr>
            </w:pPr>
            <w:r w:rsidRPr="007965DB">
              <w:rPr>
                <w:b/>
                <w:sz w:val="22"/>
                <w:szCs w:val="22"/>
              </w:rPr>
              <w:t>Vīrieši</w:t>
            </w:r>
          </w:p>
        </w:tc>
        <w:tc>
          <w:tcPr>
            <w:tcW w:w="851" w:type="dxa"/>
            <w:noWrap/>
            <w:vAlign w:val="center"/>
            <w:hideMark/>
          </w:tcPr>
          <w:p w:rsidR="00255CC4" w:rsidRPr="007965DB" w:rsidRDefault="00255CC4" w:rsidP="00255CC4">
            <w:pPr>
              <w:pStyle w:val="ListParagraph"/>
              <w:ind w:left="0"/>
              <w:jc w:val="center"/>
              <w:rPr>
                <w:sz w:val="22"/>
                <w:szCs w:val="22"/>
              </w:rPr>
            </w:pPr>
            <w:r w:rsidRPr="007965DB">
              <w:rPr>
                <w:sz w:val="22"/>
                <w:szCs w:val="22"/>
              </w:rPr>
              <w:t>2,3</w:t>
            </w:r>
          </w:p>
        </w:tc>
        <w:tc>
          <w:tcPr>
            <w:tcW w:w="708" w:type="dxa"/>
            <w:noWrap/>
            <w:vAlign w:val="center"/>
            <w:hideMark/>
          </w:tcPr>
          <w:p w:rsidR="00255CC4" w:rsidRPr="007965DB" w:rsidRDefault="00255CC4" w:rsidP="00255CC4">
            <w:pPr>
              <w:pStyle w:val="ListParagraph"/>
              <w:ind w:left="1"/>
              <w:jc w:val="center"/>
              <w:rPr>
                <w:sz w:val="22"/>
                <w:szCs w:val="22"/>
              </w:rPr>
            </w:pPr>
            <w:r w:rsidRPr="007965DB">
              <w:rPr>
                <w:sz w:val="22"/>
                <w:szCs w:val="22"/>
              </w:rPr>
              <w:t>7,5</w:t>
            </w:r>
          </w:p>
        </w:tc>
        <w:tc>
          <w:tcPr>
            <w:tcW w:w="601" w:type="dxa"/>
            <w:vAlign w:val="center"/>
          </w:tcPr>
          <w:p w:rsidR="00255CC4" w:rsidRPr="007965DB" w:rsidRDefault="00255CC4" w:rsidP="00255CC4">
            <w:pPr>
              <w:pStyle w:val="ListParagraph"/>
              <w:ind w:left="0"/>
              <w:jc w:val="center"/>
              <w:rPr>
                <w:sz w:val="22"/>
                <w:szCs w:val="22"/>
              </w:rPr>
            </w:pPr>
            <w:r w:rsidRPr="007965DB">
              <w:rPr>
                <w:sz w:val="22"/>
                <w:szCs w:val="22"/>
              </w:rPr>
              <w:t>1,6</w:t>
            </w:r>
          </w:p>
        </w:tc>
        <w:tc>
          <w:tcPr>
            <w:tcW w:w="2041" w:type="dxa"/>
            <w:noWrap/>
            <w:vAlign w:val="center"/>
            <w:hideMark/>
          </w:tcPr>
          <w:p w:rsidR="00255CC4" w:rsidRPr="007965DB" w:rsidRDefault="00255CC4" w:rsidP="00255CC4">
            <w:pPr>
              <w:pStyle w:val="ListParagraph"/>
              <w:ind w:left="0"/>
              <w:jc w:val="center"/>
              <w:rPr>
                <w:sz w:val="22"/>
                <w:szCs w:val="22"/>
              </w:rPr>
            </w:pPr>
            <w:r w:rsidRPr="007965DB">
              <w:rPr>
                <w:sz w:val="22"/>
                <w:szCs w:val="22"/>
              </w:rPr>
              <w:t>↓ 0,7</w:t>
            </w:r>
          </w:p>
        </w:tc>
      </w:tr>
      <w:tr w:rsidR="00255CC4" w:rsidRPr="007965DB" w:rsidTr="00037D97">
        <w:trPr>
          <w:trHeight w:val="330"/>
        </w:trPr>
        <w:tc>
          <w:tcPr>
            <w:tcW w:w="1276" w:type="dxa"/>
            <w:vMerge/>
            <w:noWrap/>
            <w:hideMark/>
          </w:tcPr>
          <w:p w:rsidR="00255CC4" w:rsidRPr="007965DB" w:rsidRDefault="00255CC4" w:rsidP="00255CC4">
            <w:pPr>
              <w:pStyle w:val="ListParagraph"/>
              <w:ind w:left="0"/>
              <w:rPr>
                <w:sz w:val="22"/>
                <w:szCs w:val="22"/>
              </w:rPr>
            </w:pPr>
          </w:p>
        </w:tc>
        <w:tc>
          <w:tcPr>
            <w:tcW w:w="2693" w:type="dxa"/>
            <w:vMerge/>
            <w:noWrap/>
            <w:vAlign w:val="center"/>
            <w:hideMark/>
          </w:tcPr>
          <w:p w:rsidR="00255CC4" w:rsidRPr="007965DB" w:rsidRDefault="00255CC4" w:rsidP="00255CC4">
            <w:pPr>
              <w:pStyle w:val="ListParagraph"/>
              <w:ind w:left="58"/>
              <w:rPr>
                <w:sz w:val="22"/>
                <w:szCs w:val="22"/>
              </w:rPr>
            </w:pPr>
          </w:p>
        </w:tc>
        <w:tc>
          <w:tcPr>
            <w:tcW w:w="1611" w:type="dxa"/>
            <w:noWrap/>
            <w:vAlign w:val="center"/>
            <w:hideMark/>
          </w:tcPr>
          <w:p w:rsidR="00255CC4" w:rsidRPr="007965DB" w:rsidRDefault="00255CC4" w:rsidP="00255CC4">
            <w:pPr>
              <w:pStyle w:val="ListParagraph"/>
              <w:ind w:left="0"/>
              <w:rPr>
                <w:b/>
                <w:sz w:val="22"/>
                <w:szCs w:val="22"/>
              </w:rPr>
            </w:pPr>
            <w:r w:rsidRPr="007965DB">
              <w:rPr>
                <w:b/>
                <w:sz w:val="22"/>
                <w:szCs w:val="22"/>
              </w:rPr>
              <w:t>Sievietes</w:t>
            </w:r>
          </w:p>
        </w:tc>
        <w:tc>
          <w:tcPr>
            <w:tcW w:w="851" w:type="dxa"/>
            <w:noWrap/>
            <w:vAlign w:val="center"/>
            <w:hideMark/>
          </w:tcPr>
          <w:p w:rsidR="00255CC4" w:rsidRPr="007965DB" w:rsidRDefault="00255CC4" w:rsidP="00255CC4">
            <w:pPr>
              <w:pStyle w:val="ListParagraph"/>
              <w:ind w:left="0"/>
              <w:jc w:val="center"/>
              <w:rPr>
                <w:sz w:val="22"/>
                <w:szCs w:val="22"/>
              </w:rPr>
            </w:pPr>
            <w:r w:rsidRPr="007965DB">
              <w:rPr>
                <w:sz w:val="22"/>
                <w:szCs w:val="22"/>
              </w:rPr>
              <w:t>3,8</w:t>
            </w:r>
          </w:p>
        </w:tc>
        <w:tc>
          <w:tcPr>
            <w:tcW w:w="708" w:type="dxa"/>
            <w:noWrap/>
            <w:vAlign w:val="center"/>
            <w:hideMark/>
          </w:tcPr>
          <w:p w:rsidR="00255CC4" w:rsidRPr="007965DB" w:rsidRDefault="00255CC4" w:rsidP="00255CC4">
            <w:pPr>
              <w:pStyle w:val="ListParagraph"/>
              <w:ind w:left="1"/>
              <w:jc w:val="center"/>
              <w:rPr>
                <w:sz w:val="22"/>
                <w:szCs w:val="22"/>
              </w:rPr>
            </w:pPr>
            <w:r w:rsidRPr="007965DB">
              <w:rPr>
                <w:sz w:val="22"/>
                <w:szCs w:val="22"/>
              </w:rPr>
              <w:t>1,2</w:t>
            </w:r>
          </w:p>
        </w:tc>
        <w:tc>
          <w:tcPr>
            <w:tcW w:w="601" w:type="dxa"/>
            <w:vAlign w:val="center"/>
          </w:tcPr>
          <w:p w:rsidR="00255CC4" w:rsidRPr="007965DB" w:rsidRDefault="00255CC4" w:rsidP="00255CC4">
            <w:pPr>
              <w:pStyle w:val="ListParagraph"/>
              <w:ind w:left="0"/>
              <w:jc w:val="center"/>
              <w:rPr>
                <w:sz w:val="22"/>
                <w:szCs w:val="22"/>
              </w:rPr>
            </w:pPr>
            <w:r w:rsidRPr="007965DB">
              <w:rPr>
                <w:sz w:val="22"/>
                <w:szCs w:val="22"/>
              </w:rPr>
              <w:t>6,0</w:t>
            </w:r>
          </w:p>
        </w:tc>
        <w:tc>
          <w:tcPr>
            <w:tcW w:w="2041" w:type="dxa"/>
            <w:noWrap/>
            <w:vAlign w:val="center"/>
            <w:hideMark/>
          </w:tcPr>
          <w:p w:rsidR="00255CC4" w:rsidRPr="007965DB" w:rsidRDefault="00255CC4" w:rsidP="00255CC4">
            <w:pPr>
              <w:jc w:val="center"/>
              <w:rPr>
                <w:sz w:val="22"/>
                <w:szCs w:val="22"/>
              </w:rPr>
            </w:pPr>
            <w:r w:rsidRPr="007965DB">
              <w:rPr>
                <w:sz w:val="22"/>
                <w:szCs w:val="22"/>
              </w:rPr>
              <w:t>↑ 2,2</w:t>
            </w:r>
          </w:p>
        </w:tc>
      </w:tr>
      <w:tr w:rsidR="00255CC4" w:rsidRPr="007965DB" w:rsidTr="00037D97">
        <w:trPr>
          <w:trHeight w:val="330"/>
        </w:trPr>
        <w:tc>
          <w:tcPr>
            <w:tcW w:w="1276" w:type="dxa"/>
            <w:vMerge/>
            <w:noWrap/>
            <w:hideMark/>
          </w:tcPr>
          <w:p w:rsidR="00255CC4" w:rsidRPr="007965DB" w:rsidRDefault="00255CC4" w:rsidP="00255CC4">
            <w:pPr>
              <w:pStyle w:val="ListParagraph"/>
              <w:ind w:left="0"/>
              <w:rPr>
                <w:sz w:val="22"/>
                <w:szCs w:val="22"/>
              </w:rPr>
            </w:pPr>
          </w:p>
        </w:tc>
        <w:tc>
          <w:tcPr>
            <w:tcW w:w="2693" w:type="dxa"/>
            <w:vMerge w:val="restart"/>
            <w:noWrap/>
            <w:vAlign w:val="center"/>
            <w:hideMark/>
          </w:tcPr>
          <w:p w:rsidR="00255CC4" w:rsidRPr="007965DB" w:rsidRDefault="00255CC4" w:rsidP="00255CC4">
            <w:pPr>
              <w:pStyle w:val="ListParagraph"/>
              <w:ind w:left="58"/>
              <w:rPr>
                <w:sz w:val="22"/>
                <w:szCs w:val="22"/>
              </w:rPr>
            </w:pPr>
            <w:r w:rsidRPr="007965DB">
              <w:rPr>
                <w:sz w:val="22"/>
                <w:szCs w:val="22"/>
              </w:rPr>
              <w:t>NESTRĀDĀJOŠIE</w:t>
            </w:r>
          </w:p>
        </w:tc>
        <w:tc>
          <w:tcPr>
            <w:tcW w:w="1611" w:type="dxa"/>
            <w:noWrap/>
            <w:vAlign w:val="center"/>
            <w:hideMark/>
          </w:tcPr>
          <w:p w:rsidR="00255CC4" w:rsidRPr="007965DB" w:rsidRDefault="00255CC4" w:rsidP="00255CC4">
            <w:pPr>
              <w:pStyle w:val="ListParagraph"/>
              <w:ind w:left="0"/>
              <w:rPr>
                <w:sz w:val="22"/>
                <w:szCs w:val="22"/>
              </w:rPr>
            </w:pPr>
            <w:r w:rsidRPr="007965DB">
              <w:rPr>
                <w:sz w:val="22"/>
                <w:szCs w:val="22"/>
              </w:rPr>
              <w:t>Kopā</w:t>
            </w:r>
          </w:p>
        </w:tc>
        <w:tc>
          <w:tcPr>
            <w:tcW w:w="851" w:type="dxa"/>
            <w:noWrap/>
            <w:vAlign w:val="center"/>
            <w:hideMark/>
          </w:tcPr>
          <w:p w:rsidR="00255CC4" w:rsidRPr="007965DB" w:rsidRDefault="00255CC4" w:rsidP="00255CC4">
            <w:pPr>
              <w:pStyle w:val="ListParagraph"/>
              <w:ind w:left="0"/>
              <w:jc w:val="center"/>
              <w:rPr>
                <w:sz w:val="22"/>
                <w:szCs w:val="22"/>
              </w:rPr>
            </w:pPr>
            <w:r w:rsidRPr="007965DB">
              <w:rPr>
                <w:sz w:val="22"/>
                <w:szCs w:val="22"/>
              </w:rPr>
              <w:t>37,2</w:t>
            </w:r>
          </w:p>
        </w:tc>
        <w:tc>
          <w:tcPr>
            <w:tcW w:w="708" w:type="dxa"/>
            <w:noWrap/>
            <w:vAlign w:val="center"/>
            <w:hideMark/>
          </w:tcPr>
          <w:p w:rsidR="00255CC4" w:rsidRPr="007965DB" w:rsidRDefault="00255CC4" w:rsidP="00255CC4">
            <w:pPr>
              <w:pStyle w:val="ListParagraph"/>
              <w:ind w:left="1"/>
              <w:jc w:val="center"/>
              <w:rPr>
                <w:sz w:val="22"/>
                <w:szCs w:val="22"/>
              </w:rPr>
            </w:pPr>
            <w:r w:rsidRPr="007965DB">
              <w:rPr>
                <w:sz w:val="22"/>
                <w:szCs w:val="22"/>
              </w:rPr>
              <w:t>41,6</w:t>
            </w:r>
          </w:p>
        </w:tc>
        <w:tc>
          <w:tcPr>
            <w:tcW w:w="601" w:type="dxa"/>
            <w:vAlign w:val="center"/>
          </w:tcPr>
          <w:p w:rsidR="00255CC4" w:rsidRPr="007965DB" w:rsidRDefault="00255CC4" w:rsidP="00255CC4">
            <w:pPr>
              <w:pStyle w:val="ListParagraph"/>
              <w:ind w:left="0"/>
              <w:jc w:val="center"/>
              <w:rPr>
                <w:sz w:val="22"/>
                <w:szCs w:val="22"/>
              </w:rPr>
            </w:pPr>
            <w:r w:rsidRPr="007965DB">
              <w:rPr>
                <w:sz w:val="22"/>
                <w:szCs w:val="22"/>
              </w:rPr>
              <w:t>44,1</w:t>
            </w:r>
          </w:p>
        </w:tc>
        <w:tc>
          <w:tcPr>
            <w:tcW w:w="2041" w:type="dxa"/>
            <w:noWrap/>
            <w:vAlign w:val="center"/>
            <w:hideMark/>
          </w:tcPr>
          <w:p w:rsidR="00255CC4" w:rsidRPr="007965DB" w:rsidRDefault="00255CC4" w:rsidP="00255CC4">
            <w:pPr>
              <w:jc w:val="center"/>
              <w:rPr>
                <w:b/>
                <w:color w:val="FF0000"/>
                <w:sz w:val="22"/>
                <w:szCs w:val="22"/>
              </w:rPr>
            </w:pPr>
            <w:r w:rsidRPr="007965DB">
              <w:rPr>
                <w:b/>
                <w:color w:val="FF0000"/>
                <w:sz w:val="22"/>
                <w:szCs w:val="22"/>
              </w:rPr>
              <w:t>↑ 6,9</w:t>
            </w:r>
          </w:p>
        </w:tc>
      </w:tr>
      <w:tr w:rsidR="00255CC4" w:rsidRPr="007965DB" w:rsidTr="00037D97">
        <w:trPr>
          <w:trHeight w:val="330"/>
        </w:trPr>
        <w:tc>
          <w:tcPr>
            <w:tcW w:w="1276" w:type="dxa"/>
            <w:vMerge/>
            <w:noWrap/>
            <w:hideMark/>
          </w:tcPr>
          <w:p w:rsidR="00255CC4" w:rsidRPr="007965DB" w:rsidRDefault="00255CC4" w:rsidP="00255CC4">
            <w:pPr>
              <w:pStyle w:val="ListParagraph"/>
              <w:ind w:left="0"/>
              <w:rPr>
                <w:sz w:val="22"/>
                <w:szCs w:val="22"/>
              </w:rPr>
            </w:pPr>
          </w:p>
        </w:tc>
        <w:tc>
          <w:tcPr>
            <w:tcW w:w="2693" w:type="dxa"/>
            <w:vMerge/>
            <w:noWrap/>
            <w:hideMark/>
          </w:tcPr>
          <w:p w:rsidR="00255CC4" w:rsidRPr="007965DB" w:rsidRDefault="00255CC4" w:rsidP="00255CC4">
            <w:pPr>
              <w:pStyle w:val="ListParagraph"/>
              <w:ind w:left="58"/>
              <w:rPr>
                <w:sz w:val="22"/>
                <w:szCs w:val="22"/>
              </w:rPr>
            </w:pPr>
          </w:p>
        </w:tc>
        <w:tc>
          <w:tcPr>
            <w:tcW w:w="1611" w:type="dxa"/>
            <w:noWrap/>
            <w:vAlign w:val="center"/>
            <w:hideMark/>
          </w:tcPr>
          <w:p w:rsidR="00255CC4" w:rsidRPr="007965DB" w:rsidRDefault="00255CC4" w:rsidP="00255CC4">
            <w:pPr>
              <w:pStyle w:val="ListParagraph"/>
              <w:ind w:left="0"/>
              <w:rPr>
                <w:b/>
                <w:sz w:val="22"/>
                <w:szCs w:val="22"/>
              </w:rPr>
            </w:pPr>
            <w:r w:rsidRPr="007965DB">
              <w:rPr>
                <w:b/>
                <w:sz w:val="22"/>
                <w:szCs w:val="22"/>
              </w:rPr>
              <w:t>Vīrieši</w:t>
            </w:r>
          </w:p>
        </w:tc>
        <w:tc>
          <w:tcPr>
            <w:tcW w:w="851" w:type="dxa"/>
            <w:noWrap/>
            <w:vAlign w:val="center"/>
            <w:hideMark/>
          </w:tcPr>
          <w:p w:rsidR="00255CC4" w:rsidRPr="007965DB" w:rsidRDefault="00255CC4" w:rsidP="00255CC4">
            <w:pPr>
              <w:pStyle w:val="ListParagraph"/>
              <w:ind w:left="0"/>
              <w:jc w:val="center"/>
              <w:rPr>
                <w:sz w:val="22"/>
                <w:szCs w:val="22"/>
              </w:rPr>
            </w:pPr>
            <w:r w:rsidRPr="007965DB">
              <w:rPr>
                <w:sz w:val="22"/>
                <w:szCs w:val="22"/>
              </w:rPr>
              <w:t>25,0</w:t>
            </w:r>
          </w:p>
        </w:tc>
        <w:tc>
          <w:tcPr>
            <w:tcW w:w="708" w:type="dxa"/>
            <w:noWrap/>
            <w:vAlign w:val="center"/>
            <w:hideMark/>
          </w:tcPr>
          <w:p w:rsidR="00255CC4" w:rsidRPr="007965DB" w:rsidRDefault="00255CC4" w:rsidP="00255CC4">
            <w:pPr>
              <w:pStyle w:val="ListParagraph"/>
              <w:ind w:left="1"/>
              <w:jc w:val="center"/>
              <w:rPr>
                <w:sz w:val="22"/>
                <w:szCs w:val="22"/>
              </w:rPr>
            </w:pPr>
            <w:r w:rsidRPr="007965DB">
              <w:rPr>
                <w:sz w:val="22"/>
                <w:szCs w:val="22"/>
              </w:rPr>
              <w:t>31,8</w:t>
            </w:r>
          </w:p>
        </w:tc>
        <w:tc>
          <w:tcPr>
            <w:tcW w:w="601" w:type="dxa"/>
            <w:vAlign w:val="center"/>
          </w:tcPr>
          <w:p w:rsidR="00255CC4" w:rsidRPr="007965DB" w:rsidRDefault="00255CC4" w:rsidP="00255CC4">
            <w:pPr>
              <w:pStyle w:val="ListParagraph"/>
              <w:ind w:left="0"/>
              <w:jc w:val="center"/>
              <w:rPr>
                <w:sz w:val="22"/>
                <w:szCs w:val="22"/>
              </w:rPr>
            </w:pPr>
            <w:r w:rsidRPr="007965DB">
              <w:rPr>
                <w:sz w:val="22"/>
                <w:szCs w:val="22"/>
              </w:rPr>
              <w:t>33,1</w:t>
            </w:r>
          </w:p>
        </w:tc>
        <w:tc>
          <w:tcPr>
            <w:tcW w:w="2041" w:type="dxa"/>
            <w:noWrap/>
            <w:vAlign w:val="center"/>
            <w:hideMark/>
          </w:tcPr>
          <w:p w:rsidR="00255CC4" w:rsidRPr="007965DB" w:rsidRDefault="00255CC4" w:rsidP="00255CC4">
            <w:pPr>
              <w:jc w:val="center"/>
              <w:rPr>
                <w:b/>
                <w:color w:val="FF0000"/>
                <w:sz w:val="22"/>
                <w:szCs w:val="22"/>
              </w:rPr>
            </w:pPr>
            <w:r w:rsidRPr="007965DB">
              <w:rPr>
                <w:b/>
                <w:color w:val="FF0000"/>
                <w:sz w:val="22"/>
                <w:szCs w:val="22"/>
              </w:rPr>
              <w:t>↑ 8,1</w:t>
            </w:r>
          </w:p>
        </w:tc>
      </w:tr>
      <w:tr w:rsidR="00255CC4" w:rsidRPr="007965DB" w:rsidTr="00037D97">
        <w:trPr>
          <w:trHeight w:val="330"/>
        </w:trPr>
        <w:tc>
          <w:tcPr>
            <w:tcW w:w="1276" w:type="dxa"/>
            <w:vMerge/>
            <w:noWrap/>
            <w:hideMark/>
          </w:tcPr>
          <w:p w:rsidR="00255CC4" w:rsidRPr="007965DB" w:rsidRDefault="00255CC4" w:rsidP="00255CC4">
            <w:pPr>
              <w:pStyle w:val="ListParagraph"/>
              <w:ind w:left="0"/>
              <w:rPr>
                <w:sz w:val="22"/>
                <w:szCs w:val="22"/>
              </w:rPr>
            </w:pPr>
          </w:p>
        </w:tc>
        <w:tc>
          <w:tcPr>
            <w:tcW w:w="2693" w:type="dxa"/>
            <w:vMerge/>
            <w:noWrap/>
            <w:hideMark/>
          </w:tcPr>
          <w:p w:rsidR="00255CC4" w:rsidRPr="007965DB" w:rsidRDefault="00255CC4" w:rsidP="00255CC4">
            <w:pPr>
              <w:pStyle w:val="ListParagraph"/>
              <w:ind w:left="58"/>
              <w:rPr>
                <w:sz w:val="22"/>
                <w:szCs w:val="22"/>
              </w:rPr>
            </w:pPr>
          </w:p>
        </w:tc>
        <w:tc>
          <w:tcPr>
            <w:tcW w:w="1611" w:type="dxa"/>
            <w:noWrap/>
            <w:vAlign w:val="center"/>
            <w:hideMark/>
          </w:tcPr>
          <w:p w:rsidR="00255CC4" w:rsidRPr="007965DB" w:rsidRDefault="00255CC4" w:rsidP="00255CC4">
            <w:pPr>
              <w:pStyle w:val="ListParagraph"/>
              <w:ind w:left="0"/>
              <w:rPr>
                <w:b/>
                <w:sz w:val="22"/>
                <w:szCs w:val="22"/>
              </w:rPr>
            </w:pPr>
            <w:r w:rsidRPr="007965DB">
              <w:rPr>
                <w:b/>
                <w:sz w:val="22"/>
                <w:szCs w:val="22"/>
              </w:rPr>
              <w:t>Sievietes</w:t>
            </w:r>
          </w:p>
        </w:tc>
        <w:tc>
          <w:tcPr>
            <w:tcW w:w="851" w:type="dxa"/>
            <w:noWrap/>
            <w:vAlign w:val="center"/>
            <w:hideMark/>
          </w:tcPr>
          <w:p w:rsidR="00255CC4" w:rsidRPr="007965DB" w:rsidRDefault="00255CC4" w:rsidP="00255CC4">
            <w:pPr>
              <w:pStyle w:val="ListParagraph"/>
              <w:ind w:left="0"/>
              <w:jc w:val="center"/>
              <w:rPr>
                <w:sz w:val="22"/>
                <w:szCs w:val="22"/>
              </w:rPr>
            </w:pPr>
            <w:r w:rsidRPr="007965DB">
              <w:rPr>
                <w:sz w:val="22"/>
                <w:szCs w:val="22"/>
              </w:rPr>
              <w:t>42,8</w:t>
            </w:r>
          </w:p>
        </w:tc>
        <w:tc>
          <w:tcPr>
            <w:tcW w:w="708" w:type="dxa"/>
            <w:noWrap/>
            <w:vAlign w:val="center"/>
            <w:hideMark/>
          </w:tcPr>
          <w:p w:rsidR="00255CC4" w:rsidRPr="007965DB" w:rsidRDefault="00255CC4" w:rsidP="00255CC4">
            <w:pPr>
              <w:pStyle w:val="ListParagraph"/>
              <w:ind w:left="1"/>
              <w:jc w:val="center"/>
              <w:rPr>
                <w:sz w:val="22"/>
                <w:szCs w:val="22"/>
              </w:rPr>
            </w:pPr>
            <w:r w:rsidRPr="007965DB">
              <w:rPr>
                <w:sz w:val="22"/>
                <w:szCs w:val="22"/>
              </w:rPr>
              <w:t>46,1</w:t>
            </w:r>
          </w:p>
        </w:tc>
        <w:tc>
          <w:tcPr>
            <w:tcW w:w="601" w:type="dxa"/>
            <w:vAlign w:val="center"/>
          </w:tcPr>
          <w:p w:rsidR="00255CC4" w:rsidRPr="007965DB" w:rsidRDefault="00255CC4" w:rsidP="00255CC4">
            <w:pPr>
              <w:pStyle w:val="ListParagraph"/>
              <w:ind w:left="0"/>
              <w:jc w:val="center"/>
              <w:rPr>
                <w:sz w:val="22"/>
                <w:szCs w:val="22"/>
              </w:rPr>
            </w:pPr>
            <w:r w:rsidRPr="007965DB">
              <w:rPr>
                <w:sz w:val="22"/>
                <w:szCs w:val="22"/>
              </w:rPr>
              <w:t>49,3</w:t>
            </w:r>
          </w:p>
        </w:tc>
        <w:tc>
          <w:tcPr>
            <w:tcW w:w="2041" w:type="dxa"/>
            <w:noWrap/>
            <w:vAlign w:val="center"/>
            <w:hideMark/>
          </w:tcPr>
          <w:p w:rsidR="00255CC4" w:rsidRPr="007965DB" w:rsidRDefault="00255CC4" w:rsidP="00255CC4">
            <w:pPr>
              <w:jc w:val="center"/>
              <w:rPr>
                <w:b/>
                <w:color w:val="FF0000"/>
                <w:sz w:val="22"/>
                <w:szCs w:val="22"/>
              </w:rPr>
            </w:pPr>
            <w:r w:rsidRPr="007965DB">
              <w:rPr>
                <w:b/>
                <w:color w:val="FF0000"/>
                <w:sz w:val="22"/>
                <w:szCs w:val="22"/>
              </w:rPr>
              <w:t>↑ 6,5</w:t>
            </w:r>
          </w:p>
        </w:tc>
      </w:tr>
      <w:tr w:rsidR="00255CC4" w:rsidRPr="007965DB" w:rsidTr="00037D97">
        <w:trPr>
          <w:trHeight w:val="330"/>
        </w:trPr>
        <w:tc>
          <w:tcPr>
            <w:tcW w:w="1276" w:type="dxa"/>
            <w:vMerge/>
            <w:noWrap/>
            <w:hideMark/>
          </w:tcPr>
          <w:p w:rsidR="00255CC4" w:rsidRPr="007965DB" w:rsidRDefault="00255CC4" w:rsidP="00255CC4">
            <w:pPr>
              <w:pStyle w:val="ListParagraph"/>
              <w:ind w:left="0"/>
              <w:rPr>
                <w:sz w:val="22"/>
                <w:szCs w:val="22"/>
              </w:rPr>
            </w:pPr>
          </w:p>
        </w:tc>
        <w:tc>
          <w:tcPr>
            <w:tcW w:w="2693" w:type="dxa"/>
            <w:noWrap/>
            <w:hideMark/>
          </w:tcPr>
          <w:p w:rsidR="00255CC4" w:rsidRPr="007965DB" w:rsidRDefault="00255CC4" w:rsidP="00255CC4">
            <w:pPr>
              <w:pStyle w:val="ListParagraph"/>
              <w:ind w:left="58"/>
              <w:rPr>
                <w:i/>
                <w:iCs/>
                <w:sz w:val="22"/>
                <w:szCs w:val="22"/>
              </w:rPr>
            </w:pPr>
            <w:r w:rsidRPr="007965DB">
              <w:rPr>
                <w:i/>
                <w:iCs/>
                <w:sz w:val="22"/>
                <w:szCs w:val="22"/>
              </w:rPr>
              <w:t>no tiem:</w:t>
            </w:r>
          </w:p>
        </w:tc>
        <w:tc>
          <w:tcPr>
            <w:tcW w:w="5812" w:type="dxa"/>
            <w:gridSpan w:val="5"/>
            <w:vAlign w:val="center"/>
          </w:tcPr>
          <w:p w:rsidR="00255CC4" w:rsidRPr="007965DB" w:rsidRDefault="00255CC4" w:rsidP="00255CC4">
            <w:pPr>
              <w:pStyle w:val="ListParagraph"/>
              <w:ind w:left="0"/>
              <w:rPr>
                <w:sz w:val="22"/>
                <w:szCs w:val="22"/>
              </w:rPr>
            </w:pPr>
            <w:r w:rsidRPr="007965DB">
              <w:rPr>
                <w:sz w:val="22"/>
                <w:szCs w:val="22"/>
              </w:rPr>
              <w:t> </w:t>
            </w:r>
          </w:p>
        </w:tc>
      </w:tr>
      <w:tr w:rsidR="00255CC4" w:rsidRPr="007965DB" w:rsidTr="00037D97">
        <w:trPr>
          <w:trHeight w:val="330"/>
        </w:trPr>
        <w:tc>
          <w:tcPr>
            <w:tcW w:w="1276" w:type="dxa"/>
            <w:vMerge/>
            <w:noWrap/>
            <w:hideMark/>
          </w:tcPr>
          <w:p w:rsidR="00255CC4" w:rsidRPr="007965DB" w:rsidRDefault="00255CC4" w:rsidP="00255CC4">
            <w:pPr>
              <w:pStyle w:val="ListParagraph"/>
              <w:ind w:left="0"/>
              <w:rPr>
                <w:sz w:val="22"/>
                <w:szCs w:val="22"/>
              </w:rPr>
            </w:pPr>
          </w:p>
        </w:tc>
        <w:tc>
          <w:tcPr>
            <w:tcW w:w="2693" w:type="dxa"/>
            <w:vMerge w:val="restart"/>
            <w:noWrap/>
            <w:vAlign w:val="center"/>
            <w:hideMark/>
          </w:tcPr>
          <w:p w:rsidR="00255CC4" w:rsidRPr="007965DB" w:rsidRDefault="00255CC4" w:rsidP="00255CC4">
            <w:pPr>
              <w:pStyle w:val="ListParagraph"/>
              <w:ind w:left="58"/>
              <w:rPr>
                <w:b/>
                <w:sz w:val="22"/>
                <w:szCs w:val="22"/>
              </w:rPr>
            </w:pPr>
            <w:r w:rsidRPr="007965DB">
              <w:rPr>
                <w:b/>
                <w:sz w:val="22"/>
                <w:szCs w:val="22"/>
              </w:rPr>
              <w:t>... pensionāri</w:t>
            </w:r>
          </w:p>
        </w:tc>
        <w:tc>
          <w:tcPr>
            <w:tcW w:w="1611" w:type="dxa"/>
            <w:noWrap/>
            <w:vAlign w:val="center"/>
            <w:hideMark/>
          </w:tcPr>
          <w:p w:rsidR="00255CC4" w:rsidRPr="007965DB" w:rsidRDefault="00255CC4" w:rsidP="00255CC4">
            <w:pPr>
              <w:pStyle w:val="ListParagraph"/>
              <w:ind w:left="0"/>
              <w:rPr>
                <w:sz w:val="22"/>
                <w:szCs w:val="22"/>
              </w:rPr>
            </w:pPr>
            <w:r w:rsidRPr="007965DB">
              <w:rPr>
                <w:sz w:val="22"/>
                <w:szCs w:val="22"/>
              </w:rPr>
              <w:t>Kopā</w:t>
            </w:r>
          </w:p>
        </w:tc>
        <w:tc>
          <w:tcPr>
            <w:tcW w:w="851" w:type="dxa"/>
            <w:noWrap/>
            <w:vAlign w:val="center"/>
            <w:hideMark/>
          </w:tcPr>
          <w:p w:rsidR="00255CC4" w:rsidRPr="007965DB" w:rsidRDefault="00255CC4" w:rsidP="00255CC4">
            <w:pPr>
              <w:pStyle w:val="ListParagraph"/>
              <w:ind w:left="0"/>
              <w:jc w:val="center"/>
              <w:rPr>
                <w:sz w:val="22"/>
                <w:szCs w:val="22"/>
              </w:rPr>
            </w:pPr>
            <w:r w:rsidRPr="007965DB">
              <w:rPr>
                <w:sz w:val="22"/>
                <w:szCs w:val="22"/>
              </w:rPr>
              <w:t>37,3</w:t>
            </w:r>
          </w:p>
        </w:tc>
        <w:tc>
          <w:tcPr>
            <w:tcW w:w="708" w:type="dxa"/>
            <w:noWrap/>
            <w:vAlign w:val="center"/>
            <w:hideMark/>
          </w:tcPr>
          <w:p w:rsidR="00255CC4" w:rsidRPr="007965DB" w:rsidRDefault="00255CC4" w:rsidP="00255CC4">
            <w:pPr>
              <w:pStyle w:val="ListParagraph"/>
              <w:ind w:left="1"/>
              <w:jc w:val="center"/>
              <w:rPr>
                <w:sz w:val="22"/>
                <w:szCs w:val="22"/>
              </w:rPr>
            </w:pPr>
            <w:r w:rsidRPr="007965DB">
              <w:rPr>
                <w:sz w:val="22"/>
                <w:szCs w:val="22"/>
              </w:rPr>
              <w:t>41,6</w:t>
            </w:r>
          </w:p>
        </w:tc>
        <w:tc>
          <w:tcPr>
            <w:tcW w:w="601" w:type="dxa"/>
            <w:vAlign w:val="center"/>
          </w:tcPr>
          <w:p w:rsidR="00255CC4" w:rsidRPr="007965DB" w:rsidRDefault="00255CC4" w:rsidP="00255CC4">
            <w:pPr>
              <w:pStyle w:val="ListParagraph"/>
              <w:ind w:left="0"/>
              <w:jc w:val="center"/>
              <w:rPr>
                <w:sz w:val="22"/>
                <w:szCs w:val="22"/>
              </w:rPr>
            </w:pPr>
            <w:r w:rsidRPr="007965DB">
              <w:rPr>
                <w:sz w:val="22"/>
                <w:szCs w:val="22"/>
              </w:rPr>
              <w:t>44,2</w:t>
            </w:r>
          </w:p>
        </w:tc>
        <w:tc>
          <w:tcPr>
            <w:tcW w:w="2041" w:type="dxa"/>
            <w:noWrap/>
            <w:vAlign w:val="center"/>
            <w:hideMark/>
          </w:tcPr>
          <w:p w:rsidR="00255CC4" w:rsidRPr="007965DB" w:rsidRDefault="00255CC4" w:rsidP="00255CC4">
            <w:pPr>
              <w:jc w:val="center"/>
              <w:rPr>
                <w:b/>
                <w:color w:val="FF0000"/>
                <w:sz w:val="22"/>
                <w:szCs w:val="22"/>
              </w:rPr>
            </w:pPr>
            <w:r w:rsidRPr="007965DB">
              <w:rPr>
                <w:b/>
                <w:color w:val="FF0000"/>
                <w:sz w:val="22"/>
                <w:szCs w:val="22"/>
              </w:rPr>
              <w:t>↑ 6,9</w:t>
            </w:r>
          </w:p>
        </w:tc>
      </w:tr>
      <w:tr w:rsidR="00255CC4" w:rsidRPr="007965DB" w:rsidTr="00037D97">
        <w:trPr>
          <w:trHeight w:val="330"/>
        </w:trPr>
        <w:tc>
          <w:tcPr>
            <w:tcW w:w="1276" w:type="dxa"/>
            <w:vMerge/>
            <w:noWrap/>
            <w:hideMark/>
          </w:tcPr>
          <w:p w:rsidR="00255CC4" w:rsidRPr="007965DB" w:rsidRDefault="00255CC4" w:rsidP="00255CC4">
            <w:pPr>
              <w:pStyle w:val="ListParagraph"/>
              <w:ind w:left="0"/>
              <w:rPr>
                <w:sz w:val="22"/>
                <w:szCs w:val="22"/>
              </w:rPr>
            </w:pPr>
          </w:p>
        </w:tc>
        <w:tc>
          <w:tcPr>
            <w:tcW w:w="2693" w:type="dxa"/>
            <w:vMerge/>
            <w:noWrap/>
            <w:hideMark/>
          </w:tcPr>
          <w:p w:rsidR="00255CC4" w:rsidRPr="007965DB" w:rsidRDefault="00255CC4" w:rsidP="00255CC4">
            <w:pPr>
              <w:pStyle w:val="ListParagraph"/>
              <w:ind w:left="58"/>
              <w:rPr>
                <w:sz w:val="22"/>
                <w:szCs w:val="22"/>
              </w:rPr>
            </w:pPr>
          </w:p>
        </w:tc>
        <w:tc>
          <w:tcPr>
            <w:tcW w:w="1611" w:type="dxa"/>
            <w:noWrap/>
            <w:vAlign w:val="center"/>
            <w:hideMark/>
          </w:tcPr>
          <w:p w:rsidR="00255CC4" w:rsidRPr="007965DB" w:rsidRDefault="00255CC4" w:rsidP="00255CC4">
            <w:pPr>
              <w:pStyle w:val="ListParagraph"/>
              <w:ind w:left="0"/>
              <w:rPr>
                <w:b/>
                <w:sz w:val="22"/>
                <w:szCs w:val="22"/>
              </w:rPr>
            </w:pPr>
            <w:r w:rsidRPr="007965DB">
              <w:rPr>
                <w:b/>
                <w:sz w:val="22"/>
                <w:szCs w:val="22"/>
              </w:rPr>
              <w:t>Vīrieši</w:t>
            </w:r>
          </w:p>
        </w:tc>
        <w:tc>
          <w:tcPr>
            <w:tcW w:w="851" w:type="dxa"/>
            <w:noWrap/>
            <w:vAlign w:val="center"/>
            <w:hideMark/>
          </w:tcPr>
          <w:p w:rsidR="00255CC4" w:rsidRPr="007965DB" w:rsidRDefault="00255CC4" w:rsidP="00255CC4">
            <w:pPr>
              <w:pStyle w:val="ListParagraph"/>
              <w:ind w:left="0"/>
              <w:jc w:val="center"/>
              <w:rPr>
                <w:sz w:val="22"/>
                <w:szCs w:val="22"/>
              </w:rPr>
            </w:pPr>
            <w:r w:rsidRPr="007965DB">
              <w:rPr>
                <w:sz w:val="22"/>
                <w:szCs w:val="22"/>
              </w:rPr>
              <w:t>25,1</w:t>
            </w:r>
          </w:p>
        </w:tc>
        <w:tc>
          <w:tcPr>
            <w:tcW w:w="708" w:type="dxa"/>
            <w:noWrap/>
            <w:vAlign w:val="center"/>
            <w:hideMark/>
          </w:tcPr>
          <w:p w:rsidR="00255CC4" w:rsidRPr="007965DB" w:rsidRDefault="00255CC4" w:rsidP="00255CC4">
            <w:pPr>
              <w:pStyle w:val="ListParagraph"/>
              <w:ind w:left="1"/>
              <w:jc w:val="center"/>
              <w:rPr>
                <w:sz w:val="22"/>
                <w:szCs w:val="22"/>
              </w:rPr>
            </w:pPr>
            <w:r w:rsidRPr="007965DB">
              <w:rPr>
                <w:sz w:val="22"/>
                <w:szCs w:val="22"/>
              </w:rPr>
              <w:t>31,5</w:t>
            </w:r>
          </w:p>
        </w:tc>
        <w:tc>
          <w:tcPr>
            <w:tcW w:w="601" w:type="dxa"/>
            <w:vAlign w:val="center"/>
          </w:tcPr>
          <w:p w:rsidR="00255CC4" w:rsidRPr="007965DB" w:rsidRDefault="00255CC4" w:rsidP="00255CC4">
            <w:pPr>
              <w:pStyle w:val="ListParagraph"/>
              <w:ind w:left="0"/>
              <w:jc w:val="center"/>
              <w:rPr>
                <w:sz w:val="22"/>
                <w:szCs w:val="22"/>
              </w:rPr>
            </w:pPr>
            <w:r w:rsidRPr="007965DB">
              <w:rPr>
                <w:sz w:val="22"/>
                <w:szCs w:val="22"/>
              </w:rPr>
              <w:t>33,0</w:t>
            </w:r>
          </w:p>
        </w:tc>
        <w:tc>
          <w:tcPr>
            <w:tcW w:w="2041" w:type="dxa"/>
            <w:noWrap/>
            <w:vAlign w:val="center"/>
            <w:hideMark/>
          </w:tcPr>
          <w:p w:rsidR="00255CC4" w:rsidRPr="007965DB" w:rsidRDefault="00255CC4" w:rsidP="00255CC4">
            <w:pPr>
              <w:jc w:val="center"/>
              <w:rPr>
                <w:b/>
                <w:color w:val="FF0000"/>
                <w:sz w:val="22"/>
                <w:szCs w:val="22"/>
              </w:rPr>
            </w:pPr>
            <w:r w:rsidRPr="007965DB">
              <w:rPr>
                <w:b/>
                <w:color w:val="FF0000"/>
                <w:sz w:val="22"/>
                <w:szCs w:val="22"/>
              </w:rPr>
              <w:t>↑ 7,9</w:t>
            </w:r>
          </w:p>
        </w:tc>
      </w:tr>
      <w:tr w:rsidR="00255CC4" w:rsidRPr="007965DB" w:rsidTr="00037D97">
        <w:trPr>
          <w:trHeight w:val="330"/>
        </w:trPr>
        <w:tc>
          <w:tcPr>
            <w:tcW w:w="1276" w:type="dxa"/>
            <w:vMerge/>
            <w:noWrap/>
            <w:hideMark/>
          </w:tcPr>
          <w:p w:rsidR="00255CC4" w:rsidRPr="007965DB" w:rsidRDefault="00255CC4" w:rsidP="00255CC4">
            <w:pPr>
              <w:pStyle w:val="ListParagraph"/>
              <w:ind w:left="0"/>
              <w:rPr>
                <w:sz w:val="22"/>
                <w:szCs w:val="22"/>
              </w:rPr>
            </w:pPr>
          </w:p>
        </w:tc>
        <w:tc>
          <w:tcPr>
            <w:tcW w:w="2693" w:type="dxa"/>
            <w:vMerge/>
            <w:noWrap/>
            <w:hideMark/>
          </w:tcPr>
          <w:p w:rsidR="00255CC4" w:rsidRPr="007965DB" w:rsidRDefault="00255CC4" w:rsidP="00255CC4">
            <w:pPr>
              <w:pStyle w:val="ListParagraph"/>
              <w:ind w:left="58"/>
              <w:rPr>
                <w:sz w:val="22"/>
                <w:szCs w:val="22"/>
              </w:rPr>
            </w:pPr>
          </w:p>
        </w:tc>
        <w:tc>
          <w:tcPr>
            <w:tcW w:w="1611" w:type="dxa"/>
            <w:noWrap/>
            <w:vAlign w:val="center"/>
            <w:hideMark/>
          </w:tcPr>
          <w:p w:rsidR="00255CC4" w:rsidRPr="007965DB" w:rsidRDefault="00255CC4" w:rsidP="00255CC4">
            <w:pPr>
              <w:pStyle w:val="ListParagraph"/>
              <w:ind w:left="0"/>
              <w:rPr>
                <w:b/>
                <w:sz w:val="22"/>
                <w:szCs w:val="22"/>
              </w:rPr>
            </w:pPr>
            <w:r w:rsidRPr="007965DB">
              <w:rPr>
                <w:b/>
                <w:sz w:val="22"/>
                <w:szCs w:val="22"/>
              </w:rPr>
              <w:t>Sievietes</w:t>
            </w:r>
          </w:p>
        </w:tc>
        <w:tc>
          <w:tcPr>
            <w:tcW w:w="851" w:type="dxa"/>
            <w:noWrap/>
            <w:vAlign w:val="center"/>
            <w:hideMark/>
          </w:tcPr>
          <w:p w:rsidR="00255CC4" w:rsidRPr="007965DB" w:rsidRDefault="00255CC4" w:rsidP="00255CC4">
            <w:pPr>
              <w:pStyle w:val="ListParagraph"/>
              <w:ind w:left="0"/>
              <w:jc w:val="center"/>
              <w:rPr>
                <w:sz w:val="22"/>
                <w:szCs w:val="22"/>
              </w:rPr>
            </w:pPr>
            <w:r w:rsidRPr="007965DB">
              <w:rPr>
                <w:sz w:val="22"/>
                <w:szCs w:val="22"/>
              </w:rPr>
              <w:t>42,9</w:t>
            </w:r>
          </w:p>
        </w:tc>
        <w:tc>
          <w:tcPr>
            <w:tcW w:w="708" w:type="dxa"/>
            <w:noWrap/>
            <w:vAlign w:val="center"/>
            <w:hideMark/>
          </w:tcPr>
          <w:p w:rsidR="00255CC4" w:rsidRPr="007965DB" w:rsidRDefault="00255CC4" w:rsidP="00255CC4">
            <w:pPr>
              <w:pStyle w:val="ListParagraph"/>
              <w:ind w:left="1"/>
              <w:jc w:val="center"/>
              <w:rPr>
                <w:sz w:val="22"/>
                <w:szCs w:val="22"/>
              </w:rPr>
            </w:pPr>
            <w:r w:rsidRPr="007965DB">
              <w:rPr>
                <w:sz w:val="22"/>
                <w:szCs w:val="22"/>
              </w:rPr>
              <w:t>46,1</w:t>
            </w:r>
          </w:p>
        </w:tc>
        <w:tc>
          <w:tcPr>
            <w:tcW w:w="601" w:type="dxa"/>
            <w:vAlign w:val="center"/>
          </w:tcPr>
          <w:p w:rsidR="00255CC4" w:rsidRPr="007965DB" w:rsidRDefault="00255CC4" w:rsidP="00255CC4">
            <w:pPr>
              <w:pStyle w:val="ListParagraph"/>
              <w:ind w:left="0"/>
              <w:jc w:val="center"/>
              <w:rPr>
                <w:sz w:val="22"/>
                <w:szCs w:val="22"/>
              </w:rPr>
            </w:pPr>
            <w:r w:rsidRPr="007965DB">
              <w:rPr>
                <w:sz w:val="22"/>
                <w:szCs w:val="22"/>
              </w:rPr>
              <w:t>49,5</w:t>
            </w:r>
          </w:p>
        </w:tc>
        <w:tc>
          <w:tcPr>
            <w:tcW w:w="2041" w:type="dxa"/>
            <w:noWrap/>
            <w:vAlign w:val="center"/>
            <w:hideMark/>
          </w:tcPr>
          <w:p w:rsidR="00255CC4" w:rsidRPr="007965DB" w:rsidRDefault="00255CC4" w:rsidP="00255CC4">
            <w:pPr>
              <w:jc w:val="center"/>
              <w:rPr>
                <w:b/>
                <w:color w:val="FF0000"/>
                <w:sz w:val="22"/>
                <w:szCs w:val="22"/>
              </w:rPr>
            </w:pPr>
            <w:r w:rsidRPr="007965DB">
              <w:rPr>
                <w:b/>
                <w:color w:val="FF0000"/>
                <w:sz w:val="22"/>
                <w:szCs w:val="22"/>
              </w:rPr>
              <w:t>↑ 6,6</w:t>
            </w:r>
          </w:p>
        </w:tc>
      </w:tr>
    </w:tbl>
    <w:p w:rsidR="00255CC4" w:rsidRDefault="00255CC4" w:rsidP="00255CC4">
      <w:pPr>
        <w:pStyle w:val="ListParagraph"/>
        <w:ind w:left="0"/>
        <w:rPr>
          <w:sz w:val="20"/>
          <w:szCs w:val="20"/>
        </w:rPr>
      </w:pPr>
      <w:r w:rsidRPr="00ED739D">
        <w:rPr>
          <w:sz w:val="20"/>
          <w:szCs w:val="20"/>
        </w:rPr>
        <w:t>Avots: CSP, “NIG040. Nabadzības riska indekss pēc pamatnodarbošanās statusa, dzimuma un vecuma (%)”.</w:t>
      </w:r>
    </w:p>
    <w:p w:rsidR="008C6B83" w:rsidRPr="00ED739D" w:rsidRDefault="008C6B83" w:rsidP="00255CC4">
      <w:pPr>
        <w:pStyle w:val="ListParagraph"/>
        <w:ind w:left="0"/>
        <w:rPr>
          <w:sz w:val="20"/>
          <w:szCs w:val="20"/>
        </w:rPr>
      </w:pPr>
    </w:p>
    <w:p w:rsidR="00255CC4" w:rsidRDefault="006E1579" w:rsidP="00255CC4">
      <w:r>
        <w:lastRenderedPageBreak/>
        <w:t>1.2</w:t>
      </w:r>
      <w:r w:rsidR="00446171">
        <w:t>2</w:t>
      </w:r>
      <w:r w:rsidR="00255CC4">
        <w:t xml:space="preserve">. tabulā ir apkopoti dati par nabadzības riska rādītāju sadalījumā pēc tādām pazīmēm kā </w:t>
      </w:r>
      <w:r w:rsidR="00255CC4" w:rsidRPr="00C22BC2">
        <w:rPr>
          <w:b/>
        </w:rPr>
        <w:t>nodarbošanās statuss, vecums un dzimums</w:t>
      </w:r>
      <w:r w:rsidR="00255CC4">
        <w:t xml:space="preserve">. Strādājošo iedzīvotāju grupā vecumā no 16-64 gadiem nabadzības riska rādītājs kopumā ir stabils ar nelielu samazinājuma tendenci periodā no 2014. </w:t>
      </w:r>
      <w:r w:rsidR="00550096">
        <w:t>g</w:t>
      </w:r>
      <w:r w:rsidR="00255CC4">
        <w:t xml:space="preserve">ada līdz 2016. gadam, sasniedzot 9%. Nedaudz augstāks tas ir sievietēm. Strādājošo nabadzība korelē ar tādām pazīmēm kā </w:t>
      </w:r>
      <w:r w:rsidR="00255CC4" w:rsidRPr="00BC5118">
        <w:t>zema izglītība, zems atalgojums un netipiskas nodarbinātības formas (nepilna laika nodarbinātība, darba līgumi</w:t>
      </w:r>
      <w:r w:rsidR="00550096">
        <w:t xml:space="preserve"> uz noteiktu laiku</w:t>
      </w:r>
      <w:r w:rsidR="00255CC4" w:rsidRPr="00BC5118">
        <w:t>).</w:t>
      </w:r>
      <w:r w:rsidR="00255CC4">
        <w:t xml:space="preserve"> Latvijas gadījumā to pastiprina arī citi faktori: </w:t>
      </w:r>
      <w:r w:rsidR="00255CC4" w:rsidRPr="00BC5118">
        <w:t>dzimums (vīrietis), apdzīvotā vieta (lauki) un slikts veselības stāvoklis vai invaliditāte.</w:t>
      </w:r>
      <w:r w:rsidR="00255CC4">
        <w:rPr>
          <w:rStyle w:val="FootnoteReference"/>
        </w:rPr>
        <w:footnoteReference w:id="109"/>
      </w:r>
    </w:p>
    <w:p w:rsidR="00255CC4" w:rsidRDefault="00255CC4" w:rsidP="00255CC4"/>
    <w:p w:rsidR="00255CC4" w:rsidRDefault="00255CC4" w:rsidP="00255CC4">
      <w:r>
        <w:t xml:space="preserve">Būtiski augstāki nabadzības riska rādītāji ir nestrādājošo grupā, kur kopējais nabadzības riska indekss 2016. gadā ir bijis 37,5%. Nestrādājošiem vīriešiem tas ir vēl augstāks – 42,5%, turklāt ar tendenci pieaugt salīdzinājumā ar 2014. gadu, kad tas bija 39,9%. Nestrādājošo sieviešu vidū šis rādītājs ir zemāks, samazinoties par </w:t>
      </w:r>
      <w:r w:rsidR="00550096">
        <w:t>2</w:t>
      </w:r>
      <w:r>
        <w:t>,8 procentpunktiem Izvērtējuma periodā, proti, no 36,6% 2014. gadā līdz 3</w:t>
      </w:r>
      <w:r w:rsidR="00550096">
        <w:t>3</w:t>
      </w:r>
      <w:r>
        <w:t xml:space="preserve">,8% 2016. gadā. </w:t>
      </w:r>
    </w:p>
    <w:p w:rsidR="00255CC4" w:rsidRDefault="00255CC4" w:rsidP="00255CC4"/>
    <w:p w:rsidR="00255CC4" w:rsidRDefault="00255CC4" w:rsidP="00255CC4">
      <w:r>
        <w:t xml:space="preserve">Nestrādājošo grupa tiek dalīta trīs apakšgrupās. </w:t>
      </w:r>
      <w:r w:rsidRPr="0011341D">
        <w:t>Augstākais nabadzības risks 2016.gadā bij</w:t>
      </w:r>
      <w:r>
        <w:t>is</w:t>
      </w:r>
      <w:r w:rsidRPr="0011341D">
        <w:t xml:space="preserve"> vīriešiem </w:t>
      </w:r>
      <w:r>
        <w:t xml:space="preserve">bezdarbniekiem </w:t>
      </w:r>
      <w:r w:rsidRPr="0011341D">
        <w:t>vecumā virs 16 gadiem</w:t>
      </w:r>
      <w:r>
        <w:t xml:space="preserve"> </w:t>
      </w:r>
      <w:r w:rsidRPr="0011341D">
        <w:t>– nabadzības riska indekss šai grupai bija 62,7%, kamēr tās pašas grupas sievietēm – 48,5%.</w:t>
      </w:r>
      <w:r w:rsidR="005D0767">
        <w:t xml:space="preserve"> Iespējams, daļēji tas skaidrojams ar to, ka sievietes biežāk ir ģimenes valsts pabalsta saņēmējas, tādejādi palielinoties </w:t>
      </w:r>
      <w:r w:rsidR="004B4C44">
        <w:t xml:space="preserve">daļas </w:t>
      </w:r>
      <w:r w:rsidR="005D0767">
        <w:t>sieviešu bezd</w:t>
      </w:r>
      <w:r w:rsidR="004B4C44">
        <w:t>a</w:t>
      </w:r>
      <w:r w:rsidR="005D0767">
        <w:t>rbnieču, kurām ir bērni</w:t>
      </w:r>
      <w:r w:rsidR="004B4C44">
        <w:t xml:space="preserve"> vecumā līdz 18-24 gadiem</w:t>
      </w:r>
      <w:r w:rsidR="005D0767">
        <w:t xml:space="preserve">, kopējiem ienākumiem mēnesī salīdzinājumā ar </w:t>
      </w:r>
      <w:r w:rsidR="004B4C44">
        <w:t xml:space="preserve">bezdarbniekiem </w:t>
      </w:r>
      <w:r w:rsidR="005D0767">
        <w:t>vīriešiem</w:t>
      </w:r>
      <w:r w:rsidR="004B4C44">
        <w:t>, kuriem ir bērni un</w:t>
      </w:r>
      <w:r w:rsidR="005D0767">
        <w:t xml:space="preserve"> kuri šādu pabalstu nesaņem.</w:t>
      </w:r>
      <w:r w:rsidRPr="0011341D">
        <w:t xml:space="preserve"> No 2014.</w:t>
      </w:r>
      <w:r>
        <w:t xml:space="preserve"> </w:t>
      </w:r>
      <w:r w:rsidRPr="0011341D">
        <w:t>gada līdz 2016.</w:t>
      </w:r>
      <w:r>
        <w:t xml:space="preserve"> </w:t>
      </w:r>
      <w:r w:rsidRPr="0011341D">
        <w:t>gadam, vislielākais nabadzības riska indeksa pieaugums vērojams bez darba esošiem vīriešiem</w:t>
      </w:r>
      <w:r>
        <w:t xml:space="preserve"> vecumā no 16-64 gadiem</w:t>
      </w:r>
      <w:r w:rsidRPr="0011341D">
        <w:t xml:space="preserve">, kur pieaugums bijis 9,7 procentpunkti, </w:t>
      </w:r>
      <w:r>
        <w:t>kā</w:t>
      </w:r>
      <w:r w:rsidRPr="0011341D">
        <w:t xml:space="preserve"> arī nestrādājošo vīriešu vecuma grupā</w:t>
      </w:r>
      <w:r>
        <w:t xml:space="preserve"> virs 65 gadiem</w:t>
      </w:r>
      <w:r w:rsidRPr="0011341D">
        <w:t xml:space="preserve">, kur pieaugums bijis 8,1 procentpunkti. Bezdarbniecēm sievietēm situācija ir nedaudz savādāka, tā vecuma grupā no 16-64 </w:t>
      </w:r>
      <w:r w:rsidR="00550096">
        <w:t xml:space="preserve">gadiem </w:t>
      </w:r>
      <w:r w:rsidRPr="0011341D">
        <w:t>nabadzības riska indekss laika posmā no 2014.</w:t>
      </w:r>
      <w:r>
        <w:t xml:space="preserve"> </w:t>
      </w:r>
      <w:r w:rsidRPr="0011341D">
        <w:t>gada līdz 2016.</w:t>
      </w:r>
      <w:r>
        <w:t xml:space="preserve"> </w:t>
      </w:r>
      <w:r w:rsidRPr="0011341D">
        <w:t xml:space="preserve">gadam krities par 9,4 procentpunktiem, bet vecumā virs 65 gadiem nestrādājošām </w:t>
      </w:r>
      <w:r>
        <w:t xml:space="preserve">šis nabadzības rādītājs </w:t>
      </w:r>
      <w:r w:rsidRPr="0011341D">
        <w:t>sievietēm kāpis par 6,5 procentpunktiem.</w:t>
      </w:r>
      <w:r>
        <w:t xml:space="preserve"> </w:t>
      </w:r>
    </w:p>
    <w:p w:rsidR="00255CC4" w:rsidRDefault="00255CC4" w:rsidP="00255CC4"/>
    <w:p w:rsidR="00255CC4" w:rsidRPr="00EA0927" w:rsidRDefault="00255CC4" w:rsidP="00255CC4">
      <w:r>
        <w:t xml:space="preserve">Kopumā nabadzības riska indeksa analīze pēc nodarbošanās, vecuma un dzimuma pazīmēm sniedz pamatu secinājumam, ka </w:t>
      </w:r>
      <w:r w:rsidRPr="006345C0">
        <w:rPr>
          <w:b/>
        </w:rPr>
        <w:t>augstākam nabadzības riskam vecuma grupā no 16-64 gadiem ir bijuši pakļauti nestrādājoši vīrieši, kamēr vecuma grupā virs 65 gadiem – sievietes</w:t>
      </w:r>
      <w:r>
        <w:t xml:space="preserve"> (kā strādājošās, tā nestrādājošās). </w:t>
      </w:r>
    </w:p>
    <w:p w:rsidR="00A661B6" w:rsidRDefault="00A661B6" w:rsidP="00A661B6">
      <w:bookmarkStart w:id="240" w:name="_Toc6220090"/>
      <w:bookmarkStart w:id="241" w:name="_Ref872861"/>
    </w:p>
    <w:p w:rsidR="00255CC4" w:rsidRDefault="00255CC4" w:rsidP="00A661B6">
      <w:r w:rsidRPr="0071054C">
        <w:t xml:space="preserve">Nabadzības riska indeksa rādītāju svarīgi analizēt </w:t>
      </w:r>
      <w:r>
        <w:t xml:space="preserve">arī pēc ienākumu avota, ko netieši ļauj darīt pieejamie dati par nabadzības riska indeksu dažādās vecuma un dzimuma grupās pirms un pēc </w:t>
      </w:r>
      <w:r w:rsidRPr="0071054C">
        <w:t>sociālo transfertu saņemšanas</w:t>
      </w:r>
      <w:r w:rsidR="00550096" w:rsidRPr="00550096">
        <w:t xml:space="preserve"> </w:t>
      </w:r>
      <w:r w:rsidR="00550096">
        <w:t>(sk. jēdzienu un terminu skaidrojumu)</w:t>
      </w:r>
      <w:r w:rsidRPr="0071054C">
        <w:t xml:space="preserve">. </w:t>
      </w:r>
      <w:r w:rsidR="00550096">
        <w:t xml:space="preserve">Iepriekšējo nabadzības riska tendenču rādītāju analīzē izmantotie dati par iedzīvotāju ienākumiem ietver sociālos transfertus.  </w:t>
      </w:r>
      <w:r w:rsidR="006E1579">
        <w:t>1.2</w:t>
      </w:r>
      <w:r w:rsidR="00446171">
        <w:t>3</w:t>
      </w:r>
      <w:r w:rsidRPr="0071054C">
        <w:t>.</w:t>
      </w:r>
      <w:r>
        <w:t xml:space="preserve"> </w:t>
      </w:r>
      <w:r w:rsidRPr="0071054C">
        <w:t xml:space="preserve">tabulā apkopotie dati atklāj, ka </w:t>
      </w:r>
      <w:r>
        <w:t xml:space="preserve">dinamikā </w:t>
      </w:r>
      <w:r w:rsidRPr="0071054C">
        <w:t>nabadzības riska indeksam pirms sociālo transfertu saņemšanas ir vērojams kritums visās sociāli demogrāfiskajās grupās</w:t>
      </w:r>
      <w:r>
        <w:t xml:space="preserve">. </w:t>
      </w:r>
      <w:r w:rsidRPr="0071054C">
        <w:t xml:space="preserve">Tāpat redzams, </w:t>
      </w:r>
      <w:r>
        <w:t xml:space="preserve">ka </w:t>
      </w:r>
      <w:r w:rsidRPr="0071054C">
        <w:t>visās grupās nabadzības riska indekss</w:t>
      </w:r>
      <w:r>
        <w:t xml:space="preserve"> samazinās pēc sociālo transfertu saņemšanas.</w:t>
      </w:r>
      <w:bookmarkEnd w:id="240"/>
      <w:r>
        <w:t xml:space="preserve"> </w:t>
      </w:r>
    </w:p>
    <w:p w:rsidR="00373D88" w:rsidRDefault="00373D88" w:rsidP="00A661B6"/>
    <w:p w:rsidR="00373D88" w:rsidRDefault="00373D88" w:rsidP="00373D88">
      <w:bookmarkStart w:id="242" w:name="_Toc6220092"/>
      <w:r>
        <w:lastRenderedPageBreak/>
        <w:t>Bērniem (vecuma grupa 0 līdz 17 gadi) tas samazinās par 10,8-13,7 procentpunktiem aplūkotajā periodā, darbspējīgo iedzīvotāju grupā (18 līdz 64 gadi) samazinājums ir vidēji 12 procentpunkti. Šajā griezumā abās minētajās vecuma grupās nav vērojamas atšķirības pēc dzimuma pazīmes.</w:t>
      </w:r>
      <w:bookmarkEnd w:id="242"/>
      <w:r>
        <w:t xml:space="preserve"> Jāņem vērā, ka bērni ir piesaistīti pieaugušajiem mājsaimniecību locekļiem, kas nozīmē, ka, piemēram, bērnu vajadzībām izmaksātie sociālās palīdzības pabalsti ietekmē arī pieaugušo mājsaimniecības locekļu situāciju. </w:t>
      </w:r>
    </w:p>
    <w:bookmarkStart w:id="243" w:name="_Toc6220091"/>
    <w:bookmarkEnd w:id="241"/>
    <w:p w:rsidR="00255CC4" w:rsidRPr="00EA0927" w:rsidRDefault="00AD3EDD" w:rsidP="008C6B83">
      <w:pPr>
        <w:pStyle w:val="Caption"/>
      </w:pPr>
      <w:r>
        <w:fldChar w:fldCharType="begin"/>
      </w:r>
      <w:r w:rsidR="00A46B54">
        <w:instrText xml:space="preserve"> STYLEREF 1 \s </w:instrText>
      </w:r>
      <w:r>
        <w:fldChar w:fldCharType="separate"/>
      </w:r>
      <w:r w:rsidR="00224B50">
        <w:rPr>
          <w:noProof/>
        </w:rPr>
        <w:t>1</w:t>
      </w:r>
      <w:r>
        <w:fldChar w:fldCharType="end"/>
      </w:r>
      <w:r w:rsidR="00A46B54">
        <w:t>.</w:t>
      </w:r>
      <w:r w:rsidR="000A7157">
        <w:t>2</w:t>
      </w:r>
      <w:r w:rsidR="00446171">
        <w:t>3</w:t>
      </w:r>
      <w:r w:rsidR="00255CC4">
        <w:t xml:space="preserve">. tabula. </w:t>
      </w:r>
      <w:r w:rsidR="00255CC4" w:rsidRPr="00EA0927">
        <w:t xml:space="preserve">Nabadzības riska indekss </w:t>
      </w:r>
      <w:r w:rsidR="00255CC4" w:rsidRPr="00D14D45">
        <w:rPr>
          <w:u w:val="single"/>
        </w:rPr>
        <w:t>pirms</w:t>
      </w:r>
      <w:r w:rsidR="00255CC4" w:rsidRPr="00EA0927">
        <w:t xml:space="preserve"> </w:t>
      </w:r>
      <w:r w:rsidR="00255CC4">
        <w:t xml:space="preserve">un </w:t>
      </w:r>
      <w:r w:rsidR="00255CC4" w:rsidRPr="007965DB">
        <w:rPr>
          <w:u w:val="single"/>
        </w:rPr>
        <w:t>pēc</w:t>
      </w:r>
      <w:r w:rsidR="00255CC4">
        <w:t xml:space="preserve"> </w:t>
      </w:r>
      <w:r w:rsidR="00255CC4" w:rsidRPr="007965DB">
        <w:t>sociālo</w:t>
      </w:r>
      <w:r w:rsidR="00255CC4" w:rsidRPr="00EA0927">
        <w:t xml:space="preserve"> transfertu saņemšanas pēc vecuma un dzimuma (%)</w:t>
      </w:r>
      <w:bookmarkEnd w:id="243"/>
    </w:p>
    <w:tbl>
      <w:tblPr>
        <w:tblStyle w:val="TableGrid"/>
        <w:tblW w:w="9498" w:type="dxa"/>
        <w:tblInd w:w="108" w:type="dxa"/>
        <w:tblLook w:val="04A0"/>
      </w:tblPr>
      <w:tblGrid>
        <w:gridCol w:w="1560"/>
        <w:gridCol w:w="1842"/>
        <w:gridCol w:w="993"/>
        <w:gridCol w:w="992"/>
        <w:gridCol w:w="992"/>
        <w:gridCol w:w="992"/>
        <w:gridCol w:w="1134"/>
        <w:gridCol w:w="993"/>
      </w:tblGrid>
      <w:tr w:rsidR="00255CC4" w:rsidRPr="00FC1A5D" w:rsidTr="00BC22F8">
        <w:trPr>
          <w:trHeight w:val="300"/>
        </w:trPr>
        <w:tc>
          <w:tcPr>
            <w:tcW w:w="1560" w:type="dxa"/>
            <w:shd w:val="clear" w:color="auto" w:fill="B8CCE4" w:themeFill="accent1" w:themeFillTint="66"/>
            <w:noWrap/>
            <w:vAlign w:val="center"/>
            <w:hideMark/>
          </w:tcPr>
          <w:p w:rsidR="00255CC4" w:rsidRPr="00FC1A5D" w:rsidRDefault="00255CC4" w:rsidP="00255CC4">
            <w:pPr>
              <w:rPr>
                <w:b/>
                <w:sz w:val="22"/>
                <w:szCs w:val="22"/>
              </w:rPr>
            </w:pPr>
            <w:r w:rsidRPr="00FC1A5D">
              <w:rPr>
                <w:b/>
                <w:sz w:val="22"/>
                <w:szCs w:val="22"/>
              </w:rPr>
              <w:t>Vecuma grupa (gados)</w:t>
            </w:r>
          </w:p>
        </w:tc>
        <w:tc>
          <w:tcPr>
            <w:tcW w:w="1842" w:type="dxa"/>
            <w:shd w:val="clear" w:color="auto" w:fill="B8CCE4" w:themeFill="accent1" w:themeFillTint="66"/>
            <w:noWrap/>
            <w:vAlign w:val="center"/>
            <w:hideMark/>
          </w:tcPr>
          <w:p w:rsidR="00255CC4" w:rsidRPr="00FC1A5D" w:rsidRDefault="00255CC4" w:rsidP="00255CC4">
            <w:pPr>
              <w:rPr>
                <w:b/>
                <w:sz w:val="22"/>
                <w:szCs w:val="22"/>
              </w:rPr>
            </w:pPr>
            <w:r w:rsidRPr="00FC1A5D">
              <w:rPr>
                <w:b/>
                <w:sz w:val="22"/>
                <w:szCs w:val="22"/>
              </w:rPr>
              <w:t>Dzimums</w:t>
            </w:r>
          </w:p>
        </w:tc>
        <w:tc>
          <w:tcPr>
            <w:tcW w:w="1985" w:type="dxa"/>
            <w:gridSpan w:val="2"/>
            <w:shd w:val="clear" w:color="auto" w:fill="B8CCE4" w:themeFill="accent1" w:themeFillTint="66"/>
            <w:noWrap/>
            <w:vAlign w:val="center"/>
            <w:hideMark/>
          </w:tcPr>
          <w:p w:rsidR="00255CC4" w:rsidRPr="00FC1A5D" w:rsidRDefault="00255CC4" w:rsidP="00255CC4">
            <w:pPr>
              <w:jc w:val="center"/>
              <w:rPr>
                <w:b/>
                <w:sz w:val="22"/>
                <w:szCs w:val="22"/>
              </w:rPr>
            </w:pPr>
            <w:r w:rsidRPr="00FC1A5D">
              <w:rPr>
                <w:b/>
                <w:sz w:val="22"/>
                <w:szCs w:val="22"/>
              </w:rPr>
              <w:t>2014</w:t>
            </w:r>
          </w:p>
        </w:tc>
        <w:tc>
          <w:tcPr>
            <w:tcW w:w="1984" w:type="dxa"/>
            <w:gridSpan w:val="2"/>
            <w:shd w:val="clear" w:color="auto" w:fill="B8CCE4" w:themeFill="accent1" w:themeFillTint="66"/>
            <w:noWrap/>
            <w:vAlign w:val="center"/>
            <w:hideMark/>
          </w:tcPr>
          <w:p w:rsidR="00255CC4" w:rsidRPr="00FC1A5D" w:rsidRDefault="00255CC4" w:rsidP="00255CC4">
            <w:pPr>
              <w:jc w:val="center"/>
              <w:rPr>
                <w:b/>
                <w:sz w:val="22"/>
                <w:szCs w:val="22"/>
              </w:rPr>
            </w:pPr>
            <w:r w:rsidRPr="00FC1A5D">
              <w:rPr>
                <w:b/>
                <w:sz w:val="22"/>
                <w:szCs w:val="22"/>
              </w:rPr>
              <w:t>201</w:t>
            </w:r>
            <w:r>
              <w:rPr>
                <w:b/>
                <w:sz w:val="22"/>
                <w:szCs w:val="22"/>
              </w:rPr>
              <w:t>5</w:t>
            </w:r>
          </w:p>
        </w:tc>
        <w:tc>
          <w:tcPr>
            <w:tcW w:w="2127" w:type="dxa"/>
            <w:gridSpan w:val="2"/>
            <w:shd w:val="clear" w:color="auto" w:fill="B8CCE4" w:themeFill="accent1" w:themeFillTint="66"/>
            <w:vAlign w:val="center"/>
          </w:tcPr>
          <w:p w:rsidR="00255CC4" w:rsidRPr="00FC1A5D" w:rsidRDefault="00255CC4" w:rsidP="00255CC4">
            <w:pPr>
              <w:jc w:val="center"/>
              <w:rPr>
                <w:b/>
                <w:sz w:val="22"/>
                <w:szCs w:val="22"/>
              </w:rPr>
            </w:pPr>
            <w:r>
              <w:rPr>
                <w:b/>
                <w:sz w:val="22"/>
                <w:szCs w:val="22"/>
              </w:rPr>
              <w:t>2016</w:t>
            </w:r>
          </w:p>
        </w:tc>
      </w:tr>
      <w:tr w:rsidR="00255CC4" w:rsidRPr="00D60529" w:rsidTr="00255CC4">
        <w:trPr>
          <w:trHeight w:val="300"/>
        </w:trPr>
        <w:tc>
          <w:tcPr>
            <w:tcW w:w="3402" w:type="dxa"/>
            <w:gridSpan w:val="2"/>
            <w:shd w:val="clear" w:color="auto" w:fill="F2F2F2" w:themeFill="background1" w:themeFillShade="F2"/>
            <w:noWrap/>
            <w:vAlign w:val="center"/>
          </w:tcPr>
          <w:p w:rsidR="00255CC4" w:rsidRPr="00D60529" w:rsidRDefault="00255CC4" w:rsidP="00255CC4">
            <w:pPr>
              <w:rPr>
                <w:b/>
                <w:sz w:val="22"/>
                <w:szCs w:val="22"/>
              </w:rPr>
            </w:pPr>
            <w:r w:rsidRPr="00D60529">
              <w:rPr>
                <w:b/>
                <w:sz w:val="22"/>
                <w:szCs w:val="22"/>
              </w:rPr>
              <w:t>Sociālo transfertu saņemšana ...</w:t>
            </w:r>
          </w:p>
        </w:tc>
        <w:tc>
          <w:tcPr>
            <w:tcW w:w="993" w:type="dxa"/>
            <w:shd w:val="clear" w:color="auto" w:fill="F2F2F2" w:themeFill="background1" w:themeFillShade="F2"/>
            <w:noWrap/>
            <w:vAlign w:val="center"/>
          </w:tcPr>
          <w:p w:rsidR="00255CC4" w:rsidRPr="00D60529" w:rsidRDefault="00255CC4" w:rsidP="00255CC4">
            <w:pPr>
              <w:jc w:val="center"/>
              <w:rPr>
                <w:b/>
                <w:sz w:val="22"/>
                <w:szCs w:val="22"/>
              </w:rPr>
            </w:pPr>
            <w:r w:rsidRPr="00D60529">
              <w:rPr>
                <w:b/>
                <w:sz w:val="22"/>
                <w:szCs w:val="22"/>
              </w:rPr>
              <w:t>pirms</w:t>
            </w:r>
          </w:p>
        </w:tc>
        <w:tc>
          <w:tcPr>
            <w:tcW w:w="992" w:type="dxa"/>
            <w:shd w:val="clear" w:color="auto" w:fill="F2F2F2" w:themeFill="background1" w:themeFillShade="F2"/>
            <w:noWrap/>
            <w:vAlign w:val="center"/>
          </w:tcPr>
          <w:p w:rsidR="00255CC4" w:rsidRPr="00D60529" w:rsidRDefault="00255CC4" w:rsidP="00255CC4">
            <w:pPr>
              <w:jc w:val="center"/>
              <w:rPr>
                <w:b/>
                <w:sz w:val="22"/>
                <w:szCs w:val="22"/>
              </w:rPr>
            </w:pPr>
            <w:r w:rsidRPr="00D60529">
              <w:rPr>
                <w:b/>
                <w:sz w:val="22"/>
                <w:szCs w:val="22"/>
              </w:rPr>
              <w:t>pēc</w:t>
            </w:r>
          </w:p>
        </w:tc>
        <w:tc>
          <w:tcPr>
            <w:tcW w:w="992" w:type="dxa"/>
            <w:shd w:val="clear" w:color="auto" w:fill="F2F2F2" w:themeFill="background1" w:themeFillShade="F2"/>
            <w:noWrap/>
            <w:vAlign w:val="center"/>
          </w:tcPr>
          <w:p w:rsidR="00255CC4" w:rsidRPr="00D60529" w:rsidRDefault="00255CC4" w:rsidP="00255CC4">
            <w:pPr>
              <w:jc w:val="center"/>
              <w:rPr>
                <w:b/>
                <w:sz w:val="22"/>
                <w:szCs w:val="22"/>
              </w:rPr>
            </w:pPr>
            <w:r w:rsidRPr="00D60529">
              <w:rPr>
                <w:b/>
                <w:sz w:val="22"/>
                <w:szCs w:val="22"/>
              </w:rPr>
              <w:t>pirms</w:t>
            </w:r>
          </w:p>
        </w:tc>
        <w:tc>
          <w:tcPr>
            <w:tcW w:w="992" w:type="dxa"/>
            <w:shd w:val="clear" w:color="auto" w:fill="F2F2F2" w:themeFill="background1" w:themeFillShade="F2"/>
            <w:vAlign w:val="center"/>
          </w:tcPr>
          <w:p w:rsidR="00255CC4" w:rsidRPr="00D60529" w:rsidRDefault="00255CC4" w:rsidP="00255CC4">
            <w:pPr>
              <w:jc w:val="center"/>
              <w:rPr>
                <w:b/>
                <w:sz w:val="22"/>
                <w:szCs w:val="22"/>
              </w:rPr>
            </w:pPr>
            <w:r w:rsidRPr="00D60529">
              <w:rPr>
                <w:b/>
                <w:sz w:val="22"/>
                <w:szCs w:val="22"/>
              </w:rPr>
              <w:t>pēc</w:t>
            </w:r>
          </w:p>
        </w:tc>
        <w:tc>
          <w:tcPr>
            <w:tcW w:w="1134" w:type="dxa"/>
            <w:shd w:val="clear" w:color="auto" w:fill="F2F2F2" w:themeFill="background1" w:themeFillShade="F2"/>
            <w:vAlign w:val="center"/>
          </w:tcPr>
          <w:p w:rsidR="00255CC4" w:rsidRPr="00D60529" w:rsidRDefault="00255CC4" w:rsidP="00255CC4">
            <w:pPr>
              <w:jc w:val="center"/>
              <w:rPr>
                <w:b/>
                <w:sz w:val="22"/>
                <w:szCs w:val="22"/>
              </w:rPr>
            </w:pPr>
            <w:r w:rsidRPr="00D60529">
              <w:rPr>
                <w:b/>
                <w:sz w:val="22"/>
                <w:szCs w:val="22"/>
              </w:rPr>
              <w:t>pirms</w:t>
            </w:r>
          </w:p>
        </w:tc>
        <w:tc>
          <w:tcPr>
            <w:tcW w:w="993" w:type="dxa"/>
            <w:shd w:val="clear" w:color="auto" w:fill="F2F2F2" w:themeFill="background1" w:themeFillShade="F2"/>
            <w:vAlign w:val="center"/>
          </w:tcPr>
          <w:p w:rsidR="00255CC4" w:rsidRPr="00D60529" w:rsidRDefault="00255CC4" w:rsidP="00255CC4">
            <w:pPr>
              <w:jc w:val="center"/>
              <w:rPr>
                <w:b/>
                <w:sz w:val="22"/>
                <w:szCs w:val="22"/>
              </w:rPr>
            </w:pPr>
            <w:r w:rsidRPr="00D60529">
              <w:rPr>
                <w:b/>
                <w:sz w:val="22"/>
                <w:szCs w:val="22"/>
              </w:rPr>
              <w:t>pēc</w:t>
            </w:r>
          </w:p>
        </w:tc>
      </w:tr>
      <w:tr w:rsidR="00255CC4" w:rsidRPr="00FC1A5D" w:rsidTr="00255CC4">
        <w:trPr>
          <w:trHeight w:val="300"/>
        </w:trPr>
        <w:tc>
          <w:tcPr>
            <w:tcW w:w="1560" w:type="dxa"/>
            <w:vMerge w:val="restart"/>
            <w:noWrap/>
            <w:vAlign w:val="center"/>
            <w:hideMark/>
          </w:tcPr>
          <w:p w:rsidR="00255CC4" w:rsidRPr="00FC1A5D" w:rsidRDefault="00255CC4" w:rsidP="00255CC4">
            <w:pPr>
              <w:rPr>
                <w:b/>
                <w:sz w:val="22"/>
                <w:szCs w:val="22"/>
              </w:rPr>
            </w:pPr>
            <w:r w:rsidRPr="00FC1A5D">
              <w:rPr>
                <w:b/>
                <w:sz w:val="22"/>
                <w:szCs w:val="22"/>
              </w:rPr>
              <w:t>0-17</w:t>
            </w:r>
            <w:r>
              <w:rPr>
                <w:b/>
                <w:sz w:val="22"/>
                <w:szCs w:val="22"/>
              </w:rPr>
              <w:t xml:space="preserve"> gadi</w:t>
            </w:r>
          </w:p>
          <w:p w:rsidR="00255CC4" w:rsidRPr="00FC1A5D" w:rsidRDefault="00255CC4" w:rsidP="00255CC4">
            <w:pPr>
              <w:rPr>
                <w:b/>
                <w:sz w:val="22"/>
                <w:szCs w:val="22"/>
              </w:rPr>
            </w:pPr>
          </w:p>
        </w:tc>
        <w:tc>
          <w:tcPr>
            <w:tcW w:w="1842" w:type="dxa"/>
            <w:noWrap/>
            <w:hideMark/>
          </w:tcPr>
          <w:p w:rsidR="00255CC4" w:rsidRPr="000B62DF" w:rsidRDefault="00255CC4" w:rsidP="00255CC4">
            <w:pPr>
              <w:rPr>
                <w:sz w:val="22"/>
                <w:szCs w:val="22"/>
              </w:rPr>
            </w:pPr>
            <w:r w:rsidRPr="000B62DF">
              <w:rPr>
                <w:sz w:val="22"/>
                <w:szCs w:val="22"/>
              </w:rPr>
              <w:t>Kopā grupā</w:t>
            </w:r>
          </w:p>
        </w:tc>
        <w:tc>
          <w:tcPr>
            <w:tcW w:w="993" w:type="dxa"/>
            <w:noWrap/>
            <w:hideMark/>
          </w:tcPr>
          <w:p w:rsidR="00255CC4" w:rsidRPr="000B62DF" w:rsidRDefault="00255CC4" w:rsidP="00255CC4">
            <w:pPr>
              <w:jc w:val="center"/>
              <w:rPr>
                <w:sz w:val="22"/>
                <w:szCs w:val="22"/>
              </w:rPr>
            </w:pPr>
            <w:r w:rsidRPr="000B62DF">
              <w:rPr>
                <w:sz w:val="22"/>
                <w:szCs w:val="22"/>
              </w:rPr>
              <w:t>34,0</w:t>
            </w:r>
          </w:p>
        </w:tc>
        <w:tc>
          <w:tcPr>
            <w:tcW w:w="992" w:type="dxa"/>
            <w:noWrap/>
          </w:tcPr>
          <w:p w:rsidR="00255CC4" w:rsidRPr="000B62DF" w:rsidRDefault="00255CC4" w:rsidP="00255CC4">
            <w:pPr>
              <w:jc w:val="center"/>
              <w:rPr>
                <w:sz w:val="22"/>
                <w:szCs w:val="22"/>
              </w:rPr>
            </w:pPr>
            <w:r w:rsidRPr="000B62DF">
              <w:rPr>
                <w:sz w:val="22"/>
                <w:szCs w:val="22"/>
              </w:rPr>
              <w:t>23,2</w:t>
            </w:r>
          </w:p>
        </w:tc>
        <w:tc>
          <w:tcPr>
            <w:tcW w:w="992" w:type="dxa"/>
            <w:noWrap/>
          </w:tcPr>
          <w:p w:rsidR="00255CC4" w:rsidRPr="000B62DF" w:rsidRDefault="00255CC4" w:rsidP="00255CC4">
            <w:pPr>
              <w:jc w:val="center"/>
              <w:rPr>
                <w:sz w:val="22"/>
                <w:szCs w:val="22"/>
              </w:rPr>
            </w:pPr>
            <w:r w:rsidRPr="000B62DF">
              <w:rPr>
                <w:sz w:val="22"/>
                <w:szCs w:val="22"/>
              </w:rPr>
              <w:t>32,3</w:t>
            </w:r>
          </w:p>
        </w:tc>
        <w:tc>
          <w:tcPr>
            <w:tcW w:w="992" w:type="dxa"/>
          </w:tcPr>
          <w:p w:rsidR="00255CC4" w:rsidRPr="000B62DF" w:rsidRDefault="00255CC4" w:rsidP="00255CC4">
            <w:pPr>
              <w:jc w:val="center"/>
              <w:rPr>
                <w:sz w:val="22"/>
                <w:szCs w:val="22"/>
              </w:rPr>
            </w:pPr>
            <w:r>
              <w:rPr>
                <w:sz w:val="22"/>
                <w:szCs w:val="22"/>
              </w:rPr>
              <w:t>18,6</w:t>
            </w:r>
          </w:p>
        </w:tc>
        <w:tc>
          <w:tcPr>
            <w:tcW w:w="1134" w:type="dxa"/>
          </w:tcPr>
          <w:p w:rsidR="00255CC4" w:rsidRPr="000B62DF" w:rsidRDefault="00255CC4" w:rsidP="00255CC4">
            <w:pPr>
              <w:jc w:val="center"/>
              <w:rPr>
                <w:sz w:val="22"/>
                <w:szCs w:val="22"/>
              </w:rPr>
            </w:pPr>
            <w:r w:rsidRPr="000B62DF">
              <w:rPr>
                <w:sz w:val="22"/>
                <w:szCs w:val="22"/>
              </w:rPr>
              <w:t>31,7</w:t>
            </w:r>
          </w:p>
        </w:tc>
        <w:tc>
          <w:tcPr>
            <w:tcW w:w="993" w:type="dxa"/>
          </w:tcPr>
          <w:p w:rsidR="00255CC4" w:rsidRPr="000B62DF" w:rsidRDefault="00255CC4" w:rsidP="00255CC4">
            <w:pPr>
              <w:jc w:val="center"/>
              <w:rPr>
                <w:sz w:val="22"/>
                <w:szCs w:val="22"/>
              </w:rPr>
            </w:pPr>
            <w:r>
              <w:rPr>
                <w:sz w:val="22"/>
                <w:szCs w:val="22"/>
              </w:rPr>
              <w:t>18,4</w:t>
            </w:r>
          </w:p>
        </w:tc>
      </w:tr>
      <w:tr w:rsidR="00255CC4" w:rsidRPr="00FC1A5D" w:rsidTr="00255CC4">
        <w:trPr>
          <w:trHeight w:val="300"/>
        </w:trPr>
        <w:tc>
          <w:tcPr>
            <w:tcW w:w="1560" w:type="dxa"/>
            <w:vMerge/>
            <w:noWrap/>
            <w:vAlign w:val="center"/>
            <w:hideMark/>
          </w:tcPr>
          <w:p w:rsidR="00255CC4" w:rsidRPr="00FC1A5D" w:rsidRDefault="00255CC4" w:rsidP="00255CC4">
            <w:pPr>
              <w:rPr>
                <w:sz w:val="22"/>
                <w:szCs w:val="22"/>
              </w:rPr>
            </w:pPr>
          </w:p>
        </w:tc>
        <w:tc>
          <w:tcPr>
            <w:tcW w:w="1842" w:type="dxa"/>
            <w:noWrap/>
            <w:hideMark/>
          </w:tcPr>
          <w:p w:rsidR="00255CC4" w:rsidRPr="00FC1A5D" w:rsidRDefault="00255CC4" w:rsidP="00255CC4">
            <w:pPr>
              <w:rPr>
                <w:sz w:val="22"/>
                <w:szCs w:val="22"/>
              </w:rPr>
            </w:pPr>
            <w:r w:rsidRPr="00FC1A5D">
              <w:rPr>
                <w:sz w:val="22"/>
                <w:szCs w:val="22"/>
              </w:rPr>
              <w:t>Vīrieši</w:t>
            </w:r>
          </w:p>
        </w:tc>
        <w:tc>
          <w:tcPr>
            <w:tcW w:w="993" w:type="dxa"/>
            <w:noWrap/>
            <w:hideMark/>
          </w:tcPr>
          <w:p w:rsidR="00255CC4" w:rsidRPr="00FC1A5D" w:rsidRDefault="00255CC4" w:rsidP="00255CC4">
            <w:pPr>
              <w:jc w:val="center"/>
              <w:rPr>
                <w:sz w:val="22"/>
                <w:szCs w:val="22"/>
              </w:rPr>
            </w:pPr>
            <w:r w:rsidRPr="00FC1A5D">
              <w:rPr>
                <w:sz w:val="22"/>
                <w:szCs w:val="22"/>
              </w:rPr>
              <w:t>34,0</w:t>
            </w:r>
          </w:p>
        </w:tc>
        <w:tc>
          <w:tcPr>
            <w:tcW w:w="992" w:type="dxa"/>
            <w:noWrap/>
          </w:tcPr>
          <w:p w:rsidR="00255CC4" w:rsidRPr="00FC1A5D" w:rsidRDefault="00255CC4" w:rsidP="00255CC4">
            <w:pPr>
              <w:jc w:val="center"/>
              <w:rPr>
                <w:sz w:val="22"/>
                <w:szCs w:val="22"/>
              </w:rPr>
            </w:pPr>
            <w:r>
              <w:rPr>
                <w:sz w:val="22"/>
                <w:szCs w:val="22"/>
              </w:rPr>
              <w:t>23,3</w:t>
            </w:r>
          </w:p>
        </w:tc>
        <w:tc>
          <w:tcPr>
            <w:tcW w:w="992" w:type="dxa"/>
            <w:noWrap/>
          </w:tcPr>
          <w:p w:rsidR="00255CC4" w:rsidRPr="00FC1A5D" w:rsidRDefault="00255CC4" w:rsidP="00255CC4">
            <w:pPr>
              <w:jc w:val="center"/>
              <w:rPr>
                <w:sz w:val="22"/>
                <w:szCs w:val="22"/>
              </w:rPr>
            </w:pPr>
            <w:r w:rsidRPr="00FC1A5D">
              <w:rPr>
                <w:sz w:val="22"/>
                <w:szCs w:val="22"/>
              </w:rPr>
              <w:t>32,6</w:t>
            </w:r>
          </w:p>
        </w:tc>
        <w:tc>
          <w:tcPr>
            <w:tcW w:w="992" w:type="dxa"/>
          </w:tcPr>
          <w:p w:rsidR="00255CC4" w:rsidRPr="00FC1A5D" w:rsidRDefault="00255CC4" w:rsidP="00255CC4">
            <w:pPr>
              <w:jc w:val="center"/>
              <w:rPr>
                <w:sz w:val="22"/>
                <w:szCs w:val="22"/>
              </w:rPr>
            </w:pPr>
            <w:r>
              <w:rPr>
                <w:sz w:val="22"/>
                <w:szCs w:val="22"/>
              </w:rPr>
              <w:t>19,0</w:t>
            </w:r>
          </w:p>
        </w:tc>
        <w:tc>
          <w:tcPr>
            <w:tcW w:w="1134" w:type="dxa"/>
          </w:tcPr>
          <w:p w:rsidR="00255CC4" w:rsidRPr="00FC1A5D" w:rsidRDefault="00255CC4" w:rsidP="00255CC4">
            <w:pPr>
              <w:jc w:val="center"/>
              <w:rPr>
                <w:sz w:val="22"/>
                <w:szCs w:val="22"/>
              </w:rPr>
            </w:pPr>
            <w:r w:rsidRPr="00FC1A5D">
              <w:rPr>
                <w:sz w:val="22"/>
                <w:szCs w:val="22"/>
              </w:rPr>
              <w:t>29,9</w:t>
            </w:r>
          </w:p>
        </w:tc>
        <w:tc>
          <w:tcPr>
            <w:tcW w:w="993" w:type="dxa"/>
          </w:tcPr>
          <w:p w:rsidR="00255CC4" w:rsidRPr="00FC1A5D" w:rsidRDefault="00255CC4" w:rsidP="00255CC4">
            <w:pPr>
              <w:jc w:val="center"/>
              <w:rPr>
                <w:sz w:val="22"/>
                <w:szCs w:val="22"/>
              </w:rPr>
            </w:pPr>
            <w:r>
              <w:rPr>
                <w:sz w:val="22"/>
                <w:szCs w:val="22"/>
              </w:rPr>
              <w:t>17,2</w:t>
            </w:r>
          </w:p>
        </w:tc>
      </w:tr>
      <w:tr w:rsidR="00255CC4" w:rsidRPr="00FC1A5D" w:rsidTr="00255CC4">
        <w:trPr>
          <w:trHeight w:val="300"/>
        </w:trPr>
        <w:tc>
          <w:tcPr>
            <w:tcW w:w="1560" w:type="dxa"/>
            <w:vMerge/>
            <w:noWrap/>
            <w:vAlign w:val="center"/>
            <w:hideMark/>
          </w:tcPr>
          <w:p w:rsidR="00255CC4" w:rsidRPr="00FC1A5D" w:rsidRDefault="00255CC4" w:rsidP="00255CC4">
            <w:pPr>
              <w:rPr>
                <w:sz w:val="22"/>
                <w:szCs w:val="22"/>
              </w:rPr>
            </w:pPr>
          </w:p>
        </w:tc>
        <w:tc>
          <w:tcPr>
            <w:tcW w:w="1842" w:type="dxa"/>
            <w:noWrap/>
            <w:hideMark/>
          </w:tcPr>
          <w:p w:rsidR="00255CC4" w:rsidRPr="00FC1A5D" w:rsidRDefault="00255CC4" w:rsidP="00255CC4">
            <w:pPr>
              <w:rPr>
                <w:sz w:val="22"/>
                <w:szCs w:val="22"/>
              </w:rPr>
            </w:pPr>
            <w:r w:rsidRPr="00FC1A5D">
              <w:rPr>
                <w:sz w:val="22"/>
                <w:szCs w:val="22"/>
              </w:rPr>
              <w:t>Sievietes</w:t>
            </w:r>
          </w:p>
        </w:tc>
        <w:tc>
          <w:tcPr>
            <w:tcW w:w="993" w:type="dxa"/>
            <w:noWrap/>
            <w:hideMark/>
          </w:tcPr>
          <w:p w:rsidR="00255CC4" w:rsidRPr="00FC1A5D" w:rsidRDefault="00255CC4" w:rsidP="00255CC4">
            <w:pPr>
              <w:jc w:val="center"/>
              <w:rPr>
                <w:sz w:val="22"/>
                <w:szCs w:val="22"/>
              </w:rPr>
            </w:pPr>
            <w:r w:rsidRPr="00FC1A5D">
              <w:rPr>
                <w:sz w:val="22"/>
                <w:szCs w:val="22"/>
              </w:rPr>
              <w:t>33,9</w:t>
            </w:r>
          </w:p>
        </w:tc>
        <w:tc>
          <w:tcPr>
            <w:tcW w:w="992" w:type="dxa"/>
            <w:noWrap/>
          </w:tcPr>
          <w:p w:rsidR="00255CC4" w:rsidRPr="00FC1A5D" w:rsidRDefault="00255CC4" w:rsidP="00255CC4">
            <w:pPr>
              <w:jc w:val="center"/>
              <w:rPr>
                <w:sz w:val="22"/>
                <w:szCs w:val="22"/>
              </w:rPr>
            </w:pPr>
            <w:r>
              <w:rPr>
                <w:sz w:val="22"/>
                <w:szCs w:val="22"/>
              </w:rPr>
              <w:t>23,2</w:t>
            </w:r>
          </w:p>
        </w:tc>
        <w:tc>
          <w:tcPr>
            <w:tcW w:w="992" w:type="dxa"/>
            <w:noWrap/>
          </w:tcPr>
          <w:p w:rsidR="00255CC4" w:rsidRPr="00FC1A5D" w:rsidRDefault="00255CC4" w:rsidP="00255CC4">
            <w:pPr>
              <w:jc w:val="center"/>
              <w:rPr>
                <w:sz w:val="22"/>
                <w:szCs w:val="22"/>
              </w:rPr>
            </w:pPr>
            <w:r w:rsidRPr="00FC1A5D">
              <w:rPr>
                <w:sz w:val="22"/>
                <w:szCs w:val="22"/>
              </w:rPr>
              <w:t>32,1</w:t>
            </w:r>
          </w:p>
        </w:tc>
        <w:tc>
          <w:tcPr>
            <w:tcW w:w="992" w:type="dxa"/>
          </w:tcPr>
          <w:p w:rsidR="00255CC4" w:rsidRPr="00FC1A5D" w:rsidRDefault="00255CC4" w:rsidP="00255CC4">
            <w:pPr>
              <w:jc w:val="center"/>
              <w:rPr>
                <w:sz w:val="22"/>
                <w:szCs w:val="22"/>
              </w:rPr>
            </w:pPr>
            <w:r>
              <w:rPr>
                <w:sz w:val="22"/>
                <w:szCs w:val="22"/>
              </w:rPr>
              <w:t>18,2</w:t>
            </w:r>
          </w:p>
        </w:tc>
        <w:tc>
          <w:tcPr>
            <w:tcW w:w="1134" w:type="dxa"/>
          </w:tcPr>
          <w:p w:rsidR="00255CC4" w:rsidRPr="00FC1A5D" w:rsidRDefault="00255CC4" w:rsidP="00255CC4">
            <w:pPr>
              <w:jc w:val="center"/>
              <w:rPr>
                <w:sz w:val="22"/>
                <w:szCs w:val="22"/>
              </w:rPr>
            </w:pPr>
            <w:r w:rsidRPr="00FC1A5D">
              <w:rPr>
                <w:sz w:val="22"/>
                <w:szCs w:val="22"/>
              </w:rPr>
              <w:t>33,6</w:t>
            </w:r>
          </w:p>
        </w:tc>
        <w:tc>
          <w:tcPr>
            <w:tcW w:w="993" w:type="dxa"/>
          </w:tcPr>
          <w:p w:rsidR="00255CC4" w:rsidRPr="00FC1A5D" w:rsidRDefault="00255CC4" w:rsidP="00255CC4">
            <w:pPr>
              <w:jc w:val="center"/>
              <w:rPr>
                <w:sz w:val="22"/>
                <w:szCs w:val="22"/>
              </w:rPr>
            </w:pPr>
            <w:r>
              <w:rPr>
                <w:sz w:val="22"/>
                <w:szCs w:val="22"/>
              </w:rPr>
              <w:t>19,7</w:t>
            </w:r>
          </w:p>
        </w:tc>
      </w:tr>
      <w:tr w:rsidR="00255CC4" w:rsidRPr="00FC1A5D" w:rsidTr="00255CC4">
        <w:trPr>
          <w:trHeight w:val="300"/>
        </w:trPr>
        <w:tc>
          <w:tcPr>
            <w:tcW w:w="1560" w:type="dxa"/>
            <w:vMerge w:val="restart"/>
            <w:noWrap/>
            <w:vAlign w:val="center"/>
            <w:hideMark/>
          </w:tcPr>
          <w:p w:rsidR="00255CC4" w:rsidRPr="00FC1A5D" w:rsidRDefault="00255CC4" w:rsidP="00255CC4">
            <w:pPr>
              <w:rPr>
                <w:b/>
                <w:sz w:val="22"/>
                <w:szCs w:val="22"/>
              </w:rPr>
            </w:pPr>
            <w:r w:rsidRPr="00FC1A5D">
              <w:rPr>
                <w:b/>
                <w:sz w:val="22"/>
                <w:szCs w:val="22"/>
              </w:rPr>
              <w:t>18-64</w:t>
            </w:r>
            <w:r>
              <w:rPr>
                <w:b/>
                <w:sz w:val="22"/>
                <w:szCs w:val="22"/>
              </w:rPr>
              <w:t xml:space="preserve"> gadi</w:t>
            </w:r>
          </w:p>
          <w:p w:rsidR="00255CC4" w:rsidRPr="00FC1A5D" w:rsidRDefault="00255CC4" w:rsidP="00255CC4">
            <w:pPr>
              <w:rPr>
                <w:b/>
                <w:sz w:val="22"/>
                <w:szCs w:val="22"/>
              </w:rPr>
            </w:pPr>
          </w:p>
        </w:tc>
        <w:tc>
          <w:tcPr>
            <w:tcW w:w="1842" w:type="dxa"/>
            <w:noWrap/>
            <w:hideMark/>
          </w:tcPr>
          <w:p w:rsidR="00255CC4" w:rsidRPr="000B62DF" w:rsidRDefault="00255CC4" w:rsidP="00255CC4">
            <w:pPr>
              <w:rPr>
                <w:sz w:val="22"/>
                <w:szCs w:val="22"/>
              </w:rPr>
            </w:pPr>
            <w:r w:rsidRPr="000B62DF">
              <w:rPr>
                <w:sz w:val="22"/>
                <w:szCs w:val="22"/>
              </w:rPr>
              <w:t>Kopā grupā</w:t>
            </w:r>
          </w:p>
        </w:tc>
        <w:tc>
          <w:tcPr>
            <w:tcW w:w="993" w:type="dxa"/>
            <w:noWrap/>
            <w:hideMark/>
          </w:tcPr>
          <w:p w:rsidR="00255CC4" w:rsidRPr="000B62DF" w:rsidRDefault="00255CC4" w:rsidP="00255CC4">
            <w:pPr>
              <w:jc w:val="center"/>
              <w:rPr>
                <w:sz w:val="22"/>
                <w:szCs w:val="22"/>
              </w:rPr>
            </w:pPr>
            <w:r w:rsidRPr="000B62DF">
              <w:rPr>
                <w:sz w:val="22"/>
                <w:szCs w:val="22"/>
              </w:rPr>
              <w:t>30,6</w:t>
            </w:r>
          </w:p>
        </w:tc>
        <w:tc>
          <w:tcPr>
            <w:tcW w:w="992" w:type="dxa"/>
            <w:noWrap/>
          </w:tcPr>
          <w:p w:rsidR="00255CC4" w:rsidRPr="000B62DF" w:rsidRDefault="00255CC4" w:rsidP="00255CC4">
            <w:pPr>
              <w:jc w:val="center"/>
              <w:rPr>
                <w:sz w:val="22"/>
                <w:szCs w:val="22"/>
              </w:rPr>
            </w:pPr>
            <w:r>
              <w:rPr>
                <w:sz w:val="22"/>
                <w:szCs w:val="22"/>
              </w:rPr>
              <w:t>18,6</w:t>
            </w:r>
          </w:p>
        </w:tc>
        <w:tc>
          <w:tcPr>
            <w:tcW w:w="992" w:type="dxa"/>
            <w:noWrap/>
          </w:tcPr>
          <w:p w:rsidR="00255CC4" w:rsidRPr="000B62DF" w:rsidRDefault="00255CC4" w:rsidP="00255CC4">
            <w:pPr>
              <w:jc w:val="center"/>
              <w:rPr>
                <w:sz w:val="22"/>
                <w:szCs w:val="22"/>
              </w:rPr>
            </w:pPr>
            <w:r w:rsidRPr="000B62DF">
              <w:rPr>
                <w:sz w:val="22"/>
                <w:szCs w:val="22"/>
              </w:rPr>
              <w:t>29,9</w:t>
            </w:r>
          </w:p>
        </w:tc>
        <w:tc>
          <w:tcPr>
            <w:tcW w:w="992" w:type="dxa"/>
          </w:tcPr>
          <w:p w:rsidR="00255CC4" w:rsidRPr="000B62DF" w:rsidRDefault="00255CC4" w:rsidP="00255CC4">
            <w:pPr>
              <w:jc w:val="center"/>
              <w:rPr>
                <w:sz w:val="22"/>
                <w:szCs w:val="22"/>
              </w:rPr>
            </w:pPr>
            <w:r>
              <w:rPr>
                <w:sz w:val="22"/>
                <w:szCs w:val="22"/>
              </w:rPr>
              <w:t>17,7</w:t>
            </w:r>
          </w:p>
        </w:tc>
        <w:tc>
          <w:tcPr>
            <w:tcW w:w="1134" w:type="dxa"/>
          </w:tcPr>
          <w:p w:rsidR="00255CC4" w:rsidRPr="000B62DF" w:rsidRDefault="00255CC4" w:rsidP="00255CC4">
            <w:pPr>
              <w:jc w:val="center"/>
              <w:rPr>
                <w:sz w:val="22"/>
                <w:szCs w:val="22"/>
              </w:rPr>
            </w:pPr>
            <w:r w:rsidRPr="000B62DF">
              <w:rPr>
                <w:sz w:val="22"/>
                <w:szCs w:val="22"/>
              </w:rPr>
              <w:t>29,5</w:t>
            </w:r>
          </w:p>
        </w:tc>
        <w:tc>
          <w:tcPr>
            <w:tcW w:w="993" w:type="dxa"/>
          </w:tcPr>
          <w:p w:rsidR="00255CC4" w:rsidRPr="00606A6A" w:rsidRDefault="00255CC4" w:rsidP="00255CC4">
            <w:pPr>
              <w:jc w:val="center"/>
              <w:rPr>
                <w:sz w:val="22"/>
                <w:szCs w:val="22"/>
              </w:rPr>
            </w:pPr>
            <w:r w:rsidRPr="00606A6A">
              <w:rPr>
                <w:sz w:val="22"/>
                <w:szCs w:val="22"/>
              </w:rPr>
              <w:t>17,5</w:t>
            </w:r>
          </w:p>
        </w:tc>
      </w:tr>
      <w:tr w:rsidR="00255CC4" w:rsidRPr="00FC1A5D" w:rsidTr="00255CC4">
        <w:trPr>
          <w:trHeight w:val="300"/>
        </w:trPr>
        <w:tc>
          <w:tcPr>
            <w:tcW w:w="1560" w:type="dxa"/>
            <w:vMerge/>
            <w:noWrap/>
            <w:vAlign w:val="center"/>
            <w:hideMark/>
          </w:tcPr>
          <w:p w:rsidR="00255CC4" w:rsidRPr="00FC1A5D" w:rsidRDefault="00255CC4" w:rsidP="00255CC4">
            <w:pPr>
              <w:rPr>
                <w:sz w:val="22"/>
                <w:szCs w:val="22"/>
              </w:rPr>
            </w:pPr>
          </w:p>
        </w:tc>
        <w:tc>
          <w:tcPr>
            <w:tcW w:w="1842" w:type="dxa"/>
            <w:noWrap/>
            <w:hideMark/>
          </w:tcPr>
          <w:p w:rsidR="00255CC4" w:rsidRPr="00FC1A5D" w:rsidRDefault="00255CC4" w:rsidP="00255CC4">
            <w:pPr>
              <w:rPr>
                <w:sz w:val="22"/>
                <w:szCs w:val="22"/>
              </w:rPr>
            </w:pPr>
            <w:r w:rsidRPr="00FC1A5D">
              <w:rPr>
                <w:sz w:val="22"/>
                <w:szCs w:val="22"/>
              </w:rPr>
              <w:t>Vīrieši</w:t>
            </w:r>
          </w:p>
        </w:tc>
        <w:tc>
          <w:tcPr>
            <w:tcW w:w="993" w:type="dxa"/>
            <w:noWrap/>
            <w:hideMark/>
          </w:tcPr>
          <w:p w:rsidR="00255CC4" w:rsidRPr="00FC1A5D" w:rsidRDefault="00255CC4" w:rsidP="00255CC4">
            <w:pPr>
              <w:jc w:val="center"/>
              <w:rPr>
                <w:sz w:val="22"/>
                <w:szCs w:val="22"/>
              </w:rPr>
            </w:pPr>
            <w:r w:rsidRPr="00FC1A5D">
              <w:rPr>
                <w:sz w:val="22"/>
                <w:szCs w:val="22"/>
              </w:rPr>
              <w:t>29,7</w:t>
            </w:r>
          </w:p>
        </w:tc>
        <w:tc>
          <w:tcPr>
            <w:tcW w:w="992" w:type="dxa"/>
            <w:noWrap/>
          </w:tcPr>
          <w:p w:rsidR="00255CC4" w:rsidRPr="00FC1A5D" w:rsidRDefault="00255CC4" w:rsidP="00255CC4">
            <w:pPr>
              <w:jc w:val="center"/>
              <w:rPr>
                <w:sz w:val="22"/>
                <w:szCs w:val="22"/>
              </w:rPr>
            </w:pPr>
            <w:r>
              <w:rPr>
                <w:sz w:val="22"/>
                <w:szCs w:val="22"/>
              </w:rPr>
              <w:t>18,1</w:t>
            </w:r>
          </w:p>
        </w:tc>
        <w:tc>
          <w:tcPr>
            <w:tcW w:w="992" w:type="dxa"/>
            <w:noWrap/>
          </w:tcPr>
          <w:p w:rsidR="00255CC4" w:rsidRPr="00FC1A5D" w:rsidRDefault="00255CC4" w:rsidP="00255CC4">
            <w:pPr>
              <w:jc w:val="center"/>
              <w:rPr>
                <w:sz w:val="22"/>
                <w:szCs w:val="22"/>
              </w:rPr>
            </w:pPr>
            <w:r w:rsidRPr="00FC1A5D">
              <w:rPr>
                <w:sz w:val="22"/>
                <w:szCs w:val="22"/>
              </w:rPr>
              <w:t>29,4</w:t>
            </w:r>
          </w:p>
        </w:tc>
        <w:tc>
          <w:tcPr>
            <w:tcW w:w="992" w:type="dxa"/>
          </w:tcPr>
          <w:p w:rsidR="00255CC4" w:rsidRDefault="00255CC4" w:rsidP="00255CC4">
            <w:pPr>
              <w:jc w:val="center"/>
            </w:pPr>
            <w:r w:rsidRPr="007A5BB3">
              <w:rPr>
                <w:sz w:val="22"/>
                <w:szCs w:val="22"/>
              </w:rPr>
              <w:t>17,7</w:t>
            </w:r>
          </w:p>
        </w:tc>
        <w:tc>
          <w:tcPr>
            <w:tcW w:w="1134" w:type="dxa"/>
          </w:tcPr>
          <w:p w:rsidR="00255CC4" w:rsidRPr="00FC1A5D" w:rsidRDefault="00255CC4" w:rsidP="00255CC4">
            <w:pPr>
              <w:jc w:val="center"/>
              <w:rPr>
                <w:sz w:val="22"/>
                <w:szCs w:val="22"/>
              </w:rPr>
            </w:pPr>
            <w:r w:rsidRPr="00FC1A5D">
              <w:rPr>
                <w:sz w:val="22"/>
                <w:szCs w:val="22"/>
              </w:rPr>
              <w:t>29,1</w:t>
            </w:r>
          </w:p>
        </w:tc>
        <w:tc>
          <w:tcPr>
            <w:tcW w:w="993" w:type="dxa"/>
          </w:tcPr>
          <w:p w:rsidR="00255CC4" w:rsidRPr="00606A6A" w:rsidRDefault="00255CC4" w:rsidP="00255CC4">
            <w:pPr>
              <w:jc w:val="center"/>
            </w:pPr>
            <w:r w:rsidRPr="00606A6A">
              <w:rPr>
                <w:sz w:val="22"/>
                <w:szCs w:val="22"/>
              </w:rPr>
              <w:t>17,5</w:t>
            </w:r>
          </w:p>
        </w:tc>
      </w:tr>
      <w:tr w:rsidR="00255CC4" w:rsidRPr="00FC1A5D" w:rsidTr="00255CC4">
        <w:trPr>
          <w:trHeight w:val="300"/>
        </w:trPr>
        <w:tc>
          <w:tcPr>
            <w:tcW w:w="1560" w:type="dxa"/>
            <w:vMerge/>
            <w:noWrap/>
            <w:vAlign w:val="center"/>
            <w:hideMark/>
          </w:tcPr>
          <w:p w:rsidR="00255CC4" w:rsidRPr="00FC1A5D" w:rsidRDefault="00255CC4" w:rsidP="00255CC4">
            <w:pPr>
              <w:rPr>
                <w:sz w:val="22"/>
                <w:szCs w:val="22"/>
              </w:rPr>
            </w:pPr>
          </w:p>
        </w:tc>
        <w:tc>
          <w:tcPr>
            <w:tcW w:w="1842" w:type="dxa"/>
            <w:noWrap/>
            <w:hideMark/>
          </w:tcPr>
          <w:p w:rsidR="00255CC4" w:rsidRPr="00FC1A5D" w:rsidRDefault="00255CC4" w:rsidP="00255CC4">
            <w:pPr>
              <w:rPr>
                <w:sz w:val="22"/>
                <w:szCs w:val="22"/>
              </w:rPr>
            </w:pPr>
            <w:r w:rsidRPr="00FC1A5D">
              <w:rPr>
                <w:sz w:val="22"/>
                <w:szCs w:val="22"/>
              </w:rPr>
              <w:t>Sievietes</w:t>
            </w:r>
          </w:p>
        </w:tc>
        <w:tc>
          <w:tcPr>
            <w:tcW w:w="993" w:type="dxa"/>
            <w:noWrap/>
            <w:hideMark/>
          </w:tcPr>
          <w:p w:rsidR="00255CC4" w:rsidRPr="00FC1A5D" w:rsidRDefault="00255CC4" w:rsidP="00255CC4">
            <w:pPr>
              <w:jc w:val="center"/>
              <w:rPr>
                <w:sz w:val="22"/>
                <w:szCs w:val="22"/>
              </w:rPr>
            </w:pPr>
            <w:r w:rsidRPr="00FC1A5D">
              <w:rPr>
                <w:sz w:val="22"/>
                <w:szCs w:val="22"/>
              </w:rPr>
              <w:t>31,4</w:t>
            </w:r>
          </w:p>
        </w:tc>
        <w:tc>
          <w:tcPr>
            <w:tcW w:w="992" w:type="dxa"/>
            <w:noWrap/>
          </w:tcPr>
          <w:p w:rsidR="00255CC4" w:rsidRPr="00FC1A5D" w:rsidRDefault="00255CC4" w:rsidP="00255CC4">
            <w:pPr>
              <w:jc w:val="center"/>
              <w:rPr>
                <w:sz w:val="22"/>
                <w:szCs w:val="22"/>
              </w:rPr>
            </w:pPr>
            <w:r>
              <w:rPr>
                <w:sz w:val="22"/>
                <w:szCs w:val="22"/>
              </w:rPr>
              <w:t>19,0</w:t>
            </w:r>
          </w:p>
        </w:tc>
        <w:tc>
          <w:tcPr>
            <w:tcW w:w="992" w:type="dxa"/>
            <w:noWrap/>
          </w:tcPr>
          <w:p w:rsidR="00255CC4" w:rsidRPr="00FC1A5D" w:rsidRDefault="00255CC4" w:rsidP="00255CC4">
            <w:pPr>
              <w:jc w:val="center"/>
              <w:rPr>
                <w:sz w:val="22"/>
                <w:szCs w:val="22"/>
              </w:rPr>
            </w:pPr>
            <w:r w:rsidRPr="00FC1A5D">
              <w:rPr>
                <w:sz w:val="22"/>
                <w:szCs w:val="22"/>
              </w:rPr>
              <w:t>30,4</w:t>
            </w:r>
          </w:p>
        </w:tc>
        <w:tc>
          <w:tcPr>
            <w:tcW w:w="992" w:type="dxa"/>
          </w:tcPr>
          <w:p w:rsidR="00255CC4" w:rsidRDefault="00255CC4" w:rsidP="00255CC4">
            <w:pPr>
              <w:jc w:val="center"/>
            </w:pPr>
            <w:r w:rsidRPr="007A5BB3">
              <w:rPr>
                <w:sz w:val="22"/>
                <w:szCs w:val="22"/>
              </w:rPr>
              <w:t>17,7</w:t>
            </w:r>
          </w:p>
        </w:tc>
        <w:tc>
          <w:tcPr>
            <w:tcW w:w="1134" w:type="dxa"/>
          </w:tcPr>
          <w:p w:rsidR="00255CC4" w:rsidRPr="00FC1A5D" w:rsidRDefault="00255CC4" w:rsidP="00255CC4">
            <w:pPr>
              <w:jc w:val="center"/>
              <w:rPr>
                <w:sz w:val="22"/>
                <w:szCs w:val="22"/>
              </w:rPr>
            </w:pPr>
            <w:r w:rsidRPr="00FC1A5D">
              <w:rPr>
                <w:sz w:val="22"/>
                <w:szCs w:val="22"/>
              </w:rPr>
              <w:t>30,0</w:t>
            </w:r>
          </w:p>
        </w:tc>
        <w:tc>
          <w:tcPr>
            <w:tcW w:w="993" w:type="dxa"/>
          </w:tcPr>
          <w:p w:rsidR="00255CC4" w:rsidRPr="00606A6A" w:rsidRDefault="00255CC4" w:rsidP="00255CC4">
            <w:pPr>
              <w:jc w:val="center"/>
            </w:pPr>
            <w:r w:rsidRPr="00606A6A">
              <w:rPr>
                <w:sz w:val="22"/>
                <w:szCs w:val="22"/>
              </w:rPr>
              <w:t>17,5</w:t>
            </w:r>
          </w:p>
        </w:tc>
      </w:tr>
      <w:tr w:rsidR="00255CC4" w:rsidRPr="00FC1A5D" w:rsidTr="00255CC4">
        <w:trPr>
          <w:trHeight w:val="300"/>
        </w:trPr>
        <w:tc>
          <w:tcPr>
            <w:tcW w:w="1560" w:type="dxa"/>
            <w:vMerge w:val="restart"/>
            <w:noWrap/>
            <w:vAlign w:val="center"/>
            <w:hideMark/>
          </w:tcPr>
          <w:p w:rsidR="00255CC4" w:rsidRPr="007965DB" w:rsidRDefault="00255CC4" w:rsidP="00255CC4">
            <w:pPr>
              <w:rPr>
                <w:b/>
                <w:sz w:val="22"/>
                <w:szCs w:val="22"/>
              </w:rPr>
            </w:pPr>
            <w:r w:rsidRPr="007965DB">
              <w:rPr>
                <w:b/>
                <w:sz w:val="22"/>
                <w:szCs w:val="22"/>
              </w:rPr>
              <w:t>65+ gadi</w:t>
            </w:r>
          </w:p>
          <w:p w:rsidR="00255CC4" w:rsidRPr="007965DB" w:rsidRDefault="00255CC4" w:rsidP="00255CC4">
            <w:pPr>
              <w:rPr>
                <w:b/>
                <w:sz w:val="22"/>
                <w:szCs w:val="22"/>
              </w:rPr>
            </w:pPr>
          </w:p>
        </w:tc>
        <w:tc>
          <w:tcPr>
            <w:tcW w:w="1842" w:type="dxa"/>
            <w:noWrap/>
            <w:hideMark/>
          </w:tcPr>
          <w:p w:rsidR="00255CC4" w:rsidRPr="000B62DF" w:rsidRDefault="00255CC4" w:rsidP="00255CC4">
            <w:pPr>
              <w:rPr>
                <w:sz w:val="22"/>
                <w:szCs w:val="22"/>
              </w:rPr>
            </w:pPr>
            <w:r w:rsidRPr="000B62DF">
              <w:rPr>
                <w:sz w:val="22"/>
                <w:szCs w:val="22"/>
              </w:rPr>
              <w:t>Kopā grupā</w:t>
            </w:r>
          </w:p>
        </w:tc>
        <w:tc>
          <w:tcPr>
            <w:tcW w:w="993" w:type="dxa"/>
            <w:noWrap/>
            <w:hideMark/>
          </w:tcPr>
          <w:p w:rsidR="00255CC4" w:rsidRPr="00966F91" w:rsidRDefault="00255CC4" w:rsidP="00255CC4">
            <w:pPr>
              <w:jc w:val="center"/>
              <w:rPr>
                <w:b/>
                <w:color w:val="FF0000"/>
                <w:sz w:val="22"/>
                <w:szCs w:val="22"/>
              </w:rPr>
            </w:pPr>
            <w:r w:rsidRPr="00966F91">
              <w:rPr>
                <w:b/>
                <w:color w:val="FF0000"/>
                <w:sz w:val="22"/>
                <w:szCs w:val="22"/>
              </w:rPr>
              <w:t>80,8</w:t>
            </w:r>
          </w:p>
        </w:tc>
        <w:tc>
          <w:tcPr>
            <w:tcW w:w="992" w:type="dxa"/>
            <w:noWrap/>
          </w:tcPr>
          <w:p w:rsidR="00255CC4" w:rsidRPr="000B62DF" w:rsidRDefault="00255CC4" w:rsidP="00255CC4">
            <w:pPr>
              <w:jc w:val="center"/>
              <w:rPr>
                <w:b/>
                <w:sz w:val="22"/>
                <w:szCs w:val="22"/>
              </w:rPr>
            </w:pPr>
            <w:r w:rsidRPr="000B62DF">
              <w:rPr>
                <w:b/>
                <w:sz w:val="22"/>
                <w:szCs w:val="22"/>
              </w:rPr>
              <w:t>34,6</w:t>
            </w:r>
          </w:p>
        </w:tc>
        <w:tc>
          <w:tcPr>
            <w:tcW w:w="992" w:type="dxa"/>
            <w:noWrap/>
          </w:tcPr>
          <w:p w:rsidR="00255CC4" w:rsidRPr="00966F91" w:rsidRDefault="00255CC4" w:rsidP="00255CC4">
            <w:pPr>
              <w:jc w:val="center"/>
              <w:rPr>
                <w:b/>
                <w:color w:val="FF0000"/>
                <w:sz w:val="22"/>
                <w:szCs w:val="22"/>
              </w:rPr>
            </w:pPr>
            <w:r w:rsidRPr="00966F91">
              <w:rPr>
                <w:b/>
                <w:color w:val="FF0000"/>
                <w:sz w:val="22"/>
                <w:szCs w:val="22"/>
              </w:rPr>
              <w:t>80,2</w:t>
            </w:r>
          </w:p>
        </w:tc>
        <w:tc>
          <w:tcPr>
            <w:tcW w:w="992" w:type="dxa"/>
          </w:tcPr>
          <w:p w:rsidR="00255CC4" w:rsidRPr="000B62DF" w:rsidRDefault="00255CC4" w:rsidP="00255CC4">
            <w:pPr>
              <w:jc w:val="center"/>
              <w:rPr>
                <w:b/>
                <w:sz w:val="22"/>
                <w:szCs w:val="22"/>
              </w:rPr>
            </w:pPr>
            <w:r w:rsidRPr="000B62DF">
              <w:rPr>
                <w:b/>
                <w:sz w:val="22"/>
                <w:szCs w:val="22"/>
              </w:rPr>
              <w:t>38,1</w:t>
            </w:r>
          </w:p>
        </w:tc>
        <w:tc>
          <w:tcPr>
            <w:tcW w:w="1134" w:type="dxa"/>
          </w:tcPr>
          <w:p w:rsidR="00255CC4" w:rsidRPr="00966F91" w:rsidRDefault="00255CC4" w:rsidP="00255CC4">
            <w:pPr>
              <w:jc w:val="center"/>
              <w:rPr>
                <w:b/>
                <w:color w:val="FF0000"/>
                <w:sz w:val="22"/>
                <w:szCs w:val="22"/>
              </w:rPr>
            </w:pPr>
            <w:r w:rsidRPr="00966F91">
              <w:rPr>
                <w:b/>
                <w:color w:val="FF0000"/>
                <w:sz w:val="22"/>
                <w:szCs w:val="22"/>
              </w:rPr>
              <w:t>79,7</w:t>
            </w:r>
          </w:p>
        </w:tc>
        <w:tc>
          <w:tcPr>
            <w:tcW w:w="993" w:type="dxa"/>
          </w:tcPr>
          <w:p w:rsidR="00255CC4" w:rsidRPr="00606A6A" w:rsidRDefault="00255CC4" w:rsidP="00255CC4">
            <w:pPr>
              <w:jc w:val="center"/>
              <w:rPr>
                <w:b/>
                <w:sz w:val="22"/>
                <w:szCs w:val="22"/>
              </w:rPr>
            </w:pPr>
            <w:r w:rsidRPr="00606A6A">
              <w:rPr>
                <w:b/>
                <w:sz w:val="22"/>
                <w:szCs w:val="22"/>
              </w:rPr>
              <w:t>39,9</w:t>
            </w:r>
          </w:p>
        </w:tc>
      </w:tr>
      <w:tr w:rsidR="00255CC4" w:rsidRPr="00FC1A5D" w:rsidTr="00255CC4">
        <w:trPr>
          <w:trHeight w:val="300"/>
        </w:trPr>
        <w:tc>
          <w:tcPr>
            <w:tcW w:w="1560" w:type="dxa"/>
            <w:vMerge/>
            <w:noWrap/>
            <w:hideMark/>
          </w:tcPr>
          <w:p w:rsidR="00255CC4" w:rsidRPr="00FC1A5D" w:rsidRDefault="00255CC4" w:rsidP="00255CC4">
            <w:pPr>
              <w:rPr>
                <w:sz w:val="22"/>
                <w:szCs w:val="22"/>
              </w:rPr>
            </w:pPr>
          </w:p>
        </w:tc>
        <w:tc>
          <w:tcPr>
            <w:tcW w:w="1842" w:type="dxa"/>
            <w:noWrap/>
            <w:hideMark/>
          </w:tcPr>
          <w:p w:rsidR="00255CC4" w:rsidRPr="00FC1A5D" w:rsidRDefault="00255CC4" w:rsidP="00255CC4">
            <w:pPr>
              <w:rPr>
                <w:sz w:val="22"/>
                <w:szCs w:val="22"/>
              </w:rPr>
            </w:pPr>
            <w:r w:rsidRPr="00FC1A5D">
              <w:rPr>
                <w:sz w:val="22"/>
                <w:szCs w:val="22"/>
              </w:rPr>
              <w:t>Vīrieši</w:t>
            </w:r>
          </w:p>
        </w:tc>
        <w:tc>
          <w:tcPr>
            <w:tcW w:w="993" w:type="dxa"/>
            <w:noWrap/>
            <w:hideMark/>
          </w:tcPr>
          <w:p w:rsidR="00255CC4" w:rsidRPr="00FC1A5D" w:rsidRDefault="00255CC4" w:rsidP="00255CC4">
            <w:pPr>
              <w:jc w:val="center"/>
              <w:rPr>
                <w:sz w:val="22"/>
                <w:szCs w:val="22"/>
              </w:rPr>
            </w:pPr>
            <w:r w:rsidRPr="00FC1A5D">
              <w:rPr>
                <w:sz w:val="22"/>
                <w:szCs w:val="22"/>
              </w:rPr>
              <w:t>80,0</w:t>
            </w:r>
          </w:p>
        </w:tc>
        <w:tc>
          <w:tcPr>
            <w:tcW w:w="992" w:type="dxa"/>
            <w:noWrap/>
          </w:tcPr>
          <w:p w:rsidR="00255CC4" w:rsidRPr="00FC1A5D" w:rsidRDefault="00255CC4" w:rsidP="00255CC4">
            <w:pPr>
              <w:jc w:val="center"/>
              <w:rPr>
                <w:sz w:val="22"/>
                <w:szCs w:val="22"/>
              </w:rPr>
            </w:pPr>
            <w:r>
              <w:rPr>
                <w:sz w:val="22"/>
                <w:szCs w:val="22"/>
              </w:rPr>
              <w:t>22,6</w:t>
            </w:r>
          </w:p>
        </w:tc>
        <w:tc>
          <w:tcPr>
            <w:tcW w:w="992" w:type="dxa"/>
            <w:noWrap/>
          </w:tcPr>
          <w:p w:rsidR="00255CC4" w:rsidRPr="00FC1A5D" w:rsidRDefault="00255CC4" w:rsidP="00255CC4">
            <w:pPr>
              <w:jc w:val="center"/>
              <w:rPr>
                <w:sz w:val="22"/>
                <w:szCs w:val="22"/>
              </w:rPr>
            </w:pPr>
            <w:r w:rsidRPr="00FC1A5D">
              <w:rPr>
                <w:sz w:val="22"/>
                <w:szCs w:val="22"/>
              </w:rPr>
              <w:t>79,9</w:t>
            </w:r>
          </w:p>
        </w:tc>
        <w:tc>
          <w:tcPr>
            <w:tcW w:w="992" w:type="dxa"/>
          </w:tcPr>
          <w:p w:rsidR="00255CC4" w:rsidRPr="00FC1A5D" w:rsidRDefault="00255CC4" w:rsidP="00255CC4">
            <w:pPr>
              <w:jc w:val="center"/>
              <w:rPr>
                <w:sz w:val="22"/>
                <w:szCs w:val="22"/>
              </w:rPr>
            </w:pPr>
            <w:r>
              <w:rPr>
                <w:sz w:val="22"/>
                <w:szCs w:val="22"/>
              </w:rPr>
              <w:t>28,4</w:t>
            </w:r>
          </w:p>
        </w:tc>
        <w:tc>
          <w:tcPr>
            <w:tcW w:w="1134" w:type="dxa"/>
          </w:tcPr>
          <w:p w:rsidR="00255CC4" w:rsidRPr="00FC1A5D" w:rsidRDefault="00255CC4" w:rsidP="00255CC4">
            <w:pPr>
              <w:jc w:val="center"/>
              <w:rPr>
                <w:sz w:val="22"/>
                <w:szCs w:val="22"/>
              </w:rPr>
            </w:pPr>
            <w:r w:rsidRPr="00FC1A5D">
              <w:rPr>
                <w:sz w:val="22"/>
                <w:szCs w:val="22"/>
              </w:rPr>
              <w:t>78,5</w:t>
            </w:r>
          </w:p>
        </w:tc>
        <w:tc>
          <w:tcPr>
            <w:tcW w:w="993" w:type="dxa"/>
          </w:tcPr>
          <w:p w:rsidR="00255CC4" w:rsidRPr="00FC1A5D" w:rsidRDefault="00255CC4" w:rsidP="00255CC4">
            <w:pPr>
              <w:jc w:val="center"/>
              <w:rPr>
                <w:sz w:val="22"/>
                <w:szCs w:val="22"/>
              </w:rPr>
            </w:pPr>
            <w:r>
              <w:rPr>
                <w:sz w:val="22"/>
                <w:szCs w:val="22"/>
              </w:rPr>
              <w:t>29,1</w:t>
            </w:r>
          </w:p>
        </w:tc>
      </w:tr>
      <w:tr w:rsidR="00255CC4" w:rsidRPr="00FC1A5D" w:rsidTr="00255CC4">
        <w:trPr>
          <w:trHeight w:val="300"/>
        </w:trPr>
        <w:tc>
          <w:tcPr>
            <w:tcW w:w="1560" w:type="dxa"/>
            <w:vMerge/>
            <w:noWrap/>
            <w:hideMark/>
          </w:tcPr>
          <w:p w:rsidR="00255CC4" w:rsidRPr="00FC1A5D" w:rsidRDefault="00255CC4" w:rsidP="00255CC4">
            <w:pPr>
              <w:rPr>
                <w:sz w:val="22"/>
                <w:szCs w:val="22"/>
              </w:rPr>
            </w:pPr>
          </w:p>
        </w:tc>
        <w:tc>
          <w:tcPr>
            <w:tcW w:w="1842" w:type="dxa"/>
            <w:noWrap/>
            <w:hideMark/>
          </w:tcPr>
          <w:p w:rsidR="00255CC4" w:rsidRPr="00FC1A5D" w:rsidRDefault="00255CC4" w:rsidP="00255CC4">
            <w:pPr>
              <w:rPr>
                <w:sz w:val="22"/>
                <w:szCs w:val="22"/>
              </w:rPr>
            </w:pPr>
            <w:r w:rsidRPr="00FC1A5D">
              <w:rPr>
                <w:sz w:val="22"/>
                <w:szCs w:val="22"/>
              </w:rPr>
              <w:t>Sievietes</w:t>
            </w:r>
          </w:p>
        </w:tc>
        <w:tc>
          <w:tcPr>
            <w:tcW w:w="993" w:type="dxa"/>
            <w:noWrap/>
            <w:hideMark/>
          </w:tcPr>
          <w:p w:rsidR="00255CC4" w:rsidRPr="00FC1A5D" w:rsidRDefault="00255CC4" w:rsidP="00255CC4">
            <w:pPr>
              <w:jc w:val="center"/>
              <w:rPr>
                <w:sz w:val="22"/>
                <w:szCs w:val="22"/>
              </w:rPr>
            </w:pPr>
            <w:r w:rsidRPr="00FC1A5D">
              <w:rPr>
                <w:sz w:val="22"/>
                <w:szCs w:val="22"/>
              </w:rPr>
              <w:t>81,2</w:t>
            </w:r>
          </w:p>
        </w:tc>
        <w:tc>
          <w:tcPr>
            <w:tcW w:w="992" w:type="dxa"/>
            <w:noWrap/>
          </w:tcPr>
          <w:p w:rsidR="00255CC4" w:rsidRPr="00FC1A5D" w:rsidRDefault="00255CC4" w:rsidP="00255CC4">
            <w:pPr>
              <w:jc w:val="center"/>
              <w:rPr>
                <w:sz w:val="22"/>
                <w:szCs w:val="22"/>
              </w:rPr>
            </w:pPr>
            <w:r>
              <w:rPr>
                <w:sz w:val="22"/>
                <w:szCs w:val="22"/>
              </w:rPr>
              <w:t>40,4</w:t>
            </w:r>
          </w:p>
        </w:tc>
        <w:tc>
          <w:tcPr>
            <w:tcW w:w="992" w:type="dxa"/>
            <w:noWrap/>
          </w:tcPr>
          <w:p w:rsidR="00255CC4" w:rsidRPr="00FC1A5D" w:rsidRDefault="00255CC4" w:rsidP="00255CC4">
            <w:pPr>
              <w:jc w:val="center"/>
              <w:rPr>
                <w:sz w:val="22"/>
                <w:szCs w:val="22"/>
              </w:rPr>
            </w:pPr>
            <w:r w:rsidRPr="00FC1A5D">
              <w:rPr>
                <w:sz w:val="22"/>
                <w:szCs w:val="22"/>
              </w:rPr>
              <w:t>80,4</w:t>
            </w:r>
          </w:p>
        </w:tc>
        <w:tc>
          <w:tcPr>
            <w:tcW w:w="992" w:type="dxa"/>
          </w:tcPr>
          <w:p w:rsidR="00255CC4" w:rsidRPr="00FC1A5D" w:rsidRDefault="00255CC4" w:rsidP="00255CC4">
            <w:pPr>
              <w:jc w:val="center"/>
              <w:rPr>
                <w:sz w:val="22"/>
                <w:szCs w:val="22"/>
              </w:rPr>
            </w:pPr>
            <w:r>
              <w:rPr>
                <w:sz w:val="22"/>
                <w:szCs w:val="22"/>
              </w:rPr>
              <w:t>42,9</w:t>
            </w:r>
          </w:p>
        </w:tc>
        <w:tc>
          <w:tcPr>
            <w:tcW w:w="1134" w:type="dxa"/>
          </w:tcPr>
          <w:p w:rsidR="00255CC4" w:rsidRPr="00FC1A5D" w:rsidRDefault="00255CC4" w:rsidP="00255CC4">
            <w:pPr>
              <w:jc w:val="center"/>
              <w:rPr>
                <w:sz w:val="22"/>
                <w:szCs w:val="22"/>
              </w:rPr>
            </w:pPr>
            <w:r w:rsidRPr="00FC1A5D">
              <w:rPr>
                <w:sz w:val="22"/>
                <w:szCs w:val="22"/>
              </w:rPr>
              <w:t>80,3</w:t>
            </w:r>
          </w:p>
        </w:tc>
        <w:tc>
          <w:tcPr>
            <w:tcW w:w="993" w:type="dxa"/>
          </w:tcPr>
          <w:p w:rsidR="00255CC4" w:rsidRPr="00FC1A5D" w:rsidRDefault="00255CC4" w:rsidP="00255CC4">
            <w:pPr>
              <w:jc w:val="center"/>
              <w:rPr>
                <w:sz w:val="22"/>
                <w:szCs w:val="22"/>
              </w:rPr>
            </w:pPr>
            <w:r>
              <w:rPr>
                <w:sz w:val="22"/>
                <w:szCs w:val="22"/>
              </w:rPr>
              <w:t>45,1</w:t>
            </w:r>
          </w:p>
        </w:tc>
      </w:tr>
    </w:tbl>
    <w:p w:rsidR="00255CC4" w:rsidRPr="00ED739D" w:rsidRDefault="00255CC4" w:rsidP="00255CC4">
      <w:pPr>
        <w:rPr>
          <w:sz w:val="20"/>
          <w:szCs w:val="20"/>
        </w:rPr>
      </w:pPr>
      <w:r w:rsidRPr="00ED739D">
        <w:rPr>
          <w:sz w:val="20"/>
          <w:szCs w:val="20"/>
        </w:rPr>
        <w:t>Avots: CSP, “NIG090. Nabadzības riska indekss pirms sociālo transfertu saņemšanas pēc vecuma un dzimuma (%)”.</w:t>
      </w:r>
    </w:p>
    <w:p w:rsidR="00255CC4" w:rsidRPr="00AC2A79" w:rsidRDefault="00255CC4" w:rsidP="00255CC4"/>
    <w:p w:rsidR="00255CC4" w:rsidRDefault="00255CC4" w:rsidP="00255CC4">
      <w:r w:rsidRPr="0071054C">
        <w:t xml:space="preserve">Būtiski </w:t>
      </w:r>
      <w:r>
        <w:t>atšķirīga situācija ir iedzīvotāju grupā vecumā virs 65 gadiem</w:t>
      </w:r>
      <w:r w:rsidR="00D138A8">
        <w:t>, kurā ievērojamu iedzīvotāju ienākumu daļu veido tieši sociālie transferti, t.sk. vecuma pensijas</w:t>
      </w:r>
      <w:r>
        <w:t xml:space="preserve">. </w:t>
      </w:r>
      <w:r w:rsidR="00D138A8">
        <w:t xml:space="preserve">Pirms sociālo transfertu saņemšanas šajā vecuma grupā nabadzības riska indekss ir bijis 80,8% 2014. gadā un 79,7% 2016. </w:t>
      </w:r>
      <w:r w:rsidR="00FB37BD">
        <w:t>g</w:t>
      </w:r>
      <w:r w:rsidR="00D138A8">
        <w:t>adā</w:t>
      </w:r>
      <w:r w:rsidR="00FB37BD">
        <w:t>, jo vairums pensijas vecuma cilvēki nestrādā, tādējādi viņu ienākumi no citiem to gūšanas veidiem, izņemot sociālos transfertus, ir zemi</w:t>
      </w:r>
      <w:r w:rsidR="00D138A8">
        <w:t xml:space="preserve">. </w:t>
      </w:r>
      <w:r>
        <w:t xml:space="preserve">2014. - </w:t>
      </w:r>
      <w:r w:rsidRPr="00EA0927">
        <w:t xml:space="preserve">2016. gadā </w:t>
      </w:r>
      <w:r w:rsidRPr="00606A6A">
        <w:rPr>
          <w:b/>
        </w:rPr>
        <w:t xml:space="preserve">pirms </w:t>
      </w:r>
      <w:r>
        <w:rPr>
          <w:b/>
        </w:rPr>
        <w:t>un pēc s</w:t>
      </w:r>
      <w:r w:rsidRPr="00606A6A">
        <w:rPr>
          <w:b/>
        </w:rPr>
        <w:t xml:space="preserve">ociālo transfertu </w:t>
      </w:r>
      <w:r w:rsidRPr="0071054C">
        <w:rPr>
          <w:b/>
        </w:rPr>
        <w:t>saņemšanas augstākais nabadzības risks bija sievietēm, kuras ir vecākas par 65 gadiem</w:t>
      </w:r>
      <w:r>
        <w:t>. 2016. gadā šajā grupā tie bija attiecīgi</w:t>
      </w:r>
      <w:r w:rsidRPr="0071054C">
        <w:rPr>
          <w:b/>
        </w:rPr>
        <w:t xml:space="preserve"> </w:t>
      </w:r>
      <w:r w:rsidRPr="00657B4C">
        <w:t xml:space="preserve">80,3% </w:t>
      </w:r>
      <w:r>
        <w:t>pirms sociālo transfertu saņemšanas</w:t>
      </w:r>
      <w:r w:rsidRPr="00D138A8">
        <w:t>,</w:t>
      </w:r>
      <w:r>
        <w:t xml:space="preserve"> kas ir par 1,8 procentpunktiem</w:t>
      </w:r>
      <w:r w:rsidRPr="00EA0927">
        <w:t xml:space="preserve"> augstāks </w:t>
      </w:r>
      <w:r>
        <w:t xml:space="preserve">rādītājs </w:t>
      </w:r>
      <w:r w:rsidRPr="00EA0927">
        <w:t>nekā vīriešiem šajā pašā vecuma grupā</w:t>
      </w:r>
      <w:r>
        <w:t>, un 45,1% pēc sociālo transfertu saņemšanas, kas ir jau par 16 procentpunktiem vairāk nekā vīriešiem. Gados vecāko iedzīvotāju grupā nabadzības riska indeksam pēc sociālo transfertu saņemšanas ir tendence palielināties</w:t>
      </w:r>
      <w:r w:rsidR="00D138A8">
        <w:t>, kas lielā mērā ir skaidrojams ar vecuma pensiju apmēra nebūtiskajām izmaiņām attiecībā pret iedzīvotāju ienākumu izmaiņām kopumā</w:t>
      </w:r>
      <w:r>
        <w:t xml:space="preserve">. Turklāt augstāks </w:t>
      </w:r>
      <w:r w:rsidR="00D138A8">
        <w:t>nabadzības riska indeksa</w:t>
      </w:r>
      <w:r>
        <w:t xml:space="preserve"> pieaugums </w:t>
      </w:r>
      <w:r w:rsidR="00D138A8">
        <w:t xml:space="preserve">pēc sociālo transfertu saņemšanas </w:t>
      </w:r>
      <w:r>
        <w:t xml:space="preserve">ir vīriešu grupā, kurā kopējais pieaugums no 2014. gada līdz 2016. gadam ir 6,5 procentpunkti, kamēr sieviešu grupā pieaugums ir 4,7 procentpunkti. </w:t>
      </w:r>
    </w:p>
    <w:p w:rsidR="00255CC4" w:rsidRDefault="00255CC4" w:rsidP="00255CC4"/>
    <w:p w:rsidR="00255CC4" w:rsidRDefault="00255CC4" w:rsidP="00255CC4">
      <w:r>
        <w:t>Apkopojot nabadzības riska tendences raksturojošos rādītājus pēc dažādām pazīmēm,</w:t>
      </w:r>
      <w:r w:rsidR="008C6B83">
        <w:t xml:space="preserve"> </w:t>
      </w:r>
      <w:r w:rsidR="006E1579">
        <w:t>1.2</w:t>
      </w:r>
      <w:r w:rsidR="00446171">
        <w:t>4</w:t>
      </w:r>
      <w:r>
        <w:t>. tabulā ir izveidots kopsavilkums par sociāli demogrāfiskajām grupām, kurās Izvē</w:t>
      </w:r>
      <w:r w:rsidR="006E1579">
        <w:t>rtējuma periodā (2014.g.-2016.g.</w:t>
      </w:r>
      <w:r>
        <w:t>) ir vērojams nabadzības riska pieaugums un samazinājums. Visbūtiskāk nabadzības risks ir samazinājies daudzbērnu ģimenēm, kuru grupā vērojams rādītāja samazinājums par 14,7 procentpunktiem. Vērā ņemams nabadzības riska samazinājums ir sievietēm bezdarbniecēm, savukārt vīriešiem bezdarbniekiem gluži otrādi – tas ir pieaudzis, kas, iespējams</w:t>
      </w:r>
      <w:r w:rsidR="00D138A8">
        <w:t>,</w:t>
      </w:r>
      <w:r>
        <w:t xml:space="preserve"> skaidrojams ar </w:t>
      </w:r>
      <w:r>
        <w:lastRenderedPageBreak/>
        <w:t xml:space="preserve">augstāku sieviešu līdzdalību aktīvās nodarbinātības pasākumos. Augstākais nabadzības risks ar tendenci palielināties ir senioru grupā vecumā virs 65 gadiem.  </w:t>
      </w:r>
    </w:p>
    <w:p w:rsidR="00384BF8" w:rsidRDefault="00384BF8" w:rsidP="00255CC4"/>
    <w:p w:rsidR="00384BF8" w:rsidRDefault="00447DBB" w:rsidP="00255CC4">
      <w:r>
        <w:t>Reģionu griezumā</w:t>
      </w:r>
      <w:r w:rsidR="00384BF8">
        <w:t xml:space="preserve"> izceļas Latgales reģions, kur nabadzības riska rādītājs 2016. gadā bija </w:t>
      </w:r>
      <w:r>
        <w:t xml:space="preserve">visaugstākais - </w:t>
      </w:r>
      <w:r w:rsidR="00384BF8">
        <w:t xml:space="preserve">37,7% (vidēji Latvijā 22,1%). </w:t>
      </w:r>
      <w:r w:rsidR="0082161B">
        <w:t>Saskaņā ar CSP datiem, s</w:t>
      </w:r>
      <w:r w:rsidR="00384BF8">
        <w:t>alīdzinājumā ar citiem Latvijas reģioniem</w:t>
      </w:r>
      <w:r w:rsidR="0082161B">
        <w:t>,</w:t>
      </w:r>
      <w:r w:rsidR="00384BF8">
        <w:t xml:space="preserve"> Latgalē ir zemāki nodarbinātības rādītāji (2016. gadā nodarbinātības līmenis Latgales reģionā bija 53,4%, kas ir par 8,2 procentpunktiem zemāks nekā valstī kopumā), augstāki bezdarba rādītāji (2016. gadā bezdarba līmenis Latgales reģionā bija 17,5%, kas ir par 7,9 procentpunktiem augstāks nekā valstī kopumā), lielāks iedzīvotāju īpatsvars, kuru ienākumi ir zem minimālā ienākuma līmeņa (2016. gadā 16,1%, kas ir par 8,3 procentpunktiem vairāk nekā valstī kopumā), kā arī zemāki vidējo ienākumu rādītāji uz vienu mājsaimniecību (2016. gadā 679 EUR), vienu mājsaimniecības locekli (2016. gadā 300 EUR) un ekvivalento patērētāju (2016. gadā 440 EUR). Neraugoties uz to, ka Izvērtējuma periodā ir par 2,7 procentpunktiem samazinājies Latgales reģiona iedzīvotāju nabadzības riska </w:t>
      </w:r>
      <w:r>
        <w:t>indekss</w:t>
      </w:r>
      <w:r w:rsidR="00384BF8">
        <w:t>, tā jo</w:t>
      </w:r>
      <w:r>
        <w:t>projām ir viena no grupām, kura</w:t>
      </w:r>
      <w:r w:rsidR="00384BF8">
        <w:t xml:space="preserve"> ir pakļauta augstākam nabadzības riskam. </w:t>
      </w:r>
    </w:p>
    <w:bookmarkStart w:id="244" w:name="_Toc6220093"/>
    <w:p w:rsidR="00255CC4" w:rsidRDefault="00AD3EDD" w:rsidP="008C6B83">
      <w:pPr>
        <w:pStyle w:val="Caption"/>
      </w:pPr>
      <w:r>
        <w:fldChar w:fldCharType="begin"/>
      </w:r>
      <w:r w:rsidR="00A46B54">
        <w:instrText xml:space="preserve"> STYLEREF 1 \s </w:instrText>
      </w:r>
      <w:r>
        <w:fldChar w:fldCharType="separate"/>
      </w:r>
      <w:bookmarkStart w:id="245" w:name="_Toc6857660"/>
      <w:r w:rsidR="00224B50">
        <w:rPr>
          <w:noProof/>
        </w:rPr>
        <w:t>1</w:t>
      </w:r>
      <w:r>
        <w:fldChar w:fldCharType="end"/>
      </w:r>
      <w:r w:rsidR="00A46B54">
        <w:t>.</w:t>
      </w:r>
      <w:r w:rsidR="00E21C32">
        <w:t>2</w:t>
      </w:r>
      <w:r w:rsidR="00446171">
        <w:t>4</w:t>
      </w:r>
      <w:r w:rsidR="00255CC4">
        <w:t>. tabula. Nabadzības riska izmaiņu novērtējums sociāli demogrāfiskajās grupās periodā no 2014. gada līdz 2016. gadam</w:t>
      </w:r>
      <w:bookmarkEnd w:id="244"/>
      <w:bookmarkEnd w:id="245"/>
    </w:p>
    <w:tbl>
      <w:tblPr>
        <w:tblStyle w:val="TableGrid"/>
        <w:tblW w:w="0" w:type="auto"/>
        <w:tblLook w:val="04A0"/>
      </w:tblPr>
      <w:tblGrid>
        <w:gridCol w:w="7621"/>
        <w:gridCol w:w="2126"/>
      </w:tblGrid>
      <w:tr w:rsidR="00255CC4" w:rsidRPr="005B1DB6" w:rsidTr="00BC22F8">
        <w:tc>
          <w:tcPr>
            <w:tcW w:w="7621" w:type="dxa"/>
            <w:shd w:val="clear" w:color="auto" w:fill="B8CCE4" w:themeFill="accent1" w:themeFillTint="66"/>
            <w:vAlign w:val="center"/>
          </w:tcPr>
          <w:p w:rsidR="00255CC4" w:rsidRPr="005B1DB6" w:rsidRDefault="00255CC4" w:rsidP="00255CC4">
            <w:pPr>
              <w:rPr>
                <w:b/>
                <w:sz w:val="22"/>
                <w:szCs w:val="22"/>
              </w:rPr>
            </w:pPr>
            <w:r>
              <w:rPr>
                <w:b/>
                <w:sz w:val="22"/>
                <w:szCs w:val="22"/>
              </w:rPr>
              <w:t>Risks ir pieaudzis</w:t>
            </w:r>
          </w:p>
        </w:tc>
        <w:tc>
          <w:tcPr>
            <w:tcW w:w="2126" w:type="dxa"/>
            <w:shd w:val="clear" w:color="auto" w:fill="B8CCE4" w:themeFill="accent1" w:themeFillTint="66"/>
            <w:vAlign w:val="center"/>
          </w:tcPr>
          <w:p w:rsidR="00255CC4" w:rsidRPr="005B1DB6" w:rsidRDefault="00255CC4" w:rsidP="00255CC4">
            <w:pPr>
              <w:rPr>
                <w:b/>
                <w:sz w:val="22"/>
                <w:szCs w:val="22"/>
              </w:rPr>
            </w:pPr>
            <w:r w:rsidRPr="005B1DB6">
              <w:rPr>
                <w:b/>
                <w:sz w:val="22"/>
                <w:szCs w:val="22"/>
              </w:rPr>
              <w:t>Tendence (procentpunktos)</w:t>
            </w:r>
          </w:p>
        </w:tc>
      </w:tr>
      <w:tr w:rsidR="00255CC4" w:rsidRPr="005B1DB6" w:rsidTr="00255CC4">
        <w:tc>
          <w:tcPr>
            <w:tcW w:w="7621" w:type="dxa"/>
          </w:tcPr>
          <w:p w:rsidR="00255CC4" w:rsidRDefault="00255CC4" w:rsidP="003F469F">
            <w:pPr>
              <w:pStyle w:val="ListParagraph"/>
              <w:numPr>
                <w:ilvl w:val="0"/>
                <w:numId w:val="163"/>
              </w:numPr>
              <w:spacing w:line="276" w:lineRule="auto"/>
              <w:jc w:val="both"/>
              <w:rPr>
                <w:sz w:val="22"/>
                <w:szCs w:val="22"/>
              </w:rPr>
            </w:pPr>
            <w:r>
              <w:rPr>
                <w:sz w:val="22"/>
                <w:szCs w:val="22"/>
              </w:rPr>
              <w:t xml:space="preserve">Pensionāri vecumā virs 65 gadiem (37,3% </w:t>
            </w:r>
            <w:r>
              <w:rPr>
                <w:sz w:val="22"/>
                <w:szCs w:val="22"/>
              </w:rPr>
              <w:sym w:font="Symbol" w:char="F0AE"/>
            </w:r>
            <w:r>
              <w:rPr>
                <w:sz w:val="22"/>
                <w:szCs w:val="22"/>
              </w:rPr>
              <w:t xml:space="preserve"> 44,2%)</w:t>
            </w:r>
          </w:p>
          <w:p w:rsidR="00255CC4" w:rsidRDefault="00255CC4" w:rsidP="003F469F">
            <w:pPr>
              <w:pStyle w:val="ListParagraph"/>
              <w:numPr>
                <w:ilvl w:val="0"/>
                <w:numId w:val="163"/>
              </w:numPr>
              <w:spacing w:line="276" w:lineRule="auto"/>
              <w:jc w:val="both"/>
              <w:rPr>
                <w:sz w:val="22"/>
                <w:szCs w:val="22"/>
              </w:rPr>
            </w:pPr>
            <w:r w:rsidRPr="005B1DB6">
              <w:rPr>
                <w:sz w:val="22"/>
                <w:szCs w:val="22"/>
              </w:rPr>
              <w:t xml:space="preserve">Seniori vecumā virs 65 gadiem (67% </w:t>
            </w:r>
            <w:r>
              <w:sym w:font="Symbol" w:char="F0AE"/>
            </w:r>
            <w:r w:rsidRPr="005B1DB6">
              <w:rPr>
                <w:sz w:val="22"/>
                <w:szCs w:val="22"/>
              </w:rPr>
              <w:t xml:space="preserve"> 72,8%)</w:t>
            </w:r>
          </w:p>
          <w:p w:rsidR="00255CC4" w:rsidRDefault="00255CC4" w:rsidP="003F469F">
            <w:pPr>
              <w:pStyle w:val="ListParagraph"/>
              <w:numPr>
                <w:ilvl w:val="0"/>
                <w:numId w:val="163"/>
              </w:numPr>
              <w:spacing w:line="276" w:lineRule="auto"/>
              <w:jc w:val="both"/>
              <w:rPr>
                <w:sz w:val="22"/>
                <w:szCs w:val="22"/>
              </w:rPr>
            </w:pPr>
            <w:r>
              <w:rPr>
                <w:sz w:val="22"/>
                <w:szCs w:val="22"/>
              </w:rPr>
              <w:t xml:space="preserve">Atsevišķi dzīvojoši vīrieši (42% </w:t>
            </w:r>
            <w:r>
              <w:rPr>
                <w:sz w:val="22"/>
                <w:szCs w:val="22"/>
              </w:rPr>
              <w:sym w:font="Symbol" w:char="F0AE"/>
            </w:r>
            <w:r>
              <w:rPr>
                <w:sz w:val="22"/>
                <w:szCs w:val="22"/>
              </w:rPr>
              <w:t xml:space="preserve"> 47,7%)</w:t>
            </w:r>
          </w:p>
          <w:p w:rsidR="00255CC4" w:rsidRDefault="00255CC4" w:rsidP="003F469F">
            <w:pPr>
              <w:pStyle w:val="ListParagraph"/>
              <w:numPr>
                <w:ilvl w:val="0"/>
                <w:numId w:val="163"/>
              </w:numPr>
              <w:spacing w:line="276" w:lineRule="auto"/>
              <w:jc w:val="both"/>
              <w:rPr>
                <w:sz w:val="22"/>
                <w:szCs w:val="22"/>
              </w:rPr>
            </w:pPr>
            <w:r>
              <w:rPr>
                <w:sz w:val="22"/>
                <w:szCs w:val="22"/>
              </w:rPr>
              <w:t>Bezdarbnieki vīrieši (</w:t>
            </w:r>
            <w:r w:rsidR="006A386C">
              <w:rPr>
                <w:sz w:val="22"/>
                <w:szCs w:val="22"/>
              </w:rPr>
              <w:t>53,1</w:t>
            </w:r>
            <w:r>
              <w:rPr>
                <w:sz w:val="22"/>
                <w:szCs w:val="22"/>
              </w:rPr>
              <w:t xml:space="preserve">% </w:t>
            </w:r>
            <w:r>
              <w:rPr>
                <w:sz w:val="22"/>
                <w:szCs w:val="22"/>
              </w:rPr>
              <w:sym w:font="Symbol" w:char="F0AE"/>
            </w:r>
            <w:r>
              <w:rPr>
                <w:sz w:val="22"/>
                <w:szCs w:val="22"/>
              </w:rPr>
              <w:t xml:space="preserve"> 62,7%)</w:t>
            </w:r>
          </w:p>
          <w:p w:rsidR="00255CC4" w:rsidRPr="005B1DB6" w:rsidRDefault="00255CC4" w:rsidP="003F469F">
            <w:pPr>
              <w:pStyle w:val="ListParagraph"/>
              <w:numPr>
                <w:ilvl w:val="0"/>
                <w:numId w:val="163"/>
              </w:numPr>
              <w:spacing w:line="276" w:lineRule="auto"/>
              <w:jc w:val="both"/>
              <w:rPr>
                <w:sz w:val="22"/>
                <w:szCs w:val="22"/>
              </w:rPr>
            </w:pPr>
            <w:r>
              <w:rPr>
                <w:sz w:val="22"/>
                <w:szCs w:val="22"/>
              </w:rPr>
              <w:t xml:space="preserve">Sievietes vecumā virs 65 gadiem (40,4% </w:t>
            </w:r>
            <w:r>
              <w:rPr>
                <w:sz w:val="22"/>
                <w:szCs w:val="22"/>
              </w:rPr>
              <w:sym w:font="Symbol" w:char="F0AE"/>
            </w:r>
            <w:r>
              <w:rPr>
                <w:sz w:val="22"/>
                <w:szCs w:val="22"/>
              </w:rPr>
              <w:t xml:space="preserve"> 45,1%) </w:t>
            </w:r>
          </w:p>
        </w:tc>
        <w:tc>
          <w:tcPr>
            <w:tcW w:w="2126" w:type="dxa"/>
          </w:tcPr>
          <w:p w:rsidR="00255CC4" w:rsidRPr="005B1DB6" w:rsidRDefault="00255CC4" w:rsidP="00255CC4">
            <w:pPr>
              <w:jc w:val="left"/>
              <w:rPr>
                <w:b/>
                <w:color w:val="FF0000"/>
                <w:sz w:val="22"/>
                <w:szCs w:val="22"/>
              </w:rPr>
            </w:pPr>
            <w:r w:rsidRPr="005B1DB6">
              <w:rPr>
                <w:b/>
                <w:color w:val="FF0000"/>
                <w:sz w:val="22"/>
                <w:szCs w:val="22"/>
              </w:rPr>
              <w:sym w:font="Symbol" w:char="F0AD"/>
            </w:r>
            <w:r w:rsidRPr="005B1DB6">
              <w:rPr>
                <w:b/>
                <w:color w:val="FF0000"/>
                <w:sz w:val="22"/>
                <w:szCs w:val="22"/>
              </w:rPr>
              <w:t xml:space="preserve"> 6,9</w:t>
            </w:r>
          </w:p>
          <w:p w:rsidR="00255CC4" w:rsidRDefault="00255CC4" w:rsidP="00255CC4">
            <w:pPr>
              <w:jc w:val="left"/>
              <w:rPr>
                <w:b/>
                <w:color w:val="FF0000"/>
                <w:sz w:val="22"/>
                <w:szCs w:val="22"/>
              </w:rPr>
            </w:pPr>
            <w:r w:rsidRPr="005B1DB6">
              <w:rPr>
                <w:b/>
                <w:color w:val="FF0000"/>
                <w:sz w:val="22"/>
                <w:szCs w:val="22"/>
              </w:rPr>
              <w:sym w:font="Symbol" w:char="F0AD"/>
            </w:r>
            <w:r w:rsidRPr="005B1DB6">
              <w:rPr>
                <w:b/>
                <w:color w:val="FF0000"/>
                <w:sz w:val="22"/>
                <w:szCs w:val="22"/>
              </w:rPr>
              <w:t xml:space="preserve"> 5,4</w:t>
            </w:r>
          </w:p>
          <w:p w:rsidR="00255CC4" w:rsidRDefault="00255CC4" w:rsidP="00255CC4">
            <w:pPr>
              <w:jc w:val="left"/>
              <w:rPr>
                <w:b/>
                <w:color w:val="FF0000"/>
                <w:sz w:val="22"/>
                <w:szCs w:val="22"/>
              </w:rPr>
            </w:pPr>
            <w:r w:rsidRPr="005B1DB6">
              <w:rPr>
                <w:b/>
                <w:color w:val="FF0000"/>
                <w:sz w:val="22"/>
                <w:szCs w:val="22"/>
              </w:rPr>
              <w:sym w:font="Symbol" w:char="F0AD"/>
            </w:r>
            <w:r w:rsidRPr="005B1DB6">
              <w:rPr>
                <w:b/>
                <w:color w:val="FF0000"/>
                <w:sz w:val="22"/>
                <w:szCs w:val="22"/>
              </w:rPr>
              <w:t xml:space="preserve"> 5,7</w:t>
            </w:r>
          </w:p>
          <w:p w:rsidR="00255CC4" w:rsidRDefault="00255CC4" w:rsidP="00255CC4">
            <w:pPr>
              <w:jc w:val="left"/>
              <w:rPr>
                <w:b/>
                <w:color w:val="FF0000"/>
                <w:sz w:val="22"/>
                <w:szCs w:val="22"/>
              </w:rPr>
            </w:pPr>
            <w:r w:rsidRPr="005B1DB6">
              <w:rPr>
                <w:b/>
                <w:color w:val="FF0000"/>
                <w:sz w:val="22"/>
                <w:szCs w:val="22"/>
              </w:rPr>
              <w:sym w:font="Symbol" w:char="F0AD"/>
            </w:r>
            <w:r w:rsidRPr="005B1DB6">
              <w:rPr>
                <w:b/>
                <w:color w:val="FF0000"/>
                <w:sz w:val="22"/>
                <w:szCs w:val="22"/>
              </w:rPr>
              <w:t xml:space="preserve"> 9,6</w:t>
            </w:r>
          </w:p>
          <w:p w:rsidR="00255CC4" w:rsidRPr="005B1DB6" w:rsidRDefault="00255CC4" w:rsidP="00255CC4">
            <w:pPr>
              <w:jc w:val="left"/>
              <w:rPr>
                <w:b/>
                <w:color w:val="FF0000"/>
                <w:sz w:val="22"/>
                <w:szCs w:val="22"/>
              </w:rPr>
            </w:pPr>
            <w:r w:rsidRPr="005B1DB6">
              <w:rPr>
                <w:b/>
                <w:color w:val="FF0000"/>
                <w:sz w:val="22"/>
                <w:szCs w:val="22"/>
              </w:rPr>
              <w:sym w:font="Symbol" w:char="F0AD"/>
            </w:r>
            <w:r w:rsidRPr="005B1DB6">
              <w:rPr>
                <w:b/>
                <w:color w:val="FF0000"/>
                <w:sz w:val="22"/>
                <w:szCs w:val="22"/>
              </w:rPr>
              <w:t xml:space="preserve"> </w:t>
            </w:r>
            <w:r>
              <w:rPr>
                <w:b/>
                <w:color w:val="FF0000"/>
                <w:sz w:val="22"/>
                <w:szCs w:val="22"/>
              </w:rPr>
              <w:t>4,7</w:t>
            </w:r>
          </w:p>
        </w:tc>
      </w:tr>
      <w:tr w:rsidR="00255CC4" w:rsidRPr="005B1DB6" w:rsidTr="00BC22F8">
        <w:tc>
          <w:tcPr>
            <w:tcW w:w="7621" w:type="dxa"/>
            <w:shd w:val="clear" w:color="auto" w:fill="B8CCE4" w:themeFill="accent1" w:themeFillTint="66"/>
            <w:vAlign w:val="center"/>
          </w:tcPr>
          <w:p w:rsidR="00255CC4" w:rsidRPr="0068570F" w:rsidRDefault="00255CC4" w:rsidP="00BC22F8">
            <w:pPr>
              <w:spacing w:before="120" w:after="120"/>
              <w:rPr>
                <w:sz w:val="22"/>
                <w:szCs w:val="22"/>
              </w:rPr>
            </w:pPr>
            <w:r w:rsidRPr="005B1DB6">
              <w:rPr>
                <w:b/>
                <w:sz w:val="22"/>
                <w:szCs w:val="22"/>
              </w:rPr>
              <w:t>Risks saglabājas ar nelielu samazinājumu</w:t>
            </w:r>
            <w:r>
              <w:rPr>
                <w:b/>
                <w:sz w:val="22"/>
                <w:szCs w:val="22"/>
              </w:rPr>
              <w:t xml:space="preserve"> </w:t>
            </w:r>
            <w:r>
              <w:rPr>
                <w:sz w:val="22"/>
                <w:szCs w:val="22"/>
              </w:rPr>
              <w:t>(līdz 2%)</w:t>
            </w:r>
          </w:p>
        </w:tc>
        <w:tc>
          <w:tcPr>
            <w:tcW w:w="2126" w:type="dxa"/>
            <w:shd w:val="clear" w:color="auto" w:fill="B8CCE4" w:themeFill="accent1" w:themeFillTint="66"/>
            <w:vAlign w:val="center"/>
          </w:tcPr>
          <w:p w:rsidR="00255CC4" w:rsidRPr="005B1DB6" w:rsidRDefault="00255CC4" w:rsidP="00BC22F8">
            <w:pPr>
              <w:spacing w:before="120" w:after="120"/>
              <w:jc w:val="left"/>
              <w:rPr>
                <w:b/>
                <w:sz w:val="22"/>
                <w:szCs w:val="22"/>
              </w:rPr>
            </w:pPr>
          </w:p>
        </w:tc>
      </w:tr>
      <w:tr w:rsidR="00255CC4" w:rsidRPr="005B1DB6" w:rsidTr="00255CC4">
        <w:tc>
          <w:tcPr>
            <w:tcW w:w="7621" w:type="dxa"/>
            <w:vAlign w:val="center"/>
          </w:tcPr>
          <w:p w:rsidR="00255CC4" w:rsidRDefault="00255CC4" w:rsidP="003F469F">
            <w:pPr>
              <w:pStyle w:val="ListParagraph"/>
              <w:numPr>
                <w:ilvl w:val="0"/>
                <w:numId w:val="164"/>
              </w:numPr>
              <w:spacing w:line="276" w:lineRule="auto"/>
              <w:jc w:val="both"/>
              <w:rPr>
                <w:sz w:val="22"/>
                <w:szCs w:val="22"/>
              </w:rPr>
            </w:pPr>
            <w:r>
              <w:rPr>
                <w:sz w:val="22"/>
                <w:szCs w:val="22"/>
              </w:rPr>
              <w:t xml:space="preserve">Ģimenes ar vienu bērnu (15,1% </w:t>
            </w:r>
            <w:r>
              <w:rPr>
                <w:sz w:val="22"/>
                <w:szCs w:val="22"/>
              </w:rPr>
              <w:sym w:font="Symbol" w:char="F0AE"/>
            </w:r>
            <w:r>
              <w:rPr>
                <w:sz w:val="22"/>
                <w:szCs w:val="22"/>
              </w:rPr>
              <w:t xml:space="preserve"> 13,4%)</w:t>
            </w:r>
          </w:p>
          <w:p w:rsidR="00255CC4" w:rsidRDefault="00255CC4" w:rsidP="003F469F">
            <w:pPr>
              <w:pStyle w:val="ListParagraph"/>
              <w:numPr>
                <w:ilvl w:val="0"/>
                <w:numId w:val="164"/>
              </w:numPr>
              <w:spacing w:line="276" w:lineRule="auto"/>
              <w:jc w:val="both"/>
              <w:rPr>
                <w:sz w:val="22"/>
                <w:szCs w:val="22"/>
              </w:rPr>
            </w:pPr>
            <w:r>
              <w:rPr>
                <w:sz w:val="22"/>
                <w:szCs w:val="22"/>
              </w:rPr>
              <w:t xml:space="preserve">Ģimenes ar diviem bērniem (15,9% </w:t>
            </w:r>
            <w:r>
              <w:rPr>
                <w:sz w:val="22"/>
                <w:szCs w:val="22"/>
              </w:rPr>
              <w:sym w:font="Symbol" w:char="F0AE"/>
            </w:r>
            <w:r>
              <w:rPr>
                <w:sz w:val="22"/>
                <w:szCs w:val="22"/>
              </w:rPr>
              <w:t xml:space="preserve"> 14,4%)</w:t>
            </w:r>
          </w:p>
          <w:p w:rsidR="00255CC4" w:rsidRDefault="00255CC4" w:rsidP="003F469F">
            <w:pPr>
              <w:pStyle w:val="ListParagraph"/>
              <w:numPr>
                <w:ilvl w:val="0"/>
                <w:numId w:val="164"/>
              </w:numPr>
              <w:spacing w:line="276" w:lineRule="auto"/>
              <w:jc w:val="both"/>
              <w:rPr>
                <w:sz w:val="22"/>
                <w:szCs w:val="22"/>
              </w:rPr>
            </w:pPr>
            <w:r>
              <w:rPr>
                <w:sz w:val="22"/>
                <w:szCs w:val="22"/>
              </w:rPr>
              <w:t xml:space="preserve">Strādājošie iedzīvotāji (16 līdz 64 gadi) (9,4% </w:t>
            </w:r>
            <w:r>
              <w:rPr>
                <w:sz w:val="22"/>
                <w:szCs w:val="22"/>
              </w:rPr>
              <w:sym w:font="Symbol" w:char="F0AE"/>
            </w:r>
            <w:r>
              <w:rPr>
                <w:sz w:val="22"/>
                <w:szCs w:val="22"/>
              </w:rPr>
              <w:t xml:space="preserve"> 9,0%)</w:t>
            </w:r>
          </w:p>
          <w:p w:rsidR="00255CC4" w:rsidRDefault="00255CC4" w:rsidP="003F469F">
            <w:pPr>
              <w:pStyle w:val="ListParagraph"/>
              <w:numPr>
                <w:ilvl w:val="0"/>
                <w:numId w:val="164"/>
              </w:numPr>
              <w:spacing w:line="276" w:lineRule="auto"/>
              <w:jc w:val="both"/>
              <w:rPr>
                <w:sz w:val="22"/>
                <w:szCs w:val="22"/>
              </w:rPr>
            </w:pPr>
            <w:r>
              <w:rPr>
                <w:sz w:val="22"/>
                <w:szCs w:val="22"/>
              </w:rPr>
              <w:t xml:space="preserve">Iedzīvotāji ar augstāko izglītību (6,8% </w:t>
            </w:r>
            <w:r>
              <w:rPr>
                <w:sz w:val="22"/>
                <w:szCs w:val="22"/>
              </w:rPr>
              <w:sym w:font="Symbol" w:char="F0AE"/>
            </w:r>
            <w:r>
              <w:rPr>
                <w:sz w:val="22"/>
                <w:szCs w:val="22"/>
              </w:rPr>
              <w:t xml:space="preserve"> 5,0%)</w:t>
            </w:r>
          </w:p>
          <w:p w:rsidR="00255CC4" w:rsidRPr="005B1DB6" w:rsidRDefault="00255CC4" w:rsidP="003F469F">
            <w:pPr>
              <w:pStyle w:val="ListParagraph"/>
              <w:numPr>
                <w:ilvl w:val="0"/>
                <w:numId w:val="164"/>
              </w:numPr>
              <w:spacing w:line="276" w:lineRule="auto"/>
              <w:jc w:val="both"/>
              <w:rPr>
                <w:sz w:val="22"/>
                <w:szCs w:val="22"/>
              </w:rPr>
            </w:pPr>
            <w:r>
              <w:rPr>
                <w:sz w:val="22"/>
                <w:szCs w:val="22"/>
              </w:rPr>
              <w:t xml:space="preserve">Nestrādājošie iedzīvotāji (16 līdz 64 gadi) (38,1% </w:t>
            </w:r>
            <w:r>
              <w:rPr>
                <w:sz w:val="22"/>
                <w:szCs w:val="22"/>
              </w:rPr>
              <w:sym w:font="Symbol" w:char="F0AE"/>
            </w:r>
            <w:r>
              <w:rPr>
                <w:sz w:val="22"/>
                <w:szCs w:val="22"/>
              </w:rPr>
              <w:t xml:space="preserve"> 37,5%)</w:t>
            </w:r>
          </w:p>
        </w:tc>
        <w:tc>
          <w:tcPr>
            <w:tcW w:w="2126" w:type="dxa"/>
          </w:tcPr>
          <w:p w:rsidR="00255CC4" w:rsidRDefault="00255CC4" w:rsidP="00255CC4">
            <w:pPr>
              <w:jc w:val="left"/>
              <w:rPr>
                <w:sz w:val="22"/>
                <w:szCs w:val="22"/>
              </w:rPr>
            </w:pPr>
            <w:r>
              <w:rPr>
                <w:sz w:val="22"/>
                <w:szCs w:val="22"/>
              </w:rPr>
              <w:sym w:font="Symbol" w:char="F0AF"/>
            </w:r>
            <w:r>
              <w:rPr>
                <w:sz w:val="22"/>
                <w:szCs w:val="22"/>
              </w:rPr>
              <w:t xml:space="preserve"> 1,7</w:t>
            </w:r>
          </w:p>
          <w:p w:rsidR="00255CC4" w:rsidRDefault="00255CC4" w:rsidP="00255CC4">
            <w:pPr>
              <w:jc w:val="left"/>
              <w:rPr>
                <w:sz w:val="22"/>
                <w:szCs w:val="22"/>
              </w:rPr>
            </w:pPr>
            <w:r>
              <w:rPr>
                <w:sz w:val="22"/>
                <w:szCs w:val="22"/>
              </w:rPr>
              <w:sym w:font="Symbol" w:char="F0AF"/>
            </w:r>
            <w:r>
              <w:rPr>
                <w:sz w:val="22"/>
                <w:szCs w:val="22"/>
              </w:rPr>
              <w:t xml:space="preserve"> 1,5</w:t>
            </w:r>
          </w:p>
          <w:p w:rsidR="00255CC4" w:rsidRDefault="00255CC4" w:rsidP="00255CC4">
            <w:pPr>
              <w:jc w:val="left"/>
              <w:rPr>
                <w:sz w:val="22"/>
                <w:szCs w:val="22"/>
              </w:rPr>
            </w:pPr>
            <w:r>
              <w:rPr>
                <w:sz w:val="22"/>
                <w:szCs w:val="22"/>
              </w:rPr>
              <w:sym w:font="Symbol" w:char="F0AF"/>
            </w:r>
            <w:r>
              <w:rPr>
                <w:sz w:val="22"/>
                <w:szCs w:val="22"/>
              </w:rPr>
              <w:t xml:space="preserve"> 0,4</w:t>
            </w:r>
          </w:p>
          <w:p w:rsidR="00255CC4" w:rsidRDefault="00255CC4" w:rsidP="00255CC4">
            <w:pPr>
              <w:jc w:val="left"/>
              <w:rPr>
                <w:sz w:val="22"/>
                <w:szCs w:val="22"/>
              </w:rPr>
            </w:pPr>
            <w:r>
              <w:rPr>
                <w:sz w:val="22"/>
                <w:szCs w:val="22"/>
              </w:rPr>
              <w:sym w:font="Symbol" w:char="F0AF"/>
            </w:r>
            <w:r>
              <w:rPr>
                <w:sz w:val="22"/>
                <w:szCs w:val="22"/>
              </w:rPr>
              <w:t xml:space="preserve"> 1,8</w:t>
            </w:r>
          </w:p>
          <w:p w:rsidR="00255CC4" w:rsidRPr="005B1DB6" w:rsidRDefault="00255CC4" w:rsidP="00255CC4">
            <w:pPr>
              <w:jc w:val="left"/>
              <w:rPr>
                <w:sz w:val="22"/>
                <w:szCs w:val="22"/>
              </w:rPr>
            </w:pPr>
            <w:r>
              <w:rPr>
                <w:sz w:val="22"/>
                <w:szCs w:val="22"/>
              </w:rPr>
              <w:sym w:font="Symbol" w:char="F0AF"/>
            </w:r>
            <w:r>
              <w:rPr>
                <w:sz w:val="22"/>
                <w:szCs w:val="22"/>
              </w:rPr>
              <w:t xml:space="preserve"> 0,6</w:t>
            </w:r>
          </w:p>
        </w:tc>
      </w:tr>
      <w:tr w:rsidR="00255CC4" w:rsidRPr="005B1DB6" w:rsidTr="00BC22F8">
        <w:tc>
          <w:tcPr>
            <w:tcW w:w="7621" w:type="dxa"/>
            <w:shd w:val="clear" w:color="auto" w:fill="B8CCE4" w:themeFill="accent1" w:themeFillTint="66"/>
            <w:vAlign w:val="center"/>
          </w:tcPr>
          <w:p w:rsidR="00255CC4" w:rsidRPr="0068570F" w:rsidRDefault="00255CC4" w:rsidP="00BC22F8">
            <w:pPr>
              <w:spacing w:before="120" w:after="120"/>
              <w:rPr>
                <w:sz w:val="22"/>
                <w:szCs w:val="22"/>
              </w:rPr>
            </w:pPr>
            <w:r w:rsidRPr="005B1DB6">
              <w:rPr>
                <w:b/>
                <w:sz w:val="22"/>
                <w:szCs w:val="22"/>
              </w:rPr>
              <w:t>Risks samazinājies</w:t>
            </w:r>
            <w:r>
              <w:rPr>
                <w:b/>
                <w:sz w:val="22"/>
                <w:szCs w:val="22"/>
              </w:rPr>
              <w:t xml:space="preserve"> </w:t>
            </w:r>
            <w:r>
              <w:rPr>
                <w:sz w:val="22"/>
                <w:szCs w:val="22"/>
              </w:rPr>
              <w:t>(vairāk kā par 2%)</w:t>
            </w:r>
          </w:p>
        </w:tc>
        <w:tc>
          <w:tcPr>
            <w:tcW w:w="2126" w:type="dxa"/>
            <w:shd w:val="clear" w:color="auto" w:fill="B8CCE4" w:themeFill="accent1" w:themeFillTint="66"/>
            <w:vAlign w:val="center"/>
          </w:tcPr>
          <w:p w:rsidR="00255CC4" w:rsidRPr="005B1DB6" w:rsidRDefault="00255CC4" w:rsidP="00BC22F8">
            <w:pPr>
              <w:spacing w:before="120" w:after="120"/>
              <w:jc w:val="left"/>
              <w:rPr>
                <w:b/>
                <w:sz w:val="22"/>
                <w:szCs w:val="22"/>
              </w:rPr>
            </w:pPr>
          </w:p>
        </w:tc>
      </w:tr>
      <w:tr w:rsidR="00255CC4" w:rsidRPr="005B1DB6" w:rsidTr="00255CC4">
        <w:tc>
          <w:tcPr>
            <w:tcW w:w="7621" w:type="dxa"/>
            <w:vAlign w:val="center"/>
          </w:tcPr>
          <w:p w:rsidR="00255CC4" w:rsidRDefault="00255CC4" w:rsidP="003F469F">
            <w:pPr>
              <w:pStyle w:val="ListParagraph"/>
              <w:numPr>
                <w:ilvl w:val="0"/>
                <w:numId w:val="165"/>
              </w:numPr>
              <w:spacing w:line="276" w:lineRule="auto"/>
              <w:jc w:val="both"/>
              <w:rPr>
                <w:sz w:val="22"/>
                <w:szCs w:val="22"/>
              </w:rPr>
            </w:pPr>
            <w:r>
              <w:rPr>
                <w:sz w:val="22"/>
                <w:szCs w:val="22"/>
              </w:rPr>
              <w:t xml:space="preserve">Ģimenes ar bērniem (19,5% </w:t>
            </w:r>
            <w:r>
              <w:rPr>
                <w:sz w:val="22"/>
                <w:szCs w:val="22"/>
              </w:rPr>
              <w:sym w:font="Symbol" w:char="F0AE"/>
            </w:r>
            <w:r>
              <w:rPr>
                <w:sz w:val="22"/>
                <w:szCs w:val="22"/>
              </w:rPr>
              <w:t xml:space="preserve"> 16,3%)</w:t>
            </w:r>
          </w:p>
          <w:p w:rsidR="00255CC4" w:rsidRDefault="00255CC4" w:rsidP="003F469F">
            <w:pPr>
              <w:pStyle w:val="ListParagraph"/>
              <w:numPr>
                <w:ilvl w:val="0"/>
                <w:numId w:val="165"/>
              </w:numPr>
              <w:spacing w:line="276" w:lineRule="auto"/>
              <w:jc w:val="both"/>
              <w:rPr>
                <w:sz w:val="22"/>
                <w:szCs w:val="22"/>
              </w:rPr>
            </w:pPr>
            <w:r>
              <w:rPr>
                <w:sz w:val="22"/>
                <w:szCs w:val="22"/>
              </w:rPr>
              <w:t xml:space="preserve">Viena </w:t>
            </w:r>
            <w:r w:rsidR="00BA1727">
              <w:t xml:space="preserve">vecāka mājsaimniecības </w:t>
            </w:r>
            <w:r>
              <w:rPr>
                <w:sz w:val="22"/>
                <w:szCs w:val="22"/>
              </w:rPr>
              <w:t xml:space="preserve">(37% </w:t>
            </w:r>
            <w:r>
              <w:rPr>
                <w:sz w:val="22"/>
                <w:szCs w:val="22"/>
              </w:rPr>
              <w:sym w:font="Symbol" w:char="F0AE"/>
            </w:r>
            <w:r>
              <w:rPr>
                <w:sz w:val="22"/>
                <w:szCs w:val="22"/>
              </w:rPr>
              <w:t xml:space="preserve"> 34,3%)</w:t>
            </w:r>
          </w:p>
          <w:p w:rsidR="00255CC4" w:rsidRDefault="00255CC4" w:rsidP="003F469F">
            <w:pPr>
              <w:pStyle w:val="ListParagraph"/>
              <w:numPr>
                <w:ilvl w:val="0"/>
                <w:numId w:val="165"/>
              </w:numPr>
              <w:spacing w:line="276" w:lineRule="auto"/>
              <w:jc w:val="both"/>
              <w:rPr>
                <w:sz w:val="22"/>
                <w:szCs w:val="22"/>
              </w:rPr>
            </w:pPr>
            <w:r>
              <w:rPr>
                <w:sz w:val="22"/>
                <w:szCs w:val="22"/>
              </w:rPr>
              <w:t xml:space="preserve">Ģimenes ar trīs un vairāk bērniem (34,5% </w:t>
            </w:r>
            <w:r>
              <w:rPr>
                <w:sz w:val="22"/>
                <w:szCs w:val="22"/>
              </w:rPr>
              <w:sym w:font="Symbol" w:char="F0AE"/>
            </w:r>
            <w:r>
              <w:rPr>
                <w:sz w:val="22"/>
                <w:szCs w:val="22"/>
              </w:rPr>
              <w:t xml:space="preserve"> 19,8%)</w:t>
            </w:r>
          </w:p>
          <w:p w:rsidR="00255CC4" w:rsidRDefault="00255CC4" w:rsidP="003F469F">
            <w:pPr>
              <w:pStyle w:val="ListParagraph"/>
              <w:numPr>
                <w:ilvl w:val="0"/>
                <w:numId w:val="165"/>
              </w:numPr>
              <w:spacing w:line="276" w:lineRule="auto"/>
              <w:jc w:val="both"/>
              <w:rPr>
                <w:sz w:val="22"/>
                <w:szCs w:val="22"/>
              </w:rPr>
            </w:pPr>
            <w:r>
              <w:rPr>
                <w:sz w:val="22"/>
                <w:szCs w:val="22"/>
              </w:rPr>
              <w:t xml:space="preserve">Iedzīvotāji ar pamata izglītību (34,4% </w:t>
            </w:r>
            <w:r>
              <w:rPr>
                <w:sz w:val="22"/>
                <w:szCs w:val="22"/>
              </w:rPr>
              <w:sym w:font="Symbol" w:char="F0AE"/>
            </w:r>
            <w:r>
              <w:rPr>
                <w:sz w:val="22"/>
                <w:szCs w:val="22"/>
              </w:rPr>
              <w:t xml:space="preserve"> 28,9%)</w:t>
            </w:r>
          </w:p>
          <w:p w:rsidR="00255CC4" w:rsidRDefault="00255CC4" w:rsidP="003F469F">
            <w:pPr>
              <w:pStyle w:val="ListParagraph"/>
              <w:numPr>
                <w:ilvl w:val="0"/>
                <w:numId w:val="165"/>
              </w:numPr>
              <w:spacing w:line="276" w:lineRule="auto"/>
              <w:jc w:val="both"/>
              <w:rPr>
                <w:sz w:val="22"/>
                <w:szCs w:val="22"/>
              </w:rPr>
            </w:pPr>
            <w:r>
              <w:rPr>
                <w:sz w:val="22"/>
                <w:szCs w:val="22"/>
              </w:rPr>
              <w:t xml:space="preserve">Bezdarbnieces sievietes (57,9% </w:t>
            </w:r>
            <w:r>
              <w:rPr>
                <w:sz w:val="22"/>
                <w:szCs w:val="22"/>
              </w:rPr>
              <w:sym w:font="Symbol" w:char="F0AE"/>
            </w:r>
            <w:r>
              <w:rPr>
                <w:sz w:val="22"/>
                <w:szCs w:val="22"/>
              </w:rPr>
              <w:t xml:space="preserve"> 48,5%)</w:t>
            </w:r>
          </w:p>
          <w:p w:rsidR="00255CC4" w:rsidRPr="0068570F" w:rsidRDefault="00255CC4" w:rsidP="003F469F">
            <w:pPr>
              <w:pStyle w:val="ListParagraph"/>
              <w:numPr>
                <w:ilvl w:val="0"/>
                <w:numId w:val="165"/>
              </w:numPr>
              <w:spacing w:line="276" w:lineRule="auto"/>
              <w:jc w:val="both"/>
              <w:rPr>
                <w:sz w:val="22"/>
                <w:szCs w:val="22"/>
              </w:rPr>
            </w:pPr>
            <w:r>
              <w:rPr>
                <w:sz w:val="22"/>
                <w:szCs w:val="22"/>
              </w:rPr>
              <w:t xml:space="preserve">Latgales reģiona iedzīvotāji (40,4% </w:t>
            </w:r>
            <w:r>
              <w:rPr>
                <w:sz w:val="22"/>
                <w:szCs w:val="22"/>
              </w:rPr>
              <w:sym w:font="Symbol" w:char="F0AE"/>
            </w:r>
            <w:r>
              <w:rPr>
                <w:sz w:val="22"/>
                <w:szCs w:val="22"/>
              </w:rPr>
              <w:t xml:space="preserve"> 37,7%)</w:t>
            </w:r>
          </w:p>
        </w:tc>
        <w:tc>
          <w:tcPr>
            <w:tcW w:w="2126" w:type="dxa"/>
          </w:tcPr>
          <w:p w:rsidR="00255CC4" w:rsidRPr="0068570F" w:rsidRDefault="00255CC4" w:rsidP="00255CC4">
            <w:pPr>
              <w:jc w:val="left"/>
              <w:rPr>
                <w:b/>
                <w:color w:val="00B050"/>
                <w:sz w:val="22"/>
                <w:szCs w:val="22"/>
              </w:rPr>
            </w:pPr>
            <w:r w:rsidRPr="0068570F">
              <w:rPr>
                <w:b/>
                <w:color w:val="00B050"/>
                <w:sz w:val="22"/>
                <w:szCs w:val="22"/>
              </w:rPr>
              <w:sym w:font="Symbol" w:char="F0AF"/>
            </w:r>
            <w:r w:rsidRPr="0068570F">
              <w:rPr>
                <w:b/>
                <w:color w:val="00B050"/>
                <w:sz w:val="22"/>
                <w:szCs w:val="22"/>
              </w:rPr>
              <w:t xml:space="preserve"> 3,2</w:t>
            </w:r>
          </w:p>
          <w:p w:rsidR="00255CC4" w:rsidRPr="0068570F" w:rsidRDefault="00255CC4" w:rsidP="00255CC4">
            <w:pPr>
              <w:jc w:val="left"/>
              <w:rPr>
                <w:b/>
                <w:color w:val="00B050"/>
                <w:sz w:val="22"/>
                <w:szCs w:val="22"/>
              </w:rPr>
            </w:pPr>
            <w:r w:rsidRPr="0068570F">
              <w:rPr>
                <w:b/>
                <w:color w:val="00B050"/>
                <w:sz w:val="22"/>
                <w:szCs w:val="22"/>
              </w:rPr>
              <w:sym w:font="Symbol" w:char="F0AF"/>
            </w:r>
            <w:r w:rsidRPr="0068570F">
              <w:rPr>
                <w:b/>
                <w:color w:val="00B050"/>
                <w:sz w:val="22"/>
                <w:szCs w:val="22"/>
              </w:rPr>
              <w:t xml:space="preserve"> 2,7</w:t>
            </w:r>
          </w:p>
          <w:p w:rsidR="00255CC4" w:rsidRPr="0068570F" w:rsidRDefault="00255CC4" w:rsidP="00255CC4">
            <w:pPr>
              <w:jc w:val="left"/>
              <w:rPr>
                <w:b/>
                <w:color w:val="00B050"/>
                <w:sz w:val="22"/>
                <w:szCs w:val="22"/>
              </w:rPr>
            </w:pPr>
            <w:r w:rsidRPr="0068570F">
              <w:rPr>
                <w:b/>
                <w:color w:val="00B050"/>
                <w:sz w:val="22"/>
                <w:szCs w:val="22"/>
              </w:rPr>
              <w:sym w:font="Symbol" w:char="F0AF"/>
            </w:r>
            <w:r w:rsidRPr="0068570F">
              <w:rPr>
                <w:b/>
                <w:color w:val="00B050"/>
                <w:sz w:val="22"/>
                <w:szCs w:val="22"/>
              </w:rPr>
              <w:t xml:space="preserve"> 14,7</w:t>
            </w:r>
          </w:p>
          <w:p w:rsidR="00255CC4" w:rsidRPr="0068570F" w:rsidRDefault="00255CC4" w:rsidP="00255CC4">
            <w:pPr>
              <w:jc w:val="left"/>
              <w:rPr>
                <w:b/>
                <w:color w:val="00B050"/>
                <w:sz w:val="22"/>
                <w:szCs w:val="22"/>
              </w:rPr>
            </w:pPr>
            <w:r w:rsidRPr="0068570F">
              <w:rPr>
                <w:b/>
                <w:color w:val="00B050"/>
                <w:sz w:val="22"/>
                <w:szCs w:val="22"/>
              </w:rPr>
              <w:sym w:font="Symbol" w:char="F0AF"/>
            </w:r>
            <w:r w:rsidRPr="0068570F">
              <w:rPr>
                <w:b/>
                <w:color w:val="00B050"/>
                <w:sz w:val="22"/>
                <w:szCs w:val="22"/>
              </w:rPr>
              <w:t xml:space="preserve"> 5,5</w:t>
            </w:r>
          </w:p>
          <w:p w:rsidR="00255CC4" w:rsidRPr="0068570F" w:rsidRDefault="00255CC4" w:rsidP="00255CC4">
            <w:pPr>
              <w:jc w:val="left"/>
              <w:rPr>
                <w:b/>
                <w:color w:val="00B050"/>
                <w:sz w:val="22"/>
                <w:szCs w:val="22"/>
              </w:rPr>
            </w:pPr>
            <w:r w:rsidRPr="0068570F">
              <w:rPr>
                <w:b/>
                <w:color w:val="00B050"/>
                <w:sz w:val="22"/>
                <w:szCs w:val="22"/>
              </w:rPr>
              <w:sym w:font="Symbol" w:char="F0AF"/>
            </w:r>
            <w:r w:rsidRPr="0068570F">
              <w:rPr>
                <w:b/>
                <w:color w:val="00B050"/>
                <w:sz w:val="22"/>
                <w:szCs w:val="22"/>
              </w:rPr>
              <w:t xml:space="preserve"> 9,4</w:t>
            </w:r>
          </w:p>
          <w:p w:rsidR="00255CC4" w:rsidRPr="0068570F" w:rsidRDefault="00255CC4" w:rsidP="00255CC4">
            <w:pPr>
              <w:jc w:val="left"/>
              <w:rPr>
                <w:b/>
                <w:color w:val="00B050"/>
                <w:sz w:val="22"/>
                <w:szCs w:val="22"/>
              </w:rPr>
            </w:pPr>
            <w:r w:rsidRPr="0068570F">
              <w:rPr>
                <w:b/>
                <w:color w:val="00B050"/>
                <w:sz w:val="22"/>
                <w:szCs w:val="22"/>
              </w:rPr>
              <w:sym w:font="Symbol" w:char="F0AF"/>
            </w:r>
            <w:r w:rsidRPr="0068570F">
              <w:rPr>
                <w:b/>
                <w:color w:val="00B050"/>
                <w:sz w:val="22"/>
                <w:szCs w:val="22"/>
              </w:rPr>
              <w:t xml:space="preserve"> 2,7</w:t>
            </w:r>
          </w:p>
        </w:tc>
      </w:tr>
    </w:tbl>
    <w:p w:rsidR="008C60A0" w:rsidRDefault="008C60A0" w:rsidP="008C60A0">
      <w:pPr>
        <w:pStyle w:val="Heading3"/>
        <w:numPr>
          <w:ilvl w:val="0"/>
          <w:numId w:val="0"/>
        </w:numPr>
        <w:ind w:left="720"/>
      </w:pPr>
      <w:bookmarkStart w:id="246" w:name="_Toc6841544"/>
      <w:bookmarkStart w:id="247" w:name="_Toc2949221"/>
    </w:p>
    <w:p w:rsidR="008C60A0" w:rsidRDefault="008C60A0">
      <w:pPr>
        <w:spacing w:line="240" w:lineRule="auto"/>
        <w:jc w:val="left"/>
        <w:rPr>
          <w:rFonts w:asciiTheme="majorHAnsi" w:eastAsiaTheme="majorEastAsia" w:hAnsiTheme="majorHAnsi" w:cstheme="majorBidi"/>
          <w:b/>
          <w:bCs/>
          <w:i/>
          <w:color w:val="0F243E" w:themeColor="text2" w:themeShade="80"/>
        </w:rPr>
      </w:pPr>
      <w:r>
        <w:br w:type="page"/>
      </w:r>
    </w:p>
    <w:p w:rsidR="00255CC4" w:rsidRDefault="00255CC4" w:rsidP="00960397">
      <w:pPr>
        <w:pStyle w:val="Heading3"/>
      </w:pPr>
      <w:r w:rsidRPr="00960397">
        <w:lastRenderedPageBreak/>
        <w:t>Pašvaldību administratīvo datu analīze</w:t>
      </w:r>
      <w:bookmarkEnd w:id="246"/>
    </w:p>
    <w:p w:rsidR="00255CC4" w:rsidRDefault="00255CC4" w:rsidP="00C33A64">
      <w:pPr>
        <w:pStyle w:val="virsrakstslvl4"/>
      </w:pPr>
      <w:bookmarkStart w:id="248" w:name="_Toc6841545"/>
      <w:r>
        <w:t>Iedzīvotāji ar trūcīgas ģimenes (personas) statusu</w:t>
      </w:r>
      <w:bookmarkEnd w:id="248"/>
      <w:r>
        <w:t xml:space="preserve">  </w:t>
      </w:r>
    </w:p>
    <w:p w:rsidR="00255CC4" w:rsidRDefault="00255CC4" w:rsidP="00255CC4">
      <w:r w:rsidRPr="007B6979">
        <w:t xml:space="preserve">Trūcīgās personas statuss </w:t>
      </w:r>
      <w:r>
        <w:t xml:space="preserve">2014. gadā tika piešķirts kopumā 104 569 personām 45 594 ģimenēs, kas </w:t>
      </w:r>
      <w:r w:rsidR="00DF77B3">
        <w:t>bija</w:t>
      </w:r>
      <w:r>
        <w:t xml:space="preserve"> 5,2% no kopējā iedzīvotāju skaita valstī, </w:t>
      </w:r>
      <w:r w:rsidR="00DF77B3">
        <w:t>2015</w:t>
      </w:r>
      <w:r>
        <w:t>.</w:t>
      </w:r>
      <w:r w:rsidR="00DF77B3">
        <w:t xml:space="preserve"> </w:t>
      </w:r>
      <w:r>
        <w:t xml:space="preserve">gadā šāds statuss bija 81 887 personām 39 001 ģimenē, kas ir 4,1% no visiem iedzīvotājiem, un 2016. gadā tās jau bija 68 816 personas 34 639 ģimenēs, kas veidoja 3,5% no iedzīvotāju kopuma. Šie dati, salīdzinot tos ar iepriekšējā Izvērtējumā konstatētajām tendencēm, liecina, ka </w:t>
      </w:r>
      <w:r w:rsidRPr="00363561">
        <w:t>turpina samazināties trūcīgo personu statusu ieguvušo iedzīvotāju absolūtais skaits un īpatsvars valstī</w:t>
      </w:r>
      <w:r>
        <w:t xml:space="preserve">. Pakāpeniski samazinās arī trūcīgo personu vidējais skaits ģimenē no 2,2 personām 2014. gadā līdz 2 personām 2016. gadā. </w:t>
      </w:r>
    </w:p>
    <w:p w:rsidR="00255CC4" w:rsidRPr="00EA0927" w:rsidRDefault="00AD3EDD" w:rsidP="008C6B83">
      <w:pPr>
        <w:pStyle w:val="Caption"/>
      </w:pPr>
      <w:r>
        <w:fldChar w:fldCharType="begin"/>
      </w:r>
      <w:r w:rsidR="000F1524">
        <w:instrText xml:space="preserve"> STYLEREF 1 \s </w:instrText>
      </w:r>
      <w:r>
        <w:fldChar w:fldCharType="separate"/>
      </w:r>
      <w:bookmarkStart w:id="249" w:name="_Toc6857661"/>
      <w:r w:rsidR="00224B50">
        <w:rPr>
          <w:noProof/>
        </w:rPr>
        <w:t>1</w:t>
      </w:r>
      <w:r>
        <w:rPr>
          <w:noProof/>
        </w:rPr>
        <w:fldChar w:fldCharType="end"/>
      </w:r>
      <w:r w:rsidR="00A46B54">
        <w:t>.</w:t>
      </w:r>
      <w:r w:rsidR="00E21C32">
        <w:t>2</w:t>
      </w:r>
      <w:r w:rsidR="00446171">
        <w:t>5</w:t>
      </w:r>
      <w:r w:rsidR="00255CC4">
        <w:t>. tabula. Trūcīgu personu/ ģimeņu ienākumu līmeņa, nabadzības riska sliekšņa un minimālā ienākuma līmeņa rādītāju salīdzinājums 2014-2016 (EUR, mēnesī)</w:t>
      </w:r>
      <w:bookmarkEnd w:id="249"/>
    </w:p>
    <w:tbl>
      <w:tblPr>
        <w:tblStyle w:val="TableGrid"/>
        <w:tblW w:w="0" w:type="auto"/>
        <w:tblLook w:val="04A0"/>
      </w:tblPr>
      <w:tblGrid>
        <w:gridCol w:w="6204"/>
        <w:gridCol w:w="1275"/>
        <w:gridCol w:w="1276"/>
        <w:gridCol w:w="1207"/>
      </w:tblGrid>
      <w:tr w:rsidR="00255CC4" w:rsidRPr="00400CBE" w:rsidTr="00BC22F8">
        <w:tc>
          <w:tcPr>
            <w:tcW w:w="6204" w:type="dxa"/>
            <w:shd w:val="clear" w:color="auto" w:fill="B8CCE4" w:themeFill="accent1" w:themeFillTint="66"/>
          </w:tcPr>
          <w:p w:rsidR="00255CC4" w:rsidRPr="00CA6BC9" w:rsidRDefault="00255CC4" w:rsidP="00255CC4">
            <w:pPr>
              <w:pStyle w:val="virsrakstslvl4"/>
              <w:jc w:val="center"/>
              <w:rPr>
                <w:rFonts w:ascii="Times New Roman" w:hAnsi="Times New Roman" w:cs="Times New Roman"/>
                <w:i w:val="0"/>
                <w:sz w:val="22"/>
                <w:szCs w:val="22"/>
              </w:rPr>
            </w:pPr>
            <w:r w:rsidRPr="00CA6BC9">
              <w:rPr>
                <w:rFonts w:ascii="Times New Roman" w:hAnsi="Times New Roman" w:cs="Times New Roman"/>
                <w:i w:val="0"/>
                <w:sz w:val="22"/>
                <w:szCs w:val="22"/>
              </w:rPr>
              <w:t>Rādītājs, EUR mēnesī</w:t>
            </w:r>
          </w:p>
        </w:tc>
        <w:tc>
          <w:tcPr>
            <w:tcW w:w="1275" w:type="dxa"/>
            <w:shd w:val="clear" w:color="auto" w:fill="B8CCE4" w:themeFill="accent1" w:themeFillTint="66"/>
          </w:tcPr>
          <w:p w:rsidR="00255CC4" w:rsidRPr="00CA6BC9" w:rsidRDefault="00255CC4" w:rsidP="00255CC4">
            <w:pPr>
              <w:pStyle w:val="virsrakstslvl4"/>
              <w:jc w:val="center"/>
              <w:rPr>
                <w:rFonts w:ascii="Times New Roman" w:hAnsi="Times New Roman" w:cs="Times New Roman"/>
                <w:i w:val="0"/>
                <w:sz w:val="22"/>
                <w:szCs w:val="22"/>
              </w:rPr>
            </w:pPr>
            <w:r w:rsidRPr="00CA6BC9">
              <w:rPr>
                <w:rFonts w:ascii="Times New Roman" w:hAnsi="Times New Roman" w:cs="Times New Roman"/>
                <w:i w:val="0"/>
                <w:sz w:val="22"/>
                <w:szCs w:val="22"/>
              </w:rPr>
              <w:t>2014</w:t>
            </w:r>
          </w:p>
        </w:tc>
        <w:tc>
          <w:tcPr>
            <w:tcW w:w="1276" w:type="dxa"/>
            <w:shd w:val="clear" w:color="auto" w:fill="B8CCE4" w:themeFill="accent1" w:themeFillTint="66"/>
          </w:tcPr>
          <w:p w:rsidR="00255CC4" w:rsidRPr="00CA6BC9" w:rsidRDefault="00255CC4" w:rsidP="00255CC4">
            <w:pPr>
              <w:pStyle w:val="virsrakstslvl4"/>
              <w:jc w:val="center"/>
              <w:rPr>
                <w:rFonts w:ascii="Times New Roman" w:hAnsi="Times New Roman" w:cs="Times New Roman"/>
                <w:i w:val="0"/>
                <w:sz w:val="22"/>
                <w:szCs w:val="22"/>
              </w:rPr>
            </w:pPr>
            <w:r w:rsidRPr="00CA6BC9">
              <w:rPr>
                <w:rFonts w:ascii="Times New Roman" w:hAnsi="Times New Roman" w:cs="Times New Roman"/>
                <w:i w:val="0"/>
                <w:sz w:val="22"/>
                <w:szCs w:val="22"/>
              </w:rPr>
              <w:t>2015</w:t>
            </w:r>
          </w:p>
        </w:tc>
        <w:tc>
          <w:tcPr>
            <w:tcW w:w="1207" w:type="dxa"/>
            <w:shd w:val="clear" w:color="auto" w:fill="B8CCE4" w:themeFill="accent1" w:themeFillTint="66"/>
          </w:tcPr>
          <w:p w:rsidR="00255CC4" w:rsidRPr="00CA6BC9" w:rsidRDefault="00255CC4" w:rsidP="00255CC4">
            <w:pPr>
              <w:pStyle w:val="virsrakstslvl4"/>
              <w:jc w:val="center"/>
              <w:rPr>
                <w:rFonts w:ascii="Times New Roman" w:hAnsi="Times New Roman" w:cs="Times New Roman"/>
                <w:i w:val="0"/>
                <w:sz w:val="22"/>
                <w:szCs w:val="22"/>
              </w:rPr>
            </w:pPr>
            <w:r w:rsidRPr="00CA6BC9">
              <w:rPr>
                <w:rFonts w:ascii="Times New Roman" w:hAnsi="Times New Roman" w:cs="Times New Roman"/>
                <w:i w:val="0"/>
                <w:sz w:val="22"/>
                <w:szCs w:val="22"/>
              </w:rPr>
              <w:t>2016</w:t>
            </w:r>
          </w:p>
        </w:tc>
      </w:tr>
      <w:tr w:rsidR="00255CC4" w:rsidRPr="005B7E6F" w:rsidTr="0044212D">
        <w:tc>
          <w:tcPr>
            <w:tcW w:w="9962" w:type="dxa"/>
            <w:gridSpan w:val="4"/>
            <w:shd w:val="clear" w:color="auto" w:fill="D9D9D9" w:themeFill="background1" w:themeFillShade="D9"/>
            <w:vAlign w:val="center"/>
          </w:tcPr>
          <w:p w:rsidR="00255CC4" w:rsidRPr="005B7E6F" w:rsidRDefault="00255CC4" w:rsidP="00255CC4">
            <w:pPr>
              <w:pStyle w:val="virsrakstslvl4"/>
              <w:spacing w:before="80" w:after="80"/>
              <w:rPr>
                <w:rFonts w:ascii="Times New Roman" w:hAnsi="Times New Roman" w:cs="Times New Roman"/>
                <w:i w:val="0"/>
                <w:color w:val="auto"/>
                <w:sz w:val="22"/>
                <w:szCs w:val="22"/>
              </w:rPr>
            </w:pPr>
            <w:r w:rsidRPr="005B7E6F">
              <w:rPr>
                <w:rFonts w:ascii="Times New Roman" w:hAnsi="Times New Roman" w:cs="Times New Roman"/>
                <w:i w:val="0"/>
                <w:color w:val="auto"/>
                <w:sz w:val="22"/>
                <w:szCs w:val="22"/>
              </w:rPr>
              <w:t>VIENA PERSONA</w:t>
            </w:r>
          </w:p>
        </w:tc>
      </w:tr>
      <w:tr w:rsidR="00255CC4" w:rsidRPr="00400CBE" w:rsidTr="00255CC4">
        <w:trPr>
          <w:trHeight w:val="283"/>
        </w:trPr>
        <w:tc>
          <w:tcPr>
            <w:tcW w:w="6204" w:type="dxa"/>
            <w:vAlign w:val="center"/>
          </w:tcPr>
          <w:p w:rsidR="00255CC4" w:rsidRPr="00400CBE" w:rsidRDefault="00255CC4" w:rsidP="00255CC4">
            <w:pPr>
              <w:pStyle w:val="virsrakstslvl4"/>
              <w:spacing w:before="0" w:after="0"/>
              <w:rPr>
                <w:rFonts w:ascii="Times New Roman" w:hAnsi="Times New Roman" w:cs="Times New Roman"/>
                <w:b w:val="0"/>
                <w:i w:val="0"/>
                <w:color w:val="auto"/>
                <w:sz w:val="22"/>
                <w:szCs w:val="22"/>
              </w:rPr>
            </w:pPr>
            <w:r w:rsidRPr="00400CBE">
              <w:rPr>
                <w:rFonts w:ascii="Times New Roman" w:hAnsi="Times New Roman" w:cs="Times New Roman"/>
                <w:b w:val="0"/>
                <w:i w:val="0"/>
                <w:color w:val="auto"/>
                <w:sz w:val="22"/>
                <w:szCs w:val="22"/>
              </w:rPr>
              <w:t xml:space="preserve">Trūcīgas personas ienākumi uz vienu personu </w:t>
            </w:r>
          </w:p>
        </w:tc>
        <w:tc>
          <w:tcPr>
            <w:tcW w:w="1275" w:type="dxa"/>
            <w:vAlign w:val="center"/>
          </w:tcPr>
          <w:p w:rsidR="00255CC4" w:rsidRPr="00400CBE" w:rsidRDefault="00255CC4" w:rsidP="00255CC4">
            <w:pPr>
              <w:pStyle w:val="virsrakstslvl4"/>
              <w:spacing w:before="0" w:after="0"/>
              <w:jc w:val="center"/>
              <w:rPr>
                <w:rFonts w:ascii="Times New Roman" w:hAnsi="Times New Roman" w:cs="Times New Roman"/>
                <w:b w:val="0"/>
                <w:i w:val="0"/>
                <w:color w:val="auto"/>
                <w:sz w:val="22"/>
                <w:szCs w:val="22"/>
              </w:rPr>
            </w:pPr>
            <w:r w:rsidRPr="00400CBE">
              <w:rPr>
                <w:rFonts w:ascii="Times New Roman" w:hAnsi="Times New Roman" w:cs="Times New Roman"/>
                <w:b w:val="0"/>
                <w:i w:val="0"/>
                <w:color w:val="auto"/>
                <w:sz w:val="22"/>
                <w:szCs w:val="22"/>
              </w:rPr>
              <w:t>128</w:t>
            </w:r>
          </w:p>
        </w:tc>
        <w:tc>
          <w:tcPr>
            <w:tcW w:w="1276" w:type="dxa"/>
            <w:vAlign w:val="center"/>
          </w:tcPr>
          <w:p w:rsidR="00255CC4" w:rsidRPr="00400CBE" w:rsidRDefault="00255CC4" w:rsidP="00255CC4">
            <w:pPr>
              <w:pStyle w:val="virsrakstslvl4"/>
              <w:spacing w:before="0" w:after="0"/>
              <w:jc w:val="center"/>
              <w:rPr>
                <w:rFonts w:ascii="Times New Roman" w:hAnsi="Times New Roman" w:cs="Times New Roman"/>
                <w:b w:val="0"/>
                <w:i w:val="0"/>
                <w:color w:val="auto"/>
                <w:sz w:val="22"/>
                <w:szCs w:val="22"/>
              </w:rPr>
            </w:pPr>
            <w:r w:rsidRPr="00400CBE">
              <w:rPr>
                <w:rFonts w:ascii="Times New Roman" w:hAnsi="Times New Roman" w:cs="Times New Roman"/>
                <w:b w:val="0"/>
                <w:i w:val="0"/>
                <w:color w:val="auto"/>
                <w:sz w:val="22"/>
                <w:szCs w:val="22"/>
              </w:rPr>
              <w:t>128</w:t>
            </w:r>
          </w:p>
        </w:tc>
        <w:tc>
          <w:tcPr>
            <w:tcW w:w="1207" w:type="dxa"/>
            <w:vAlign w:val="center"/>
          </w:tcPr>
          <w:p w:rsidR="00255CC4" w:rsidRPr="00400CBE" w:rsidRDefault="00255CC4" w:rsidP="00255CC4">
            <w:pPr>
              <w:pStyle w:val="virsrakstslvl4"/>
              <w:spacing w:before="0" w:after="0"/>
              <w:jc w:val="center"/>
              <w:rPr>
                <w:rFonts w:ascii="Times New Roman" w:hAnsi="Times New Roman" w:cs="Times New Roman"/>
                <w:b w:val="0"/>
                <w:i w:val="0"/>
                <w:color w:val="auto"/>
                <w:sz w:val="22"/>
                <w:szCs w:val="22"/>
              </w:rPr>
            </w:pPr>
            <w:r w:rsidRPr="00400CBE">
              <w:rPr>
                <w:rFonts w:ascii="Times New Roman" w:hAnsi="Times New Roman" w:cs="Times New Roman"/>
                <w:b w:val="0"/>
                <w:i w:val="0"/>
                <w:color w:val="auto"/>
                <w:sz w:val="22"/>
                <w:szCs w:val="22"/>
              </w:rPr>
              <w:t>128</w:t>
            </w:r>
          </w:p>
        </w:tc>
      </w:tr>
      <w:tr w:rsidR="00255CC4" w:rsidRPr="00400CBE" w:rsidTr="00255CC4">
        <w:tc>
          <w:tcPr>
            <w:tcW w:w="6204" w:type="dxa"/>
            <w:vAlign w:val="center"/>
          </w:tcPr>
          <w:p w:rsidR="00255CC4" w:rsidRPr="00400CBE" w:rsidRDefault="00255CC4" w:rsidP="00255CC4">
            <w:pPr>
              <w:pStyle w:val="virsrakstslvl4"/>
              <w:spacing w:before="0" w:after="0"/>
              <w:rPr>
                <w:rFonts w:ascii="Times New Roman" w:hAnsi="Times New Roman" w:cs="Times New Roman"/>
                <w:b w:val="0"/>
                <w:i w:val="0"/>
                <w:color w:val="auto"/>
                <w:sz w:val="22"/>
                <w:szCs w:val="22"/>
              </w:rPr>
            </w:pPr>
            <w:r w:rsidRPr="00400CBE">
              <w:rPr>
                <w:rFonts w:ascii="Times New Roman" w:hAnsi="Times New Roman" w:cs="Times New Roman"/>
                <w:b w:val="0"/>
                <w:i w:val="0"/>
                <w:color w:val="auto"/>
                <w:sz w:val="22"/>
                <w:szCs w:val="22"/>
              </w:rPr>
              <w:t>Nabadzības riska slieksnis vienas personas mājsaimniecībai</w:t>
            </w:r>
          </w:p>
        </w:tc>
        <w:tc>
          <w:tcPr>
            <w:tcW w:w="1275" w:type="dxa"/>
            <w:vAlign w:val="center"/>
          </w:tcPr>
          <w:p w:rsidR="00255CC4" w:rsidRPr="00400CBE" w:rsidRDefault="00255CC4" w:rsidP="00255CC4">
            <w:pPr>
              <w:pStyle w:val="virsrakstslvl4"/>
              <w:spacing w:before="0" w:after="0"/>
              <w:jc w:val="center"/>
              <w:rPr>
                <w:rFonts w:ascii="Times New Roman" w:hAnsi="Times New Roman" w:cs="Times New Roman"/>
                <w:b w:val="0"/>
                <w:i w:val="0"/>
                <w:color w:val="auto"/>
                <w:sz w:val="22"/>
                <w:szCs w:val="22"/>
              </w:rPr>
            </w:pPr>
            <w:r w:rsidRPr="00400CBE">
              <w:rPr>
                <w:rFonts w:ascii="Times New Roman" w:hAnsi="Times New Roman" w:cs="Times New Roman"/>
                <w:b w:val="0"/>
                <w:i w:val="0"/>
                <w:color w:val="auto"/>
                <w:sz w:val="22"/>
                <w:szCs w:val="22"/>
              </w:rPr>
              <w:t>291</w:t>
            </w:r>
          </w:p>
        </w:tc>
        <w:tc>
          <w:tcPr>
            <w:tcW w:w="1276" w:type="dxa"/>
            <w:vAlign w:val="center"/>
          </w:tcPr>
          <w:p w:rsidR="00255CC4" w:rsidRPr="00400CBE" w:rsidRDefault="00255CC4" w:rsidP="00255CC4">
            <w:pPr>
              <w:pStyle w:val="virsrakstslvl4"/>
              <w:spacing w:before="0" w:after="0"/>
              <w:jc w:val="center"/>
              <w:rPr>
                <w:rFonts w:ascii="Times New Roman" w:hAnsi="Times New Roman" w:cs="Times New Roman"/>
                <w:b w:val="0"/>
                <w:i w:val="0"/>
                <w:color w:val="auto"/>
                <w:sz w:val="22"/>
                <w:szCs w:val="22"/>
              </w:rPr>
            </w:pPr>
            <w:r w:rsidRPr="00400CBE">
              <w:rPr>
                <w:rFonts w:ascii="Times New Roman" w:hAnsi="Times New Roman" w:cs="Times New Roman"/>
                <w:b w:val="0"/>
                <w:i w:val="0"/>
                <w:color w:val="auto"/>
                <w:sz w:val="22"/>
                <w:szCs w:val="22"/>
              </w:rPr>
              <w:t>318</w:t>
            </w:r>
          </w:p>
        </w:tc>
        <w:tc>
          <w:tcPr>
            <w:tcW w:w="1207" w:type="dxa"/>
            <w:vAlign w:val="center"/>
          </w:tcPr>
          <w:p w:rsidR="00255CC4" w:rsidRPr="00400CBE" w:rsidRDefault="00255CC4" w:rsidP="00255CC4">
            <w:pPr>
              <w:pStyle w:val="virsrakstslvl4"/>
              <w:spacing w:before="0" w:after="0"/>
              <w:jc w:val="center"/>
              <w:rPr>
                <w:rFonts w:ascii="Times New Roman" w:hAnsi="Times New Roman" w:cs="Times New Roman"/>
                <w:b w:val="0"/>
                <w:i w:val="0"/>
                <w:color w:val="auto"/>
                <w:sz w:val="22"/>
                <w:szCs w:val="22"/>
              </w:rPr>
            </w:pPr>
            <w:r w:rsidRPr="00400CBE">
              <w:rPr>
                <w:rFonts w:ascii="Times New Roman" w:hAnsi="Times New Roman" w:cs="Times New Roman"/>
                <w:b w:val="0"/>
                <w:i w:val="0"/>
                <w:color w:val="auto"/>
                <w:sz w:val="22"/>
                <w:szCs w:val="22"/>
              </w:rPr>
              <w:t>330</w:t>
            </w:r>
          </w:p>
        </w:tc>
      </w:tr>
      <w:tr w:rsidR="00255CC4" w:rsidRPr="00400CBE" w:rsidTr="00255CC4">
        <w:tc>
          <w:tcPr>
            <w:tcW w:w="6204" w:type="dxa"/>
            <w:vAlign w:val="center"/>
          </w:tcPr>
          <w:p w:rsidR="00255CC4" w:rsidRPr="00400CBE" w:rsidRDefault="00255CC4" w:rsidP="00255CC4">
            <w:pPr>
              <w:pStyle w:val="virsrakstslvl4"/>
              <w:spacing w:before="0" w:after="0"/>
              <w:rPr>
                <w:rFonts w:ascii="Times New Roman" w:hAnsi="Times New Roman" w:cs="Times New Roman"/>
                <w:b w:val="0"/>
                <w:i w:val="0"/>
                <w:color w:val="auto"/>
                <w:sz w:val="22"/>
                <w:szCs w:val="22"/>
              </w:rPr>
            </w:pPr>
            <w:r w:rsidRPr="00400CBE">
              <w:rPr>
                <w:rFonts w:ascii="Times New Roman" w:hAnsi="Times New Roman" w:cs="Times New Roman"/>
                <w:b w:val="0"/>
                <w:i w:val="0"/>
                <w:color w:val="auto"/>
                <w:sz w:val="22"/>
                <w:szCs w:val="22"/>
              </w:rPr>
              <w:t>Minimālā ienākuma līmenis vienas personas mājsaimniecībai</w:t>
            </w:r>
          </w:p>
        </w:tc>
        <w:tc>
          <w:tcPr>
            <w:tcW w:w="1275" w:type="dxa"/>
            <w:vAlign w:val="center"/>
          </w:tcPr>
          <w:p w:rsidR="00255CC4" w:rsidRPr="00400CBE" w:rsidRDefault="00255CC4" w:rsidP="00255CC4">
            <w:pPr>
              <w:pStyle w:val="virsrakstslvl4"/>
              <w:spacing w:before="0" w:after="0"/>
              <w:jc w:val="center"/>
              <w:rPr>
                <w:rFonts w:ascii="Times New Roman" w:hAnsi="Times New Roman" w:cs="Times New Roman"/>
                <w:b w:val="0"/>
                <w:i w:val="0"/>
                <w:color w:val="auto"/>
                <w:sz w:val="22"/>
                <w:szCs w:val="22"/>
              </w:rPr>
            </w:pPr>
            <w:r w:rsidRPr="00400CBE">
              <w:rPr>
                <w:rFonts w:ascii="Times New Roman" w:hAnsi="Times New Roman" w:cs="Times New Roman"/>
                <w:b w:val="0"/>
                <w:i w:val="0"/>
                <w:color w:val="auto"/>
                <w:sz w:val="22"/>
                <w:szCs w:val="22"/>
              </w:rPr>
              <w:t>155</w:t>
            </w:r>
          </w:p>
        </w:tc>
        <w:tc>
          <w:tcPr>
            <w:tcW w:w="1276" w:type="dxa"/>
            <w:vAlign w:val="center"/>
          </w:tcPr>
          <w:p w:rsidR="00255CC4" w:rsidRPr="00400CBE" w:rsidRDefault="00255CC4" w:rsidP="00255CC4">
            <w:pPr>
              <w:pStyle w:val="virsrakstslvl4"/>
              <w:spacing w:before="0" w:after="0"/>
              <w:jc w:val="center"/>
              <w:rPr>
                <w:rFonts w:ascii="Times New Roman" w:hAnsi="Times New Roman" w:cs="Times New Roman"/>
                <w:b w:val="0"/>
                <w:i w:val="0"/>
                <w:color w:val="auto"/>
                <w:sz w:val="22"/>
                <w:szCs w:val="22"/>
              </w:rPr>
            </w:pPr>
            <w:r w:rsidRPr="00400CBE">
              <w:rPr>
                <w:rFonts w:ascii="Times New Roman" w:hAnsi="Times New Roman" w:cs="Times New Roman"/>
                <w:b w:val="0"/>
                <w:i w:val="0"/>
                <w:color w:val="auto"/>
                <w:sz w:val="22"/>
                <w:szCs w:val="22"/>
              </w:rPr>
              <w:t>167</w:t>
            </w:r>
          </w:p>
        </w:tc>
        <w:tc>
          <w:tcPr>
            <w:tcW w:w="1207" w:type="dxa"/>
            <w:vAlign w:val="center"/>
          </w:tcPr>
          <w:p w:rsidR="00255CC4" w:rsidRPr="00400CBE" w:rsidRDefault="00255CC4" w:rsidP="00255CC4">
            <w:pPr>
              <w:pStyle w:val="virsrakstslvl4"/>
              <w:spacing w:before="0" w:after="0"/>
              <w:jc w:val="center"/>
              <w:rPr>
                <w:rFonts w:ascii="Times New Roman" w:hAnsi="Times New Roman" w:cs="Times New Roman"/>
                <w:b w:val="0"/>
                <w:i w:val="0"/>
                <w:color w:val="auto"/>
                <w:sz w:val="22"/>
                <w:szCs w:val="22"/>
              </w:rPr>
            </w:pPr>
            <w:r w:rsidRPr="00400CBE">
              <w:rPr>
                <w:rFonts w:ascii="Times New Roman" w:hAnsi="Times New Roman" w:cs="Times New Roman"/>
                <w:b w:val="0"/>
                <w:i w:val="0"/>
                <w:color w:val="auto"/>
                <w:sz w:val="22"/>
                <w:szCs w:val="22"/>
              </w:rPr>
              <w:t>177</w:t>
            </w:r>
          </w:p>
        </w:tc>
      </w:tr>
      <w:tr w:rsidR="00255CC4" w:rsidRPr="005B7E6F" w:rsidTr="00CA6BC9">
        <w:tc>
          <w:tcPr>
            <w:tcW w:w="9962" w:type="dxa"/>
            <w:gridSpan w:val="4"/>
            <w:shd w:val="clear" w:color="auto" w:fill="D9D9D9" w:themeFill="background1" w:themeFillShade="D9"/>
            <w:vAlign w:val="center"/>
          </w:tcPr>
          <w:p w:rsidR="00255CC4" w:rsidRPr="005B7E6F" w:rsidRDefault="00255CC4" w:rsidP="00255CC4">
            <w:pPr>
              <w:pStyle w:val="virsrakstslvl4"/>
              <w:spacing w:before="80" w:after="80"/>
              <w:rPr>
                <w:rFonts w:ascii="Times New Roman" w:hAnsi="Times New Roman" w:cs="Times New Roman"/>
                <w:i w:val="0"/>
                <w:color w:val="auto"/>
                <w:sz w:val="22"/>
                <w:szCs w:val="22"/>
              </w:rPr>
            </w:pPr>
            <w:r w:rsidRPr="005B7E6F">
              <w:rPr>
                <w:rFonts w:ascii="Times New Roman" w:hAnsi="Times New Roman" w:cs="Times New Roman"/>
                <w:i w:val="0"/>
                <w:color w:val="auto"/>
                <w:sz w:val="22"/>
                <w:szCs w:val="22"/>
              </w:rPr>
              <w:t>ĢIMENE (2 pieaugušie un 2 bērni &lt;14 gadiem)</w:t>
            </w:r>
          </w:p>
        </w:tc>
      </w:tr>
      <w:tr w:rsidR="00255CC4" w:rsidRPr="00400CBE" w:rsidTr="00255CC4">
        <w:tc>
          <w:tcPr>
            <w:tcW w:w="6204" w:type="dxa"/>
            <w:vAlign w:val="center"/>
          </w:tcPr>
          <w:p w:rsidR="00255CC4" w:rsidRPr="00400CBE" w:rsidRDefault="00255CC4" w:rsidP="00255CC4">
            <w:pPr>
              <w:pStyle w:val="virsrakstslvl4"/>
              <w:spacing w:before="0" w:after="0"/>
              <w:rPr>
                <w:rFonts w:ascii="Times New Roman" w:hAnsi="Times New Roman" w:cs="Times New Roman"/>
                <w:b w:val="0"/>
                <w:i w:val="0"/>
                <w:color w:val="auto"/>
                <w:sz w:val="22"/>
                <w:szCs w:val="22"/>
              </w:rPr>
            </w:pPr>
            <w:r w:rsidRPr="00400CBE">
              <w:rPr>
                <w:rFonts w:ascii="Times New Roman" w:hAnsi="Times New Roman" w:cs="Times New Roman"/>
                <w:b w:val="0"/>
                <w:i w:val="0"/>
                <w:color w:val="auto"/>
                <w:sz w:val="22"/>
                <w:szCs w:val="22"/>
              </w:rPr>
              <w:t>Trūcīgas ģimenes ienākumi (2 pieaugušie un 2 bērni vecumā līdz 14 gadiem)</w:t>
            </w:r>
          </w:p>
        </w:tc>
        <w:tc>
          <w:tcPr>
            <w:tcW w:w="1275" w:type="dxa"/>
            <w:vAlign w:val="center"/>
          </w:tcPr>
          <w:p w:rsidR="00255CC4" w:rsidRPr="00400CBE" w:rsidRDefault="00255CC4" w:rsidP="00255CC4">
            <w:pPr>
              <w:pStyle w:val="virsrakstslvl4"/>
              <w:spacing w:before="0" w:after="0"/>
              <w:jc w:val="center"/>
              <w:rPr>
                <w:rFonts w:ascii="Times New Roman" w:hAnsi="Times New Roman" w:cs="Times New Roman"/>
                <w:b w:val="0"/>
                <w:i w:val="0"/>
                <w:color w:val="auto"/>
                <w:sz w:val="22"/>
                <w:szCs w:val="22"/>
              </w:rPr>
            </w:pPr>
            <w:r w:rsidRPr="00400CBE">
              <w:rPr>
                <w:rFonts w:ascii="Times New Roman" w:hAnsi="Times New Roman" w:cs="Times New Roman"/>
                <w:b w:val="0"/>
                <w:i w:val="0"/>
                <w:color w:val="auto"/>
                <w:sz w:val="22"/>
                <w:szCs w:val="22"/>
              </w:rPr>
              <w:t>512</w:t>
            </w:r>
          </w:p>
        </w:tc>
        <w:tc>
          <w:tcPr>
            <w:tcW w:w="1276" w:type="dxa"/>
            <w:vAlign w:val="center"/>
          </w:tcPr>
          <w:p w:rsidR="00255CC4" w:rsidRPr="00400CBE" w:rsidRDefault="00255CC4" w:rsidP="00255CC4">
            <w:pPr>
              <w:pStyle w:val="virsrakstslvl4"/>
              <w:spacing w:before="0" w:after="0"/>
              <w:jc w:val="center"/>
              <w:rPr>
                <w:rFonts w:ascii="Times New Roman" w:hAnsi="Times New Roman" w:cs="Times New Roman"/>
                <w:b w:val="0"/>
                <w:i w:val="0"/>
                <w:color w:val="auto"/>
                <w:sz w:val="22"/>
                <w:szCs w:val="22"/>
              </w:rPr>
            </w:pPr>
            <w:r w:rsidRPr="00400CBE">
              <w:rPr>
                <w:rFonts w:ascii="Times New Roman" w:hAnsi="Times New Roman" w:cs="Times New Roman"/>
                <w:b w:val="0"/>
                <w:i w:val="0"/>
                <w:color w:val="auto"/>
                <w:sz w:val="22"/>
                <w:szCs w:val="22"/>
              </w:rPr>
              <w:t>512</w:t>
            </w:r>
          </w:p>
        </w:tc>
        <w:tc>
          <w:tcPr>
            <w:tcW w:w="1207" w:type="dxa"/>
            <w:vAlign w:val="center"/>
          </w:tcPr>
          <w:p w:rsidR="00255CC4" w:rsidRPr="00400CBE" w:rsidRDefault="00255CC4" w:rsidP="00255CC4">
            <w:pPr>
              <w:pStyle w:val="virsrakstslvl4"/>
              <w:spacing w:before="0" w:after="0"/>
              <w:jc w:val="center"/>
              <w:rPr>
                <w:rFonts w:ascii="Times New Roman" w:hAnsi="Times New Roman" w:cs="Times New Roman"/>
                <w:b w:val="0"/>
                <w:i w:val="0"/>
                <w:color w:val="auto"/>
                <w:sz w:val="22"/>
                <w:szCs w:val="22"/>
              </w:rPr>
            </w:pPr>
            <w:r w:rsidRPr="00400CBE">
              <w:rPr>
                <w:rFonts w:ascii="Times New Roman" w:hAnsi="Times New Roman" w:cs="Times New Roman"/>
                <w:b w:val="0"/>
                <w:i w:val="0"/>
                <w:color w:val="auto"/>
                <w:sz w:val="22"/>
                <w:szCs w:val="22"/>
              </w:rPr>
              <w:t>512</w:t>
            </w:r>
          </w:p>
        </w:tc>
      </w:tr>
      <w:tr w:rsidR="00255CC4" w:rsidRPr="00400CBE" w:rsidTr="00255CC4">
        <w:tc>
          <w:tcPr>
            <w:tcW w:w="6204" w:type="dxa"/>
            <w:vAlign w:val="center"/>
          </w:tcPr>
          <w:p w:rsidR="00255CC4" w:rsidRPr="00400CBE" w:rsidRDefault="00255CC4" w:rsidP="00255CC4">
            <w:pPr>
              <w:pStyle w:val="virsrakstslvl4"/>
              <w:spacing w:before="0" w:after="0"/>
              <w:rPr>
                <w:rFonts w:ascii="Times New Roman" w:hAnsi="Times New Roman" w:cs="Times New Roman"/>
                <w:b w:val="0"/>
                <w:i w:val="0"/>
                <w:color w:val="auto"/>
                <w:sz w:val="22"/>
                <w:szCs w:val="22"/>
              </w:rPr>
            </w:pPr>
            <w:r w:rsidRPr="00400CBE">
              <w:rPr>
                <w:rFonts w:ascii="Times New Roman" w:hAnsi="Times New Roman" w:cs="Times New Roman"/>
                <w:b w:val="0"/>
                <w:i w:val="0"/>
                <w:color w:val="auto"/>
                <w:sz w:val="22"/>
                <w:szCs w:val="22"/>
              </w:rPr>
              <w:t xml:space="preserve">Nabadzības riska slieksnis ģimenei ar 2 pieaugušajiem un 2 bērniem vecumā līdz 14 gadiem (pēc OECD </w:t>
            </w:r>
            <w:r w:rsidRPr="005B7E6F">
              <w:rPr>
                <w:rFonts w:ascii="Times New Roman" w:hAnsi="Times New Roman" w:cs="Times New Roman"/>
                <w:b w:val="0"/>
                <w:i w:val="0"/>
                <w:color w:val="auto"/>
                <w:sz w:val="22"/>
                <w:szCs w:val="22"/>
              </w:rPr>
              <w:t>modificētās</w:t>
            </w:r>
            <w:r w:rsidRPr="00400CBE">
              <w:rPr>
                <w:rFonts w:ascii="Times New Roman" w:hAnsi="Times New Roman" w:cs="Times New Roman"/>
                <w:b w:val="0"/>
                <w:i w:val="0"/>
                <w:color w:val="auto"/>
                <w:sz w:val="22"/>
                <w:szCs w:val="22"/>
              </w:rPr>
              <w:t xml:space="preserve"> ekvivalences skalas: 1; 0</w:t>
            </w:r>
            <w:r w:rsidR="006A386C">
              <w:rPr>
                <w:rFonts w:ascii="Times New Roman" w:hAnsi="Times New Roman" w:cs="Times New Roman"/>
                <w:b w:val="0"/>
                <w:i w:val="0"/>
                <w:color w:val="auto"/>
                <w:sz w:val="22"/>
                <w:szCs w:val="22"/>
              </w:rPr>
              <w:t>,</w:t>
            </w:r>
            <w:r w:rsidRPr="00400CBE">
              <w:rPr>
                <w:rFonts w:ascii="Times New Roman" w:hAnsi="Times New Roman" w:cs="Times New Roman"/>
                <w:b w:val="0"/>
                <w:i w:val="0"/>
                <w:color w:val="auto"/>
                <w:sz w:val="22"/>
                <w:szCs w:val="22"/>
              </w:rPr>
              <w:t>5; 0</w:t>
            </w:r>
            <w:r w:rsidR="006A386C">
              <w:rPr>
                <w:rFonts w:ascii="Times New Roman" w:hAnsi="Times New Roman" w:cs="Times New Roman"/>
                <w:b w:val="0"/>
                <w:i w:val="0"/>
                <w:color w:val="auto"/>
                <w:sz w:val="22"/>
                <w:szCs w:val="22"/>
              </w:rPr>
              <w:t>,</w:t>
            </w:r>
            <w:r w:rsidRPr="00400CBE">
              <w:rPr>
                <w:rFonts w:ascii="Times New Roman" w:hAnsi="Times New Roman" w:cs="Times New Roman"/>
                <w:b w:val="0"/>
                <w:i w:val="0"/>
                <w:color w:val="auto"/>
                <w:sz w:val="22"/>
                <w:szCs w:val="22"/>
              </w:rPr>
              <w:t>3)</w:t>
            </w:r>
          </w:p>
        </w:tc>
        <w:tc>
          <w:tcPr>
            <w:tcW w:w="1275" w:type="dxa"/>
            <w:vAlign w:val="center"/>
          </w:tcPr>
          <w:p w:rsidR="00255CC4" w:rsidRPr="00400CBE" w:rsidRDefault="00255CC4" w:rsidP="00255CC4">
            <w:pPr>
              <w:pStyle w:val="virsrakstslvl4"/>
              <w:spacing w:before="0" w:after="0"/>
              <w:jc w:val="center"/>
              <w:rPr>
                <w:rFonts w:ascii="Times New Roman" w:hAnsi="Times New Roman" w:cs="Times New Roman"/>
                <w:b w:val="0"/>
                <w:i w:val="0"/>
                <w:color w:val="auto"/>
                <w:sz w:val="22"/>
                <w:szCs w:val="22"/>
              </w:rPr>
            </w:pPr>
            <w:r>
              <w:rPr>
                <w:rFonts w:ascii="Times New Roman" w:hAnsi="Times New Roman" w:cs="Times New Roman"/>
                <w:b w:val="0"/>
                <w:i w:val="0"/>
                <w:color w:val="auto"/>
                <w:sz w:val="22"/>
                <w:szCs w:val="22"/>
              </w:rPr>
              <w:t>612</w:t>
            </w:r>
          </w:p>
        </w:tc>
        <w:tc>
          <w:tcPr>
            <w:tcW w:w="1276" w:type="dxa"/>
            <w:vAlign w:val="center"/>
          </w:tcPr>
          <w:p w:rsidR="00255CC4" w:rsidRPr="00400CBE" w:rsidRDefault="00255CC4" w:rsidP="00255CC4">
            <w:pPr>
              <w:pStyle w:val="virsrakstslvl4"/>
              <w:spacing w:before="0" w:after="0"/>
              <w:jc w:val="center"/>
              <w:rPr>
                <w:rFonts w:ascii="Times New Roman" w:hAnsi="Times New Roman" w:cs="Times New Roman"/>
                <w:b w:val="0"/>
                <w:i w:val="0"/>
                <w:color w:val="auto"/>
                <w:sz w:val="22"/>
                <w:szCs w:val="22"/>
              </w:rPr>
            </w:pPr>
            <w:r>
              <w:rPr>
                <w:rFonts w:ascii="Times New Roman" w:hAnsi="Times New Roman" w:cs="Times New Roman"/>
                <w:b w:val="0"/>
                <w:i w:val="0"/>
                <w:color w:val="auto"/>
                <w:sz w:val="22"/>
                <w:szCs w:val="22"/>
              </w:rPr>
              <w:t>668</w:t>
            </w:r>
          </w:p>
        </w:tc>
        <w:tc>
          <w:tcPr>
            <w:tcW w:w="1207" w:type="dxa"/>
            <w:vAlign w:val="center"/>
          </w:tcPr>
          <w:p w:rsidR="00255CC4" w:rsidRPr="00400CBE" w:rsidRDefault="00255CC4" w:rsidP="00255CC4">
            <w:pPr>
              <w:pStyle w:val="virsrakstslvl4"/>
              <w:spacing w:before="0" w:after="0"/>
              <w:jc w:val="center"/>
              <w:rPr>
                <w:rFonts w:ascii="Times New Roman" w:hAnsi="Times New Roman" w:cs="Times New Roman"/>
                <w:b w:val="0"/>
                <w:i w:val="0"/>
                <w:color w:val="auto"/>
                <w:sz w:val="22"/>
                <w:szCs w:val="22"/>
              </w:rPr>
            </w:pPr>
            <w:r>
              <w:rPr>
                <w:rFonts w:ascii="Times New Roman" w:hAnsi="Times New Roman" w:cs="Times New Roman"/>
                <w:b w:val="0"/>
                <w:i w:val="0"/>
                <w:color w:val="auto"/>
                <w:sz w:val="22"/>
                <w:szCs w:val="22"/>
              </w:rPr>
              <w:t>693</w:t>
            </w:r>
          </w:p>
        </w:tc>
      </w:tr>
      <w:tr w:rsidR="00255CC4" w:rsidRPr="00400CBE" w:rsidTr="00255CC4">
        <w:tc>
          <w:tcPr>
            <w:tcW w:w="6204" w:type="dxa"/>
            <w:vAlign w:val="center"/>
          </w:tcPr>
          <w:p w:rsidR="00255CC4" w:rsidRPr="00400CBE" w:rsidRDefault="00255CC4" w:rsidP="00255CC4">
            <w:pPr>
              <w:pStyle w:val="virsrakstslvl4"/>
              <w:spacing w:before="0" w:after="0"/>
              <w:rPr>
                <w:rFonts w:ascii="Times New Roman" w:hAnsi="Times New Roman" w:cs="Times New Roman"/>
                <w:b w:val="0"/>
                <w:i w:val="0"/>
                <w:color w:val="auto"/>
                <w:sz w:val="22"/>
                <w:szCs w:val="22"/>
              </w:rPr>
            </w:pPr>
            <w:r w:rsidRPr="00400CBE">
              <w:rPr>
                <w:rFonts w:ascii="Times New Roman" w:hAnsi="Times New Roman" w:cs="Times New Roman"/>
                <w:b w:val="0"/>
                <w:i w:val="0"/>
                <w:color w:val="auto"/>
                <w:sz w:val="22"/>
                <w:szCs w:val="22"/>
              </w:rPr>
              <w:t>Nabadzības riska slieksnis ģimenei ar 2 pieaugušajiem un 2 bērniem vecumā līdz 14 gadiem (pēc OECD nemodificētās ekvivalences skalas: 1; 0</w:t>
            </w:r>
            <w:r w:rsidR="006A386C">
              <w:rPr>
                <w:rFonts w:ascii="Times New Roman" w:hAnsi="Times New Roman" w:cs="Times New Roman"/>
                <w:b w:val="0"/>
                <w:i w:val="0"/>
                <w:color w:val="auto"/>
                <w:sz w:val="22"/>
                <w:szCs w:val="22"/>
              </w:rPr>
              <w:t>,</w:t>
            </w:r>
            <w:r w:rsidRPr="00400CBE">
              <w:rPr>
                <w:rFonts w:ascii="Times New Roman" w:hAnsi="Times New Roman" w:cs="Times New Roman"/>
                <w:b w:val="0"/>
                <w:i w:val="0"/>
                <w:color w:val="auto"/>
                <w:sz w:val="22"/>
                <w:szCs w:val="22"/>
              </w:rPr>
              <w:t>7; 0</w:t>
            </w:r>
            <w:r w:rsidR="006A386C">
              <w:rPr>
                <w:rFonts w:ascii="Times New Roman" w:hAnsi="Times New Roman" w:cs="Times New Roman"/>
                <w:b w:val="0"/>
                <w:i w:val="0"/>
                <w:color w:val="auto"/>
                <w:sz w:val="22"/>
                <w:szCs w:val="22"/>
              </w:rPr>
              <w:t>,</w:t>
            </w:r>
            <w:r w:rsidRPr="00400CBE">
              <w:rPr>
                <w:rFonts w:ascii="Times New Roman" w:hAnsi="Times New Roman" w:cs="Times New Roman"/>
                <w:b w:val="0"/>
                <w:i w:val="0"/>
                <w:color w:val="auto"/>
                <w:sz w:val="22"/>
                <w:szCs w:val="22"/>
              </w:rPr>
              <w:t>5)</w:t>
            </w:r>
            <w:r>
              <w:rPr>
                <w:rFonts w:ascii="Times New Roman" w:hAnsi="Times New Roman" w:cs="Times New Roman"/>
                <w:b w:val="0"/>
                <w:i w:val="0"/>
                <w:color w:val="auto"/>
                <w:sz w:val="22"/>
                <w:szCs w:val="22"/>
              </w:rPr>
              <w:t>*</w:t>
            </w:r>
          </w:p>
        </w:tc>
        <w:tc>
          <w:tcPr>
            <w:tcW w:w="1275" w:type="dxa"/>
            <w:vAlign w:val="center"/>
          </w:tcPr>
          <w:p w:rsidR="00255CC4" w:rsidRPr="00400CBE" w:rsidRDefault="00255CC4" w:rsidP="00255CC4">
            <w:pPr>
              <w:pStyle w:val="virsrakstslvl4"/>
              <w:spacing w:before="0" w:after="0"/>
              <w:jc w:val="center"/>
              <w:rPr>
                <w:rFonts w:ascii="Times New Roman" w:hAnsi="Times New Roman" w:cs="Times New Roman"/>
                <w:b w:val="0"/>
                <w:i w:val="0"/>
                <w:color w:val="auto"/>
                <w:sz w:val="22"/>
                <w:szCs w:val="22"/>
              </w:rPr>
            </w:pPr>
            <w:r>
              <w:rPr>
                <w:rFonts w:ascii="Times New Roman" w:hAnsi="Times New Roman" w:cs="Times New Roman"/>
                <w:b w:val="0"/>
                <w:i w:val="0"/>
                <w:color w:val="auto"/>
                <w:sz w:val="22"/>
                <w:szCs w:val="22"/>
              </w:rPr>
              <w:t>786</w:t>
            </w:r>
          </w:p>
        </w:tc>
        <w:tc>
          <w:tcPr>
            <w:tcW w:w="1276" w:type="dxa"/>
            <w:vAlign w:val="center"/>
          </w:tcPr>
          <w:p w:rsidR="00255CC4" w:rsidRPr="00400CBE" w:rsidRDefault="00255CC4" w:rsidP="00255CC4">
            <w:pPr>
              <w:pStyle w:val="virsrakstslvl4"/>
              <w:spacing w:before="0" w:after="0"/>
              <w:jc w:val="center"/>
              <w:rPr>
                <w:rFonts w:ascii="Times New Roman" w:hAnsi="Times New Roman" w:cs="Times New Roman"/>
                <w:b w:val="0"/>
                <w:i w:val="0"/>
                <w:color w:val="auto"/>
                <w:sz w:val="22"/>
                <w:szCs w:val="22"/>
              </w:rPr>
            </w:pPr>
            <w:r>
              <w:rPr>
                <w:rFonts w:ascii="Times New Roman" w:hAnsi="Times New Roman" w:cs="Times New Roman"/>
                <w:b w:val="0"/>
                <w:i w:val="0"/>
                <w:color w:val="auto"/>
                <w:sz w:val="22"/>
                <w:szCs w:val="22"/>
              </w:rPr>
              <w:t>856</w:t>
            </w:r>
          </w:p>
        </w:tc>
        <w:tc>
          <w:tcPr>
            <w:tcW w:w="1207" w:type="dxa"/>
            <w:vAlign w:val="center"/>
          </w:tcPr>
          <w:p w:rsidR="00255CC4" w:rsidRPr="00400CBE" w:rsidRDefault="00255CC4" w:rsidP="00255CC4">
            <w:pPr>
              <w:pStyle w:val="virsrakstslvl4"/>
              <w:spacing w:before="0" w:after="0"/>
              <w:jc w:val="center"/>
              <w:rPr>
                <w:rFonts w:ascii="Times New Roman" w:hAnsi="Times New Roman" w:cs="Times New Roman"/>
                <w:b w:val="0"/>
                <w:i w:val="0"/>
                <w:color w:val="auto"/>
                <w:sz w:val="22"/>
                <w:szCs w:val="22"/>
              </w:rPr>
            </w:pPr>
            <w:r>
              <w:rPr>
                <w:rFonts w:ascii="Times New Roman" w:hAnsi="Times New Roman" w:cs="Times New Roman"/>
                <w:b w:val="0"/>
                <w:i w:val="0"/>
                <w:color w:val="auto"/>
                <w:sz w:val="22"/>
                <w:szCs w:val="22"/>
              </w:rPr>
              <w:t>891</w:t>
            </w:r>
          </w:p>
        </w:tc>
      </w:tr>
      <w:tr w:rsidR="00255CC4" w:rsidRPr="00400CBE" w:rsidTr="00255CC4">
        <w:tc>
          <w:tcPr>
            <w:tcW w:w="6204" w:type="dxa"/>
            <w:vAlign w:val="center"/>
          </w:tcPr>
          <w:p w:rsidR="00255CC4" w:rsidRPr="00400CBE" w:rsidRDefault="00255CC4" w:rsidP="00255CC4">
            <w:pPr>
              <w:pStyle w:val="virsrakstslvl4"/>
              <w:spacing w:before="0" w:after="0"/>
              <w:rPr>
                <w:rFonts w:ascii="Times New Roman" w:hAnsi="Times New Roman" w:cs="Times New Roman"/>
                <w:b w:val="0"/>
                <w:i w:val="0"/>
                <w:color w:val="auto"/>
                <w:sz w:val="22"/>
                <w:szCs w:val="22"/>
              </w:rPr>
            </w:pPr>
            <w:r w:rsidRPr="00400CBE">
              <w:rPr>
                <w:rFonts w:ascii="Times New Roman" w:hAnsi="Times New Roman" w:cs="Times New Roman"/>
                <w:b w:val="0"/>
                <w:i w:val="0"/>
                <w:color w:val="auto"/>
                <w:sz w:val="22"/>
                <w:szCs w:val="22"/>
              </w:rPr>
              <w:t>Minimālā ienākuma līmenis ģimenei ar 2 pieaugušajiem un 2 bērniem vecumā līdz 14 gadiem (pēc ekvivalences skalas: 1; 0</w:t>
            </w:r>
            <w:r w:rsidR="006A386C">
              <w:rPr>
                <w:rFonts w:ascii="Times New Roman" w:hAnsi="Times New Roman" w:cs="Times New Roman"/>
                <w:b w:val="0"/>
                <w:i w:val="0"/>
                <w:color w:val="auto"/>
                <w:sz w:val="22"/>
                <w:szCs w:val="22"/>
              </w:rPr>
              <w:t>,</w:t>
            </w:r>
            <w:r w:rsidRPr="00400CBE">
              <w:rPr>
                <w:rFonts w:ascii="Times New Roman" w:hAnsi="Times New Roman" w:cs="Times New Roman"/>
                <w:b w:val="0"/>
                <w:i w:val="0"/>
                <w:color w:val="auto"/>
                <w:sz w:val="22"/>
                <w:szCs w:val="22"/>
              </w:rPr>
              <w:t>7; 0</w:t>
            </w:r>
            <w:r w:rsidR="006A386C">
              <w:rPr>
                <w:rFonts w:ascii="Times New Roman" w:hAnsi="Times New Roman" w:cs="Times New Roman"/>
                <w:b w:val="0"/>
                <w:i w:val="0"/>
                <w:color w:val="auto"/>
                <w:sz w:val="22"/>
                <w:szCs w:val="22"/>
              </w:rPr>
              <w:t>,</w:t>
            </w:r>
            <w:r w:rsidRPr="00400CBE">
              <w:rPr>
                <w:rFonts w:ascii="Times New Roman" w:hAnsi="Times New Roman" w:cs="Times New Roman"/>
                <w:b w:val="0"/>
                <w:i w:val="0"/>
                <w:color w:val="auto"/>
                <w:sz w:val="22"/>
                <w:szCs w:val="22"/>
              </w:rPr>
              <w:t>7)</w:t>
            </w:r>
          </w:p>
        </w:tc>
        <w:tc>
          <w:tcPr>
            <w:tcW w:w="1275" w:type="dxa"/>
            <w:vAlign w:val="center"/>
          </w:tcPr>
          <w:p w:rsidR="00255CC4" w:rsidRPr="00400CBE" w:rsidRDefault="00255CC4" w:rsidP="00255CC4">
            <w:pPr>
              <w:pStyle w:val="virsrakstslvl4"/>
              <w:spacing w:before="0" w:after="0"/>
              <w:jc w:val="center"/>
              <w:rPr>
                <w:rFonts w:ascii="Times New Roman" w:hAnsi="Times New Roman" w:cs="Times New Roman"/>
                <w:b w:val="0"/>
                <w:i w:val="0"/>
                <w:color w:val="auto"/>
                <w:sz w:val="22"/>
                <w:szCs w:val="22"/>
              </w:rPr>
            </w:pPr>
            <w:r>
              <w:rPr>
                <w:rFonts w:ascii="Times New Roman" w:hAnsi="Times New Roman" w:cs="Times New Roman"/>
                <w:b w:val="0"/>
                <w:i w:val="0"/>
                <w:color w:val="auto"/>
                <w:sz w:val="22"/>
                <w:szCs w:val="22"/>
              </w:rPr>
              <w:t>481</w:t>
            </w:r>
          </w:p>
        </w:tc>
        <w:tc>
          <w:tcPr>
            <w:tcW w:w="1276" w:type="dxa"/>
            <w:vAlign w:val="center"/>
          </w:tcPr>
          <w:p w:rsidR="00255CC4" w:rsidRPr="00400CBE" w:rsidRDefault="00255CC4" w:rsidP="00255CC4">
            <w:pPr>
              <w:pStyle w:val="virsrakstslvl4"/>
              <w:spacing w:before="0" w:after="0"/>
              <w:jc w:val="center"/>
              <w:rPr>
                <w:rFonts w:ascii="Times New Roman" w:hAnsi="Times New Roman" w:cs="Times New Roman"/>
                <w:b w:val="0"/>
                <w:i w:val="0"/>
                <w:color w:val="auto"/>
                <w:sz w:val="22"/>
                <w:szCs w:val="22"/>
              </w:rPr>
            </w:pPr>
            <w:r>
              <w:rPr>
                <w:rFonts w:ascii="Times New Roman" w:hAnsi="Times New Roman" w:cs="Times New Roman"/>
                <w:b w:val="0"/>
                <w:i w:val="0"/>
                <w:color w:val="auto"/>
                <w:sz w:val="22"/>
                <w:szCs w:val="22"/>
              </w:rPr>
              <w:t>518</w:t>
            </w:r>
          </w:p>
        </w:tc>
        <w:tc>
          <w:tcPr>
            <w:tcW w:w="1207" w:type="dxa"/>
            <w:vAlign w:val="center"/>
          </w:tcPr>
          <w:p w:rsidR="00255CC4" w:rsidRPr="00400CBE" w:rsidRDefault="00255CC4" w:rsidP="00255CC4">
            <w:pPr>
              <w:pStyle w:val="virsrakstslvl4"/>
              <w:spacing w:before="0" w:after="0"/>
              <w:jc w:val="center"/>
              <w:rPr>
                <w:rFonts w:ascii="Times New Roman" w:hAnsi="Times New Roman" w:cs="Times New Roman"/>
                <w:b w:val="0"/>
                <w:i w:val="0"/>
                <w:color w:val="auto"/>
                <w:sz w:val="22"/>
                <w:szCs w:val="22"/>
              </w:rPr>
            </w:pPr>
            <w:r>
              <w:rPr>
                <w:rFonts w:ascii="Times New Roman" w:hAnsi="Times New Roman" w:cs="Times New Roman"/>
                <w:b w:val="0"/>
                <w:i w:val="0"/>
                <w:color w:val="auto"/>
                <w:sz w:val="22"/>
                <w:szCs w:val="22"/>
              </w:rPr>
              <w:t>549</w:t>
            </w:r>
          </w:p>
        </w:tc>
      </w:tr>
      <w:tr w:rsidR="00255CC4" w:rsidRPr="00400CBE" w:rsidTr="00255CC4">
        <w:tc>
          <w:tcPr>
            <w:tcW w:w="6204" w:type="dxa"/>
            <w:vAlign w:val="center"/>
          </w:tcPr>
          <w:p w:rsidR="00255CC4" w:rsidRPr="00400CBE" w:rsidRDefault="00255CC4" w:rsidP="00255CC4">
            <w:pPr>
              <w:pStyle w:val="virsrakstslvl4"/>
              <w:spacing w:before="0" w:after="0"/>
              <w:rPr>
                <w:rFonts w:ascii="Times New Roman" w:hAnsi="Times New Roman" w:cs="Times New Roman"/>
                <w:b w:val="0"/>
                <w:i w:val="0"/>
                <w:color w:val="auto"/>
                <w:sz w:val="22"/>
                <w:szCs w:val="22"/>
              </w:rPr>
            </w:pPr>
            <w:r w:rsidRPr="00400CBE">
              <w:rPr>
                <w:rFonts w:ascii="Times New Roman" w:hAnsi="Times New Roman" w:cs="Times New Roman"/>
                <w:b w:val="0"/>
                <w:i w:val="0"/>
                <w:color w:val="auto"/>
                <w:sz w:val="22"/>
                <w:szCs w:val="22"/>
              </w:rPr>
              <w:t>Minimālā ienākuma līmenis ģimenei ar 2 pieaugušajiem un 2 bērniem vecumā līdz 14 gadiem (pēc OECD modificētās ekvivalences skalas: 1; 0</w:t>
            </w:r>
            <w:r w:rsidR="006A386C">
              <w:rPr>
                <w:rFonts w:ascii="Times New Roman" w:hAnsi="Times New Roman" w:cs="Times New Roman"/>
                <w:b w:val="0"/>
                <w:i w:val="0"/>
                <w:color w:val="auto"/>
                <w:sz w:val="22"/>
                <w:szCs w:val="22"/>
              </w:rPr>
              <w:t>,</w:t>
            </w:r>
            <w:r w:rsidRPr="00400CBE">
              <w:rPr>
                <w:rFonts w:ascii="Times New Roman" w:hAnsi="Times New Roman" w:cs="Times New Roman"/>
                <w:b w:val="0"/>
                <w:i w:val="0"/>
                <w:color w:val="auto"/>
                <w:sz w:val="22"/>
                <w:szCs w:val="22"/>
              </w:rPr>
              <w:t>5; 0</w:t>
            </w:r>
            <w:r w:rsidR="006A386C">
              <w:rPr>
                <w:rFonts w:ascii="Times New Roman" w:hAnsi="Times New Roman" w:cs="Times New Roman"/>
                <w:b w:val="0"/>
                <w:i w:val="0"/>
                <w:color w:val="auto"/>
                <w:sz w:val="22"/>
                <w:szCs w:val="22"/>
              </w:rPr>
              <w:t>,</w:t>
            </w:r>
            <w:r w:rsidRPr="00400CBE">
              <w:rPr>
                <w:rFonts w:ascii="Times New Roman" w:hAnsi="Times New Roman" w:cs="Times New Roman"/>
                <w:b w:val="0"/>
                <w:i w:val="0"/>
                <w:color w:val="auto"/>
                <w:sz w:val="22"/>
                <w:szCs w:val="22"/>
              </w:rPr>
              <w:t>3)</w:t>
            </w:r>
            <w:r>
              <w:rPr>
                <w:rFonts w:ascii="Times New Roman" w:hAnsi="Times New Roman" w:cs="Times New Roman"/>
                <w:b w:val="0"/>
                <w:i w:val="0"/>
                <w:color w:val="auto"/>
                <w:sz w:val="22"/>
                <w:szCs w:val="22"/>
              </w:rPr>
              <w:t>*</w:t>
            </w:r>
          </w:p>
        </w:tc>
        <w:tc>
          <w:tcPr>
            <w:tcW w:w="1275" w:type="dxa"/>
            <w:vAlign w:val="center"/>
          </w:tcPr>
          <w:p w:rsidR="00255CC4" w:rsidRPr="00400CBE" w:rsidRDefault="00255CC4" w:rsidP="00255CC4">
            <w:pPr>
              <w:pStyle w:val="virsrakstslvl4"/>
              <w:spacing w:before="0" w:after="0"/>
              <w:jc w:val="center"/>
              <w:rPr>
                <w:rFonts w:ascii="Times New Roman" w:hAnsi="Times New Roman" w:cs="Times New Roman"/>
                <w:b w:val="0"/>
                <w:i w:val="0"/>
                <w:color w:val="auto"/>
                <w:sz w:val="22"/>
                <w:szCs w:val="22"/>
              </w:rPr>
            </w:pPr>
            <w:r>
              <w:rPr>
                <w:rFonts w:ascii="Times New Roman" w:hAnsi="Times New Roman" w:cs="Times New Roman"/>
                <w:b w:val="0"/>
                <w:i w:val="0"/>
                <w:color w:val="auto"/>
                <w:sz w:val="22"/>
                <w:szCs w:val="22"/>
              </w:rPr>
              <w:t>356</w:t>
            </w:r>
          </w:p>
        </w:tc>
        <w:tc>
          <w:tcPr>
            <w:tcW w:w="1276" w:type="dxa"/>
            <w:vAlign w:val="center"/>
          </w:tcPr>
          <w:p w:rsidR="00255CC4" w:rsidRPr="00400CBE" w:rsidRDefault="00255CC4" w:rsidP="00255CC4">
            <w:pPr>
              <w:pStyle w:val="virsrakstslvl4"/>
              <w:spacing w:before="0" w:after="0"/>
              <w:jc w:val="center"/>
              <w:rPr>
                <w:rFonts w:ascii="Times New Roman" w:hAnsi="Times New Roman" w:cs="Times New Roman"/>
                <w:b w:val="0"/>
                <w:i w:val="0"/>
                <w:color w:val="auto"/>
                <w:sz w:val="22"/>
                <w:szCs w:val="22"/>
              </w:rPr>
            </w:pPr>
            <w:r>
              <w:rPr>
                <w:rFonts w:ascii="Times New Roman" w:hAnsi="Times New Roman" w:cs="Times New Roman"/>
                <w:b w:val="0"/>
                <w:i w:val="0"/>
                <w:color w:val="auto"/>
                <w:sz w:val="22"/>
                <w:szCs w:val="22"/>
              </w:rPr>
              <w:t>351</w:t>
            </w:r>
          </w:p>
        </w:tc>
        <w:tc>
          <w:tcPr>
            <w:tcW w:w="1207" w:type="dxa"/>
            <w:vAlign w:val="center"/>
          </w:tcPr>
          <w:p w:rsidR="00255CC4" w:rsidRPr="00400CBE" w:rsidRDefault="00255CC4" w:rsidP="00255CC4">
            <w:pPr>
              <w:pStyle w:val="virsrakstslvl4"/>
              <w:spacing w:before="0" w:after="0"/>
              <w:jc w:val="center"/>
              <w:rPr>
                <w:rFonts w:ascii="Times New Roman" w:hAnsi="Times New Roman" w:cs="Times New Roman"/>
                <w:b w:val="0"/>
                <w:i w:val="0"/>
                <w:color w:val="auto"/>
                <w:sz w:val="22"/>
                <w:szCs w:val="22"/>
              </w:rPr>
            </w:pPr>
            <w:r>
              <w:rPr>
                <w:rFonts w:ascii="Times New Roman" w:hAnsi="Times New Roman" w:cs="Times New Roman"/>
                <w:b w:val="0"/>
                <w:i w:val="0"/>
                <w:color w:val="auto"/>
                <w:sz w:val="22"/>
                <w:szCs w:val="22"/>
              </w:rPr>
              <w:t>378</w:t>
            </w:r>
          </w:p>
        </w:tc>
      </w:tr>
    </w:tbl>
    <w:p w:rsidR="00255CC4" w:rsidRDefault="00255CC4" w:rsidP="00255CC4">
      <w:pPr>
        <w:rPr>
          <w:rFonts w:eastAsia="Times New Roman"/>
          <w:sz w:val="20"/>
          <w:szCs w:val="20"/>
        </w:rPr>
      </w:pPr>
      <w:r w:rsidRPr="004E69B2">
        <w:rPr>
          <w:sz w:val="20"/>
          <w:szCs w:val="20"/>
        </w:rPr>
        <w:t xml:space="preserve">Avots: </w:t>
      </w:r>
      <w:r>
        <w:rPr>
          <w:sz w:val="20"/>
          <w:szCs w:val="20"/>
        </w:rPr>
        <w:t xml:space="preserve">CSP, EU-SILC, *BISS aprēķini. </w:t>
      </w:r>
      <w:r>
        <w:rPr>
          <w:rFonts w:eastAsia="Times New Roman"/>
          <w:sz w:val="20"/>
          <w:szCs w:val="20"/>
        </w:rPr>
        <w:t xml:space="preserve"> </w:t>
      </w:r>
    </w:p>
    <w:p w:rsidR="006A386C" w:rsidRDefault="006A386C" w:rsidP="00255CC4">
      <w:pPr>
        <w:rPr>
          <w:rFonts w:eastAsia="Times New Roman"/>
        </w:rPr>
      </w:pPr>
    </w:p>
    <w:p w:rsidR="008C60A0" w:rsidRDefault="008C60A0" w:rsidP="008C60A0">
      <w:r>
        <w:rPr>
          <w:rFonts w:eastAsia="Times New Roman"/>
        </w:rPr>
        <w:t xml:space="preserve">Trūcīgas personas ienākumu līmenis ir 128,06 EUR uz vienu mājsaimniecības locekli, kas 2016. gadā bija 38,8% no nabadzības riska sliekšņa vienas personas mājsaimniecībai un 72,3% no minimālā ienākuma līmeņa vienas personas mājsaimniecībai. Ja nabadzības riska slieksnis un minimālā ienākuma līmenis pakāpeniski pieaug, trūcīgas personas statusa iegūšanai noteiktais ienākumu līmenis saglabājas nemainīgs. Modelējot situāciju ģimenei ar diviem bērniem vecumā līdz 14 gadiem ar 2014.gada datiem, trūcīgas ģimenes ienākumi, pieņemot, ka tie ir 512 EUR, veido 106% pret minimālā ienākuma līmeni šāda tipa ģimenei (tātad virs tā), 76,6% no nabadzības riska sliekšņa, kas aprēķināts pēc OECD modificētās ekvivalences skalas, un 59,8% no nabadzības riska </w:t>
      </w:r>
      <w:r>
        <w:rPr>
          <w:rFonts w:eastAsia="Times New Roman"/>
        </w:rPr>
        <w:lastRenderedPageBreak/>
        <w:t>sliekšņa, kas aprēķināts pēc OECD nemodificētās ekvivalences skalas. Savukārt, modelējot šo situāciju ar 2014.gada datiem, trūcīgas ģimenes ienākumi ir bijuši 93% no minimālā ienākuma līmeņa, 73,8% no nabadzības riska sliekšņa pēc OECD modificētās ekvivalences skalas un 57,4% no nabadzības riska sliekšņa pēc OECD nemodificētās ekvivalences skalas. Modelētās situācijas ļauj secināt, ka situācija trūcīgām ģimenēm pasliktinās, salīdzinot to ienākumus pret minimālā ienākuma līmeni un nabadzības riska sliekšņa līmeni, kas skaidrojams ne vien ar ienākumu pieaugumu, pret kuru tiek aprēķināti minētie rādītāji, bet pamatā ar to, ka nav pārskatīts trūcīgas personas statusam piekrītošais minimālā ienākuma līmenis.</w:t>
      </w:r>
    </w:p>
    <w:p w:rsidR="008C60A0" w:rsidRDefault="008C60A0" w:rsidP="006A386C">
      <w:pPr>
        <w:rPr>
          <w:rFonts w:eastAsia="Times New Roman"/>
        </w:rPr>
      </w:pPr>
    </w:p>
    <w:p w:rsidR="006A386C" w:rsidRDefault="006E1579" w:rsidP="00C33A64">
      <w:r>
        <w:t>1.12</w:t>
      </w:r>
      <w:r w:rsidR="00255CC4">
        <w:t>. attēlā ir atspoguļots trūcīgo personu sadalījums mērķa grupās pēc dažādām sociāli demogrāfiskām pazīmēm absolūtajos skaitļos, savukārt</w:t>
      </w:r>
      <w:r w:rsidR="008C6B83">
        <w:t xml:space="preserve"> </w:t>
      </w:r>
      <w:r>
        <w:t>1.13</w:t>
      </w:r>
      <w:r w:rsidR="00255CC4">
        <w:t>. attēlā ir attēlots mērķa grupu īpatsvara sadalījums attiecībā pret kopējo trūcīgo personu skait</w:t>
      </w:r>
      <w:r w:rsidR="006A386C">
        <w:t>u</w:t>
      </w:r>
      <w:r w:rsidR="00255CC4">
        <w:t xml:space="preserve">. </w:t>
      </w:r>
      <w:r w:rsidR="006A386C">
        <w:t xml:space="preserve"> Šie aprēķini parāda, ka 2014. gadā </w:t>
      </w:r>
      <w:r w:rsidR="006A386C" w:rsidRPr="00E07663">
        <w:rPr>
          <w:b/>
        </w:rPr>
        <w:t>lielāko trūcīgo personu grupu veidoja bērni</w:t>
      </w:r>
      <w:r w:rsidR="007D23AF">
        <w:t xml:space="preserve"> (32,9%).</w:t>
      </w:r>
      <w:r w:rsidR="006A386C">
        <w:t xml:space="preserve"> 2016.gadā ir divas gandrīz vienlīdz lielas grupas, kurām ir augstākais īpatsvars no visām trūcīgajām personām – tie joprojām ir </w:t>
      </w:r>
      <w:r w:rsidR="006A386C" w:rsidRPr="00E07663">
        <w:rPr>
          <w:b/>
        </w:rPr>
        <w:t>bērni (28,7%) un nestrādājošas personas darbspējas vecumā (28,3%)</w:t>
      </w:r>
      <w:r w:rsidR="006A386C">
        <w:t xml:space="preserve">. </w:t>
      </w:r>
      <w:r w:rsidR="007D23AF">
        <w:t xml:space="preserve">Tā kā bērni nav tiešie sociālo transfertu saņēmēji un ir piekritīgi pieaugušajiem, tad lielā mērā trūcīgās personas statusu ieguvušie ir nestrādājošo personu bērni. </w:t>
      </w:r>
    </w:p>
    <w:bookmarkStart w:id="250" w:name="_Toc6220095"/>
    <w:p w:rsidR="004C1854" w:rsidRPr="002809B6" w:rsidRDefault="00AD3EDD" w:rsidP="002809B6">
      <w:pPr>
        <w:spacing w:before="240" w:after="120"/>
        <w:jc w:val="left"/>
        <w:rPr>
          <w:b/>
          <w:color w:val="002060"/>
        </w:rPr>
      </w:pPr>
      <w:r w:rsidRPr="002809B6">
        <w:rPr>
          <w:b/>
          <w:color w:val="002060"/>
        </w:rPr>
        <w:fldChar w:fldCharType="begin"/>
      </w:r>
      <w:r w:rsidR="006B5456" w:rsidRPr="002809B6">
        <w:rPr>
          <w:b/>
          <w:color w:val="002060"/>
        </w:rPr>
        <w:instrText xml:space="preserve"> STYLEREF 1 \s </w:instrText>
      </w:r>
      <w:r w:rsidRPr="002809B6">
        <w:rPr>
          <w:b/>
          <w:color w:val="002060"/>
        </w:rPr>
        <w:fldChar w:fldCharType="separate"/>
      </w:r>
      <w:bookmarkStart w:id="251" w:name="_Toc6855766"/>
      <w:r w:rsidR="00224B50">
        <w:rPr>
          <w:b/>
          <w:noProof/>
          <w:color w:val="002060"/>
        </w:rPr>
        <w:t>1</w:t>
      </w:r>
      <w:r w:rsidRPr="002809B6">
        <w:rPr>
          <w:b/>
          <w:color w:val="002060"/>
        </w:rPr>
        <w:fldChar w:fldCharType="end"/>
      </w:r>
      <w:r w:rsidR="006B5456" w:rsidRPr="002809B6">
        <w:rPr>
          <w:b/>
          <w:color w:val="002060"/>
        </w:rPr>
        <w:t>.</w:t>
      </w:r>
      <w:r w:rsidRPr="002809B6">
        <w:rPr>
          <w:b/>
          <w:color w:val="002060"/>
        </w:rPr>
        <w:fldChar w:fldCharType="begin"/>
      </w:r>
      <w:r w:rsidR="000F1524" w:rsidRPr="002809B6">
        <w:rPr>
          <w:b/>
          <w:color w:val="002060"/>
        </w:rPr>
        <w:instrText xml:space="preserve"> SEQ Ilustrācija \* ARABIC \s 1 </w:instrText>
      </w:r>
      <w:r w:rsidRPr="002809B6">
        <w:rPr>
          <w:b/>
          <w:color w:val="002060"/>
        </w:rPr>
        <w:fldChar w:fldCharType="separate"/>
      </w:r>
      <w:r w:rsidR="00224B50">
        <w:rPr>
          <w:b/>
          <w:noProof/>
          <w:color w:val="002060"/>
        </w:rPr>
        <w:t>12</w:t>
      </w:r>
      <w:r w:rsidRPr="002809B6">
        <w:rPr>
          <w:b/>
          <w:color w:val="002060"/>
        </w:rPr>
        <w:fldChar w:fldCharType="end"/>
      </w:r>
      <w:r w:rsidR="00255CC4" w:rsidRPr="002809B6">
        <w:rPr>
          <w:b/>
          <w:color w:val="002060"/>
        </w:rPr>
        <w:t>. attēls. Trūcīgo personu skaits sadalījumā pa sociāli demogrāfiskajām grupām (2014 – 2016, skaits)</w:t>
      </w:r>
      <w:bookmarkEnd w:id="250"/>
      <w:bookmarkEnd w:id="251"/>
    </w:p>
    <w:p w:rsidR="00255CC4" w:rsidRDefault="006A386C" w:rsidP="004C1854">
      <w:r w:rsidRPr="00D172EA">
        <w:rPr>
          <w:noProof/>
        </w:rPr>
        <w:drawing>
          <wp:inline distT="0" distB="0" distL="0" distR="0">
            <wp:extent cx="6154420" cy="3799438"/>
            <wp:effectExtent l="1905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6154420" cy="3799438"/>
                    </a:xfrm>
                    <a:prstGeom prst="rect">
                      <a:avLst/>
                    </a:prstGeom>
                    <a:noFill/>
                    <a:ln w="9525">
                      <a:noFill/>
                      <a:miter lim="800000"/>
                      <a:headEnd/>
                      <a:tailEnd/>
                    </a:ln>
                  </pic:spPr>
                </pic:pic>
              </a:graphicData>
            </a:graphic>
          </wp:inline>
        </w:drawing>
      </w:r>
    </w:p>
    <w:p w:rsidR="0021681A" w:rsidRDefault="0021681A" w:rsidP="0021681A">
      <w:pPr>
        <w:spacing w:line="240" w:lineRule="auto"/>
        <w:rPr>
          <w:rFonts w:eastAsia="Times New Roman"/>
          <w:sz w:val="20"/>
          <w:szCs w:val="20"/>
        </w:rPr>
      </w:pPr>
      <w:r w:rsidRPr="004E69B2">
        <w:rPr>
          <w:sz w:val="20"/>
          <w:szCs w:val="20"/>
        </w:rPr>
        <w:t xml:space="preserve">Avots: LM, </w:t>
      </w:r>
      <w:r w:rsidRPr="004E69B2">
        <w:rPr>
          <w:bCs/>
          <w:sz w:val="20"/>
          <w:szCs w:val="20"/>
        </w:rPr>
        <w:t>Oficiālā statistika sociālo pakalpojumu un sociālās palīdzības jomā</w:t>
      </w:r>
      <w:r>
        <w:rPr>
          <w:bCs/>
          <w:sz w:val="20"/>
          <w:szCs w:val="20"/>
        </w:rPr>
        <w:t xml:space="preserve"> (2014-2016)</w:t>
      </w:r>
      <w:r w:rsidRPr="004E69B2">
        <w:rPr>
          <w:bCs/>
          <w:sz w:val="20"/>
          <w:szCs w:val="20"/>
        </w:rPr>
        <w:t xml:space="preserve">. </w:t>
      </w:r>
      <w:r w:rsidRPr="004E69B2">
        <w:rPr>
          <w:rFonts w:eastAsia="Times New Roman"/>
          <w:sz w:val="20"/>
          <w:szCs w:val="20"/>
        </w:rPr>
        <w:t> Ienākumu testēto pašvaldības sociālās palīdzības pabalstu saņēmēju raksturojums pēc ienākumu līmeņa uz vienu ģimenes locekli mēnesī</w:t>
      </w:r>
      <w:r>
        <w:rPr>
          <w:rFonts w:eastAsia="Times New Roman"/>
          <w:sz w:val="20"/>
          <w:szCs w:val="20"/>
        </w:rPr>
        <w:t xml:space="preserve">. </w:t>
      </w:r>
    </w:p>
    <w:p w:rsidR="0021681A" w:rsidRPr="0021681A" w:rsidRDefault="0021681A" w:rsidP="0021681A">
      <w:pPr>
        <w:spacing w:line="240" w:lineRule="auto"/>
        <w:rPr>
          <w:rFonts w:eastAsia="Times New Roman"/>
        </w:rPr>
      </w:pPr>
    </w:p>
    <w:p w:rsidR="0021681A" w:rsidRDefault="0021681A" w:rsidP="0021681A">
      <w:pPr>
        <w:rPr>
          <w:rFonts w:eastAsia="Times New Roman"/>
        </w:rPr>
      </w:pPr>
      <w:r>
        <w:rPr>
          <w:rFonts w:eastAsia="Times New Roman"/>
        </w:rPr>
        <w:t xml:space="preserve">Dinamikā nedaudz sarucis ir strādājošo trūcīgo personu īpatsvars no 13,6% 2014. gadā līdz 10,4% 2016. gadā. </w:t>
      </w:r>
      <w:r w:rsidR="00E9662B">
        <w:rPr>
          <w:rFonts w:eastAsia="Times New Roman"/>
        </w:rPr>
        <w:t>Jāņem vērā, ka šo rādītāju var ietekmēt tas,</w:t>
      </w:r>
      <w:r w:rsidR="00E9662B" w:rsidRPr="00E9662B">
        <w:t xml:space="preserve"> vai strādājošajam ir/nav apgādībā esošas </w:t>
      </w:r>
      <w:r w:rsidR="00E9662B" w:rsidRPr="00E9662B">
        <w:lastRenderedPageBreak/>
        <w:t>personas</w:t>
      </w:r>
      <w:r w:rsidR="00E9662B">
        <w:rPr>
          <w:rFonts w:eastAsia="Times New Roman"/>
        </w:rPr>
        <w:t xml:space="preserve">. </w:t>
      </w:r>
      <w:r>
        <w:rPr>
          <w:rFonts w:eastAsia="Times New Roman"/>
        </w:rPr>
        <w:t xml:space="preserve">Savukārt </w:t>
      </w:r>
      <w:r w:rsidRPr="00E07663">
        <w:rPr>
          <w:rFonts w:eastAsia="Times New Roman"/>
          <w:b/>
        </w:rPr>
        <w:t>pieaugums par 3,5 procentpunktiem ir konstatēts pensijas vecuma iedzīvotāju grupā</w:t>
      </w:r>
      <w:r>
        <w:rPr>
          <w:rFonts w:eastAsia="Times New Roman"/>
        </w:rPr>
        <w:t xml:space="preserve"> (no 10,9% 2014. gadā līdz 14,4% 2016. gadā), kas skaidrojams ar izteikti lēnajām izmaiņām šo personu ienākumos, kurus pamatā veido vecuma pensijas. Otrs lielākais pieaugums (par 3,2 procentpunktiem) ir pieaugušo </w:t>
      </w:r>
      <w:r w:rsidRPr="00E07663">
        <w:rPr>
          <w:rFonts w:eastAsia="Times New Roman"/>
          <w:b/>
        </w:rPr>
        <w:t>personu ar invaliditāti mērķa grupā</w:t>
      </w:r>
      <w:r>
        <w:rPr>
          <w:rFonts w:eastAsia="Times New Roman"/>
        </w:rPr>
        <w:t xml:space="preserve">, no 10,3% 2014. gadā līdz 14,4% 2016. gadā. </w:t>
      </w:r>
    </w:p>
    <w:bookmarkStart w:id="252" w:name="_Toc6220096"/>
    <w:p w:rsidR="00255CC4" w:rsidRPr="002809B6" w:rsidRDefault="00AD3EDD" w:rsidP="002809B6">
      <w:pPr>
        <w:spacing w:before="240" w:after="120"/>
        <w:jc w:val="left"/>
        <w:rPr>
          <w:b/>
          <w:color w:val="002060"/>
        </w:rPr>
      </w:pPr>
      <w:r w:rsidRPr="002809B6">
        <w:rPr>
          <w:b/>
          <w:color w:val="002060"/>
        </w:rPr>
        <w:fldChar w:fldCharType="begin"/>
      </w:r>
      <w:r w:rsidR="006B5456" w:rsidRPr="002809B6">
        <w:rPr>
          <w:b/>
          <w:color w:val="002060"/>
        </w:rPr>
        <w:instrText xml:space="preserve"> STYLEREF 1 \s </w:instrText>
      </w:r>
      <w:r w:rsidRPr="002809B6">
        <w:rPr>
          <w:b/>
          <w:color w:val="002060"/>
        </w:rPr>
        <w:fldChar w:fldCharType="separate"/>
      </w:r>
      <w:bookmarkStart w:id="253" w:name="_Toc6855767"/>
      <w:r w:rsidR="00224B50">
        <w:rPr>
          <w:b/>
          <w:noProof/>
          <w:color w:val="002060"/>
        </w:rPr>
        <w:t>1</w:t>
      </w:r>
      <w:r w:rsidRPr="002809B6">
        <w:rPr>
          <w:b/>
          <w:color w:val="002060"/>
        </w:rPr>
        <w:fldChar w:fldCharType="end"/>
      </w:r>
      <w:r w:rsidR="006B5456" w:rsidRPr="002809B6">
        <w:rPr>
          <w:b/>
          <w:color w:val="002060"/>
        </w:rPr>
        <w:t>.</w:t>
      </w:r>
      <w:r w:rsidRPr="002809B6">
        <w:rPr>
          <w:b/>
          <w:color w:val="002060"/>
        </w:rPr>
        <w:fldChar w:fldCharType="begin"/>
      </w:r>
      <w:r w:rsidR="000F1524" w:rsidRPr="002809B6">
        <w:rPr>
          <w:b/>
          <w:color w:val="002060"/>
        </w:rPr>
        <w:instrText xml:space="preserve"> SEQ Ilustrācija \* ARABIC \s 1 </w:instrText>
      </w:r>
      <w:r w:rsidRPr="002809B6">
        <w:rPr>
          <w:b/>
          <w:color w:val="002060"/>
        </w:rPr>
        <w:fldChar w:fldCharType="separate"/>
      </w:r>
      <w:r w:rsidR="00224B50">
        <w:rPr>
          <w:b/>
          <w:noProof/>
          <w:color w:val="002060"/>
        </w:rPr>
        <w:t>13</w:t>
      </w:r>
      <w:r w:rsidRPr="002809B6">
        <w:rPr>
          <w:b/>
          <w:color w:val="002060"/>
        </w:rPr>
        <w:fldChar w:fldCharType="end"/>
      </w:r>
      <w:r w:rsidR="00255CC4" w:rsidRPr="002809B6">
        <w:rPr>
          <w:b/>
          <w:color w:val="002060"/>
        </w:rPr>
        <w:t>. attēls. Trūcīgo personu sadalījums pa sociāli demogrāfiskajām grupām (2014 – 2016, % no kopējā skaita)</w:t>
      </w:r>
      <w:bookmarkEnd w:id="252"/>
      <w:bookmarkEnd w:id="253"/>
    </w:p>
    <w:p w:rsidR="00255CC4" w:rsidRDefault="00255CC4" w:rsidP="00255CC4">
      <w:pPr>
        <w:pStyle w:val="virsrakstslvl4"/>
      </w:pPr>
      <w:r w:rsidRPr="00D172EA">
        <w:rPr>
          <w:noProof/>
        </w:rPr>
        <w:drawing>
          <wp:inline distT="0" distB="0" distL="0" distR="0">
            <wp:extent cx="6105525" cy="3222003"/>
            <wp:effectExtent l="1905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6111192" cy="3224994"/>
                    </a:xfrm>
                    <a:prstGeom prst="rect">
                      <a:avLst/>
                    </a:prstGeom>
                    <a:noFill/>
                    <a:ln w="9525">
                      <a:noFill/>
                      <a:miter lim="800000"/>
                      <a:headEnd/>
                      <a:tailEnd/>
                    </a:ln>
                  </pic:spPr>
                </pic:pic>
              </a:graphicData>
            </a:graphic>
          </wp:inline>
        </w:drawing>
      </w:r>
    </w:p>
    <w:p w:rsidR="00255CC4" w:rsidRPr="004E69B2" w:rsidRDefault="00255CC4" w:rsidP="00255CC4">
      <w:pPr>
        <w:spacing w:line="240" w:lineRule="auto"/>
        <w:rPr>
          <w:rFonts w:eastAsia="Times New Roman"/>
          <w:sz w:val="20"/>
          <w:szCs w:val="20"/>
        </w:rPr>
      </w:pPr>
      <w:r w:rsidRPr="004E69B2">
        <w:rPr>
          <w:sz w:val="20"/>
          <w:szCs w:val="20"/>
        </w:rPr>
        <w:t xml:space="preserve">Avots: LM, </w:t>
      </w:r>
      <w:r w:rsidRPr="004E69B2">
        <w:rPr>
          <w:bCs/>
          <w:sz w:val="20"/>
          <w:szCs w:val="20"/>
        </w:rPr>
        <w:t>Oficiālā statistika sociālo pakalpojumu un sociālās palīdzības jomā</w:t>
      </w:r>
      <w:r>
        <w:rPr>
          <w:bCs/>
          <w:sz w:val="20"/>
          <w:szCs w:val="20"/>
        </w:rPr>
        <w:t xml:space="preserve"> (2014-2016)</w:t>
      </w:r>
      <w:r w:rsidRPr="004E69B2">
        <w:rPr>
          <w:bCs/>
          <w:sz w:val="20"/>
          <w:szCs w:val="20"/>
        </w:rPr>
        <w:t xml:space="preserve">. </w:t>
      </w:r>
      <w:r w:rsidRPr="004E69B2">
        <w:rPr>
          <w:rFonts w:eastAsia="Times New Roman"/>
          <w:sz w:val="20"/>
          <w:szCs w:val="20"/>
        </w:rPr>
        <w:t> Ienākumu testēto pašvaldības sociālās palīdzības pabalstu saņēmēju raksturojums pēc ienākumu līmeņa uz vienu ģimenes locekli mēnesī</w:t>
      </w:r>
      <w:r>
        <w:rPr>
          <w:rFonts w:eastAsia="Times New Roman"/>
          <w:sz w:val="20"/>
          <w:szCs w:val="20"/>
        </w:rPr>
        <w:t xml:space="preserve">. </w:t>
      </w:r>
    </w:p>
    <w:bookmarkStart w:id="254" w:name="_Toc6220097"/>
    <w:p w:rsidR="00255CC4" w:rsidRDefault="00AD3EDD" w:rsidP="008C6B83">
      <w:pPr>
        <w:pStyle w:val="Caption"/>
      </w:pPr>
      <w:r>
        <w:fldChar w:fldCharType="begin"/>
      </w:r>
      <w:r w:rsidR="00A46B54">
        <w:instrText xml:space="preserve"> STYLEREF 1 \s </w:instrText>
      </w:r>
      <w:r>
        <w:fldChar w:fldCharType="separate"/>
      </w:r>
      <w:bookmarkStart w:id="255" w:name="_Toc6857662"/>
      <w:r w:rsidR="00224B50">
        <w:rPr>
          <w:noProof/>
        </w:rPr>
        <w:t>1</w:t>
      </w:r>
      <w:r>
        <w:fldChar w:fldCharType="end"/>
      </w:r>
      <w:r w:rsidR="00A46B54">
        <w:t>.</w:t>
      </w:r>
      <w:r w:rsidR="00E21C32">
        <w:t>2</w:t>
      </w:r>
      <w:r w:rsidR="00446171">
        <w:t>6</w:t>
      </w:r>
      <w:r w:rsidR="00255CC4">
        <w:t>. tabula. Trūcīgo personu profila salīdzinājums starp lielo pilsētu* un novadu pašvaldībām 2016.gadā</w:t>
      </w:r>
      <w:bookmarkEnd w:id="254"/>
      <w:bookmarkEnd w:id="255"/>
      <w:r w:rsidR="00255CC4">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0"/>
        <w:gridCol w:w="2384"/>
        <w:gridCol w:w="992"/>
        <w:gridCol w:w="1134"/>
        <w:gridCol w:w="1134"/>
      </w:tblGrid>
      <w:tr w:rsidR="00255CC4" w:rsidRPr="00BC22F8" w:rsidTr="00BC22F8">
        <w:trPr>
          <w:trHeight w:val="300"/>
        </w:trPr>
        <w:tc>
          <w:tcPr>
            <w:tcW w:w="5954" w:type="dxa"/>
            <w:gridSpan w:val="2"/>
            <w:shd w:val="clear" w:color="auto" w:fill="B8CCE4" w:themeFill="accent1" w:themeFillTint="66"/>
            <w:noWrap/>
            <w:vAlign w:val="bottom"/>
            <w:hideMark/>
          </w:tcPr>
          <w:p w:rsidR="00255CC4" w:rsidRPr="00BC22F8" w:rsidRDefault="00255CC4" w:rsidP="00255CC4">
            <w:pPr>
              <w:spacing w:line="240" w:lineRule="auto"/>
              <w:jc w:val="left"/>
              <w:rPr>
                <w:rFonts w:eastAsia="Times New Roman"/>
                <w:b/>
                <w:bCs/>
                <w:color w:val="002060"/>
                <w:sz w:val="22"/>
                <w:szCs w:val="22"/>
                <w:lang w:eastAsia="en-US"/>
              </w:rPr>
            </w:pPr>
            <w:r w:rsidRPr="00BC22F8">
              <w:rPr>
                <w:rFonts w:eastAsia="Times New Roman"/>
                <w:b/>
                <w:bCs/>
                <w:color w:val="002060"/>
                <w:sz w:val="22"/>
                <w:szCs w:val="22"/>
                <w:lang w:eastAsia="en-US"/>
              </w:rPr>
              <w:t>Sociālā grupa</w:t>
            </w:r>
          </w:p>
        </w:tc>
        <w:tc>
          <w:tcPr>
            <w:tcW w:w="992" w:type="dxa"/>
            <w:shd w:val="clear" w:color="auto" w:fill="B8CCE4" w:themeFill="accent1" w:themeFillTint="66"/>
            <w:noWrap/>
            <w:vAlign w:val="bottom"/>
            <w:hideMark/>
          </w:tcPr>
          <w:p w:rsidR="00255CC4" w:rsidRPr="00BC22F8" w:rsidRDefault="00255CC4" w:rsidP="00255CC4">
            <w:pPr>
              <w:spacing w:line="240" w:lineRule="auto"/>
              <w:jc w:val="left"/>
              <w:rPr>
                <w:rFonts w:eastAsia="Times New Roman"/>
                <w:b/>
                <w:bCs/>
                <w:color w:val="002060"/>
                <w:sz w:val="22"/>
                <w:szCs w:val="22"/>
                <w:lang w:eastAsia="en-US"/>
              </w:rPr>
            </w:pPr>
            <w:r w:rsidRPr="00BC22F8">
              <w:rPr>
                <w:rFonts w:eastAsia="Times New Roman"/>
                <w:b/>
                <w:bCs/>
                <w:color w:val="002060"/>
                <w:sz w:val="22"/>
                <w:szCs w:val="22"/>
                <w:lang w:eastAsia="en-US"/>
              </w:rPr>
              <w:t>Kopā</w:t>
            </w:r>
          </w:p>
        </w:tc>
        <w:tc>
          <w:tcPr>
            <w:tcW w:w="1134" w:type="dxa"/>
            <w:shd w:val="clear" w:color="auto" w:fill="B8CCE4" w:themeFill="accent1" w:themeFillTint="66"/>
            <w:noWrap/>
            <w:vAlign w:val="bottom"/>
            <w:hideMark/>
          </w:tcPr>
          <w:p w:rsidR="00255CC4" w:rsidRPr="00BC22F8" w:rsidRDefault="00255CC4" w:rsidP="00255CC4">
            <w:pPr>
              <w:spacing w:line="240" w:lineRule="auto"/>
              <w:jc w:val="left"/>
              <w:rPr>
                <w:rFonts w:eastAsia="Times New Roman"/>
                <w:b/>
                <w:bCs/>
                <w:color w:val="002060"/>
                <w:sz w:val="22"/>
                <w:szCs w:val="22"/>
                <w:lang w:eastAsia="en-US"/>
              </w:rPr>
            </w:pPr>
            <w:r w:rsidRPr="00BC22F8">
              <w:rPr>
                <w:rFonts w:eastAsia="Times New Roman"/>
                <w:b/>
                <w:bCs/>
                <w:color w:val="002060"/>
                <w:sz w:val="22"/>
                <w:szCs w:val="22"/>
                <w:lang w:eastAsia="en-US"/>
              </w:rPr>
              <w:t>Pilsētās</w:t>
            </w:r>
          </w:p>
        </w:tc>
        <w:tc>
          <w:tcPr>
            <w:tcW w:w="1134" w:type="dxa"/>
            <w:shd w:val="clear" w:color="auto" w:fill="B8CCE4" w:themeFill="accent1" w:themeFillTint="66"/>
            <w:noWrap/>
            <w:vAlign w:val="bottom"/>
            <w:hideMark/>
          </w:tcPr>
          <w:p w:rsidR="00255CC4" w:rsidRPr="00BC22F8" w:rsidRDefault="00255CC4" w:rsidP="00255CC4">
            <w:pPr>
              <w:spacing w:line="240" w:lineRule="auto"/>
              <w:jc w:val="left"/>
              <w:rPr>
                <w:rFonts w:eastAsia="Times New Roman"/>
                <w:b/>
                <w:bCs/>
                <w:color w:val="002060"/>
                <w:sz w:val="22"/>
                <w:szCs w:val="22"/>
                <w:lang w:eastAsia="en-US"/>
              </w:rPr>
            </w:pPr>
            <w:r w:rsidRPr="00BC22F8">
              <w:rPr>
                <w:rFonts w:eastAsia="Times New Roman"/>
                <w:b/>
                <w:bCs/>
                <w:color w:val="002060"/>
                <w:sz w:val="22"/>
                <w:szCs w:val="22"/>
                <w:lang w:eastAsia="en-US"/>
              </w:rPr>
              <w:t>Novados</w:t>
            </w:r>
          </w:p>
        </w:tc>
      </w:tr>
      <w:tr w:rsidR="00255CC4" w:rsidRPr="00E83AF4" w:rsidTr="00255CC4">
        <w:trPr>
          <w:trHeight w:val="300"/>
        </w:trPr>
        <w:tc>
          <w:tcPr>
            <w:tcW w:w="5954" w:type="dxa"/>
            <w:gridSpan w:val="2"/>
            <w:shd w:val="clear" w:color="auto" w:fill="F2F2F2" w:themeFill="background1" w:themeFillShade="F2"/>
            <w:noWrap/>
            <w:vAlign w:val="center"/>
            <w:hideMark/>
          </w:tcPr>
          <w:p w:rsidR="00255CC4" w:rsidRPr="00E83AF4" w:rsidRDefault="00255CC4" w:rsidP="00255CC4">
            <w:pPr>
              <w:spacing w:line="240" w:lineRule="auto"/>
              <w:jc w:val="left"/>
              <w:rPr>
                <w:rFonts w:eastAsia="Times New Roman"/>
                <w:color w:val="000000"/>
                <w:sz w:val="22"/>
                <w:szCs w:val="22"/>
                <w:lang w:eastAsia="en-US"/>
              </w:rPr>
            </w:pPr>
            <w:r w:rsidRPr="00E83AF4">
              <w:rPr>
                <w:rFonts w:eastAsia="Times New Roman"/>
                <w:color w:val="000000"/>
                <w:sz w:val="22"/>
                <w:szCs w:val="22"/>
                <w:lang w:eastAsia="en-US"/>
              </w:rPr>
              <w:t>Person</w:t>
            </w:r>
            <w:r>
              <w:rPr>
                <w:rFonts w:eastAsia="Times New Roman"/>
                <w:color w:val="000000"/>
                <w:sz w:val="22"/>
                <w:szCs w:val="22"/>
                <w:lang w:eastAsia="en-US"/>
              </w:rPr>
              <w:t xml:space="preserve">as ar </w:t>
            </w:r>
            <w:r w:rsidRPr="00E83AF4">
              <w:rPr>
                <w:rFonts w:eastAsia="Times New Roman"/>
                <w:color w:val="000000"/>
                <w:sz w:val="22"/>
                <w:szCs w:val="22"/>
                <w:lang w:eastAsia="en-US"/>
              </w:rPr>
              <w:t xml:space="preserve"> trūcīgās ģimenes (personas) </w:t>
            </w:r>
            <w:r>
              <w:rPr>
                <w:rFonts w:eastAsia="Times New Roman"/>
                <w:color w:val="000000"/>
                <w:sz w:val="22"/>
                <w:szCs w:val="22"/>
                <w:lang w:eastAsia="en-US"/>
              </w:rPr>
              <w:t>statusu</w:t>
            </w:r>
            <w:r w:rsidRPr="00E83AF4">
              <w:rPr>
                <w:rFonts w:eastAsia="Times New Roman"/>
                <w:color w:val="000000"/>
                <w:sz w:val="22"/>
                <w:szCs w:val="22"/>
                <w:lang w:eastAsia="en-US"/>
              </w:rPr>
              <w:t>, kopējais skaits</w:t>
            </w:r>
          </w:p>
        </w:tc>
        <w:tc>
          <w:tcPr>
            <w:tcW w:w="992" w:type="dxa"/>
            <w:shd w:val="clear" w:color="auto" w:fill="F2F2F2" w:themeFill="background1" w:themeFillShade="F2"/>
            <w:noWrap/>
            <w:vAlign w:val="center"/>
            <w:hideMark/>
          </w:tcPr>
          <w:p w:rsidR="00255CC4" w:rsidRPr="00E83AF4" w:rsidRDefault="00255CC4" w:rsidP="00255CC4">
            <w:pPr>
              <w:spacing w:line="240" w:lineRule="auto"/>
              <w:jc w:val="center"/>
              <w:rPr>
                <w:rFonts w:eastAsia="Times New Roman"/>
                <w:b/>
                <w:color w:val="000000"/>
                <w:sz w:val="22"/>
                <w:szCs w:val="22"/>
                <w:lang w:eastAsia="en-US"/>
              </w:rPr>
            </w:pPr>
            <w:r w:rsidRPr="00E83AF4">
              <w:rPr>
                <w:rFonts w:eastAsia="Times New Roman"/>
                <w:color w:val="000000"/>
                <w:sz w:val="22"/>
                <w:szCs w:val="22"/>
                <w:lang w:eastAsia="en-US"/>
              </w:rPr>
              <w:t>68</w:t>
            </w:r>
            <w:r>
              <w:rPr>
                <w:rFonts w:eastAsia="Times New Roman"/>
                <w:color w:val="000000"/>
                <w:sz w:val="22"/>
                <w:szCs w:val="22"/>
                <w:lang w:eastAsia="en-US"/>
              </w:rPr>
              <w:t xml:space="preserve"> </w:t>
            </w:r>
            <w:r w:rsidRPr="00E83AF4">
              <w:rPr>
                <w:rFonts w:eastAsia="Times New Roman"/>
                <w:color w:val="000000"/>
                <w:sz w:val="22"/>
                <w:szCs w:val="22"/>
                <w:lang w:eastAsia="en-US"/>
              </w:rPr>
              <w:t>816</w:t>
            </w:r>
          </w:p>
        </w:tc>
        <w:tc>
          <w:tcPr>
            <w:tcW w:w="1134" w:type="dxa"/>
            <w:shd w:val="clear" w:color="auto" w:fill="F2F2F2" w:themeFill="background1" w:themeFillShade="F2"/>
            <w:noWrap/>
            <w:vAlign w:val="center"/>
            <w:hideMark/>
          </w:tcPr>
          <w:p w:rsidR="00255CC4" w:rsidRPr="00E83AF4" w:rsidRDefault="00255CC4" w:rsidP="00255CC4">
            <w:pPr>
              <w:spacing w:line="240" w:lineRule="auto"/>
              <w:jc w:val="center"/>
              <w:rPr>
                <w:rFonts w:eastAsia="Times New Roman"/>
                <w:color w:val="000000"/>
                <w:sz w:val="22"/>
                <w:szCs w:val="22"/>
                <w:lang w:eastAsia="en-US"/>
              </w:rPr>
            </w:pPr>
            <w:r w:rsidRPr="00E83AF4">
              <w:rPr>
                <w:rFonts w:eastAsia="Times New Roman"/>
                <w:color w:val="000000"/>
                <w:sz w:val="22"/>
                <w:szCs w:val="22"/>
                <w:lang w:eastAsia="en-US"/>
              </w:rPr>
              <w:t>23 414</w:t>
            </w:r>
          </w:p>
        </w:tc>
        <w:tc>
          <w:tcPr>
            <w:tcW w:w="1134" w:type="dxa"/>
            <w:shd w:val="clear" w:color="auto" w:fill="F2F2F2" w:themeFill="background1" w:themeFillShade="F2"/>
            <w:noWrap/>
            <w:vAlign w:val="center"/>
            <w:hideMark/>
          </w:tcPr>
          <w:p w:rsidR="00255CC4" w:rsidRPr="00E83AF4" w:rsidRDefault="00255CC4" w:rsidP="00255CC4">
            <w:pPr>
              <w:spacing w:line="240" w:lineRule="auto"/>
              <w:jc w:val="center"/>
              <w:rPr>
                <w:rFonts w:eastAsia="Times New Roman"/>
                <w:color w:val="000000"/>
                <w:sz w:val="22"/>
                <w:szCs w:val="22"/>
                <w:lang w:eastAsia="en-US"/>
              </w:rPr>
            </w:pPr>
            <w:r w:rsidRPr="00E83AF4">
              <w:rPr>
                <w:rFonts w:eastAsia="Times New Roman"/>
                <w:color w:val="000000"/>
                <w:sz w:val="22"/>
                <w:szCs w:val="22"/>
                <w:lang w:eastAsia="en-US"/>
              </w:rPr>
              <w:t>45 402</w:t>
            </w:r>
          </w:p>
        </w:tc>
      </w:tr>
      <w:tr w:rsidR="00255CC4" w:rsidRPr="00E83AF4" w:rsidTr="00255CC4">
        <w:trPr>
          <w:trHeight w:val="300"/>
        </w:trPr>
        <w:tc>
          <w:tcPr>
            <w:tcW w:w="5954" w:type="dxa"/>
            <w:gridSpan w:val="2"/>
            <w:shd w:val="clear" w:color="auto" w:fill="auto"/>
            <w:noWrap/>
            <w:vAlign w:val="center"/>
            <w:hideMark/>
          </w:tcPr>
          <w:p w:rsidR="00255CC4" w:rsidRPr="00E83AF4" w:rsidRDefault="00255CC4" w:rsidP="00255CC4">
            <w:pPr>
              <w:spacing w:line="240" w:lineRule="auto"/>
              <w:jc w:val="left"/>
              <w:rPr>
                <w:rFonts w:eastAsia="Times New Roman"/>
                <w:color w:val="000000"/>
                <w:sz w:val="22"/>
                <w:szCs w:val="22"/>
                <w:lang w:eastAsia="en-US"/>
              </w:rPr>
            </w:pPr>
            <w:r w:rsidRPr="00E83AF4">
              <w:rPr>
                <w:rFonts w:eastAsia="Times New Roman"/>
                <w:color w:val="000000"/>
                <w:sz w:val="22"/>
                <w:szCs w:val="22"/>
                <w:lang w:eastAsia="en-US"/>
              </w:rPr>
              <w:t>Person</w:t>
            </w:r>
            <w:r>
              <w:rPr>
                <w:rFonts w:eastAsia="Times New Roman"/>
                <w:color w:val="000000"/>
                <w:sz w:val="22"/>
                <w:szCs w:val="22"/>
                <w:lang w:eastAsia="en-US"/>
              </w:rPr>
              <w:t xml:space="preserve">as ar </w:t>
            </w:r>
            <w:r w:rsidRPr="00E83AF4">
              <w:rPr>
                <w:rFonts w:eastAsia="Times New Roman"/>
                <w:color w:val="000000"/>
                <w:sz w:val="22"/>
                <w:szCs w:val="22"/>
                <w:lang w:eastAsia="en-US"/>
              </w:rPr>
              <w:t xml:space="preserve"> trūcīgās ģimenes (personas) </w:t>
            </w:r>
            <w:r>
              <w:rPr>
                <w:rFonts w:eastAsia="Times New Roman"/>
                <w:color w:val="000000"/>
                <w:sz w:val="22"/>
                <w:szCs w:val="22"/>
                <w:lang w:eastAsia="en-US"/>
              </w:rPr>
              <w:t>statusu</w:t>
            </w:r>
            <w:r w:rsidRPr="00E83AF4">
              <w:rPr>
                <w:rFonts w:eastAsia="Times New Roman"/>
                <w:color w:val="000000"/>
                <w:sz w:val="22"/>
                <w:szCs w:val="22"/>
                <w:lang w:eastAsia="en-US"/>
              </w:rPr>
              <w:t>, %</w:t>
            </w:r>
          </w:p>
        </w:tc>
        <w:tc>
          <w:tcPr>
            <w:tcW w:w="992" w:type="dxa"/>
            <w:shd w:val="clear" w:color="auto" w:fill="auto"/>
            <w:noWrap/>
            <w:vAlign w:val="center"/>
            <w:hideMark/>
          </w:tcPr>
          <w:p w:rsidR="00255CC4" w:rsidRPr="00E83AF4" w:rsidRDefault="00255CC4" w:rsidP="00255CC4">
            <w:pPr>
              <w:spacing w:line="240" w:lineRule="auto"/>
              <w:jc w:val="center"/>
              <w:rPr>
                <w:rFonts w:eastAsia="Times New Roman"/>
                <w:color w:val="000000"/>
                <w:sz w:val="22"/>
                <w:szCs w:val="22"/>
                <w:lang w:eastAsia="en-US"/>
              </w:rPr>
            </w:pPr>
            <w:r w:rsidRPr="00E83AF4">
              <w:rPr>
                <w:rFonts w:eastAsia="Times New Roman"/>
                <w:color w:val="000000"/>
                <w:sz w:val="22"/>
                <w:szCs w:val="22"/>
                <w:lang w:eastAsia="en-US"/>
              </w:rPr>
              <w:t>100</w:t>
            </w:r>
          </w:p>
        </w:tc>
        <w:tc>
          <w:tcPr>
            <w:tcW w:w="1134" w:type="dxa"/>
            <w:shd w:val="clear" w:color="auto" w:fill="auto"/>
            <w:noWrap/>
            <w:vAlign w:val="center"/>
            <w:hideMark/>
          </w:tcPr>
          <w:p w:rsidR="00255CC4" w:rsidRPr="00E83AF4" w:rsidRDefault="00255CC4" w:rsidP="00255CC4">
            <w:pPr>
              <w:spacing w:line="240" w:lineRule="auto"/>
              <w:jc w:val="center"/>
              <w:rPr>
                <w:rFonts w:eastAsia="Times New Roman"/>
                <w:color w:val="000000"/>
                <w:sz w:val="22"/>
                <w:szCs w:val="22"/>
                <w:lang w:eastAsia="en-US"/>
              </w:rPr>
            </w:pPr>
            <w:r w:rsidRPr="00E83AF4">
              <w:rPr>
                <w:rFonts w:eastAsia="Times New Roman"/>
                <w:color w:val="000000"/>
                <w:sz w:val="22"/>
                <w:szCs w:val="22"/>
                <w:lang w:eastAsia="en-US"/>
              </w:rPr>
              <w:t>34</w:t>
            </w:r>
          </w:p>
        </w:tc>
        <w:tc>
          <w:tcPr>
            <w:tcW w:w="1134" w:type="dxa"/>
            <w:shd w:val="clear" w:color="auto" w:fill="auto"/>
            <w:noWrap/>
            <w:vAlign w:val="center"/>
            <w:hideMark/>
          </w:tcPr>
          <w:p w:rsidR="00255CC4" w:rsidRPr="00E83AF4" w:rsidRDefault="00255CC4" w:rsidP="00255CC4">
            <w:pPr>
              <w:spacing w:line="240" w:lineRule="auto"/>
              <w:jc w:val="center"/>
              <w:rPr>
                <w:rFonts w:eastAsia="Times New Roman"/>
                <w:color w:val="000000"/>
                <w:sz w:val="22"/>
                <w:szCs w:val="22"/>
                <w:lang w:eastAsia="en-US"/>
              </w:rPr>
            </w:pPr>
            <w:r w:rsidRPr="00E83AF4">
              <w:rPr>
                <w:rFonts w:eastAsia="Times New Roman"/>
                <w:color w:val="000000"/>
                <w:sz w:val="22"/>
                <w:szCs w:val="22"/>
                <w:lang w:eastAsia="en-US"/>
              </w:rPr>
              <w:t>66</w:t>
            </w:r>
          </w:p>
        </w:tc>
      </w:tr>
      <w:tr w:rsidR="00255CC4" w:rsidRPr="00E83AF4" w:rsidTr="007D23AF">
        <w:trPr>
          <w:trHeight w:val="300"/>
        </w:trPr>
        <w:tc>
          <w:tcPr>
            <w:tcW w:w="3570" w:type="dxa"/>
            <w:vMerge w:val="restart"/>
            <w:shd w:val="clear" w:color="auto" w:fill="auto"/>
            <w:noWrap/>
            <w:vAlign w:val="center"/>
            <w:hideMark/>
          </w:tcPr>
          <w:p w:rsidR="00255CC4" w:rsidRPr="00E83AF4" w:rsidRDefault="00255CC4" w:rsidP="00255CC4">
            <w:pPr>
              <w:spacing w:line="240" w:lineRule="auto"/>
              <w:jc w:val="left"/>
              <w:rPr>
                <w:rFonts w:eastAsia="Times New Roman"/>
                <w:b/>
                <w:color w:val="000000"/>
                <w:sz w:val="22"/>
                <w:szCs w:val="22"/>
                <w:lang w:eastAsia="en-US"/>
              </w:rPr>
            </w:pPr>
            <w:r w:rsidRPr="00E83AF4">
              <w:rPr>
                <w:rFonts w:eastAsia="Times New Roman"/>
                <w:b/>
                <w:color w:val="000000"/>
                <w:sz w:val="22"/>
                <w:szCs w:val="22"/>
                <w:lang w:eastAsia="en-US"/>
              </w:rPr>
              <w:t>Bērni</w:t>
            </w:r>
            <w:r>
              <w:rPr>
                <w:rFonts w:eastAsia="Times New Roman"/>
                <w:b/>
                <w:color w:val="000000"/>
                <w:sz w:val="22"/>
                <w:szCs w:val="22"/>
                <w:lang w:eastAsia="en-US"/>
              </w:rPr>
              <w:t>, %</w:t>
            </w:r>
          </w:p>
        </w:tc>
        <w:tc>
          <w:tcPr>
            <w:tcW w:w="2384" w:type="dxa"/>
            <w:shd w:val="clear" w:color="auto" w:fill="D9D9D9" w:themeFill="background1" w:themeFillShade="D9"/>
            <w:noWrap/>
            <w:vAlign w:val="center"/>
            <w:hideMark/>
          </w:tcPr>
          <w:p w:rsidR="00255CC4" w:rsidRPr="00E83AF4" w:rsidRDefault="00255CC4" w:rsidP="00255CC4">
            <w:pPr>
              <w:spacing w:line="240" w:lineRule="auto"/>
              <w:jc w:val="left"/>
              <w:rPr>
                <w:rFonts w:eastAsia="Times New Roman"/>
                <w:color w:val="000000"/>
                <w:sz w:val="22"/>
                <w:szCs w:val="22"/>
                <w:lang w:eastAsia="en-US"/>
              </w:rPr>
            </w:pPr>
            <w:r w:rsidRPr="00E83AF4">
              <w:rPr>
                <w:rFonts w:eastAsia="Times New Roman"/>
                <w:color w:val="000000"/>
                <w:sz w:val="22"/>
                <w:szCs w:val="22"/>
                <w:lang w:eastAsia="en-US"/>
              </w:rPr>
              <w:t xml:space="preserve">bērni </w:t>
            </w:r>
          </w:p>
        </w:tc>
        <w:tc>
          <w:tcPr>
            <w:tcW w:w="992" w:type="dxa"/>
            <w:shd w:val="clear" w:color="auto" w:fill="D9D9D9" w:themeFill="background1" w:themeFillShade="D9"/>
            <w:noWrap/>
            <w:vAlign w:val="center"/>
            <w:hideMark/>
          </w:tcPr>
          <w:p w:rsidR="00255CC4" w:rsidRPr="00E83AF4" w:rsidRDefault="00255CC4" w:rsidP="00255CC4">
            <w:pPr>
              <w:spacing w:line="240" w:lineRule="auto"/>
              <w:jc w:val="center"/>
              <w:rPr>
                <w:rFonts w:eastAsia="Times New Roman"/>
                <w:color w:val="000000"/>
                <w:sz w:val="22"/>
                <w:szCs w:val="22"/>
                <w:lang w:eastAsia="en-US"/>
              </w:rPr>
            </w:pPr>
            <w:r w:rsidRPr="00E83AF4">
              <w:rPr>
                <w:rFonts w:eastAsia="Times New Roman"/>
                <w:color w:val="000000"/>
                <w:sz w:val="22"/>
                <w:szCs w:val="22"/>
                <w:lang w:eastAsia="en-US"/>
              </w:rPr>
              <w:t>28,7</w:t>
            </w:r>
          </w:p>
        </w:tc>
        <w:tc>
          <w:tcPr>
            <w:tcW w:w="1134" w:type="dxa"/>
            <w:shd w:val="clear" w:color="auto" w:fill="D9D9D9" w:themeFill="background1" w:themeFillShade="D9"/>
            <w:noWrap/>
            <w:vAlign w:val="center"/>
            <w:hideMark/>
          </w:tcPr>
          <w:p w:rsidR="00255CC4" w:rsidRPr="00E83AF4" w:rsidRDefault="00255CC4" w:rsidP="00255CC4">
            <w:pPr>
              <w:spacing w:line="240" w:lineRule="auto"/>
              <w:jc w:val="center"/>
              <w:rPr>
                <w:rFonts w:eastAsia="Times New Roman"/>
                <w:color w:val="000000"/>
                <w:sz w:val="22"/>
                <w:szCs w:val="22"/>
                <w:lang w:eastAsia="en-US"/>
              </w:rPr>
            </w:pPr>
            <w:r w:rsidRPr="00E83AF4">
              <w:rPr>
                <w:rFonts w:eastAsia="Times New Roman"/>
                <w:color w:val="000000"/>
                <w:sz w:val="22"/>
                <w:szCs w:val="22"/>
                <w:lang w:eastAsia="en-US"/>
              </w:rPr>
              <w:t>29,4</w:t>
            </w:r>
          </w:p>
        </w:tc>
        <w:tc>
          <w:tcPr>
            <w:tcW w:w="1134" w:type="dxa"/>
            <w:shd w:val="clear" w:color="auto" w:fill="D9D9D9" w:themeFill="background1" w:themeFillShade="D9"/>
            <w:noWrap/>
            <w:vAlign w:val="center"/>
            <w:hideMark/>
          </w:tcPr>
          <w:p w:rsidR="00255CC4" w:rsidRPr="00E83AF4" w:rsidRDefault="00255CC4" w:rsidP="00255CC4">
            <w:pPr>
              <w:spacing w:line="240" w:lineRule="auto"/>
              <w:jc w:val="center"/>
              <w:rPr>
                <w:rFonts w:eastAsia="Times New Roman"/>
                <w:color w:val="000000"/>
                <w:sz w:val="22"/>
                <w:szCs w:val="22"/>
                <w:lang w:eastAsia="en-US"/>
              </w:rPr>
            </w:pPr>
            <w:r w:rsidRPr="00E83AF4">
              <w:rPr>
                <w:rFonts w:eastAsia="Times New Roman"/>
                <w:color w:val="000000"/>
                <w:sz w:val="22"/>
                <w:szCs w:val="22"/>
                <w:lang w:eastAsia="en-US"/>
              </w:rPr>
              <w:t>30,8</w:t>
            </w:r>
          </w:p>
        </w:tc>
      </w:tr>
      <w:tr w:rsidR="00255CC4" w:rsidRPr="00E83AF4" w:rsidTr="00255CC4">
        <w:trPr>
          <w:trHeight w:val="300"/>
        </w:trPr>
        <w:tc>
          <w:tcPr>
            <w:tcW w:w="3570" w:type="dxa"/>
            <w:vMerge/>
            <w:vAlign w:val="center"/>
            <w:hideMark/>
          </w:tcPr>
          <w:p w:rsidR="00255CC4" w:rsidRPr="00E83AF4" w:rsidRDefault="00255CC4" w:rsidP="00255CC4">
            <w:pPr>
              <w:spacing w:line="240" w:lineRule="auto"/>
              <w:jc w:val="left"/>
              <w:rPr>
                <w:rFonts w:eastAsia="Times New Roman"/>
                <w:color w:val="000000"/>
                <w:sz w:val="22"/>
                <w:szCs w:val="22"/>
                <w:lang w:eastAsia="en-US"/>
              </w:rPr>
            </w:pPr>
          </w:p>
        </w:tc>
        <w:tc>
          <w:tcPr>
            <w:tcW w:w="2384" w:type="dxa"/>
            <w:shd w:val="clear" w:color="auto" w:fill="auto"/>
            <w:noWrap/>
            <w:vAlign w:val="center"/>
            <w:hideMark/>
          </w:tcPr>
          <w:p w:rsidR="00255CC4" w:rsidRPr="00E83AF4" w:rsidRDefault="00255CC4" w:rsidP="00255CC4">
            <w:pPr>
              <w:spacing w:line="240" w:lineRule="auto"/>
              <w:jc w:val="left"/>
              <w:rPr>
                <w:rFonts w:eastAsia="Times New Roman"/>
                <w:color w:val="000000"/>
                <w:sz w:val="22"/>
                <w:szCs w:val="22"/>
                <w:lang w:eastAsia="en-US"/>
              </w:rPr>
            </w:pPr>
            <w:r w:rsidRPr="00E83AF4">
              <w:rPr>
                <w:rFonts w:eastAsia="Times New Roman"/>
                <w:color w:val="000000"/>
                <w:sz w:val="22"/>
                <w:szCs w:val="22"/>
                <w:lang w:eastAsia="en-US"/>
              </w:rPr>
              <w:t>bērni bez invaliditātes</w:t>
            </w:r>
          </w:p>
        </w:tc>
        <w:tc>
          <w:tcPr>
            <w:tcW w:w="992" w:type="dxa"/>
            <w:shd w:val="clear" w:color="auto" w:fill="auto"/>
            <w:noWrap/>
            <w:vAlign w:val="center"/>
            <w:hideMark/>
          </w:tcPr>
          <w:p w:rsidR="00255CC4" w:rsidRPr="00E83AF4" w:rsidRDefault="00255CC4" w:rsidP="00255CC4">
            <w:pPr>
              <w:spacing w:line="240" w:lineRule="auto"/>
              <w:jc w:val="center"/>
              <w:rPr>
                <w:rFonts w:eastAsia="Times New Roman"/>
                <w:color w:val="000000"/>
                <w:sz w:val="22"/>
                <w:szCs w:val="22"/>
                <w:lang w:eastAsia="en-US"/>
              </w:rPr>
            </w:pPr>
            <w:r w:rsidRPr="00E83AF4">
              <w:rPr>
                <w:rFonts w:eastAsia="Times New Roman"/>
                <w:color w:val="000000"/>
                <w:sz w:val="22"/>
                <w:szCs w:val="22"/>
                <w:lang w:eastAsia="en-US"/>
              </w:rPr>
              <w:t>27,2</w:t>
            </w:r>
          </w:p>
        </w:tc>
        <w:tc>
          <w:tcPr>
            <w:tcW w:w="1134" w:type="dxa"/>
            <w:shd w:val="clear" w:color="auto" w:fill="auto"/>
            <w:noWrap/>
            <w:vAlign w:val="center"/>
            <w:hideMark/>
          </w:tcPr>
          <w:p w:rsidR="00255CC4" w:rsidRPr="00E83AF4" w:rsidRDefault="00255CC4" w:rsidP="00255CC4">
            <w:pPr>
              <w:spacing w:line="240" w:lineRule="auto"/>
              <w:jc w:val="center"/>
              <w:rPr>
                <w:rFonts w:eastAsia="Times New Roman"/>
                <w:color w:val="000000"/>
                <w:sz w:val="22"/>
                <w:szCs w:val="22"/>
                <w:lang w:eastAsia="en-US"/>
              </w:rPr>
            </w:pPr>
            <w:r w:rsidRPr="00E83AF4">
              <w:rPr>
                <w:rFonts w:eastAsia="Times New Roman"/>
                <w:color w:val="000000"/>
                <w:sz w:val="22"/>
                <w:szCs w:val="22"/>
                <w:lang w:eastAsia="en-US"/>
              </w:rPr>
              <w:t>27,7</w:t>
            </w:r>
          </w:p>
        </w:tc>
        <w:tc>
          <w:tcPr>
            <w:tcW w:w="1134" w:type="dxa"/>
            <w:shd w:val="clear" w:color="auto" w:fill="auto"/>
            <w:noWrap/>
            <w:vAlign w:val="center"/>
            <w:hideMark/>
          </w:tcPr>
          <w:p w:rsidR="00255CC4" w:rsidRPr="00E83AF4" w:rsidRDefault="00255CC4" w:rsidP="00255CC4">
            <w:pPr>
              <w:spacing w:line="240" w:lineRule="auto"/>
              <w:jc w:val="center"/>
              <w:rPr>
                <w:rFonts w:eastAsia="Times New Roman"/>
                <w:color w:val="000000"/>
                <w:sz w:val="22"/>
                <w:szCs w:val="22"/>
                <w:lang w:eastAsia="en-US"/>
              </w:rPr>
            </w:pPr>
            <w:r w:rsidRPr="00E83AF4">
              <w:rPr>
                <w:rFonts w:eastAsia="Times New Roman"/>
                <w:color w:val="000000"/>
                <w:sz w:val="22"/>
                <w:szCs w:val="22"/>
                <w:lang w:eastAsia="en-US"/>
              </w:rPr>
              <w:t>29,2</w:t>
            </w:r>
          </w:p>
        </w:tc>
      </w:tr>
      <w:tr w:rsidR="00255CC4" w:rsidRPr="00E83AF4" w:rsidTr="00255CC4">
        <w:trPr>
          <w:trHeight w:val="300"/>
        </w:trPr>
        <w:tc>
          <w:tcPr>
            <w:tcW w:w="3570" w:type="dxa"/>
            <w:vMerge/>
            <w:vAlign w:val="center"/>
            <w:hideMark/>
          </w:tcPr>
          <w:p w:rsidR="00255CC4" w:rsidRPr="00E83AF4" w:rsidRDefault="00255CC4" w:rsidP="00255CC4">
            <w:pPr>
              <w:spacing w:line="240" w:lineRule="auto"/>
              <w:jc w:val="left"/>
              <w:rPr>
                <w:rFonts w:eastAsia="Times New Roman"/>
                <w:color w:val="000000"/>
                <w:sz w:val="22"/>
                <w:szCs w:val="22"/>
                <w:lang w:eastAsia="en-US"/>
              </w:rPr>
            </w:pPr>
          </w:p>
        </w:tc>
        <w:tc>
          <w:tcPr>
            <w:tcW w:w="2384" w:type="dxa"/>
            <w:shd w:val="clear" w:color="auto" w:fill="auto"/>
            <w:noWrap/>
            <w:vAlign w:val="center"/>
            <w:hideMark/>
          </w:tcPr>
          <w:p w:rsidR="00255CC4" w:rsidRPr="00E83AF4" w:rsidRDefault="00255CC4" w:rsidP="00255CC4">
            <w:pPr>
              <w:spacing w:line="240" w:lineRule="auto"/>
              <w:jc w:val="left"/>
              <w:rPr>
                <w:rFonts w:eastAsia="Times New Roman"/>
                <w:color w:val="000000"/>
                <w:sz w:val="22"/>
                <w:szCs w:val="22"/>
                <w:lang w:eastAsia="en-US"/>
              </w:rPr>
            </w:pPr>
            <w:r w:rsidRPr="00E83AF4">
              <w:rPr>
                <w:rFonts w:eastAsia="Times New Roman"/>
                <w:color w:val="000000"/>
                <w:sz w:val="22"/>
                <w:szCs w:val="22"/>
                <w:lang w:eastAsia="en-US"/>
              </w:rPr>
              <w:t>bērni ar invaliditāti</w:t>
            </w:r>
          </w:p>
        </w:tc>
        <w:tc>
          <w:tcPr>
            <w:tcW w:w="992" w:type="dxa"/>
            <w:shd w:val="clear" w:color="auto" w:fill="auto"/>
            <w:noWrap/>
            <w:vAlign w:val="center"/>
            <w:hideMark/>
          </w:tcPr>
          <w:p w:rsidR="00255CC4" w:rsidRPr="00E83AF4" w:rsidRDefault="00255CC4" w:rsidP="00255CC4">
            <w:pPr>
              <w:spacing w:line="240" w:lineRule="auto"/>
              <w:jc w:val="center"/>
              <w:rPr>
                <w:rFonts w:eastAsia="Times New Roman"/>
                <w:color w:val="000000"/>
                <w:sz w:val="22"/>
                <w:szCs w:val="22"/>
                <w:lang w:eastAsia="en-US"/>
              </w:rPr>
            </w:pPr>
            <w:r w:rsidRPr="00E83AF4">
              <w:rPr>
                <w:rFonts w:eastAsia="Times New Roman"/>
                <w:color w:val="000000"/>
                <w:sz w:val="22"/>
                <w:szCs w:val="22"/>
                <w:lang w:eastAsia="en-US"/>
              </w:rPr>
              <w:t>1,6</w:t>
            </w:r>
          </w:p>
        </w:tc>
        <w:tc>
          <w:tcPr>
            <w:tcW w:w="1134" w:type="dxa"/>
            <w:shd w:val="clear" w:color="auto" w:fill="auto"/>
            <w:noWrap/>
            <w:vAlign w:val="center"/>
            <w:hideMark/>
          </w:tcPr>
          <w:p w:rsidR="00255CC4" w:rsidRPr="00E83AF4" w:rsidRDefault="00255CC4" w:rsidP="00255CC4">
            <w:pPr>
              <w:spacing w:line="240" w:lineRule="auto"/>
              <w:jc w:val="center"/>
              <w:rPr>
                <w:rFonts w:eastAsia="Times New Roman"/>
                <w:color w:val="000000"/>
                <w:sz w:val="22"/>
                <w:szCs w:val="22"/>
                <w:lang w:eastAsia="en-US"/>
              </w:rPr>
            </w:pPr>
            <w:r w:rsidRPr="00E83AF4">
              <w:rPr>
                <w:rFonts w:eastAsia="Times New Roman"/>
                <w:color w:val="000000"/>
                <w:sz w:val="22"/>
                <w:szCs w:val="22"/>
                <w:lang w:eastAsia="en-US"/>
              </w:rPr>
              <w:t>1,7</w:t>
            </w:r>
          </w:p>
        </w:tc>
        <w:tc>
          <w:tcPr>
            <w:tcW w:w="1134" w:type="dxa"/>
            <w:shd w:val="clear" w:color="auto" w:fill="auto"/>
            <w:noWrap/>
            <w:vAlign w:val="center"/>
            <w:hideMark/>
          </w:tcPr>
          <w:p w:rsidR="00255CC4" w:rsidRPr="00E83AF4" w:rsidRDefault="00255CC4" w:rsidP="00255CC4">
            <w:pPr>
              <w:spacing w:line="240" w:lineRule="auto"/>
              <w:jc w:val="center"/>
              <w:rPr>
                <w:rFonts w:eastAsia="Times New Roman"/>
                <w:color w:val="000000"/>
                <w:sz w:val="22"/>
                <w:szCs w:val="22"/>
                <w:lang w:eastAsia="en-US"/>
              </w:rPr>
            </w:pPr>
            <w:r w:rsidRPr="00E83AF4">
              <w:rPr>
                <w:rFonts w:eastAsia="Times New Roman"/>
                <w:color w:val="000000"/>
                <w:sz w:val="22"/>
                <w:szCs w:val="22"/>
                <w:lang w:eastAsia="en-US"/>
              </w:rPr>
              <w:t>1,5</w:t>
            </w:r>
          </w:p>
        </w:tc>
      </w:tr>
      <w:tr w:rsidR="00255CC4" w:rsidRPr="00E83AF4" w:rsidTr="007D23AF">
        <w:trPr>
          <w:trHeight w:val="300"/>
        </w:trPr>
        <w:tc>
          <w:tcPr>
            <w:tcW w:w="3570" w:type="dxa"/>
            <w:vMerge w:val="restart"/>
            <w:shd w:val="clear" w:color="auto" w:fill="auto"/>
            <w:vAlign w:val="center"/>
            <w:hideMark/>
          </w:tcPr>
          <w:p w:rsidR="00255CC4" w:rsidRPr="00E83AF4" w:rsidRDefault="00255CC4" w:rsidP="00255CC4">
            <w:pPr>
              <w:spacing w:line="240" w:lineRule="auto"/>
              <w:jc w:val="left"/>
              <w:rPr>
                <w:rFonts w:eastAsia="Times New Roman"/>
                <w:b/>
                <w:color w:val="000000"/>
                <w:sz w:val="22"/>
                <w:szCs w:val="22"/>
                <w:lang w:eastAsia="en-US"/>
              </w:rPr>
            </w:pPr>
            <w:r w:rsidRPr="00E83AF4">
              <w:rPr>
                <w:rFonts w:eastAsia="Times New Roman"/>
                <w:b/>
                <w:color w:val="000000"/>
                <w:sz w:val="22"/>
                <w:szCs w:val="22"/>
                <w:lang w:eastAsia="en-US"/>
              </w:rPr>
              <w:t>Pilngadīgas darbspējīgas personas</w:t>
            </w:r>
            <w:r>
              <w:rPr>
                <w:rFonts w:eastAsia="Times New Roman"/>
                <w:b/>
                <w:color w:val="000000"/>
                <w:sz w:val="22"/>
                <w:szCs w:val="22"/>
                <w:lang w:eastAsia="en-US"/>
              </w:rPr>
              <w:t>, %</w:t>
            </w:r>
          </w:p>
        </w:tc>
        <w:tc>
          <w:tcPr>
            <w:tcW w:w="2384" w:type="dxa"/>
            <w:shd w:val="clear" w:color="auto" w:fill="D9D9D9" w:themeFill="background1" w:themeFillShade="D9"/>
            <w:noWrap/>
            <w:vAlign w:val="center"/>
            <w:hideMark/>
          </w:tcPr>
          <w:p w:rsidR="00255CC4" w:rsidRPr="00E83AF4" w:rsidRDefault="00255CC4" w:rsidP="00255CC4">
            <w:pPr>
              <w:spacing w:line="240" w:lineRule="auto"/>
              <w:jc w:val="left"/>
              <w:rPr>
                <w:rFonts w:eastAsia="Times New Roman"/>
                <w:color w:val="000000"/>
                <w:sz w:val="22"/>
                <w:szCs w:val="22"/>
                <w:lang w:eastAsia="en-US"/>
              </w:rPr>
            </w:pPr>
            <w:r w:rsidRPr="00E83AF4">
              <w:rPr>
                <w:rFonts w:eastAsia="Times New Roman"/>
                <w:color w:val="000000"/>
                <w:sz w:val="22"/>
                <w:szCs w:val="22"/>
                <w:lang w:eastAsia="en-US"/>
              </w:rPr>
              <w:t>pilngadīgas personas</w:t>
            </w:r>
          </w:p>
        </w:tc>
        <w:tc>
          <w:tcPr>
            <w:tcW w:w="992" w:type="dxa"/>
            <w:shd w:val="clear" w:color="auto" w:fill="D9D9D9" w:themeFill="background1" w:themeFillShade="D9"/>
            <w:noWrap/>
            <w:vAlign w:val="center"/>
            <w:hideMark/>
          </w:tcPr>
          <w:p w:rsidR="00255CC4" w:rsidRPr="00E83AF4" w:rsidRDefault="00255CC4" w:rsidP="00255CC4">
            <w:pPr>
              <w:spacing w:line="240" w:lineRule="auto"/>
              <w:jc w:val="center"/>
              <w:rPr>
                <w:rFonts w:eastAsia="Times New Roman"/>
                <w:color w:val="000000"/>
                <w:sz w:val="22"/>
                <w:szCs w:val="22"/>
                <w:lang w:eastAsia="en-US"/>
              </w:rPr>
            </w:pPr>
            <w:r w:rsidRPr="00E83AF4">
              <w:rPr>
                <w:rFonts w:eastAsia="Times New Roman"/>
                <w:color w:val="000000"/>
                <w:sz w:val="22"/>
                <w:szCs w:val="22"/>
                <w:lang w:eastAsia="en-US"/>
              </w:rPr>
              <w:t>41,7</w:t>
            </w:r>
          </w:p>
        </w:tc>
        <w:tc>
          <w:tcPr>
            <w:tcW w:w="1134" w:type="dxa"/>
            <w:shd w:val="clear" w:color="auto" w:fill="D9D9D9" w:themeFill="background1" w:themeFillShade="D9"/>
            <w:noWrap/>
            <w:vAlign w:val="center"/>
            <w:hideMark/>
          </w:tcPr>
          <w:p w:rsidR="00255CC4" w:rsidRPr="00E83AF4" w:rsidRDefault="00255CC4" w:rsidP="00255CC4">
            <w:pPr>
              <w:spacing w:line="240" w:lineRule="auto"/>
              <w:jc w:val="center"/>
              <w:rPr>
                <w:rFonts w:eastAsia="Times New Roman"/>
                <w:color w:val="000000"/>
                <w:sz w:val="22"/>
                <w:szCs w:val="22"/>
                <w:lang w:eastAsia="en-US"/>
              </w:rPr>
            </w:pPr>
            <w:r w:rsidRPr="00E83AF4">
              <w:rPr>
                <w:rFonts w:eastAsia="Times New Roman"/>
                <w:color w:val="000000"/>
                <w:sz w:val="22"/>
                <w:szCs w:val="22"/>
                <w:lang w:eastAsia="en-US"/>
              </w:rPr>
              <w:t>39,2</w:t>
            </w:r>
          </w:p>
        </w:tc>
        <w:tc>
          <w:tcPr>
            <w:tcW w:w="1134" w:type="dxa"/>
            <w:shd w:val="clear" w:color="auto" w:fill="D9D9D9" w:themeFill="background1" w:themeFillShade="D9"/>
            <w:noWrap/>
            <w:vAlign w:val="center"/>
            <w:hideMark/>
          </w:tcPr>
          <w:p w:rsidR="00255CC4" w:rsidRPr="00E83AF4" w:rsidRDefault="00255CC4" w:rsidP="00255CC4">
            <w:pPr>
              <w:spacing w:line="240" w:lineRule="auto"/>
              <w:jc w:val="center"/>
              <w:rPr>
                <w:rFonts w:eastAsia="Times New Roman"/>
                <w:color w:val="000000"/>
                <w:sz w:val="22"/>
                <w:szCs w:val="22"/>
                <w:lang w:eastAsia="en-US"/>
              </w:rPr>
            </w:pPr>
            <w:r w:rsidRPr="00E83AF4">
              <w:rPr>
                <w:rFonts w:eastAsia="Times New Roman"/>
                <w:color w:val="000000"/>
                <w:sz w:val="22"/>
                <w:szCs w:val="22"/>
                <w:lang w:eastAsia="en-US"/>
              </w:rPr>
              <w:t>43,0</w:t>
            </w:r>
          </w:p>
        </w:tc>
      </w:tr>
      <w:tr w:rsidR="00255CC4" w:rsidRPr="00E83AF4" w:rsidTr="00255CC4">
        <w:trPr>
          <w:trHeight w:val="300"/>
        </w:trPr>
        <w:tc>
          <w:tcPr>
            <w:tcW w:w="3570" w:type="dxa"/>
            <w:vMerge/>
            <w:vAlign w:val="center"/>
            <w:hideMark/>
          </w:tcPr>
          <w:p w:rsidR="00255CC4" w:rsidRPr="00E83AF4" w:rsidRDefault="00255CC4" w:rsidP="00255CC4">
            <w:pPr>
              <w:spacing w:line="240" w:lineRule="auto"/>
              <w:jc w:val="left"/>
              <w:rPr>
                <w:rFonts w:eastAsia="Times New Roman"/>
                <w:color w:val="000000"/>
                <w:sz w:val="22"/>
                <w:szCs w:val="22"/>
                <w:lang w:eastAsia="en-US"/>
              </w:rPr>
            </w:pPr>
          </w:p>
        </w:tc>
        <w:tc>
          <w:tcPr>
            <w:tcW w:w="2384" w:type="dxa"/>
            <w:shd w:val="clear" w:color="auto" w:fill="auto"/>
            <w:noWrap/>
            <w:vAlign w:val="center"/>
            <w:hideMark/>
          </w:tcPr>
          <w:p w:rsidR="00255CC4" w:rsidRPr="00E83AF4" w:rsidRDefault="00255CC4" w:rsidP="00255CC4">
            <w:pPr>
              <w:spacing w:line="240" w:lineRule="auto"/>
              <w:jc w:val="left"/>
              <w:rPr>
                <w:rFonts w:eastAsia="Times New Roman"/>
                <w:color w:val="000000"/>
                <w:sz w:val="22"/>
                <w:szCs w:val="22"/>
                <w:lang w:eastAsia="en-US"/>
              </w:rPr>
            </w:pPr>
            <w:r w:rsidRPr="00E83AF4">
              <w:rPr>
                <w:rFonts w:eastAsia="Times New Roman"/>
                <w:color w:val="000000"/>
                <w:sz w:val="22"/>
                <w:szCs w:val="22"/>
                <w:lang w:eastAsia="en-US"/>
              </w:rPr>
              <w:t>strādājošas personas</w:t>
            </w:r>
          </w:p>
        </w:tc>
        <w:tc>
          <w:tcPr>
            <w:tcW w:w="992" w:type="dxa"/>
            <w:shd w:val="clear" w:color="auto" w:fill="auto"/>
            <w:noWrap/>
            <w:vAlign w:val="center"/>
            <w:hideMark/>
          </w:tcPr>
          <w:p w:rsidR="00255CC4" w:rsidRPr="00E83AF4" w:rsidRDefault="00255CC4" w:rsidP="00255CC4">
            <w:pPr>
              <w:spacing w:line="240" w:lineRule="auto"/>
              <w:jc w:val="center"/>
              <w:rPr>
                <w:rFonts w:eastAsia="Times New Roman"/>
                <w:color w:val="000000"/>
                <w:sz w:val="22"/>
                <w:szCs w:val="22"/>
                <w:lang w:eastAsia="en-US"/>
              </w:rPr>
            </w:pPr>
            <w:r w:rsidRPr="00E83AF4">
              <w:rPr>
                <w:rFonts w:eastAsia="Times New Roman"/>
                <w:color w:val="000000"/>
                <w:sz w:val="22"/>
                <w:szCs w:val="22"/>
                <w:lang w:eastAsia="en-US"/>
              </w:rPr>
              <w:t>10,4</w:t>
            </w:r>
          </w:p>
        </w:tc>
        <w:tc>
          <w:tcPr>
            <w:tcW w:w="1134" w:type="dxa"/>
            <w:shd w:val="clear" w:color="auto" w:fill="auto"/>
            <w:noWrap/>
            <w:vAlign w:val="center"/>
            <w:hideMark/>
          </w:tcPr>
          <w:p w:rsidR="00255CC4" w:rsidRPr="00E83AF4" w:rsidRDefault="00255CC4" w:rsidP="00255CC4">
            <w:pPr>
              <w:spacing w:line="240" w:lineRule="auto"/>
              <w:jc w:val="center"/>
              <w:rPr>
                <w:rFonts w:eastAsia="Times New Roman"/>
                <w:color w:val="000000"/>
                <w:sz w:val="22"/>
                <w:szCs w:val="22"/>
                <w:lang w:eastAsia="en-US"/>
              </w:rPr>
            </w:pPr>
            <w:r w:rsidRPr="00E83AF4">
              <w:rPr>
                <w:rFonts w:eastAsia="Times New Roman"/>
                <w:color w:val="000000"/>
                <w:sz w:val="22"/>
                <w:szCs w:val="22"/>
                <w:lang w:eastAsia="en-US"/>
              </w:rPr>
              <w:t>12,6</w:t>
            </w:r>
          </w:p>
        </w:tc>
        <w:tc>
          <w:tcPr>
            <w:tcW w:w="1134" w:type="dxa"/>
            <w:shd w:val="clear" w:color="auto" w:fill="auto"/>
            <w:noWrap/>
            <w:vAlign w:val="center"/>
            <w:hideMark/>
          </w:tcPr>
          <w:p w:rsidR="00255CC4" w:rsidRPr="00E83AF4" w:rsidRDefault="00255CC4" w:rsidP="00255CC4">
            <w:pPr>
              <w:spacing w:line="240" w:lineRule="auto"/>
              <w:jc w:val="center"/>
              <w:rPr>
                <w:rFonts w:eastAsia="Times New Roman"/>
                <w:color w:val="000000"/>
                <w:sz w:val="22"/>
                <w:szCs w:val="22"/>
                <w:lang w:eastAsia="en-US"/>
              </w:rPr>
            </w:pPr>
            <w:r w:rsidRPr="00E83AF4">
              <w:rPr>
                <w:rFonts w:eastAsia="Times New Roman"/>
                <w:color w:val="000000"/>
                <w:sz w:val="22"/>
                <w:szCs w:val="22"/>
                <w:lang w:eastAsia="en-US"/>
              </w:rPr>
              <w:t>9,2</w:t>
            </w:r>
          </w:p>
        </w:tc>
      </w:tr>
      <w:tr w:rsidR="00255CC4" w:rsidRPr="00E83AF4" w:rsidTr="00255CC4">
        <w:trPr>
          <w:trHeight w:val="300"/>
        </w:trPr>
        <w:tc>
          <w:tcPr>
            <w:tcW w:w="3570" w:type="dxa"/>
            <w:vMerge/>
            <w:vAlign w:val="center"/>
            <w:hideMark/>
          </w:tcPr>
          <w:p w:rsidR="00255CC4" w:rsidRPr="00E83AF4" w:rsidRDefault="00255CC4" w:rsidP="00255CC4">
            <w:pPr>
              <w:spacing w:line="240" w:lineRule="auto"/>
              <w:jc w:val="left"/>
              <w:rPr>
                <w:rFonts w:eastAsia="Times New Roman"/>
                <w:color w:val="000000"/>
                <w:sz w:val="22"/>
                <w:szCs w:val="22"/>
                <w:lang w:eastAsia="en-US"/>
              </w:rPr>
            </w:pPr>
          </w:p>
        </w:tc>
        <w:tc>
          <w:tcPr>
            <w:tcW w:w="2384" w:type="dxa"/>
            <w:shd w:val="clear" w:color="auto" w:fill="auto"/>
            <w:noWrap/>
            <w:vAlign w:val="center"/>
            <w:hideMark/>
          </w:tcPr>
          <w:p w:rsidR="00255CC4" w:rsidRPr="00E83AF4" w:rsidRDefault="00255CC4" w:rsidP="00255CC4">
            <w:pPr>
              <w:spacing w:line="240" w:lineRule="auto"/>
              <w:jc w:val="left"/>
              <w:rPr>
                <w:rFonts w:eastAsia="Times New Roman"/>
                <w:color w:val="000000"/>
                <w:sz w:val="22"/>
                <w:szCs w:val="22"/>
                <w:lang w:eastAsia="en-US"/>
              </w:rPr>
            </w:pPr>
            <w:r w:rsidRPr="00E83AF4">
              <w:rPr>
                <w:rFonts w:eastAsia="Times New Roman"/>
                <w:color w:val="000000"/>
                <w:sz w:val="22"/>
                <w:szCs w:val="22"/>
                <w:lang w:eastAsia="en-US"/>
              </w:rPr>
              <w:t>nestrādājošas personas</w:t>
            </w:r>
          </w:p>
        </w:tc>
        <w:tc>
          <w:tcPr>
            <w:tcW w:w="992" w:type="dxa"/>
            <w:shd w:val="clear" w:color="auto" w:fill="auto"/>
            <w:noWrap/>
            <w:vAlign w:val="center"/>
            <w:hideMark/>
          </w:tcPr>
          <w:p w:rsidR="00255CC4" w:rsidRPr="00E83AF4" w:rsidRDefault="00255CC4" w:rsidP="00255CC4">
            <w:pPr>
              <w:spacing w:line="240" w:lineRule="auto"/>
              <w:jc w:val="center"/>
              <w:rPr>
                <w:rFonts w:eastAsia="Times New Roman"/>
                <w:color w:val="000000"/>
                <w:sz w:val="22"/>
                <w:szCs w:val="22"/>
                <w:lang w:eastAsia="en-US"/>
              </w:rPr>
            </w:pPr>
            <w:r w:rsidRPr="00E83AF4">
              <w:rPr>
                <w:rFonts w:eastAsia="Times New Roman"/>
                <w:color w:val="000000"/>
                <w:sz w:val="22"/>
                <w:szCs w:val="22"/>
                <w:lang w:eastAsia="en-US"/>
              </w:rPr>
              <w:t>28,3</w:t>
            </w:r>
          </w:p>
        </w:tc>
        <w:tc>
          <w:tcPr>
            <w:tcW w:w="1134" w:type="dxa"/>
            <w:shd w:val="clear" w:color="auto" w:fill="auto"/>
            <w:noWrap/>
            <w:vAlign w:val="center"/>
            <w:hideMark/>
          </w:tcPr>
          <w:p w:rsidR="00255CC4" w:rsidRPr="00E83AF4" w:rsidRDefault="00255CC4" w:rsidP="00255CC4">
            <w:pPr>
              <w:spacing w:line="240" w:lineRule="auto"/>
              <w:jc w:val="center"/>
              <w:rPr>
                <w:rFonts w:eastAsia="Times New Roman"/>
                <w:color w:val="000000"/>
                <w:sz w:val="22"/>
                <w:szCs w:val="22"/>
                <w:lang w:eastAsia="en-US"/>
              </w:rPr>
            </w:pPr>
            <w:r w:rsidRPr="00E83AF4">
              <w:rPr>
                <w:rFonts w:eastAsia="Times New Roman"/>
                <w:color w:val="000000"/>
                <w:sz w:val="22"/>
                <w:szCs w:val="22"/>
                <w:lang w:eastAsia="en-US"/>
              </w:rPr>
              <w:t>23,6</w:t>
            </w:r>
          </w:p>
        </w:tc>
        <w:tc>
          <w:tcPr>
            <w:tcW w:w="1134" w:type="dxa"/>
            <w:shd w:val="clear" w:color="auto" w:fill="auto"/>
            <w:noWrap/>
            <w:vAlign w:val="center"/>
            <w:hideMark/>
          </w:tcPr>
          <w:p w:rsidR="00255CC4" w:rsidRPr="00E83AF4" w:rsidRDefault="00255CC4" w:rsidP="00255CC4">
            <w:pPr>
              <w:spacing w:line="240" w:lineRule="auto"/>
              <w:jc w:val="center"/>
              <w:rPr>
                <w:rFonts w:eastAsia="Times New Roman"/>
                <w:color w:val="000000"/>
                <w:sz w:val="22"/>
                <w:szCs w:val="22"/>
                <w:lang w:eastAsia="en-US"/>
              </w:rPr>
            </w:pPr>
            <w:r w:rsidRPr="00E83AF4">
              <w:rPr>
                <w:rFonts w:eastAsia="Times New Roman"/>
                <w:color w:val="000000"/>
                <w:sz w:val="22"/>
                <w:szCs w:val="22"/>
                <w:lang w:eastAsia="en-US"/>
              </w:rPr>
              <w:t>30,6</w:t>
            </w:r>
          </w:p>
        </w:tc>
      </w:tr>
      <w:tr w:rsidR="00255CC4" w:rsidRPr="00E83AF4" w:rsidTr="00255CC4">
        <w:trPr>
          <w:trHeight w:val="300"/>
        </w:trPr>
        <w:tc>
          <w:tcPr>
            <w:tcW w:w="3570" w:type="dxa"/>
            <w:vMerge/>
            <w:shd w:val="clear" w:color="auto" w:fill="auto"/>
            <w:noWrap/>
            <w:vAlign w:val="center"/>
            <w:hideMark/>
          </w:tcPr>
          <w:p w:rsidR="00255CC4" w:rsidRPr="00E83AF4" w:rsidRDefault="00255CC4" w:rsidP="00255CC4">
            <w:pPr>
              <w:spacing w:line="240" w:lineRule="auto"/>
              <w:jc w:val="right"/>
              <w:rPr>
                <w:rFonts w:eastAsia="Times New Roman"/>
                <w:color w:val="000000"/>
                <w:sz w:val="22"/>
                <w:szCs w:val="22"/>
                <w:lang w:eastAsia="en-US"/>
              </w:rPr>
            </w:pPr>
          </w:p>
        </w:tc>
        <w:tc>
          <w:tcPr>
            <w:tcW w:w="2384" w:type="dxa"/>
            <w:shd w:val="clear" w:color="auto" w:fill="auto"/>
            <w:noWrap/>
            <w:vAlign w:val="center"/>
            <w:hideMark/>
          </w:tcPr>
          <w:p w:rsidR="00255CC4" w:rsidRPr="00E83AF4" w:rsidRDefault="00255CC4" w:rsidP="00255CC4">
            <w:pPr>
              <w:spacing w:line="240" w:lineRule="auto"/>
              <w:jc w:val="left"/>
              <w:rPr>
                <w:rFonts w:eastAsia="Times New Roman"/>
                <w:color w:val="000000"/>
                <w:sz w:val="22"/>
                <w:szCs w:val="22"/>
                <w:lang w:eastAsia="en-US"/>
              </w:rPr>
            </w:pPr>
            <w:r w:rsidRPr="00E83AF4">
              <w:rPr>
                <w:rFonts w:eastAsia="Times New Roman"/>
                <w:color w:val="000000"/>
                <w:sz w:val="22"/>
                <w:szCs w:val="22"/>
                <w:lang w:eastAsia="en-US"/>
              </w:rPr>
              <w:t>personas BKA</w:t>
            </w:r>
          </w:p>
        </w:tc>
        <w:tc>
          <w:tcPr>
            <w:tcW w:w="992" w:type="dxa"/>
            <w:shd w:val="clear" w:color="auto" w:fill="auto"/>
            <w:noWrap/>
            <w:vAlign w:val="center"/>
            <w:hideMark/>
          </w:tcPr>
          <w:p w:rsidR="00255CC4" w:rsidRPr="00E83AF4" w:rsidRDefault="00255CC4" w:rsidP="00255CC4">
            <w:pPr>
              <w:spacing w:line="240" w:lineRule="auto"/>
              <w:jc w:val="center"/>
              <w:rPr>
                <w:rFonts w:eastAsia="Times New Roman"/>
                <w:color w:val="000000"/>
                <w:sz w:val="22"/>
                <w:szCs w:val="22"/>
                <w:lang w:eastAsia="en-US"/>
              </w:rPr>
            </w:pPr>
            <w:r w:rsidRPr="00E83AF4">
              <w:rPr>
                <w:rFonts w:eastAsia="Times New Roman"/>
                <w:color w:val="000000"/>
                <w:sz w:val="22"/>
                <w:szCs w:val="22"/>
                <w:lang w:eastAsia="en-US"/>
              </w:rPr>
              <w:t>3,1</w:t>
            </w:r>
          </w:p>
        </w:tc>
        <w:tc>
          <w:tcPr>
            <w:tcW w:w="1134" w:type="dxa"/>
            <w:shd w:val="clear" w:color="auto" w:fill="auto"/>
            <w:noWrap/>
            <w:vAlign w:val="center"/>
            <w:hideMark/>
          </w:tcPr>
          <w:p w:rsidR="00255CC4" w:rsidRPr="00E83AF4" w:rsidRDefault="00255CC4" w:rsidP="00255CC4">
            <w:pPr>
              <w:spacing w:line="240" w:lineRule="auto"/>
              <w:jc w:val="center"/>
              <w:rPr>
                <w:rFonts w:eastAsia="Times New Roman"/>
                <w:color w:val="000000"/>
                <w:sz w:val="22"/>
                <w:szCs w:val="22"/>
                <w:lang w:eastAsia="en-US"/>
              </w:rPr>
            </w:pPr>
            <w:r w:rsidRPr="00E83AF4">
              <w:rPr>
                <w:rFonts w:eastAsia="Times New Roman"/>
                <w:color w:val="000000"/>
                <w:sz w:val="22"/>
                <w:szCs w:val="22"/>
                <w:lang w:eastAsia="en-US"/>
              </w:rPr>
              <w:t>3,0</w:t>
            </w:r>
          </w:p>
        </w:tc>
        <w:tc>
          <w:tcPr>
            <w:tcW w:w="1134" w:type="dxa"/>
            <w:shd w:val="clear" w:color="auto" w:fill="auto"/>
            <w:noWrap/>
            <w:vAlign w:val="center"/>
            <w:hideMark/>
          </w:tcPr>
          <w:p w:rsidR="00255CC4" w:rsidRPr="00E83AF4" w:rsidRDefault="00255CC4" w:rsidP="00255CC4">
            <w:pPr>
              <w:spacing w:line="240" w:lineRule="auto"/>
              <w:jc w:val="center"/>
              <w:rPr>
                <w:rFonts w:eastAsia="Times New Roman"/>
                <w:color w:val="000000"/>
                <w:sz w:val="22"/>
                <w:szCs w:val="22"/>
                <w:lang w:eastAsia="en-US"/>
              </w:rPr>
            </w:pPr>
            <w:r w:rsidRPr="00E83AF4">
              <w:rPr>
                <w:rFonts w:eastAsia="Times New Roman"/>
                <w:color w:val="000000"/>
                <w:sz w:val="22"/>
                <w:szCs w:val="22"/>
                <w:lang w:eastAsia="en-US"/>
              </w:rPr>
              <w:t>3,2</w:t>
            </w:r>
          </w:p>
        </w:tc>
      </w:tr>
      <w:tr w:rsidR="00255CC4" w:rsidRPr="00E83AF4" w:rsidTr="00255CC4">
        <w:trPr>
          <w:trHeight w:val="300"/>
        </w:trPr>
        <w:tc>
          <w:tcPr>
            <w:tcW w:w="5954" w:type="dxa"/>
            <w:gridSpan w:val="2"/>
            <w:shd w:val="clear" w:color="auto" w:fill="auto"/>
            <w:noWrap/>
            <w:vAlign w:val="center"/>
            <w:hideMark/>
          </w:tcPr>
          <w:p w:rsidR="00255CC4" w:rsidRPr="00E83AF4" w:rsidRDefault="00255CC4" w:rsidP="00255CC4">
            <w:pPr>
              <w:spacing w:line="240" w:lineRule="auto"/>
              <w:jc w:val="left"/>
              <w:rPr>
                <w:rFonts w:eastAsia="Times New Roman"/>
                <w:color w:val="000000"/>
                <w:sz w:val="22"/>
                <w:szCs w:val="22"/>
                <w:lang w:eastAsia="en-US"/>
              </w:rPr>
            </w:pPr>
            <w:r w:rsidRPr="00E83AF4">
              <w:rPr>
                <w:rFonts w:eastAsia="Times New Roman"/>
                <w:color w:val="000000"/>
                <w:sz w:val="22"/>
                <w:szCs w:val="22"/>
                <w:lang w:eastAsia="en-US"/>
              </w:rPr>
              <w:t>Pilngadīgas personas ar invaliditāti</w:t>
            </w:r>
            <w:r>
              <w:rPr>
                <w:rFonts w:eastAsia="Times New Roman"/>
                <w:color w:val="000000"/>
                <w:sz w:val="22"/>
                <w:szCs w:val="22"/>
                <w:lang w:eastAsia="en-US"/>
              </w:rPr>
              <w:t>, %</w:t>
            </w:r>
          </w:p>
        </w:tc>
        <w:tc>
          <w:tcPr>
            <w:tcW w:w="992" w:type="dxa"/>
            <w:shd w:val="clear" w:color="auto" w:fill="auto"/>
            <w:noWrap/>
            <w:vAlign w:val="center"/>
            <w:hideMark/>
          </w:tcPr>
          <w:p w:rsidR="00255CC4" w:rsidRPr="00E83AF4" w:rsidRDefault="00255CC4" w:rsidP="00255CC4">
            <w:pPr>
              <w:spacing w:line="240" w:lineRule="auto"/>
              <w:jc w:val="center"/>
              <w:rPr>
                <w:rFonts w:eastAsia="Times New Roman"/>
                <w:color w:val="000000"/>
                <w:sz w:val="22"/>
                <w:szCs w:val="22"/>
                <w:lang w:eastAsia="en-US"/>
              </w:rPr>
            </w:pPr>
            <w:r w:rsidRPr="00E83AF4">
              <w:rPr>
                <w:rFonts w:eastAsia="Times New Roman"/>
                <w:color w:val="000000"/>
                <w:sz w:val="22"/>
                <w:szCs w:val="22"/>
                <w:lang w:eastAsia="en-US"/>
              </w:rPr>
              <w:t>13,5</w:t>
            </w:r>
          </w:p>
        </w:tc>
        <w:tc>
          <w:tcPr>
            <w:tcW w:w="1134" w:type="dxa"/>
            <w:shd w:val="clear" w:color="auto" w:fill="auto"/>
            <w:noWrap/>
            <w:vAlign w:val="center"/>
            <w:hideMark/>
          </w:tcPr>
          <w:p w:rsidR="00255CC4" w:rsidRPr="00E83AF4" w:rsidRDefault="00255CC4" w:rsidP="00255CC4">
            <w:pPr>
              <w:spacing w:line="240" w:lineRule="auto"/>
              <w:jc w:val="center"/>
              <w:rPr>
                <w:rFonts w:eastAsia="Times New Roman"/>
                <w:color w:val="000000"/>
                <w:sz w:val="22"/>
                <w:szCs w:val="22"/>
                <w:lang w:eastAsia="en-US"/>
              </w:rPr>
            </w:pPr>
            <w:r w:rsidRPr="00E83AF4">
              <w:rPr>
                <w:rFonts w:eastAsia="Times New Roman"/>
                <w:color w:val="000000"/>
                <w:sz w:val="22"/>
                <w:szCs w:val="22"/>
                <w:lang w:eastAsia="en-US"/>
              </w:rPr>
              <w:t>15,0</w:t>
            </w:r>
          </w:p>
        </w:tc>
        <w:tc>
          <w:tcPr>
            <w:tcW w:w="1134" w:type="dxa"/>
            <w:shd w:val="clear" w:color="auto" w:fill="auto"/>
            <w:noWrap/>
            <w:vAlign w:val="center"/>
            <w:hideMark/>
          </w:tcPr>
          <w:p w:rsidR="00255CC4" w:rsidRPr="00E83AF4" w:rsidRDefault="00255CC4" w:rsidP="00255CC4">
            <w:pPr>
              <w:spacing w:line="240" w:lineRule="auto"/>
              <w:jc w:val="center"/>
              <w:rPr>
                <w:rFonts w:eastAsia="Times New Roman"/>
                <w:color w:val="000000"/>
                <w:sz w:val="22"/>
                <w:szCs w:val="22"/>
                <w:lang w:eastAsia="en-US"/>
              </w:rPr>
            </w:pPr>
            <w:r w:rsidRPr="00E83AF4">
              <w:rPr>
                <w:rFonts w:eastAsia="Times New Roman"/>
                <w:color w:val="000000"/>
                <w:sz w:val="22"/>
                <w:szCs w:val="22"/>
                <w:lang w:eastAsia="en-US"/>
              </w:rPr>
              <w:t>11,7</w:t>
            </w:r>
          </w:p>
        </w:tc>
      </w:tr>
      <w:tr w:rsidR="00255CC4" w:rsidRPr="00E83AF4" w:rsidTr="00255CC4">
        <w:trPr>
          <w:trHeight w:val="300"/>
        </w:trPr>
        <w:tc>
          <w:tcPr>
            <w:tcW w:w="5954" w:type="dxa"/>
            <w:gridSpan w:val="2"/>
            <w:shd w:val="clear" w:color="auto" w:fill="auto"/>
            <w:noWrap/>
            <w:vAlign w:val="center"/>
            <w:hideMark/>
          </w:tcPr>
          <w:p w:rsidR="00255CC4" w:rsidRPr="00E83AF4" w:rsidRDefault="00255CC4" w:rsidP="00255CC4">
            <w:pPr>
              <w:spacing w:line="240" w:lineRule="auto"/>
              <w:jc w:val="left"/>
              <w:rPr>
                <w:rFonts w:eastAsia="Times New Roman"/>
                <w:color w:val="000000"/>
                <w:sz w:val="22"/>
                <w:szCs w:val="22"/>
                <w:lang w:eastAsia="en-US"/>
              </w:rPr>
            </w:pPr>
            <w:r w:rsidRPr="00E83AF4">
              <w:rPr>
                <w:rFonts w:eastAsia="Times New Roman"/>
                <w:color w:val="000000"/>
                <w:sz w:val="22"/>
                <w:szCs w:val="22"/>
                <w:lang w:eastAsia="en-US"/>
              </w:rPr>
              <w:t>Personas pensijas vecumā</w:t>
            </w:r>
            <w:r>
              <w:rPr>
                <w:rFonts w:eastAsia="Times New Roman"/>
                <w:color w:val="000000"/>
                <w:sz w:val="22"/>
                <w:szCs w:val="22"/>
                <w:lang w:eastAsia="en-US"/>
              </w:rPr>
              <w:t>, %</w:t>
            </w:r>
          </w:p>
        </w:tc>
        <w:tc>
          <w:tcPr>
            <w:tcW w:w="992" w:type="dxa"/>
            <w:shd w:val="clear" w:color="auto" w:fill="auto"/>
            <w:noWrap/>
            <w:vAlign w:val="center"/>
            <w:hideMark/>
          </w:tcPr>
          <w:p w:rsidR="00255CC4" w:rsidRPr="00E83AF4" w:rsidRDefault="00255CC4" w:rsidP="00255CC4">
            <w:pPr>
              <w:spacing w:line="240" w:lineRule="auto"/>
              <w:jc w:val="center"/>
              <w:rPr>
                <w:rFonts w:eastAsia="Times New Roman"/>
                <w:color w:val="000000"/>
                <w:sz w:val="22"/>
                <w:szCs w:val="22"/>
                <w:lang w:eastAsia="en-US"/>
              </w:rPr>
            </w:pPr>
            <w:r w:rsidRPr="00E83AF4">
              <w:rPr>
                <w:rFonts w:eastAsia="Times New Roman"/>
                <w:color w:val="000000"/>
                <w:sz w:val="22"/>
                <w:szCs w:val="22"/>
                <w:lang w:eastAsia="en-US"/>
              </w:rPr>
              <w:t>14,4</w:t>
            </w:r>
          </w:p>
        </w:tc>
        <w:tc>
          <w:tcPr>
            <w:tcW w:w="1134" w:type="dxa"/>
            <w:shd w:val="clear" w:color="auto" w:fill="auto"/>
            <w:noWrap/>
            <w:vAlign w:val="center"/>
            <w:hideMark/>
          </w:tcPr>
          <w:p w:rsidR="00255CC4" w:rsidRPr="00E83AF4" w:rsidRDefault="00255CC4" w:rsidP="00255CC4">
            <w:pPr>
              <w:spacing w:line="240" w:lineRule="auto"/>
              <w:jc w:val="center"/>
              <w:rPr>
                <w:rFonts w:eastAsia="Times New Roman"/>
                <w:color w:val="000000"/>
                <w:sz w:val="22"/>
                <w:szCs w:val="22"/>
                <w:lang w:eastAsia="en-US"/>
              </w:rPr>
            </w:pPr>
            <w:r w:rsidRPr="00E83AF4">
              <w:rPr>
                <w:rFonts w:eastAsia="Times New Roman"/>
                <w:color w:val="000000"/>
                <w:sz w:val="22"/>
                <w:szCs w:val="22"/>
                <w:lang w:eastAsia="en-US"/>
              </w:rPr>
              <w:t>12,9</w:t>
            </w:r>
          </w:p>
        </w:tc>
        <w:tc>
          <w:tcPr>
            <w:tcW w:w="1134" w:type="dxa"/>
            <w:shd w:val="clear" w:color="auto" w:fill="auto"/>
            <w:noWrap/>
            <w:vAlign w:val="center"/>
            <w:hideMark/>
          </w:tcPr>
          <w:p w:rsidR="00255CC4" w:rsidRPr="00E83AF4" w:rsidRDefault="00255CC4" w:rsidP="00255CC4">
            <w:pPr>
              <w:spacing w:line="240" w:lineRule="auto"/>
              <w:jc w:val="center"/>
              <w:rPr>
                <w:rFonts w:eastAsia="Times New Roman"/>
                <w:color w:val="000000"/>
                <w:sz w:val="22"/>
                <w:szCs w:val="22"/>
                <w:lang w:eastAsia="en-US"/>
              </w:rPr>
            </w:pPr>
            <w:r w:rsidRPr="00E83AF4">
              <w:rPr>
                <w:rFonts w:eastAsia="Times New Roman"/>
                <w:color w:val="000000"/>
                <w:sz w:val="22"/>
                <w:szCs w:val="22"/>
                <w:lang w:eastAsia="en-US"/>
              </w:rPr>
              <w:t>14,5</w:t>
            </w:r>
          </w:p>
        </w:tc>
      </w:tr>
    </w:tbl>
    <w:p w:rsidR="00255CC4" w:rsidRDefault="00255CC4" w:rsidP="00255CC4">
      <w:pPr>
        <w:spacing w:line="240" w:lineRule="auto"/>
        <w:rPr>
          <w:rFonts w:eastAsia="Times New Roman"/>
          <w:sz w:val="20"/>
          <w:szCs w:val="20"/>
        </w:rPr>
      </w:pPr>
      <w:r w:rsidRPr="004E69B2">
        <w:rPr>
          <w:sz w:val="20"/>
          <w:szCs w:val="20"/>
        </w:rPr>
        <w:t xml:space="preserve">Avots: LM, </w:t>
      </w:r>
      <w:r w:rsidRPr="004E69B2">
        <w:rPr>
          <w:bCs/>
          <w:sz w:val="20"/>
          <w:szCs w:val="20"/>
        </w:rPr>
        <w:t xml:space="preserve">Oficiālā statistika sociālo pakalpojumu un sociālās palīdzības jomā. </w:t>
      </w:r>
      <w:r w:rsidRPr="004E69B2">
        <w:rPr>
          <w:rFonts w:eastAsia="Times New Roman"/>
          <w:sz w:val="20"/>
          <w:szCs w:val="20"/>
        </w:rPr>
        <w:t> Ienākumu testēto pašvaldības sociālās palīdzības pabalstu saņēmēju raksturojums pēc ienākumu līmeņa uz vienu ģimenes locekli mēnesī</w:t>
      </w:r>
      <w:r>
        <w:rPr>
          <w:rFonts w:eastAsia="Times New Roman"/>
          <w:sz w:val="20"/>
          <w:szCs w:val="20"/>
        </w:rPr>
        <w:t xml:space="preserve">. </w:t>
      </w:r>
    </w:p>
    <w:p w:rsidR="00255CC4" w:rsidRDefault="00255CC4" w:rsidP="00255CC4">
      <w:pPr>
        <w:spacing w:line="240" w:lineRule="auto"/>
        <w:rPr>
          <w:rFonts w:eastAsia="Times New Roman"/>
          <w:sz w:val="20"/>
          <w:szCs w:val="20"/>
        </w:rPr>
      </w:pPr>
      <w:r>
        <w:rPr>
          <w:rFonts w:eastAsia="Times New Roman"/>
          <w:sz w:val="20"/>
          <w:szCs w:val="20"/>
        </w:rPr>
        <w:t xml:space="preserve">* Šeit un turpmāk </w:t>
      </w:r>
      <w:r w:rsidR="007D23AF">
        <w:rPr>
          <w:rFonts w:eastAsia="Times New Roman"/>
          <w:sz w:val="20"/>
          <w:szCs w:val="20"/>
        </w:rPr>
        <w:t xml:space="preserve">lielo </w:t>
      </w:r>
      <w:r>
        <w:rPr>
          <w:rFonts w:eastAsia="Times New Roman"/>
          <w:sz w:val="20"/>
          <w:szCs w:val="20"/>
        </w:rPr>
        <w:t xml:space="preserve">pilsētu </w:t>
      </w:r>
      <w:r w:rsidR="007D23AF">
        <w:rPr>
          <w:rFonts w:eastAsia="Times New Roman"/>
          <w:sz w:val="20"/>
          <w:szCs w:val="20"/>
        </w:rPr>
        <w:t xml:space="preserve">(republikas nozīmes pilsētu) </w:t>
      </w:r>
      <w:r>
        <w:rPr>
          <w:rFonts w:eastAsia="Times New Roman"/>
          <w:sz w:val="20"/>
          <w:szCs w:val="20"/>
        </w:rPr>
        <w:t xml:space="preserve">grupā ietilpst: Daugavpils, Jēkabpils, Jelgava, Jūrmala, Liepāja, Rēzekne, Rīga, Valmiera, Ventspils. </w:t>
      </w:r>
    </w:p>
    <w:p w:rsidR="00255CC4" w:rsidRPr="00E07663" w:rsidRDefault="00255CC4" w:rsidP="00255CC4">
      <w:pPr>
        <w:rPr>
          <w:rFonts w:eastAsia="Times New Roman"/>
        </w:rPr>
      </w:pPr>
      <w:r>
        <w:rPr>
          <w:rFonts w:eastAsia="Times New Roman"/>
        </w:rPr>
        <w:lastRenderedPageBreak/>
        <w:t>Analizējot trūcīgo personu profilu pēc citām pazīmēm, ņemot vērā Izvērtējuma perioda noslēguma gadu (2016.</w:t>
      </w:r>
      <w:r w:rsidR="007D23AF">
        <w:rPr>
          <w:rFonts w:eastAsia="Times New Roman"/>
        </w:rPr>
        <w:t xml:space="preserve"> </w:t>
      </w:r>
      <w:r>
        <w:rPr>
          <w:rFonts w:eastAsia="Times New Roman"/>
        </w:rPr>
        <w:t>gadu), kas apkopotas</w:t>
      </w:r>
      <w:r w:rsidR="008C6B83">
        <w:rPr>
          <w:rFonts w:eastAsia="Times New Roman"/>
        </w:rPr>
        <w:t xml:space="preserve"> </w:t>
      </w:r>
      <w:r w:rsidR="006E1579">
        <w:rPr>
          <w:rFonts w:eastAsia="Times New Roman"/>
        </w:rPr>
        <w:t>1.2</w:t>
      </w:r>
      <w:r w:rsidR="00446171">
        <w:rPr>
          <w:rFonts w:eastAsia="Times New Roman"/>
        </w:rPr>
        <w:t>6</w:t>
      </w:r>
      <w:r>
        <w:rPr>
          <w:rFonts w:eastAsia="Times New Roman"/>
        </w:rPr>
        <w:t>.</w:t>
      </w:r>
      <w:r w:rsidR="007D23AF">
        <w:rPr>
          <w:rFonts w:eastAsia="Times New Roman"/>
        </w:rPr>
        <w:t xml:space="preserve"> </w:t>
      </w:r>
      <w:r>
        <w:rPr>
          <w:rFonts w:eastAsia="Times New Roman"/>
        </w:rPr>
        <w:t xml:space="preserve">tabulā, secināms, ka divas trešdaļas (66%) trūcīgo personu dzīvo novadu pašvaldībās (nosacīti laukos), kamēr viena trešdaļa (34%) – </w:t>
      </w:r>
      <w:r w:rsidR="007D23AF">
        <w:rPr>
          <w:rFonts w:eastAsia="Times New Roman"/>
        </w:rPr>
        <w:t xml:space="preserve">lielo </w:t>
      </w:r>
      <w:r>
        <w:rPr>
          <w:rFonts w:eastAsia="Times New Roman"/>
        </w:rPr>
        <w:t xml:space="preserve">pilsētu pašvaldībās. Novadu pašvaldībās augstāks trūcīgo personu īpatsvars ir tādās mērķa grupās kā bērni, pilngadīgas darbspējīgas personas un pensijas vecuma personas. </w:t>
      </w:r>
      <w:r w:rsidR="007D23AF">
        <w:rPr>
          <w:rFonts w:eastAsia="Times New Roman"/>
        </w:rPr>
        <w:t>Lielo p</w:t>
      </w:r>
      <w:r>
        <w:rPr>
          <w:rFonts w:eastAsia="Times New Roman"/>
        </w:rPr>
        <w:t xml:space="preserve">ilsētu pašvaldībās, savukārt, augstāks trūcīgo personu īpatsvars salīdzinājumā ar novadu pašvaldībām ir pilngadīgo personu ar invaliditāti grupā un strādājošo peronu grupā. </w:t>
      </w:r>
    </w:p>
    <w:bookmarkStart w:id="256" w:name="_Toc6220098"/>
    <w:p w:rsidR="00255CC4" w:rsidRDefault="00AD3EDD" w:rsidP="008C6B83">
      <w:pPr>
        <w:pStyle w:val="Caption"/>
      </w:pPr>
      <w:r>
        <w:fldChar w:fldCharType="begin"/>
      </w:r>
      <w:r w:rsidR="00A46B54">
        <w:instrText xml:space="preserve"> STYLEREF 1 \s </w:instrText>
      </w:r>
      <w:r>
        <w:fldChar w:fldCharType="separate"/>
      </w:r>
      <w:bookmarkStart w:id="257" w:name="_Toc6857663"/>
      <w:r w:rsidR="00224B50">
        <w:rPr>
          <w:noProof/>
        </w:rPr>
        <w:t>1</w:t>
      </w:r>
      <w:r>
        <w:fldChar w:fldCharType="end"/>
      </w:r>
      <w:r w:rsidR="00A46B54">
        <w:t>.</w:t>
      </w:r>
      <w:r w:rsidR="00E21C32">
        <w:t>2</w:t>
      </w:r>
      <w:r w:rsidR="00446171">
        <w:t>7</w:t>
      </w:r>
      <w:r w:rsidR="00255CC4">
        <w:t>. tabula. Trūcīgo personu ienākumu testēto pašvaldības sociālās palīdzības (pabalstu) apmēra salīdzinājums starp lielo pilsētu un novadu pašvaldībām 2014.g.-2016.g. periodā</w:t>
      </w:r>
      <w:bookmarkEnd w:id="256"/>
      <w:bookmarkEnd w:id="257"/>
      <w:r w:rsidR="00255CC4">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7"/>
        <w:gridCol w:w="1417"/>
        <w:gridCol w:w="1276"/>
        <w:gridCol w:w="1276"/>
      </w:tblGrid>
      <w:tr w:rsidR="00255CC4" w:rsidRPr="00BC22F8" w:rsidTr="00BC22F8">
        <w:trPr>
          <w:trHeight w:val="600"/>
        </w:trPr>
        <w:tc>
          <w:tcPr>
            <w:tcW w:w="5387" w:type="dxa"/>
            <w:shd w:val="clear" w:color="auto" w:fill="B8CCE4" w:themeFill="accent1" w:themeFillTint="66"/>
            <w:noWrap/>
            <w:vAlign w:val="center"/>
            <w:hideMark/>
          </w:tcPr>
          <w:p w:rsidR="00255CC4" w:rsidRPr="00BC22F8" w:rsidRDefault="00255CC4" w:rsidP="00255CC4">
            <w:pPr>
              <w:spacing w:line="240" w:lineRule="auto"/>
              <w:jc w:val="left"/>
              <w:rPr>
                <w:rFonts w:eastAsia="Times New Roman"/>
                <w:b/>
                <w:bCs/>
                <w:color w:val="002060"/>
                <w:sz w:val="22"/>
                <w:szCs w:val="22"/>
                <w:lang w:eastAsia="en-US"/>
              </w:rPr>
            </w:pPr>
            <w:r w:rsidRPr="00BC22F8">
              <w:rPr>
                <w:rFonts w:eastAsia="Times New Roman"/>
                <w:b/>
                <w:bCs/>
                <w:color w:val="002060"/>
                <w:sz w:val="22"/>
                <w:szCs w:val="22"/>
                <w:lang w:eastAsia="en-US"/>
              </w:rPr>
              <w:t>Rādītājs</w:t>
            </w:r>
          </w:p>
        </w:tc>
        <w:tc>
          <w:tcPr>
            <w:tcW w:w="1417" w:type="dxa"/>
            <w:shd w:val="clear" w:color="auto" w:fill="B8CCE4" w:themeFill="accent1" w:themeFillTint="66"/>
            <w:vAlign w:val="center"/>
            <w:hideMark/>
          </w:tcPr>
          <w:p w:rsidR="00255CC4" w:rsidRPr="00BC22F8" w:rsidRDefault="00255CC4" w:rsidP="00255CC4">
            <w:pPr>
              <w:spacing w:line="240" w:lineRule="auto"/>
              <w:jc w:val="center"/>
              <w:rPr>
                <w:rFonts w:eastAsia="Times New Roman"/>
                <w:b/>
                <w:color w:val="002060"/>
                <w:sz w:val="22"/>
                <w:szCs w:val="22"/>
                <w:lang w:eastAsia="en-US"/>
              </w:rPr>
            </w:pPr>
            <w:r w:rsidRPr="00BC22F8">
              <w:rPr>
                <w:rFonts w:eastAsia="Times New Roman"/>
                <w:b/>
                <w:color w:val="002060"/>
                <w:sz w:val="22"/>
                <w:szCs w:val="22"/>
                <w:lang w:eastAsia="en-US"/>
              </w:rPr>
              <w:t>Valstī kopā</w:t>
            </w:r>
          </w:p>
        </w:tc>
        <w:tc>
          <w:tcPr>
            <w:tcW w:w="1276" w:type="dxa"/>
            <w:shd w:val="clear" w:color="auto" w:fill="B8CCE4" w:themeFill="accent1" w:themeFillTint="66"/>
            <w:vAlign w:val="center"/>
            <w:hideMark/>
          </w:tcPr>
          <w:p w:rsidR="00255CC4" w:rsidRPr="00BC22F8" w:rsidRDefault="00255CC4" w:rsidP="00255CC4">
            <w:pPr>
              <w:spacing w:line="240" w:lineRule="auto"/>
              <w:jc w:val="center"/>
              <w:rPr>
                <w:rFonts w:eastAsia="Times New Roman"/>
                <w:b/>
                <w:color w:val="002060"/>
                <w:sz w:val="22"/>
                <w:szCs w:val="22"/>
                <w:lang w:eastAsia="en-US"/>
              </w:rPr>
            </w:pPr>
            <w:r w:rsidRPr="00BC22F8">
              <w:rPr>
                <w:rFonts w:eastAsia="Times New Roman"/>
                <w:b/>
                <w:color w:val="002060"/>
                <w:sz w:val="22"/>
                <w:szCs w:val="22"/>
                <w:lang w:eastAsia="en-US"/>
              </w:rPr>
              <w:t>Pilsētās</w:t>
            </w:r>
          </w:p>
        </w:tc>
        <w:tc>
          <w:tcPr>
            <w:tcW w:w="1276" w:type="dxa"/>
            <w:shd w:val="clear" w:color="auto" w:fill="B8CCE4" w:themeFill="accent1" w:themeFillTint="66"/>
            <w:vAlign w:val="center"/>
            <w:hideMark/>
          </w:tcPr>
          <w:p w:rsidR="00255CC4" w:rsidRPr="00BC22F8" w:rsidRDefault="00255CC4" w:rsidP="00255CC4">
            <w:pPr>
              <w:spacing w:line="240" w:lineRule="auto"/>
              <w:jc w:val="center"/>
              <w:rPr>
                <w:rFonts w:eastAsia="Times New Roman"/>
                <w:b/>
                <w:color w:val="002060"/>
                <w:sz w:val="22"/>
                <w:szCs w:val="22"/>
                <w:lang w:eastAsia="en-US"/>
              </w:rPr>
            </w:pPr>
            <w:r w:rsidRPr="00BC22F8">
              <w:rPr>
                <w:rFonts w:eastAsia="Times New Roman"/>
                <w:b/>
                <w:color w:val="002060"/>
                <w:sz w:val="22"/>
                <w:szCs w:val="22"/>
                <w:lang w:eastAsia="en-US"/>
              </w:rPr>
              <w:t>Novados</w:t>
            </w:r>
          </w:p>
        </w:tc>
      </w:tr>
      <w:tr w:rsidR="00255CC4" w:rsidRPr="00C70E01" w:rsidTr="001A141F">
        <w:trPr>
          <w:trHeight w:val="300"/>
        </w:trPr>
        <w:tc>
          <w:tcPr>
            <w:tcW w:w="5387" w:type="dxa"/>
            <w:shd w:val="clear" w:color="auto" w:fill="auto"/>
            <w:noWrap/>
            <w:vAlign w:val="center"/>
            <w:hideMark/>
          </w:tcPr>
          <w:p w:rsidR="00255CC4" w:rsidRPr="00C70E01" w:rsidRDefault="00255CC4" w:rsidP="00255CC4">
            <w:pPr>
              <w:spacing w:line="240" w:lineRule="auto"/>
              <w:jc w:val="left"/>
              <w:rPr>
                <w:rFonts w:eastAsia="Times New Roman"/>
                <w:color w:val="000000"/>
                <w:sz w:val="22"/>
                <w:szCs w:val="22"/>
                <w:lang w:eastAsia="en-US"/>
              </w:rPr>
            </w:pPr>
            <w:r w:rsidRPr="00C70E01">
              <w:rPr>
                <w:rFonts w:eastAsia="Times New Roman"/>
                <w:color w:val="000000"/>
                <w:sz w:val="22"/>
                <w:szCs w:val="22"/>
                <w:lang w:eastAsia="en-US"/>
              </w:rPr>
              <w:t>Izlietotie līdzekļi (izmaiņas 2014.g.-2016.g., %)</w:t>
            </w:r>
          </w:p>
        </w:tc>
        <w:tc>
          <w:tcPr>
            <w:tcW w:w="1417" w:type="dxa"/>
            <w:shd w:val="clear" w:color="auto" w:fill="auto"/>
            <w:noWrap/>
            <w:vAlign w:val="center"/>
            <w:hideMark/>
          </w:tcPr>
          <w:p w:rsidR="00255CC4" w:rsidRPr="00C70E01"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C70E01">
              <w:rPr>
                <w:rFonts w:eastAsia="Times New Roman"/>
                <w:color w:val="000000"/>
                <w:sz w:val="22"/>
                <w:szCs w:val="22"/>
                <w:lang w:eastAsia="en-US"/>
              </w:rPr>
              <w:t>30,1</w:t>
            </w:r>
          </w:p>
        </w:tc>
        <w:tc>
          <w:tcPr>
            <w:tcW w:w="1276" w:type="dxa"/>
            <w:shd w:val="clear" w:color="auto" w:fill="auto"/>
            <w:noWrap/>
            <w:vAlign w:val="center"/>
            <w:hideMark/>
          </w:tcPr>
          <w:p w:rsidR="00255CC4" w:rsidRPr="00C70E01"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C70E01">
              <w:rPr>
                <w:rFonts w:eastAsia="Times New Roman"/>
                <w:color w:val="000000"/>
                <w:sz w:val="22"/>
                <w:szCs w:val="22"/>
                <w:lang w:eastAsia="en-US"/>
              </w:rPr>
              <w:t>30,4</w:t>
            </w:r>
          </w:p>
        </w:tc>
        <w:tc>
          <w:tcPr>
            <w:tcW w:w="1276" w:type="dxa"/>
            <w:shd w:val="clear" w:color="auto" w:fill="auto"/>
            <w:noWrap/>
            <w:vAlign w:val="center"/>
            <w:hideMark/>
          </w:tcPr>
          <w:p w:rsidR="00255CC4" w:rsidRPr="00C70E01"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C70E01">
              <w:rPr>
                <w:rFonts w:eastAsia="Times New Roman"/>
                <w:color w:val="000000"/>
                <w:sz w:val="22"/>
                <w:szCs w:val="22"/>
                <w:lang w:eastAsia="en-US"/>
              </w:rPr>
              <w:t>29,6</w:t>
            </w:r>
          </w:p>
        </w:tc>
      </w:tr>
      <w:tr w:rsidR="00255CC4" w:rsidRPr="00C70E01" w:rsidTr="001A141F">
        <w:trPr>
          <w:trHeight w:val="300"/>
        </w:trPr>
        <w:tc>
          <w:tcPr>
            <w:tcW w:w="5387" w:type="dxa"/>
            <w:shd w:val="clear" w:color="auto" w:fill="auto"/>
            <w:noWrap/>
            <w:vAlign w:val="center"/>
            <w:hideMark/>
          </w:tcPr>
          <w:p w:rsidR="00255CC4" w:rsidRPr="00C70E01" w:rsidRDefault="00255CC4" w:rsidP="00255CC4">
            <w:pPr>
              <w:spacing w:line="240" w:lineRule="auto"/>
              <w:jc w:val="left"/>
              <w:rPr>
                <w:rFonts w:eastAsia="Times New Roman"/>
                <w:color w:val="000000"/>
                <w:sz w:val="22"/>
                <w:szCs w:val="22"/>
                <w:lang w:eastAsia="en-US"/>
              </w:rPr>
            </w:pPr>
            <w:r w:rsidRPr="00C70E01">
              <w:rPr>
                <w:rFonts w:eastAsia="Times New Roman"/>
                <w:color w:val="000000"/>
                <w:sz w:val="22"/>
                <w:szCs w:val="22"/>
                <w:lang w:eastAsia="en-US"/>
              </w:rPr>
              <w:t>Personu skaits (izmaiņas 2014.-2016.g., %)</w:t>
            </w:r>
          </w:p>
        </w:tc>
        <w:tc>
          <w:tcPr>
            <w:tcW w:w="1417" w:type="dxa"/>
            <w:shd w:val="clear" w:color="auto" w:fill="auto"/>
            <w:noWrap/>
            <w:vAlign w:val="center"/>
            <w:hideMark/>
          </w:tcPr>
          <w:p w:rsidR="00255CC4" w:rsidRPr="00C70E01"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C70E01">
              <w:rPr>
                <w:rFonts w:eastAsia="Times New Roman"/>
                <w:color w:val="000000"/>
                <w:sz w:val="22"/>
                <w:szCs w:val="22"/>
                <w:lang w:eastAsia="en-US"/>
              </w:rPr>
              <w:t>34,2</w:t>
            </w:r>
          </w:p>
        </w:tc>
        <w:tc>
          <w:tcPr>
            <w:tcW w:w="1276" w:type="dxa"/>
            <w:shd w:val="clear" w:color="auto" w:fill="auto"/>
            <w:noWrap/>
            <w:vAlign w:val="center"/>
            <w:hideMark/>
          </w:tcPr>
          <w:p w:rsidR="00255CC4" w:rsidRPr="00C70E01"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C70E01">
              <w:rPr>
                <w:rFonts w:eastAsia="Times New Roman"/>
                <w:color w:val="000000"/>
                <w:sz w:val="22"/>
                <w:szCs w:val="22"/>
                <w:lang w:eastAsia="en-US"/>
              </w:rPr>
              <w:t>34</w:t>
            </w:r>
            <w:r w:rsidR="007D23AF">
              <w:rPr>
                <w:rFonts w:eastAsia="Times New Roman"/>
                <w:color w:val="000000"/>
                <w:sz w:val="22"/>
                <w:szCs w:val="22"/>
                <w:lang w:eastAsia="en-US"/>
              </w:rPr>
              <w:t>,0</w:t>
            </w:r>
          </w:p>
        </w:tc>
        <w:tc>
          <w:tcPr>
            <w:tcW w:w="1276" w:type="dxa"/>
            <w:shd w:val="clear" w:color="auto" w:fill="auto"/>
            <w:noWrap/>
            <w:vAlign w:val="center"/>
            <w:hideMark/>
          </w:tcPr>
          <w:p w:rsidR="00255CC4" w:rsidRPr="00C70E01"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C70E01">
              <w:rPr>
                <w:rFonts w:eastAsia="Times New Roman"/>
                <w:color w:val="000000"/>
                <w:sz w:val="22"/>
                <w:szCs w:val="22"/>
                <w:lang w:eastAsia="en-US"/>
              </w:rPr>
              <w:t>34,3</w:t>
            </w:r>
          </w:p>
        </w:tc>
      </w:tr>
      <w:tr w:rsidR="00255CC4" w:rsidRPr="00C70E01" w:rsidTr="001A141F">
        <w:trPr>
          <w:trHeight w:val="300"/>
        </w:trPr>
        <w:tc>
          <w:tcPr>
            <w:tcW w:w="5387" w:type="dxa"/>
            <w:shd w:val="clear" w:color="auto" w:fill="D9D9D9" w:themeFill="background1" w:themeFillShade="D9"/>
            <w:noWrap/>
            <w:vAlign w:val="center"/>
            <w:hideMark/>
          </w:tcPr>
          <w:p w:rsidR="00255CC4" w:rsidRPr="00C70E01" w:rsidRDefault="00255CC4" w:rsidP="00824420">
            <w:pPr>
              <w:spacing w:line="240" w:lineRule="auto"/>
              <w:jc w:val="left"/>
              <w:rPr>
                <w:rFonts w:eastAsia="Times New Roman"/>
                <w:color w:val="000000"/>
                <w:sz w:val="22"/>
                <w:szCs w:val="22"/>
                <w:lang w:eastAsia="en-US"/>
              </w:rPr>
            </w:pPr>
            <w:r w:rsidRPr="00C70E01">
              <w:rPr>
                <w:rFonts w:eastAsia="Times New Roman"/>
                <w:color w:val="000000"/>
                <w:sz w:val="22"/>
                <w:szCs w:val="22"/>
                <w:lang w:eastAsia="en-US"/>
              </w:rPr>
              <w:t xml:space="preserve">Vidējais atbalsta apjoms vienai personai </w:t>
            </w:r>
            <w:r w:rsidRPr="00375E5F">
              <w:rPr>
                <w:rFonts w:eastAsia="Times New Roman"/>
                <w:b/>
                <w:color w:val="000000"/>
                <w:sz w:val="22"/>
                <w:szCs w:val="22"/>
                <w:lang w:eastAsia="en-US"/>
              </w:rPr>
              <w:t>2014.g</w:t>
            </w:r>
            <w:r w:rsidRPr="00C70E01">
              <w:rPr>
                <w:rFonts w:eastAsia="Times New Roman"/>
                <w:color w:val="000000"/>
                <w:sz w:val="22"/>
                <w:szCs w:val="22"/>
                <w:lang w:eastAsia="en-US"/>
              </w:rPr>
              <w:t>., EUR</w:t>
            </w:r>
            <w:r w:rsidR="001A141F">
              <w:rPr>
                <w:rFonts w:eastAsia="Times New Roman"/>
                <w:color w:val="000000"/>
                <w:sz w:val="22"/>
                <w:szCs w:val="22"/>
                <w:lang w:eastAsia="en-US"/>
              </w:rPr>
              <w:t xml:space="preserve"> </w:t>
            </w:r>
            <w:r w:rsidR="00824420">
              <w:rPr>
                <w:rFonts w:eastAsia="Times New Roman"/>
                <w:color w:val="000000"/>
                <w:sz w:val="22"/>
                <w:szCs w:val="22"/>
                <w:lang w:eastAsia="en-US"/>
              </w:rPr>
              <w:t>gadā</w:t>
            </w:r>
          </w:p>
        </w:tc>
        <w:tc>
          <w:tcPr>
            <w:tcW w:w="1417" w:type="dxa"/>
            <w:shd w:val="clear" w:color="auto" w:fill="D9D9D9" w:themeFill="background1" w:themeFillShade="D9"/>
            <w:noWrap/>
            <w:vAlign w:val="center"/>
            <w:hideMark/>
          </w:tcPr>
          <w:p w:rsidR="00255CC4" w:rsidRPr="00C70E01" w:rsidRDefault="00255CC4" w:rsidP="00255CC4">
            <w:pPr>
              <w:spacing w:line="240" w:lineRule="auto"/>
              <w:jc w:val="center"/>
              <w:rPr>
                <w:rFonts w:eastAsia="Times New Roman"/>
                <w:color w:val="000000"/>
                <w:sz w:val="22"/>
                <w:szCs w:val="22"/>
                <w:lang w:eastAsia="en-US"/>
              </w:rPr>
            </w:pPr>
            <w:r w:rsidRPr="00C70E01">
              <w:rPr>
                <w:rFonts w:eastAsia="Times New Roman"/>
                <w:color w:val="000000"/>
                <w:sz w:val="22"/>
                <w:szCs w:val="22"/>
                <w:lang w:eastAsia="en-US"/>
              </w:rPr>
              <w:t>252,1</w:t>
            </w:r>
          </w:p>
        </w:tc>
        <w:tc>
          <w:tcPr>
            <w:tcW w:w="1276" w:type="dxa"/>
            <w:shd w:val="clear" w:color="auto" w:fill="D9D9D9" w:themeFill="background1" w:themeFillShade="D9"/>
            <w:noWrap/>
            <w:vAlign w:val="center"/>
            <w:hideMark/>
          </w:tcPr>
          <w:p w:rsidR="00255CC4" w:rsidRPr="00C70E01" w:rsidRDefault="00255CC4" w:rsidP="00255CC4">
            <w:pPr>
              <w:spacing w:line="240" w:lineRule="auto"/>
              <w:jc w:val="center"/>
              <w:rPr>
                <w:rFonts w:eastAsia="Times New Roman"/>
                <w:color w:val="000000"/>
                <w:sz w:val="22"/>
                <w:szCs w:val="22"/>
                <w:lang w:eastAsia="en-US"/>
              </w:rPr>
            </w:pPr>
            <w:r w:rsidRPr="00C70E01">
              <w:rPr>
                <w:rFonts w:eastAsia="Times New Roman"/>
                <w:color w:val="000000"/>
                <w:sz w:val="22"/>
                <w:szCs w:val="22"/>
                <w:lang w:eastAsia="en-US"/>
              </w:rPr>
              <w:t>446,7</w:t>
            </w:r>
          </w:p>
        </w:tc>
        <w:tc>
          <w:tcPr>
            <w:tcW w:w="1276" w:type="dxa"/>
            <w:shd w:val="clear" w:color="auto" w:fill="D9D9D9" w:themeFill="background1" w:themeFillShade="D9"/>
            <w:noWrap/>
            <w:vAlign w:val="center"/>
            <w:hideMark/>
          </w:tcPr>
          <w:p w:rsidR="00255CC4" w:rsidRPr="00C70E01" w:rsidRDefault="00255CC4" w:rsidP="00255CC4">
            <w:pPr>
              <w:spacing w:line="240" w:lineRule="auto"/>
              <w:jc w:val="center"/>
              <w:rPr>
                <w:rFonts w:eastAsia="Times New Roman"/>
                <w:color w:val="000000"/>
                <w:sz w:val="22"/>
                <w:szCs w:val="22"/>
                <w:lang w:eastAsia="en-US"/>
              </w:rPr>
            </w:pPr>
            <w:r w:rsidRPr="00C70E01">
              <w:rPr>
                <w:rFonts w:eastAsia="Times New Roman"/>
                <w:color w:val="000000"/>
                <w:sz w:val="22"/>
                <w:szCs w:val="22"/>
                <w:lang w:eastAsia="en-US"/>
              </w:rPr>
              <w:t>152,3</w:t>
            </w:r>
          </w:p>
        </w:tc>
      </w:tr>
      <w:tr w:rsidR="00255CC4" w:rsidRPr="00C70E01" w:rsidTr="001A141F">
        <w:trPr>
          <w:trHeight w:val="300"/>
        </w:trPr>
        <w:tc>
          <w:tcPr>
            <w:tcW w:w="5387" w:type="dxa"/>
            <w:shd w:val="clear" w:color="auto" w:fill="D9D9D9" w:themeFill="background1" w:themeFillShade="D9"/>
            <w:noWrap/>
            <w:vAlign w:val="center"/>
            <w:hideMark/>
          </w:tcPr>
          <w:p w:rsidR="00255CC4" w:rsidRPr="00C70E01" w:rsidRDefault="00255CC4" w:rsidP="00824420">
            <w:pPr>
              <w:spacing w:line="240" w:lineRule="auto"/>
              <w:jc w:val="left"/>
              <w:rPr>
                <w:rFonts w:eastAsia="Times New Roman"/>
                <w:color w:val="000000"/>
                <w:sz w:val="22"/>
                <w:szCs w:val="22"/>
                <w:lang w:eastAsia="en-US"/>
              </w:rPr>
            </w:pPr>
            <w:r w:rsidRPr="00C70E01">
              <w:rPr>
                <w:rFonts w:eastAsia="Times New Roman"/>
                <w:color w:val="000000"/>
                <w:sz w:val="22"/>
                <w:szCs w:val="22"/>
                <w:lang w:eastAsia="en-US"/>
              </w:rPr>
              <w:t xml:space="preserve">Vidējais atbalsta apjoms vienai personai </w:t>
            </w:r>
            <w:r w:rsidRPr="00375E5F">
              <w:rPr>
                <w:rFonts w:eastAsia="Times New Roman"/>
                <w:b/>
                <w:color w:val="000000"/>
                <w:sz w:val="22"/>
                <w:szCs w:val="22"/>
                <w:lang w:eastAsia="en-US"/>
              </w:rPr>
              <w:t>2015.g.</w:t>
            </w:r>
            <w:r w:rsidRPr="00C70E01">
              <w:rPr>
                <w:rFonts w:eastAsia="Times New Roman"/>
                <w:color w:val="000000"/>
                <w:sz w:val="22"/>
                <w:szCs w:val="22"/>
                <w:lang w:eastAsia="en-US"/>
              </w:rPr>
              <w:t xml:space="preserve">, </w:t>
            </w:r>
            <w:r w:rsidR="001A141F" w:rsidRPr="00C70E01">
              <w:rPr>
                <w:rFonts w:eastAsia="Times New Roman"/>
                <w:color w:val="000000"/>
                <w:sz w:val="22"/>
                <w:szCs w:val="22"/>
                <w:lang w:eastAsia="en-US"/>
              </w:rPr>
              <w:t>EUR</w:t>
            </w:r>
            <w:r w:rsidR="001A141F">
              <w:rPr>
                <w:rFonts w:eastAsia="Times New Roman"/>
                <w:color w:val="000000"/>
                <w:sz w:val="22"/>
                <w:szCs w:val="22"/>
                <w:lang w:eastAsia="en-US"/>
              </w:rPr>
              <w:t xml:space="preserve"> </w:t>
            </w:r>
            <w:r w:rsidR="00824420">
              <w:rPr>
                <w:rFonts w:eastAsia="Times New Roman"/>
                <w:color w:val="000000"/>
                <w:sz w:val="22"/>
                <w:szCs w:val="22"/>
                <w:lang w:eastAsia="en-US"/>
              </w:rPr>
              <w:t>gadā</w:t>
            </w:r>
          </w:p>
        </w:tc>
        <w:tc>
          <w:tcPr>
            <w:tcW w:w="1417" w:type="dxa"/>
            <w:shd w:val="clear" w:color="auto" w:fill="D9D9D9" w:themeFill="background1" w:themeFillShade="D9"/>
            <w:noWrap/>
            <w:vAlign w:val="center"/>
            <w:hideMark/>
          </w:tcPr>
          <w:p w:rsidR="00255CC4" w:rsidRPr="00C70E01" w:rsidRDefault="00255CC4" w:rsidP="00255CC4">
            <w:pPr>
              <w:spacing w:line="240" w:lineRule="auto"/>
              <w:jc w:val="center"/>
              <w:rPr>
                <w:rFonts w:eastAsia="Times New Roman"/>
                <w:color w:val="000000"/>
                <w:sz w:val="22"/>
                <w:szCs w:val="22"/>
                <w:lang w:eastAsia="en-US"/>
              </w:rPr>
            </w:pPr>
            <w:r w:rsidRPr="00C70E01">
              <w:rPr>
                <w:rFonts w:eastAsia="Times New Roman"/>
                <w:color w:val="000000"/>
                <w:sz w:val="22"/>
                <w:szCs w:val="22"/>
                <w:lang w:eastAsia="en-US"/>
              </w:rPr>
              <w:t>260,3</w:t>
            </w:r>
          </w:p>
        </w:tc>
        <w:tc>
          <w:tcPr>
            <w:tcW w:w="1276" w:type="dxa"/>
            <w:shd w:val="clear" w:color="auto" w:fill="D9D9D9" w:themeFill="background1" w:themeFillShade="D9"/>
            <w:noWrap/>
            <w:vAlign w:val="center"/>
            <w:hideMark/>
          </w:tcPr>
          <w:p w:rsidR="00255CC4" w:rsidRPr="00C70E01" w:rsidRDefault="00255CC4" w:rsidP="00255CC4">
            <w:pPr>
              <w:spacing w:line="240" w:lineRule="auto"/>
              <w:jc w:val="center"/>
              <w:rPr>
                <w:rFonts w:eastAsia="Times New Roman"/>
                <w:color w:val="000000"/>
                <w:sz w:val="22"/>
                <w:szCs w:val="22"/>
                <w:lang w:eastAsia="en-US"/>
              </w:rPr>
            </w:pPr>
            <w:r w:rsidRPr="00C70E01">
              <w:rPr>
                <w:rFonts w:eastAsia="Times New Roman"/>
                <w:color w:val="000000"/>
                <w:sz w:val="22"/>
                <w:szCs w:val="22"/>
                <w:lang w:eastAsia="en-US"/>
              </w:rPr>
              <w:t>451,2</w:t>
            </w:r>
          </w:p>
        </w:tc>
        <w:tc>
          <w:tcPr>
            <w:tcW w:w="1276" w:type="dxa"/>
            <w:shd w:val="clear" w:color="auto" w:fill="D9D9D9" w:themeFill="background1" w:themeFillShade="D9"/>
            <w:noWrap/>
            <w:vAlign w:val="center"/>
            <w:hideMark/>
          </w:tcPr>
          <w:p w:rsidR="00255CC4" w:rsidRPr="00C70E01" w:rsidRDefault="00255CC4" w:rsidP="00255CC4">
            <w:pPr>
              <w:spacing w:line="240" w:lineRule="auto"/>
              <w:jc w:val="center"/>
              <w:rPr>
                <w:rFonts w:eastAsia="Times New Roman"/>
                <w:color w:val="000000"/>
                <w:sz w:val="22"/>
                <w:szCs w:val="22"/>
                <w:lang w:eastAsia="en-US"/>
              </w:rPr>
            </w:pPr>
            <w:r w:rsidRPr="00C70E01">
              <w:rPr>
                <w:rFonts w:eastAsia="Times New Roman"/>
                <w:color w:val="000000"/>
                <w:sz w:val="22"/>
                <w:szCs w:val="22"/>
                <w:lang w:eastAsia="en-US"/>
              </w:rPr>
              <w:t>160,1</w:t>
            </w:r>
          </w:p>
        </w:tc>
      </w:tr>
      <w:tr w:rsidR="00255CC4" w:rsidRPr="00C70E01" w:rsidTr="001A141F">
        <w:trPr>
          <w:trHeight w:val="300"/>
        </w:trPr>
        <w:tc>
          <w:tcPr>
            <w:tcW w:w="5387" w:type="dxa"/>
            <w:shd w:val="clear" w:color="auto" w:fill="D9D9D9" w:themeFill="background1" w:themeFillShade="D9"/>
            <w:noWrap/>
            <w:vAlign w:val="center"/>
            <w:hideMark/>
          </w:tcPr>
          <w:p w:rsidR="00255CC4" w:rsidRPr="00C70E01" w:rsidRDefault="00255CC4" w:rsidP="00824420">
            <w:pPr>
              <w:spacing w:line="240" w:lineRule="auto"/>
              <w:jc w:val="left"/>
              <w:rPr>
                <w:rFonts w:eastAsia="Times New Roman"/>
                <w:color w:val="000000"/>
                <w:sz w:val="22"/>
                <w:szCs w:val="22"/>
                <w:lang w:eastAsia="en-US"/>
              </w:rPr>
            </w:pPr>
            <w:r w:rsidRPr="00C70E01">
              <w:rPr>
                <w:rFonts w:eastAsia="Times New Roman"/>
                <w:color w:val="000000"/>
                <w:sz w:val="22"/>
                <w:szCs w:val="22"/>
                <w:lang w:eastAsia="en-US"/>
              </w:rPr>
              <w:t>Vidējais atbalsta apjom</w:t>
            </w:r>
            <w:r>
              <w:rPr>
                <w:rFonts w:eastAsia="Times New Roman"/>
                <w:color w:val="000000"/>
                <w:sz w:val="22"/>
                <w:szCs w:val="22"/>
                <w:lang w:eastAsia="en-US"/>
              </w:rPr>
              <w:t>s</w:t>
            </w:r>
            <w:r w:rsidRPr="00C70E01">
              <w:rPr>
                <w:rFonts w:eastAsia="Times New Roman"/>
                <w:color w:val="000000"/>
                <w:sz w:val="22"/>
                <w:szCs w:val="22"/>
                <w:lang w:eastAsia="en-US"/>
              </w:rPr>
              <w:t xml:space="preserve"> vienai personai </w:t>
            </w:r>
            <w:r w:rsidRPr="00375E5F">
              <w:rPr>
                <w:rFonts w:eastAsia="Times New Roman"/>
                <w:b/>
                <w:color w:val="000000"/>
                <w:sz w:val="22"/>
                <w:szCs w:val="22"/>
                <w:lang w:eastAsia="en-US"/>
              </w:rPr>
              <w:t>2016.g.</w:t>
            </w:r>
            <w:r w:rsidRPr="00C70E01">
              <w:rPr>
                <w:rFonts w:eastAsia="Times New Roman"/>
                <w:color w:val="000000"/>
                <w:sz w:val="22"/>
                <w:szCs w:val="22"/>
                <w:lang w:eastAsia="en-US"/>
              </w:rPr>
              <w:t xml:space="preserve">, </w:t>
            </w:r>
            <w:r w:rsidR="001A141F" w:rsidRPr="00C70E01">
              <w:rPr>
                <w:rFonts w:eastAsia="Times New Roman"/>
                <w:color w:val="000000"/>
                <w:sz w:val="22"/>
                <w:szCs w:val="22"/>
                <w:lang w:eastAsia="en-US"/>
              </w:rPr>
              <w:t>EUR</w:t>
            </w:r>
            <w:r w:rsidR="001A141F">
              <w:rPr>
                <w:rFonts w:eastAsia="Times New Roman"/>
                <w:color w:val="000000"/>
                <w:sz w:val="22"/>
                <w:szCs w:val="22"/>
                <w:lang w:eastAsia="en-US"/>
              </w:rPr>
              <w:t xml:space="preserve"> </w:t>
            </w:r>
            <w:r w:rsidR="00824420">
              <w:rPr>
                <w:rFonts w:eastAsia="Times New Roman"/>
                <w:color w:val="000000"/>
                <w:sz w:val="22"/>
                <w:szCs w:val="22"/>
                <w:lang w:eastAsia="en-US"/>
              </w:rPr>
              <w:t>gadā</w:t>
            </w:r>
          </w:p>
        </w:tc>
        <w:tc>
          <w:tcPr>
            <w:tcW w:w="1417" w:type="dxa"/>
            <w:shd w:val="clear" w:color="auto" w:fill="D9D9D9" w:themeFill="background1" w:themeFillShade="D9"/>
            <w:noWrap/>
            <w:vAlign w:val="center"/>
            <w:hideMark/>
          </w:tcPr>
          <w:p w:rsidR="00255CC4" w:rsidRPr="00C70E01" w:rsidRDefault="00255CC4" w:rsidP="00255CC4">
            <w:pPr>
              <w:spacing w:line="240" w:lineRule="auto"/>
              <w:jc w:val="center"/>
              <w:rPr>
                <w:rFonts w:eastAsia="Times New Roman"/>
                <w:color w:val="000000"/>
                <w:sz w:val="22"/>
                <w:szCs w:val="22"/>
                <w:lang w:eastAsia="en-US"/>
              </w:rPr>
            </w:pPr>
            <w:r w:rsidRPr="00C70E01">
              <w:rPr>
                <w:rFonts w:eastAsia="Times New Roman"/>
                <w:color w:val="000000"/>
                <w:sz w:val="22"/>
                <w:szCs w:val="22"/>
                <w:lang w:eastAsia="en-US"/>
              </w:rPr>
              <w:t>267,9</w:t>
            </w:r>
          </w:p>
        </w:tc>
        <w:tc>
          <w:tcPr>
            <w:tcW w:w="1276" w:type="dxa"/>
            <w:shd w:val="clear" w:color="auto" w:fill="D9D9D9" w:themeFill="background1" w:themeFillShade="D9"/>
            <w:noWrap/>
            <w:vAlign w:val="center"/>
            <w:hideMark/>
          </w:tcPr>
          <w:p w:rsidR="00255CC4" w:rsidRPr="00C70E01" w:rsidRDefault="00255CC4" w:rsidP="00255CC4">
            <w:pPr>
              <w:spacing w:line="240" w:lineRule="auto"/>
              <w:jc w:val="center"/>
              <w:rPr>
                <w:rFonts w:eastAsia="Times New Roman"/>
                <w:color w:val="000000"/>
                <w:sz w:val="22"/>
                <w:szCs w:val="22"/>
                <w:lang w:eastAsia="en-US"/>
              </w:rPr>
            </w:pPr>
            <w:r w:rsidRPr="00C70E01">
              <w:rPr>
                <w:rFonts w:eastAsia="Times New Roman"/>
                <w:color w:val="000000"/>
                <w:sz w:val="22"/>
                <w:szCs w:val="22"/>
                <w:lang w:eastAsia="en-US"/>
              </w:rPr>
              <w:t>470,8</w:t>
            </w:r>
          </w:p>
        </w:tc>
        <w:tc>
          <w:tcPr>
            <w:tcW w:w="1276" w:type="dxa"/>
            <w:shd w:val="clear" w:color="auto" w:fill="D9D9D9" w:themeFill="background1" w:themeFillShade="D9"/>
            <w:noWrap/>
            <w:vAlign w:val="center"/>
            <w:hideMark/>
          </w:tcPr>
          <w:p w:rsidR="00255CC4" w:rsidRPr="00C70E01" w:rsidRDefault="00255CC4" w:rsidP="00255CC4">
            <w:pPr>
              <w:spacing w:line="240" w:lineRule="auto"/>
              <w:jc w:val="center"/>
              <w:rPr>
                <w:rFonts w:eastAsia="Times New Roman"/>
                <w:color w:val="000000"/>
                <w:sz w:val="22"/>
                <w:szCs w:val="22"/>
                <w:lang w:eastAsia="en-US"/>
              </w:rPr>
            </w:pPr>
            <w:r w:rsidRPr="00C70E01">
              <w:rPr>
                <w:rFonts w:eastAsia="Times New Roman"/>
                <w:color w:val="000000"/>
                <w:sz w:val="22"/>
                <w:szCs w:val="22"/>
                <w:lang w:eastAsia="en-US"/>
              </w:rPr>
              <w:t>163,3</w:t>
            </w:r>
          </w:p>
        </w:tc>
      </w:tr>
      <w:tr w:rsidR="00255CC4" w:rsidRPr="00C70E01" w:rsidTr="001A141F">
        <w:trPr>
          <w:trHeight w:val="300"/>
        </w:trPr>
        <w:tc>
          <w:tcPr>
            <w:tcW w:w="5387" w:type="dxa"/>
            <w:shd w:val="clear" w:color="auto" w:fill="auto"/>
            <w:noWrap/>
            <w:vAlign w:val="center"/>
            <w:hideMark/>
          </w:tcPr>
          <w:p w:rsidR="00255CC4" w:rsidRPr="00C70E01" w:rsidRDefault="00255CC4" w:rsidP="00255CC4">
            <w:pPr>
              <w:spacing w:line="240" w:lineRule="auto"/>
              <w:jc w:val="left"/>
              <w:rPr>
                <w:rFonts w:eastAsia="Times New Roman"/>
                <w:color w:val="000000"/>
                <w:sz w:val="22"/>
                <w:szCs w:val="22"/>
                <w:lang w:eastAsia="en-US"/>
              </w:rPr>
            </w:pPr>
            <w:r w:rsidRPr="00C70E01">
              <w:rPr>
                <w:rFonts w:eastAsia="Times New Roman"/>
                <w:color w:val="000000"/>
                <w:sz w:val="22"/>
                <w:szCs w:val="22"/>
                <w:lang w:eastAsia="en-US"/>
              </w:rPr>
              <w:t>Vidējā trūcīgās personas pabalsta lieluma vienai personai izmaiņas 2014.g.-2016.g., %</w:t>
            </w:r>
          </w:p>
        </w:tc>
        <w:tc>
          <w:tcPr>
            <w:tcW w:w="1417" w:type="dxa"/>
            <w:shd w:val="clear" w:color="auto" w:fill="auto"/>
            <w:noWrap/>
            <w:vAlign w:val="center"/>
            <w:hideMark/>
          </w:tcPr>
          <w:p w:rsidR="00255CC4" w:rsidRPr="00C70E01"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C70E01">
              <w:rPr>
                <w:rFonts w:eastAsia="Times New Roman"/>
                <w:color w:val="000000"/>
                <w:sz w:val="22"/>
                <w:szCs w:val="22"/>
                <w:lang w:eastAsia="en-US"/>
              </w:rPr>
              <w:t>6,3</w:t>
            </w:r>
          </w:p>
        </w:tc>
        <w:tc>
          <w:tcPr>
            <w:tcW w:w="1276" w:type="dxa"/>
            <w:shd w:val="clear" w:color="auto" w:fill="auto"/>
            <w:noWrap/>
            <w:vAlign w:val="center"/>
            <w:hideMark/>
          </w:tcPr>
          <w:p w:rsidR="00255CC4" w:rsidRPr="00C70E01"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C70E01">
              <w:rPr>
                <w:rFonts w:eastAsia="Times New Roman"/>
                <w:color w:val="000000"/>
                <w:sz w:val="22"/>
                <w:szCs w:val="22"/>
                <w:lang w:eastAsia="en-US"/>
              </w:rPr>
              <w:t>5,4</w:t>
            </w:r>
          </w:p>
        </w:tc>
        <w:tc>
          <w:tcPr>
            <w:tcW w:w="1276" w:type="dxa"/>
            <w:shd w:val="clear" w:color="auto" w:fill="auto"/>
            <w:noWrap/>
            <w:vAlign w:val="center"/>
            <w:hideMark/>
          </w:tcPr>
          <w:p w:rsidR="00255CC4" w:rsidRPr="00C70E01"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C70E01">
              <w:rPr>
                <w:rFonts w:eastAsia="Times New Roman"/>
                <w:color w:val="000000"/>
                <w:sz w:val="22"/>
                <w:szCs w:val="22"/>
                <w:lang w:eastAsia="en-US"/>
              </w:rPr>
              <w:t>7,2</w:t>
            </w:r>
          </w:p>
        </w:tc>
      </w:tr>
      <w:tr w:rsidR="00255CC4" w:rsidRPr="00C70E01" w:rsidTr="001A141F">
        <w:trPr>
          <w:trHeight w:val="300"/>
        </w:trPr>
        <w:tc>
          <w:tcPr>
            <w:tcW w:w="5387" w:type="dxa"/>
            <w:shd w:val="clear" w:color="auto" w:fill="auto"/>
            <w:noWrap/>
            <w:vAlign w:val="center"/>
            <w:hideMark/>
          </w:tcPr>
          <w:p w:rsidR="00255CC4" w:rsidRPr="00C70E01" w:rsidRDefault="00255CC4" w:rsidP="00255CC4">
            <w:pPr>
              <w:spacing w:line="240" w:lineRule="auto"/>
              <w:jc w:val="left"/>
              <w:rPr>
                <w:rFonts w:eastAsia="Times New Roman"/>
                <w:color w:val="000000"/>
                <w:sz w:val="22"/>
                <w:szCs w:val="22"/>
                <w:lang w:eastAsia="en-US"/>
              </w:rPr>
            </w:pPr>
            <w:r w:rsidRPr="00C70E01">
              <w:rPr>
                <w:rFonts w:eastAsia="Times New Roman"/>
                <w:color w:val="000000"/>
                <w:sz w:val="22"/>
                <w:szCs w:val="22"/>
                <w:lang w:eastAsia="en-US"/>
              </w:rPr>
              <w:t>Vidējā trūcīgas personas pabalsta lieluma vienai personai izmaiņas 2014.g.-2016.g., EUR</w:t>
            </w:r>
          </w:p>
        </w:tc>
        <w:tc>
          <w:tcPr>
            <w:tcW w:w="1417" w:type="dxa"/>
            <w:shd w:val="clear" w:color="auto" w:fill="auto"/>
            <w:noWrap/>
            <w:vAlign w:val="center"/>
            <w:hideMark/>
          </w:tcPr>
          <w:p w:rsidR="00255CC4" w:rsidRPr="00C70E01"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C70E01">
              <w:rPr>
                <w:rFonts w:eastAsia="Times New Roman"/>
                <w:color w:val="000000"/>
                <w:sz w:val="22"/>
                <w:szCs w:val="22"/>
                <w:lang w:eastAsia="en-US"/>
              </w:rPr>
              <w:t>15,8</w:t>
            </w:r>
          </w:p>
        </w:tc>
        <w:tc>
          <w:tcPr>
            <w:tcW w:w="1276" w:type="dxa"/>
            <w:shd w:val="clear" w:color="auto" w:fill="auto"/>
            <w:noWrap/>
            <w:vAlign w:val="center"/>
            <w:hideMark/>
          </w:tcPr>
          <w:p w:rsidR="00255CC4" w:rsidRPr="00C70E01"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C70E01">
              <w:rPr>
                <w:rFonts w:eastAsia="Times New Roman"/>
                <w:color w:val="000000"/>
                <w:sz w:val="22"/>
                <w:szCs w:val="22"/>
                <w:lang w:eastAsia="en-US"/>
              </w:rPr>
              <w:t>24,1</w:t>
            </w:r>
          </w:p>
        </w:tc>
        <w:tc>
          <w:tcPr>
            <w:tcW w:w="1276" w:type="dxa"/>
            <w:shd w:val="clear" w:color="auto" w:fill="auto"/>
            <w:noWrap/>
            <w:vAlign w:val="center"/>
            <w:hideMark/>
          </w:tcPr>
          <w:p w:rsidR="00255CC4" w:rsidRPr="00C70E01"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C70E01">
              <w:rPr>
                <w:rFonts w:eastAsia="Times New Roman"/>
                <w:color w:val="000000"/>
                <w:sz w:val="22"/>
                <w:szCs w:val="22"/>
                <w:lang w:eastAsia="en-US"/>
              </w:rPr>
              <w:t>11</w:t>
            </w:r>
          </w:p>
        </w:tc>
      </w:tr>
    </w:tbl>
    <w:p w:rsidR="00255CC4" w:rsidRDefault="00255CC4" w:rsidP="00255CC4">
      <w:pPr>
        <w:spacing w:line="240" w:lineRule="auto"/>
        <w:rPr>
          <w:rFonts w:eastAsia="Times New Roman"/>
          <w:sz w:val="20"/>
          <w:szCs w:val="20"/>
        </w:rPr>
      </w:pPr>
      <w:r w:rsidRPr="004E69B2">
        <w:rPr>
          <w:sz w:val="20"/>
          <w:szCs w:val="20"/>
        </w:rPr>
        <w:t xml:space="preserve">Avots: LM, </w:t>
      </w:r>
      <w:r w:rsidRPr="004E69B2">
        <w:rPr>
          <w:bCs/>
          <w:sz w:val="20"/>
          <w:szCs w:val="20"/>
        </w:rPr>
        <w:t xml:space="preserve">Oficiālā statistika sociālo pakalpojumu un sociālās palīdzības jomā. </w:t>
      </w:r>
      <w:r w:rsidRPr="004E69B2">
        <w:rPr>
          <w:rFonts w:eastAsia="Times New Roman"/>
          <w:sz w:val="20"/>
          <w:szCs w:val="20"/>
        </w:rPr>
        <w:t xml:space="preserve"> Ienākumu testēto pašvaldības sociālās </w:t>
      </w:r>
      <w:r w:rsidRPr="00824420">
        <w:rPr>
          <w:rFonts w:eastAsia="Times New Roman"/>
          <w:sz w:val="20"/>
          <w:szCs w:val="20"/>
        </w:rPr>
        <w:t>palīdzības pabalstu saņēmēju raksturojums pēc ienākumu līmeņa uz vienu ģimenes locekli mēnesī.</w:t>
      </w:r>
      <w:r>
        <w:rPr>
          <w:rFonts w:eastAsia="Times New Roman"/>
          <w:sz w:val="20"/>
          <w:szCs w:val="20"/>
        </w:rPr>
        <w:t xml:space="preserve"> </w:t>
      </w:r>
    </w:p>
    <w:p w:rsidR="00143D48" w:rsidRDefault="00143D48" w:rsidP="00255CC4">
      <w:pPr>
        <w:spacing w:line="240" w:lineRule="auto"/>
        <w:rPr>
          <w:rFonts w:eastAsia="Times New Roman"/>
          <w:sz w:val="20"/>
          <w:szCs w:val="20"/>
        </w:rPr>
      </w:pPr>
    </w:p>
    <w:p w:rsidR="00255CC4" w:rsidRDefault="00255CC4" w:rsidP="00143D48">
      <w:pPr>
        <w:rPr>
          <w:b/>
          <w:bCs/>
          <w:i/>
          <w:iCs/>
        </w:rPr>
      </w:pPr>
      <w:r w:rsidRPr="00E32E58">
        <w:t xml:space="preserve">Trūcīgo personu atbalstam izlietoto līdzekļu daudzumam ir tendence samazināties </w:t>
      </w:r>
      <w:r>
        <w:t>– periodā no 2014. gada līdz 2016. gadam valstī kopumā tas ir samazinājies vidēji par 30,1% (attiecīgi no 26 363 583 EUR līdz 18 437 542 EUR), nedaudz mazāks samazinājums ir bijis novadu pašvaldībās – par 29,6%</w:t>
      </w:r>
      <w:r w:rsidR="00D5490A">
        <w:t xml:space="preserve"> (sk. 1.2</w:t>
      </w:r>
      <w:r w:rsidR="00761553">
        <w:t>7</w:t>
      </w:r>
      <w:r w:rsidR="00D5490A">
        <w:t>. tabulu)</w:t>
      </w:r>
      <w:r>
        <w:t>. Samazinājies arī trūcīgo personu skaits - kopumā no 104 569 personām 2014. gadā līdz 68 816 personām 2016. gadā, kas veido samazinājumu par 34,2%, pilsētu pašvaldībās par 34</w:t>
      </w:r>
      <w:r w:rsidR="00685CD2">
        <w:t>,0</w:t>
      </w:r>
      <w:r>
        <w:t xml:space="preserve">% un novadu pašvaldībās par 34,3%. Tātad atbalsta saņēmēju skaits ir samazinājies lielākā apmērā nekā to atbalstam izlietoto līdzekļu apmērs, kas arī izskaidro kopējo šai iedzīvotāju grupai sniegtā atbalsta apmēra naudas izteiksmē pieaugumu. </w:t>
      </w:r>
    </w:p>
    <w:p w:rsidR="00255CC4" w:rsidRDefault="00255CC4" w:rsidP="00143D48">
      <w:pPr>
        <w:rPr>
          <w:b/>
          <w:bCs/>
          <w:i/>
          <w:iCs/>
        </w:rPr>
      </w:pPr>
    </w:p>
    <w:p w:rsidR="00255CC4" w:rsidRDefault="00255CC4" w:rsidP="00143D48">
      <w:r>
        <w:t xml:space="preserve">Vidējais atbalsts vienai trūcīgai personai valstī bija 252,1 EUR 2014.gadā, pieaugot par 6,3% līdz 2016. gadam, kad tas sasniedza 267,9 EUR </w:t>
      </w:r>
      <w:r w:rsidR="001A141F" w:rsidRPr="00DB2CC6">
        <w:t>vidēji gadā</w:t>
      </w:r>
      <w:r>
        <w:t xml:space="preserve"> vienai personai. Salīdzinot pilsētu un lauku pašvaldības 2016. gadā, secināms, ka pilsētu pašvaldībās atbalsts trūcīgām personām ir bijis 2,8 reizes lielāks nekā novadu pašvaldībās. Absolūtajos skaitļos pilsētu pašvaldībās atbalsts trūcīgām personām, rēķinot uz vienu cilvēku, ir pieaudzis par 24,1 EUR, kamēr novadu pašvaldībās par 11 EUR. Taču pieauguma īpatsvara aprēķini rāda, ka periodā no 2014. gada līdz 2016. gadam atbalsts lielākā apmērā ir pieaudzis novadu pašvaldībās (par 7,2%) nekā pilsētu pašvaldībās (5,4%). </w:t>
      </w:r>
    </w:p>
    <w:p w:rsidR="00255CC4" w:rsidRDefault="00255CC4" w:rsidP="00C33A64">
      <w:pPr>
        <w:pStyle w:val="virsrakstslvl4"/>
      </w:pPr>
      <w:bookmarkStart w:id="258" w:name="_Toc6841546"/>
      <w:r>
        <w:lastRenderedPageBreak/>
        <w:t>Maznodrošinātas personas</w:t>
      </w:r>
      <w:bookmarkEnd w:id="258"/>
    </w:p>
    <w:p w:rsidR="00255CC4" w:rsidRDefault="00255CC4" w:rsidP="00143D48">
      <w:pPr>
        <w:rPr>
          <w:b/>
          <w:bCs/>
          <w:i/>
          <w:iCs/>
        </w:rPr>
      </w:pPr>
      <w:r>
        <w:t>Maznodrošinātas personas ienākumu līmeni un to novērtēšanas kritērijus nosaka katra pašvaldība, taču tas nedrīkst būs zemāks par trūcīgas personas ienākumu līmeni (128,06 EUR).</w:t>
      </w:r>
      <w:r w:rsidR="008C6B83">
        <w:t xml:space="preserve"> </w:t>
      </w:r>
      <w:r w:rsidR="00D5490A">
        <w:t>1.2</w:t>
      </w:r>
      <w:r w:rsidR="00761553">
        <w:t>8</w:t>
      </w:r>
      <w:r>
        <w:t xml:space="preserve">. tabulā ir atspoguļoti </w:t>
      </w:r>
      <w:r w:rsidRPr="00B46545">
        <w:t>Latvijas lielo pilsētu pašvaldību</w:t>
      </w:r>
      <w:r>
        <w:t xml:space="preserve"> noteiktie maznodrošinātas personas ienākumu līmeņi. Visaugstākais līmenis ir Rīgā – 400 EUR mēnesī, saglabājoties nemainīgam visā Izvērtējuma periodā. </w:t>
      </w:r>
      <w:r w:rsidR="00A73876">
        <w:t xml:space="preserve">Jāpiebilst gan, ka 400 EUR vidējie ienākumi mēnesī  ir attiecināmi uz </w:t>
      </w:r>
      <w:r w:rsidR="00A73876" w:rsidRPr="00A73876">
        <w:t xml:space="preserve">atsevišķi dzīvojošiem vecuma vai invaliditātes pensijas saņēmējiem, </w:t>
      </w:r>
      <w:r w:rsidR="00A73876">
        <w:t xml:space="preserve">savukārt, vērtējot uz </w:t>
      </w:r>
      <w:r w:rsidR="00A73876" w:rsidRPr="00A73876">
        <w:t>vienu ģimenes locekli</w:t>
      </w:r>
      <w:r w:rsidR="00A73876">
        <w:t xml:space="preserve">, tie ir </w:t>
      </w:r>
      <w:r w:rsidR="00A73876" w:rsidRPr="00A73876">
        <w:t xml:space="preserve">320 EUR mēnesī. </w:t>
      </w:r>
      <w:r>
        <w:t>Nākamais augstākais līmenis ir Liepājā – 340 EUR mēnesī. Savukārt divi lielo pilsētu zemākie maznodrošinātas personas ienākuma līmeņi ir Ventspilī – 229 EUR un Valmierā –</w:t>
      </w:r>
      <w:r w:rsidR="00685CD2">
        <w:t xml:space="preserve"> </w:t>
      </w:r>
      <w:r>
        <w:t xml:space="preserve">135 EUR, kas ir tikai par 5,4% vairāk nekā trūcīgas personas statusa ienākumu līmenis (salīdzinājumā Rīgā maznodrošinātas personas ienākumu līmenis ir nedaudz vairāk kā trīs reizes lielāks). </w:t>
      </w:r>
    </w:p>
    <w:bookmarkStart w:id="259" w:name="_Toc6220099"/>
    <w:p w:rsidR="00255CC4" w:rsidRPr="00EA0927" w:rsidRDefault="00AD3EDD" w:rsidP="008C6B83">
      <w:pPr>
        <w:pStyle w:val="Caption"/>
      </w:pPr>
      <w:r>
        <w:fldChar w:fldCharType="begin"/>
      </w:r>
      <w:r w:rsidR="00A46B54">
        <w:instrText xml:space="preserve"> STYLEREF 1 \s </w:instrText>
      </w:r>
      <w:r>
        <w:fldChar w:fldCharType="separate"/>
      </w:r>
      <w:bookmarkStart w:id="260" w:name="_Toc6857664"/>
      <w:r w:rsidR="00224B50">
        <w:rPr>
          <w:noProof/>
        </w:rPr>
        <w:t>1</w:t>
      </w:r>
      <w:r>
        <w:fldChar w:fldCharType="end"/>
      </w:r>
      <w:r w:rsidR="00A46B54">
        <w:t>.</w:t>
      </w:r>
      <w:r w:rsidR="00E21C32">
        <w:t>2</w:t>
      </w:r>
      <w:r w:rsidR="00761553">
        <w:t>8</w:t>
      </w:r>
      <w:r w:rsidR="00255CC4">
        <w:t>. tabula. Lielo pilsētu pašvaldību noteiktais maznodrošinātas ģimenes (personas) ienākumu līmenis (2014-2016, EUR, mēnesī)</w:t>
      </w:r>
      <w:bookmarkEnd w:id="259"/>
      <w:bookmarkEnd w:id="260"/>
    </w:p>
    <w:tbl>
      <w:tblPr>
        <w:tblStyle w:val="TableGrid"/>
        <w:tblW w:w="0" w:type="auto"/>
        <w:tblLook w:val="04A0"/>
      </w:tblPr>
      <w:tblGrid>
        <w:gridCol w:w="1668"/>
        <w:gridCol w:w="1559"/>
        <w:gridCol w:w="1559"/>
        <w:gridCol w:w="1559"/>
      </w:tblGrid>
      <w:tr w:rsidR="00255CC4" w:rsidRPr="00337AB0" w:rsidTr="00BC22F8">
        <w:tc>
          <w:tcPr>
            <w:tcW w:w="1668" w:type="dxa"/>
            <w:shd w:val="clear" w:color="auto" w:fill="B8CCE4" w:themeFill="accent1" w:themeFillTint="66"/>
          </w:tcPr>
          <w:p w:rsidR="00255CC4" w:rsidRPr="00337AB0" w:rsidRDefault="00255CC4" w:rsidP="00255CC4">
            <w:pPr>
              <w:pStyle w:val="virsrakstslvl4"/>
              <w:spacing w:before="80" w:after="80"/>
              <w:jc w:val="center"/>
              <w:rPr>
                <w:rFonts w:ascii="Times New Roman" w:hAnsi="Times New Roman" w:cs="Times New Roman"/>
                <w:i w:val="0"/>
                <w:color w:val="auto"/>
                <w:sz w:val="22"/>
                <w:szCs w:val="22"/>
              </w:rPr>
            </w:pPr>
            <w:r w:rsidRPr="00337AB0">
              <w:rPr>
                <w:rFonts w:ascii="Times New Roman" w:hAnsi="Times New Roman" w:cs="Times New Roman"/>
                <w:i w:val="0"/>
                <w:color w:val="auto"/>
                <w:sz w:val="22"/>
                <w:szCs w:val="22"/>
              </w:rPr>
              <w:t>Pilsēta</w:t>
            </w:r>
          </w:p>
        </w:tc>
        <w:tc>
          <w:tcPr>
            <w:tcW w:w="1559" w:type="dxa"/>
            <w:shd w:val="clear" w:color="auto" w:fill="B8CCE4" w:themeFill="accent1" w:themeFillTint="66"/>
          </w:tcPr>
          <w:p w:rsidR="00255CC4" w:rsidRPr="00337AB0" w:rsidRDefault="00255CC4" w:rsidP="00255CC4">
            <w:pPr>
              <w:pStyle w:val="virsrakstslvl4"/>
              <w:spacing w:before="80" w:after="80"/>
              <w:jc w:val="center"/>
              <w:rPr>
                <w:rFonts w:ascii="Times New Roman" w:hAnsi="Times New Roman" w:cs="Times New Roman"/>
                <w:i w:val="0"/>
                <w:color w:val="auto"/>
                <w:sz w:val="22"/>
                <w:szCs w:val="22"/>
              </w:rPr>
            </w:pPr>
            <w:r w:rsidRPr="00337AB0">
              <w:rPr>
                <w:rFonts w:ascii="Times New Roman" w:hAnsi="Times New Roman" w:cs="Times New Roman"/>
                <w:i w:val="0"/>
                <w:color w:val="auto"/>
                <w:sz w:val="22"/>
                <w:szCs w:val="22"/>
              </w:rPr>
              <w:t>2014</w:t>
            </w:r>
          </w:p>
        </w:tc>
        <w:tc>
          <w:tcPr>
            <w:tcW w:w="1559" w:type="dxa"/>
            <w:shd w:val="clear" w:color="auto" w:fill="B8CCE4" w:themeFill="accent1" w:themeFillTint="66"/>
          </w:tcPr>
          <w:p w:rsidR="00255CC4" w:rsidRPr="00337AB0" w:rsidRDefault="00255CC4" w:rsidP="00255CC4">
            <w:pPr>
              <w:pStyle w:val="virsrakstslvl4"/>
              <w:spacing w:before="80" w:after="80"/>
              <w:jc w:val="center"/>
              <w:rPr>
                <w:rFonts w:ascii="Times New Roman" w:hAnsi="Times New Roman" w:cs="Times New Roman"/>
                <w:i w:val="0"/>
                <w:color w:val="auto"/>
                <w:sz w:val="22"/>
                <w:szCs w:val="22"/>
              </w:rPr>
            </w:pPr>
            <w:r w:rsidRPr="00337AB0">
              <w:rPr>
                <w:rFonts w:ascii="Times New Roman" w:hAnsi="Times New Roman" w:cs="Times New Roman"/>
                <w:i w:val="0"/>
                <w:color w:val="auto"/>
                <w:sz w:val="22"/>
                <w:szCs w:val="22"/>
              </w:rPr>
              <w:t>2015</w:t>
            </w:r>
          </w:p>
        </w:tc>
        <w:tc>
          <w:tcPr>
            <w:tcW w:w="1559" w:type="dxa"/>
            <w:shd w:val="clear" w:color="auto" w:fill="B8CCE4" w:themeFill="accent1" w:themeFillTint="66"/>
          </w:tcPr>
          <w:p w:rsidR="00255CC4" w:rsidRPr="00337AB0" w:rsidRDefault="00255CC4" w:rsidP="00255CC4">
            <w:pPr>
              <w:pStyle w:val="virsrakstslvl4"/>
              <w:spacing w:before="80" w:after="80"/>
              <w:jc w:val="center"/>
              <w:rPr>
                <w:rFonts w:ascii="Times New Roman" w:hAnsi="Times New Roman" w:cs="Times New Roman"/>
                <w:i w:val="0"/>
                <w:color w:val="auto"/>
                <w:sz w:val="22"/>
                <w:szCs w:val="22"/>
              </w:rPr>
            </w:pPr>
            <w:r w:rsidRPr="00337AB0">
              <w:rPr>
                <w:rFonts w:ascii="Times New Roman" w:hAnsi="Times New Roman" w:cs="Times New Roman"/>
                <w:i w:val="0"/>
                <w:color w:val="auto"/>
                <w:sz w:val="22"/>
                <w:szCs w:val="22"/>
              </w:rPr>
              <w:t>2016</w:t>
            </w:r>
          </w:p>
        </w:tc>
      </w:tr>
      <w:tr w:rsidR="00255CC4" w:rsidRPr="00337AB0" w:rsidTr="00255CC4">
        <w:tc>
          <w:tcPr>
            <w:tcW w:w="1668" w:type="dxa"/>
          </w:tcPr>
          <w:p w:rsidR="00255CC4" w:rsidRPr="00337AB0" w:rsidRDefault="00255CC4" w:rsidP="00255CC4">
            <w:pPr>
              <w:pStyle w:val="virsrakstslvl4"/>
              <w:spacing w:before="0" w:after="0"/>
              <w:rPr>
                <w:rFonts w:ascii="Times New Roman" w:hAnsi="Times New Roman" w:cs="Times New Roman"/>
                <w:b w:val="0"/>
                <w:i w:val="0"/>
                <w:color w:val="auto"/>
                <w:sz w:val="22"/>
                <w:szCs w:val="22"/>
              </w:rPr>
            </w:pPr>
            <w:r w:rsidRPr="00337AB0">
              <w:rPr>
                <w:rFonts w:ascii="Times New Roman" w:hAnsi="Times New Roman" w:cs="Times New Roman"/>
                <w:b w:val="0"/>
                <w:i w:val="0"/>
                <w:color w:val="auto"/>
                <w:sz w:val="22"/>
                <w:szCs w:val="22"/>
              </w:rPr>
              <w:t>Rīga</w:t>
            </w:r>
          </w:p>
        </w:tc>
        <w:tc>
          <w:tcPr>
            <w:tcW w:w="1559" w:type="dxa"/>
          </w:tcPr>
          <w:p w:rsidR="00255CC4" w:rsidRPr="00337AB0" w:rsidRDefault="00255CC4" w:rsidP="00255CC4">
            <w:pPr>
              <w:pStyle w:val="virsrakstslvl4"/>
              <w:spacing w:before="0" w:after="0"/>
              <w:jc w:val="center"/>
              <w:rPr>
                <w:rFonts w:ascii="Times New Roman" w:hAnsi="Times New Roman" w:cs="Times New Roman"/>
                <w:b w:val="0"/>
                <w:i w:val="0"/>
                <w:color w:val="auto"/>
                <w:sz w:val="22"/>
                <w:szCs w:val="22"/>
              </w:rPr>
            </w:pPr>
            <w:r w:rsidRPr="00337AB0">
              <w:rPr>
                <w:rFonts w:ascii="Times New Roman" w:hAnsi="Times New Roman" w:cs="Times New Roman"/>
                <w:b w:val="0"/>
                <w:i w:val="0"/>
                <w:color w:val="auto"/>
                <w:sz w:val="22"/>
                <w:szCs w:val="22"/>
              </w:rPr>
              <w:t>400</w:t>
            </w:r>
          </w:p>
        </w:tc>
        <w:tc>
          <w:tcPr>
            <w:tcW w:w="1559" w:type="dxa"/>
          </w:tcPr>
          <w:p w:rsidR="00255CC4" w:rsidRPr="00337AB0" w:rsidRDefault="00255CC4" w:rsidP="00255CC4">
            <w:pPr>
              <w:pStyle w:val="virsrakstslvl4"/>
              <w:spacing w:before="0" w:after="0"/>
              <w:jc w:val="center"/>
              <w:rPr>
                <w:rFonts w:ascii="Times New Roman" w:hAnsi="Times New Roman" w:cs="Times New Roman"/>
                <w:b w:val="0"/>
                <w:i w:val="0"/>
                <w:color w:val="auto"/>
                <w:sz w:val="22"/>
                <w:szCs w:val="22"/>
              </w:rPr>
            </w:pPr>
            <w:r>
              <w:rPr>
                <w:rFonts w:ascii="Times New Roman" w:hAnsi="Times New Roman" w:cs="Times New Roman"/>
                <w:b w:val="0"/>
                <w:i w:val="0"/>
                <w:color w:val="auto"/>
                <w:sz w:val="22"/>
                <w:szCs w:val="22"/>
              </w:rPr>
              <w:t>400</w:t>
            </w:r>
          </w:p>
        </w:tc>
        <w:tc>
          <w:tcPr>
            <w:tcW w:w="1559" w:type="dxa"/>
          </w:tcPr>
          <w:p w:rsidR="00255CC4" w:rsidRPr="00603477" w:rsidRDefault="00255CC4" w:rsidP="00255CC4">
            <w:pPr>
              <w:pStyle w:val="virsrakstslvl4"/>
              <w:spacing w:before="0" w:after="0"/>
              <w:jc w:val="center"/>
              <w:rPr>
                <w:rFonts w:ascii="Times New Roman" w:hAnsi="Times New Roman" w:cs="Times New Roman"/>
                <w:i w:val="0"/>
                <w:color w:val="auto"/>
                <w:sz w:val="22"/>
                <w:szCs w:val="22"/>
              </w:rPr>
            </w:pPr>
            <w:r w:rsidRPr="00603477">
              <w:rPr>
                <w:rFonts w:ascii="Times New Roman" w:hAnsi="Times New Roman" w:cs="Times New Roman"/>
                <w:i w:val="0"/>
                <w:color w:val="auto"/>
                <w:sz w:val="22"/>
                <w:szCs w:val="22"/>
              </w:rPr>
              <w:t>400</w:t>
            </w:r>
          </w:p>
        </w:tc>
      </w:tr>
      <w:tr w:rsidR="00255CC4" w:rsidRPr="00337AB0" w:rsidTr="00255CC4">
        <w:tc>
          <w:tcPr>
            <w:tcW w:w="1668" w:type="dxa"/>
          </w:tcPr>
          <w:p w:rsidR="00255CC4" w:rsidRPr="00337AB0" w:rsidRDefault="00255CC4" w:rsidP="00255CC4">
            <w:pPr>
              <w:pStyle w:val="virsrakstslvl4"/>
              <w:spacing w:before="0" w:after="0"/>
              <w:rPr>
                <w:rFonts w:ascii="Times New Roman" w:hAnsi="Times New Roman" w:cs="Times New Roman"/>
                <w:b w:val="0"/>
                <w:i w:val="0"/>
                <w:color w:val="auto"/>
                <w:sz w:val="22"/>
                <w:szCs w:val="22"/>
              </w:rPr>
            </w:pPr>
            <w:r w:rsidRPr="00337AB0">
              <w:rPr>
                <w:rFonts w:ascii="Times New Roman" w:hAnsi="Times New Roman" w:cs="Times New Roman"/>
                <w:b w:val="0"/>
                <w:i w:val="0"/>
                <w:color w:val="auto"/>
                <w:sz w:val="22"/>
                <w:szCs w:val="22"/>
              </w:rPr>
              <w:t>Liepāja</w:t>
            </w:r>
          </w:p>
        </w:tc>
        <w:tc>
          <w:tcPr>
            <w:tcW w:w="1559" w:type="dxa"/>
          </w:tcPr>
          <w:p w:rsidR="00255CC4" w:rsidRPr="00337AB0" w:rsidRDefault="00255CC4" w:rsidP="00255CC4">
            <w:pPr>
              <w:pStyle w:val="virsrakstslvl4"/>
              <w:spacing w:before="0" w:after="0"/>
              <w:jc w:val="center"/>
              <w:rPr>
                <w:rFonts w:ascii="Times New Roman" w:hAnsi="Times New Roman" w:cs="Times New Roman"/>
                <w:b w:val="0"/>
                <w:i w:val="0"/>
                <w:color w:val="auto"/>
                <w:sz w:val="22"/>
                <w:szCs w:val="22"/>
              </w:rPr>
            </w:pPr>
            <w:r w:rsidRPr="00337AB0">
              <w:rPr>
                <w:rFonts w:ascii="Times New Roman" w:hAnsi="Times New Roman" w:cs="Times New Roman"/>
                <w:b w:val="0"/>
                <w:i w:val="0"/>
                <w:color w:val="auto"/>
                <w:sz w:val="22"/>
                <w:szCs w:val="22"/>
              </w:rPr>
              <w:t>330</w:t>
            </w:r>
          </w:p>
        </w:tc>
        <w:tc>
          <w:tcPr>
            <w:tcW w:w="1559" w:type="dxa"/>
          </w:tcPr>
          <w:p w:rsidR="00255CC4" w:rsidRPr="00337AB0" w:rsidRDefault="00255CC4" w:rsidP="00255CC4">
            <w:pPr>
              <w:pStyle w:val="virsrakstslvl4"/>
              <w:spacing w:before="0" w:after="0"/>
              <w:jc w:val="center"/>
              <w:rPr>
                <w:rFonts w:ascii="Times New Roman" w:hAnsi="Times New Roman" w:cs="Times New Roman"/>
                <w:b w:val="0"/>
                <w:i w:val="0"/>
                <w:color w:val="auto"/>
                <w:sz w:val="22"/>
                <w:szCs w:val="22"/>
              </w:rPr>
            </w:pPr>
            <w:r>
              <w:rPr>
                <w:rFonts w:ascii="Times New Roman" w:hAnsi="Times New Roman" w:cs="Times New Roman"/>
                <w:b w:val="0"/>
                <w:i w:val="0"/>
                <w:color w:val="auto"/>
                <w:sz w:val="22"/>
                <w:szCs w:val="22"/>
              </w:rPr>
              <w:t>340</w:t>
            </w:r>
          </w:p>
        </w:tc>
        <w:tc>
          <w:tcPr>
            <w:tcW w:w="1559" w:type="dxa"/>
          </w:tcPr>
          <w:p w:rsidR="00255CC4" w:rsidRPr="00337AB0" w:rsidRDefault="00255CC4" w:rsidP="00255CC4">
            <w:pPr>
              <w:pStyle w:val="virsrakstslvl4"/>
              <w:spacing w:before="0" w:after="0"/>
              <w:jc w:val="center"/>
              <w:rPr>
                <w:rFonts w:ascii="Times New Roman" w:hAnsi="Times New Roman" w:cs="Times New Roman"/>
                <w:b w:val="0"/>
                <w:i w:val="0"/>
                <w:color w:val="auto"/>
                <w:sz w:val="22"/>
                <w:szCs w:val="22"/>
              </w:rPr>
            </w:pPr>
            <w:r>
              <w:rPr>
                <w:rFonts w:ascii="Times New Roman" w:hAnsi="Times New Roman" w:cs="Times New Roman"/>
                <w:b w:val="0"/>
                <w:i w:val="0"/>
                <w:color w:val="auto"/>
                <w:sz w:val="22"/>
                <w:szCs w:val="22"/>
              </w:rPr>
              <w:t>340</w:t>
            </w:r>
          </w:p>
        </w:tc>
      </w:tr>
      <w:tr w:rsidR="00255CC4" w:rsidRPr="00337AB0" w:rsidTr="00255CC4">
        <w:tc>
          <w:tcPr>
            <w:tcW w:w="1668" w:type="dxa"/>
          </w:tcPr>
          <w:p w:rsidR="00255CC4" w:rsidRPr="00337AB0" w:rsidRDefault="00255CC4" w:rsidP="00255CC4">
            <w:pPr>
              <w:pStyle w:val="virsrakstslvl4"/>
              <w:spacing w:before="0" w:after="0"/>
              <w:rPr>
                <w:rFonts w:ascii="Times New Roman" w:hAnsi="Times New Roman" w:cs="Times New Roman"/>
                <w:b w:val="0"/>
                <w:i w:val="0"/>
                <w:color w:val="auto"/>
                <w:sz w:val="22"/>
                <w:szCs w:val="22"/>
              </w:rPr>
            </w:pPr>
            <w:r w:rsidRPr="00337AB0">
              <w:rPr>
                <w:rFonts w:ascii="Times New Roman" w:hAnsi="Times New Roman" w:cs="Times New Roman"/>
                <w:b w:val="0"/>
                <w:i w:val="0"/>
                <w:color w:val="auto"/>
                <w:sz w:val="22"/>
                <w:szCs w:val="22"/>
              </w:rPr>
              <w:t>Jēkabpils</w:t>
            </w:r>
          </w:p>
        </w:tc>
        <w:tc>
          <w:tcPr>
            <w:tcW w:w="1559" w:type="dxa"/>
          </w:tcPr>
          <w:p w:rsidR="00255CC4" w:rsidRPr="00337AB0" w:rsidRDefault="00255CC4" w:rsidP="00255CC4">
            <w:pPr>
              <w:pStyle w:val="virsrakstslvl4"/>
              <w:spacing w:before="0" w:after="0"/>
              <w:jc w:val="center"/>
              <w:rPr>
                <w:rFonts w:ascii="Times New Roman" w:hAnsi="Times New Roman" w:cs="Times New Roman"/>
                <w:b w:val="0"/>
                <w:i w:val="0"/>
                <w:color w:val="auto"/>
                <w:sz w:val="22"/>
                <w:szCs w:val="22"/>
              </w:rPr>
            </w:pPr>
            <w:r w:rsidRPr="00337AB0">
              <w:rPr>
                <w:rFonts w:ascii="Times New Roman" w:hAnsi="Times New Roman" w:cs="Times New Roman"/>
                <w:b w:val="0"/>
                <w:i w:val="0"/>
                <w:color w:val="auto"/>
                <w:sz w:val="22"/>
                <w:szCs w:val="22"/>
              </w:rPr>
              <w:t>208</w:t>
            </w:r>
          </w:p>
        </w:tc>
        <w:tc>
          <w:tcPr>
            <w:tcW w:w="1559" w:type="dxa"/>
          </w:tcPr>
          <w:p w:rsidR="00255CC4" w:rsidRPr="00337AB0" w:rsidRDefault="00255CC4" w:rsidP="00255CC4">
            <w:pPr>
              <w:pStyle w:val="virsrakstslvl4"/>
              <w:spacing w:before="0" w:after="0"/>
              <w:jc w:val="center"/>
              <w:rPr>
                <w:rFonts w:ascii="Times New Roman" w:hAnsi="Times New Roman" w:cs="Times New Roman"/>
                <w:b w:val="0"/>
                <w:i w:val="0"/>
                <w:color w:val="auto"/>
                <w:sz w:val="22"/>
                <w:szCs w:val="22"/>
              </w:rPr>
            </w:pPr>
            <w:r>
              <w:rPr>
                <w:rFonts w:ascii="Times New Roman" w:hAnsi="Times New Roman" w:cs="Times New Roman"/>
                <w:b w:val="0"/>
                <w:i w:val="0"/>
                <w:color w:val="auto"/>
                <w:sz w:val="22"/>
                <w:szCs w:val="22"/>
              </w:rPr>
              <w:t>288</w:t>
            </w:r>
          </w:p>
        </w:tc>
        <w:tc>
          <w:tcPr>
            <w:tcW w:w="1559" w:type="dxa"/>
          </w:tcPr>
          <w:p w:rsidR="00255CC4" w:rsidRPr="00337AB0" w:rsidRDefault="00255CC4" w:rsidP="00255CC4">
            <w:pPr>
              <w:pStyle w:val="virsrakstslvl4"/>
              <w:spacing w:before="0" w:after="0"/>
              <w:jc w:val="center"/>
              <w:rPr>
                <w:rFonts w:ascii="Times New Roman" w:hAnsi="Times New Roman" w:cs="Times New Roman"/>
                <w:b w:val="0"/>
                <w:i w:val="0"/>
                <w:color w:val="auto"/>
                <w:sz w:val="22"/>
                <w:szCs w:val="22"/>
              </w:rPr>
            </w:pPr>
            <w:r>
              <w:rPr>
                <w:rFonts w:ascii="Times New Roman" w:hAnsi="Times New Roman" w:cs="Times New Roman"/>
                <w:b w:val="0"/>
                <w:i w:val="0"/>
                <w:color w:val="auto"/>
                <w:sz w:val="22"/>
                <w:szCs w:val="22"/>
              </w:rPr>
              <w:t>304</w:t>
            </w:r>
          </w:p>
        </w:tc>
      </w:tr>
      <w:tr w:rsidR="00255CC4" w:rsidRPr="00337AB0" w:rsidTr="00255CC4">
        <w:tc>
          <w:tcPr>
            <w:tcW w:w="1668" w:type="dxa"/>
          </w:tcPr>
          <w:p w:rsidR="00255CC4" w:rsidRPr="00337AB0" w:rsidRDefault="00255CC4" w:rsidP="00255CC4">
            <w:pPr>
              <w:pStyle w:val="virsrakstslvl4"/>
              <w:spacing w:before="0" w:after="0"/>
              <w:rPr>
                <w:rFonts w:ascii="Times New Roman" w:hAnsi="Times New Roman" w:cs="Times New Roman"/>
                <w:b w:val="0"/>
                <w:i w:val="0"/>
                <w:color w:val="auto"/>
                <w:sz w:val="22"/>
                <w:szCs w:val="22"/>
              </w:rPr>
            </w:pPr>
            <w:r w:rsidRPr="00337AB0">
              <w:rPr>
                <w:rFonts w:ascii="Times New Roman" w:hAnsi="Times New Roman" w:cs="Times New Roman"/>
                <w:b w:val="0"/>
                <w:i w:val="0"/>
                <w:color w:val="auto"/>
                <w:sz w:val="22"/>
                <w:szCs w:val="22"/>
              </w:rPr>
              <w:t>Daugavpils</w:t>
            </w:r>
          </w:p>
        </w:tc>
        <w:tc>
          <w:tcPr>
            <w:tcW w:w="1559" w:type="dxa"/>
          </w:tcPr>
          <w:p w:rsidR="00255CC4" w:rsidRPr="00337AB0" w:rsidRDefault="00255CC4" w:rsidP="00255CC4">
            <w:pPr>
              <w:pStyle w:val="virsrakstslvl4"/>
              <w:spacing w:before="0" w:after="0"/>
              <w:jc w:val="center"/>
              <w:rPr>
                <w:rFonts w:ascii="Times New Roman" w:hAnsi="Times New Roman" w:cs="Times New Roman"/>
                <w:b w:val="0"/>
                <w:i w:val="0"/>
                <w:color w:val="auto"/>
                <w:sz w:val="22"/>
                <w:szCs w:val="22"/>
              </w:rPr>
            </w:pPr>
            <w:r>
              <w:rPr>
                <w:rFonts w:ascii="Times New Roman" w:hAnsi="Times New Roman" w:cs="Times New Roman"/>
                <w:b w:val="0"/>
                <w:i w:val="0"/>
                <w:color w:val="auto"/>
                <w:sz w:val="22"/>
                <w:szCs w:val="22"/>
              </w:rPr>
              <w:t>-</w:t>
            </w:r>
          </w:p>
        </w:tc>
        <w:tc>
          <w:tcPr>
            <w:tcW w:w="1559" w:type="dxa"/>
          </w:tcPr>
          <w:p w:rsidR="00255CC4" w:rsidRPr="00337AB0" w:rsidRDefault="00255CC4" w:rsidP="00255CC4">
            <w:pPr>
              <w:pStyle w:val="virsrakstslvl4"/>
              <w:spacing w:before="0" w:after="0"/>
              <w:jc w:val="center"/>
              <w:rPr>
                <w:rFonts w:ascii="Times New Roman" w:hAnsi="Times New Roman" w:cs="Times New Roman"/>
                <w:b w:val="0"/>
                <w:i w:val="0"/>
                <w:color w:val="auto"/>
                <w:sz w:val="22"/>
                <w:szCs w:val="22"/>
              </w:rPr>
            </w:pPr>
            <w:r>
              <w:rPr>
                <w:rFonts w:ascii="Times New Roman" w:hAnsi="Times New Roman" w:cs="Times New Roman"/>
                <w:b w:val="0"/>
                <w:i w:val="0"/>
                <w:color w:val="auto"/>
                <w:sz w:val="22"/>
                <w:szCs w:val="22"/>
              </w:rPr>
              <w:t>288</w:t>
            </w:r>
          </w:p>
        </w:tc>
        <w:tc>
          <w:tcPr>
            <w:tcW w:w="1559" w:type="dxa"/>
          </w:tcPr>
          <w:p w:rsidR="00255CC4" w:rsidRPr="00337AB0" w:rsidRDefault="00255CC4" w:rsidP="00255CC4">
            <w:pPr>
              <w:pStyle w:val="virsrakstslvl4"/>
              <w:spacing w:before="0" w:after="0"/>
              <w:jc w:val="center"/>
              <w:rPr>
                <w:rFonts w:ascii="Times New Roman" w:hAnsi="Times New Roman" w:cs="Times New Roman"/>
                <w:b w:val="0"/>
                <w:i w:val="0"/>
                <w:color w:val="auto"/>
                <w:sz w:val="22"/>
                <w:szCs w:val="22"/>
              </w:rPr>
            </w:pPr>
            <w:r>
              <w:rPr>
                <w:rFonts w:ascii="Times New Roman" w:hAnsi="Times New Roman" w:cs="Times New Roman"/>
                <w:b w:val="0"/>
                <w:i w:val="0"/>
                <w:color w:val="auto"/>
                <w:sz w:val="22"/>
                <w:szCs w:val="22"/>
              </w:rPr>
              <w:t>296</w:t>
            </w:r>
          </w:p>
        </w:tc>
      </w:tr>
      <w:tr w:rsidR="00255CC4" w:rsidRPr="00337AB0" w:rsidTr="00255CC4">
        <w:trPr>
          <w:trHeight w:val="124"/>
        </w:trPr>
        <w:tc>
          <w:tcPr>
            <w:tcW w:w="1668" w:type="dxa"/>
          </w:tcPr>
          <w:p w:rsidR="00255CC4" w:rsidRPr="00337AB0" w:rsidRDefault="00255CC4" w:rsidP="00255CC4">
            <w:pPr>
              <w:pStyle w:val="virsrakstslvl4"/>
              <w:spacing w:before="0" w:after="0"/>
              <w:rPr>
                <w:rFonts w:ascii="Times New Roman" w:hAnsi="Times New Roman" w:cs="Times New Roman"/>
                <w:b w:val="0"/>
                <w:i w:val="0"/>
                <w:color w:val="auto"/>
                <w:sz w:val="22"/>
                <w:szCs w:val="22"/>
              </w:rPr>
            </w:pPr>
            <w:r w:rsidRPr="00337AB0">
              <w:rPr>
                <w:rFonts w:ascii="Times New Roman" w:hAnsi="Times New Roman" w:cs="Times New Roman"/>
                <w:b w:val="0"/>
                <w:i w:val="0"/>
                <w:color w:val="auto"/>
                <w:sz w:val="22"/>
                <w:szCs w:val="22"/>
              </w:rPr>
              <w:t>Rēzekne</w:t>
            </w:r>
          </w:p>
        </w:tc>
        <w:tc>
          <w:tcPr>
            <w:tcW w:w="1559" w:type="dxa"/>
          </w:tcPr>
          <w:p w:rsidR="00255CC4" w:rsidRPr="00337AB0" w:rsidRDefault="00255CC4" w:rsidP="00255CC4">
            <w:pPr>
              <w:pStyle w:val="virsrakstslvl4"/>
              <w:spacing w:before="0" w:after="0"/>
              <w:jc w:val="center"/>
              <w:rPr>
                <w:rFonts w:ascii="Times New Roman" w:hAnsi="Times New Roman" w:cs="Times New Roman"/>
                <w:b w:val="0"/>
                <w:i w:val="0"/>
                <w:color w:val="auto"/>
                <w:sz w:val="22"/>
                <w:szCs w:val="22"/>
              </w:rPr>
            </w:pPr>
            <w:r>
              <w:rPr>
                <w:rFonts w:ascii="Times New Roman" w:hAnsi="Times New Roman" w:cs="Times New Roman"/>
                <w:b w:val="0"/>
                <w:i w:val="0"/>
                <w:color w:val="auto"/>
                <w:sz w:val="22"/>
                <w:szCs w:val="22"/>
              </w:rPr>
              <w:t>-</w:t>
            </w:r>
          </w:p>
        </w:tc>
        <w:tc>
          <w:tcPr>
            <w:tcW w:w="1559" w:type="dxa"/>
          </w:tcPr>
          <w:p w:rsidR="00255CC4" w:rsidRPr="00337AB0" w:rsidRDefault="00255CC4" w:rsidP="00255CC4">
            <w:pPr>
              <w:pStyle w:val="virsrakstslvl4"/>
              <w:spacing w:before="0" w:after="0"/>
              <w:jc w:val="center"/>
              <w:rPr>
                <w:rFonts w:ascii="Times New Roman" w:hAnsi="Times New Roman" w:cs="Times New Roman"/>
                <w:b w:val="0"/>
                <w:i w:val="0"/>
                <w:color w:val="auto"/>
                <w:sz w:val="22"/>
                <w:szCs w:val="22"/>
              </w:rPr>
            </w:pPr>
            <w:r>
              <w:rPr>
                <w:rFonts w:ascii="Times New Roman" w:hAnsi="Times New Roman" w:cs="Times New Roman"/>
                <w:b w:val="0"/>
                <w:i w:val="0"/>
                <w:color w:val="auto"/>
                <w:sz w:val="22"/>
                <w:szCs w:val="22"/>
              </w:rPr>
              <w:t>212</w:t>
            </w:r>
          </w:p>
        </w:tc>
        <w:tc>
          <w:tcPr>
            <w:tcW w:w="1559" w:type="dxa"/>
          </w:tcPr>
          <w:p w:rsidR="00255CC4" w:rsidRPr="00337AB0" w:rsidRDefault="00255CC4" w:rsidP="00255CC4">
            <w:pPr>
              <w:pStyle w:val="virsrakstslvl4"/>
              <w:spacing w:before="0" w:after="0"/>
              <w:jc w:val="center"/>
              <w:rPr>
                <w:rFonts w:ascii="Times New Roman" w:hAnsi="Times New Roman" w:cs="Times New Roman"/>
                <w:b w:val="0"/>
                <w:i w:val="0"/>
                <w:color w:val="auto"/>
                <w:sz w:val="22"/>
                <w:szCs w:val="22"/>
              </w:rPr>
            </w:pPr>
            <w:r>
              <w:rPr>
                <w:rFonts w:ascii="Times New Roman" w:hAnsi="Times New Roman" w:cs="Times New Roman"/>
                <w:b w:val="0"/>
                <w:i w:val="0"/>
                <w:color w:val="auto"/>
                <w:sz w:val="22"/>
                <w:szCs w:val="22"/>
              </w:rPr>
              <w:t>272</w:t>
            </w:r>
          </w:p>
        </w:tc>
      </w:tr>
      <w:tr w:rsidR="00255CC4" w:rsidRPr="00337AB0" w:rsidTr="00255CC4">
        <w:tc>
          <w:tcPr>
            <w:tcW w:w="1668" w:type="dxa"/>
          </w:tcPr>
          <w:p w:rsidR="00255CC4" w:rsidRPr="00337AB0" w:rsidRDefault="00255CC4" w:rsidP="00255CC4">
            <w:pPr>
              <w:pStyle w:val="virsrakstslvl4"/>
              <w:spacing w:before="0" w:after="0"/>
              <w:rPr>
                <w:rFonts w:ascii="Times New Roman" w:hAnsi="Times New Roman" w:cs="Times New Roman"/>
                <w:b w:val="0"/>
                <w:i w:val="0"/>
                <w:color w:val="auto"/>
                <w:sz w:val="22"/>
                <w:szCs w:val="22"/>
              </w:rPr>
            </w:pPr>
            <w:r w:rsidRPr="00337AB0">
              <w:rPr>
                <w:rFonts w:ascii="Times New Roman" w:hAnsi="Times New Roman" w:cs="Times New Roman"/>
                <w:b w:val="0"/>
                <w:i w:val="0"/>
                <w:color w:val="auto"/>
                <w:sz w:val="22"/>
                <w:szCs w:val="22"/>
              </w:rPr>
              <w:t>Jelgava</w:t>
            </w:r>
          </w:p>
        </w:tc>
        <w:tc>
          <w:tcPr>
            <w:tcW w:w="1559" w:type="dxa"/>
          </w:tcPr>
          <w:p w:rsidR="00255CC4" w:rsidRPr="00337AB0" w:rsidRDefault="00255CC4" w:rsidP="00255CC4">
            <w:pPr>
              <w:pStyle w:val="virsrakstslvl4"/>
              <w:spacing w:before="0" w:after="0"/>
              <w:jc w:val="center"/>
              <w:rPr>
                <w:rFonts w:ascii="Times New Roman" w:hAnsi="Times New Roman" w:cs="Times New Roman"/>
                <w:b w:val="0"/>
                <w:i w:val="0"/>
                <w:color w:val="auto"/>
                <w:sz w:val="22"/>
                <w:szCs w:val="22"/>
              </w:rPr>
            </w:pPr>
            <w:r>
              <w:rPr>
                <w:rFonts w:ascii="Times New Roman" w:hAnsi="Times New Roman" w:cs="Times New Roman"/>
                <w:b w:val="0"/>
                <w:i w:val="0"/>
                <w:color w:val="auto"/>
                <w:sz w:val="22"/>
                <w:szCs w:val="22"/>
              </w:rPr>
              <w:t>-</w:t>
            </w:r>
          </w:p>
        </w:tc>
        <w:tc>
          <w:tcPr>
            <w:tcW w:w="1559" w:type="dxa"/>
          </w:tcPr>
          <w:p w:rsidR="00255CC4" w:rsidRPr="00337AB0" w:rsidRDefault="00255CC4" w:rsidP="00255CC4">
            <w:pPr>
              <w:pStyle w:val="virsrakstslvl4"/>
              <w:spacing w:before="0" w:after="0"/>
              <w:jc w:val="center"/>
              <w:rPr>
                <w:rFonts w:ascii="Times New Roman" w:hAnsi="Times New Roman" w:cs="Times New Roman"/>
                <w:b w:val="0"/>
                <w:i w:val="0"/>
                <w:color w:val="auto"/>
                <w:sz w:val="22"/>
                <w:szCs w:val="22"/>
              </w:rPr>
            </w:pPr>
            <w:r>
              <w:rPr>
                <w:rFonts w:ascii="Times New Roman" w:hAnsi="Times New Roman" w:cs="Times New Roman"/>
                <w:b w:val="0"/>
                <w:i w:val="0"/>
                <w:color w:val="auto"/>
                <w:sz w:val="22"/>
                <w:szCs w:val="22"/>
              </w:rPr>
              <w:t>257</w:t>
            </w:r>
          </w:p>
        </w:tc>
        <w:tc>
          <w:tcPr>
            <w:tcW w:w="1559" w:type="dxa"/>
          </w:tcPr>
          <w:p w:rsidR="00255CC4" w:rsidRPr="00337AB0" w:rsidRDefault="00255CC4" w:rsidP="00255CC4">
            <w:pPr>
              <w:pStyle w:val="virsrakstslvl4"/>
              <w:spacing w:before="0" w:after="0"/>
              <w:jc w:val="center"/>
              <w:rPr>
                <w:rFonts w:ascii="Times New Roman" w:hAnsi="Times New Roman" w:cs="Times New Roman"/>
                <w:b w:val="0"/>
                <w:i w:val="0"/>
                <w:color w:val="auto"/>
                <w:sz w:val="22"/>
                <w:szCs w:val="22"/>
              </w:rPr>
            </w:pPr>
            <w:r>
              <w:rPr>
                <w:rFonts w:ascii="Times New Roman" w:hAnsi="Times New Roman" w:cs="Times New Roman"/>
                <w:b w:val="0"/>
                <w:i w:val="0"/>
                <w:color w:val="auto"/>
                <w:sz w:val="22"/>
                <w:szCs w:val="22"/>
              </w:rPr>
              <w:t>261</w:t>
            </w:r>
          </w:p>
        </w:tc>
      </w:tr>
      <w:tr w:rsidR="00255CC4" w:rsidRPr="00337AB0" w:rsidTr="00255CC4">
        <w:tc>
          <w:tcPr>
            <w:tcW w:w="1668" w:type="dxa"/>
          </w:tcPr>
          <w:p w:rsidR="00255CC4" w:rsidRPr="00337AB0" w:rsidRDefault="00255CC4" w:rsidP="00255CC4">
            <w:pPr>
              <w:pStyle w:val="virsrakstslvl4"/>
              <w:spacing w:before="0" w:after="0"/>
              <w:rPr>
                <w:rFonts w:ascii="Times New Roman" w:hAnsi="Times New Roman" w:cs="Times New Roman"/>
                <w:b w:val="0"/>
                <w:i w:val="0"/>
                <w:color w:val="auto"/>
                <w:sz w:val="22"/>
                <w:szCs w:val="22"/>
              </w:rPr>
            </w:pPr>
            <w:r w:rsidRPr="00337AB0">
              <w:rPr>
                <w:rFonts w:ascii="Times New Roman" w:hAnsi="Times New Roman" w:cs="Times New Roman"/>
                <w:b w:val="0"/>
                <w:i w:val="0"/>
                <w:color w:val="auto"/>
                <w:sz w:val="22"/>
                <w:szCs w:val="22"/>
              </w:rPr>
              <w:t>Jūrmala</w:t>
            </w:r>
          </w:p>
        </w:tc>
        <w:tc>
          <w:tcPr>
            <w:tcW w:w="1559" w:type="dxa"/>
          </w:tcPr>
          <w:p w:rsidR="00255CC4" w:rsidRPr="00337AB0" w:rsidRDefault="00255CC4" w:rsidP="00255CC4">
            <w:pPr>
              <w:pStyle w:val="virsrakstslvl4"/>
              <w:spacing w:before="0" w:after="0"/>
              <w:jc w:val="center"/>
              <w:rPr>
                <w:rFonts w:ascii="Times New Roman" w:hAnsi="Times New Roman" w:cs="Times New Roman"/>
                <w:b w:val="0"/>
                <w:i w:val="0"/>
                <w:color w:val="auto"/>
                <w:sz w:val="22"/>
                <w:szCs w:val="22"/>
              </w:rPr>
            </w:pPr>
            <w:r w:rsidRPr="00337AB0">
              <w:rPr>
                <w:rFonts w:ascii="Times New Roman" w:hAnsi="Times New Roman" w:cs="Times New Roman"/>
                <w:b w:val="0"/>
                <w:i w:val="0"/>
                <w:color w:val="auto"/>
                <w:sz w:val="22"/>
                <w:szCs w:val="22"/>
              </w:rPr>
              <w:t>178</w:t>
            </w:r>
          </w:p>
        </w:tc>
        <w:tc>
          <w:tcPr>
            <w:tcW w:w="1559" w:type="dxa"/>
          </w:tcPr>
          <w:p w:rsidR="00255CC4" w:rsidRPr="00337AB0" w:rsidRDefault="00255CC4" w:rsidP="00255CC4">
            <w:pPr>
              <w:pStyle w:val="virsrakstslvl4"/>
              <w:spacing w:before="0" w:after="0"/>
              <w:jc w:val="center"/>
              <w:rPr>
                <w:rFonts w:ascii="Times New Roman" w:hAnsi="Times New Roman" w:cs="Times New Roman"/>
                <w:b w:val="0"/>
                <w:i w:val="0"/>
                <w:color w:val="auto"/>
                <w:sz w:val="22"/>
                <w:szCs w:val="22"/>
              </w:rPr>
            </w:pPr>
            <w:r>
              <w:rPr>
                <w:rFonts w:ascii="Times New Roman" w:hAnsi="Times New Roman" w:cs="Times New Roman"/>
                <w:b w:val="0"/>
                <w:i w:val="0"/>
                <w:color w:val="auto"/>
                <w:sz w:val="22"/>
                <w:szCs w:val="22"/>
              </w:rPr>
              <w:t>178</w:t>
            </w:r>
          </w:p>
        </w:tc>
        <w:tc>
          <w:tcPr>
            <w:tcW w:w="1559" w:type="dxa"/>
          </w:tcPr>
          <w:p w:rsidR="00255CC4" w:rsidRPr="00337AB0" w:rsidRDefault="00255CC4" w:rsidP="00255CC4">
            <w:pPr>
              <w:pStyle w:val="virsrakstslvl4"/>
              <w:spacing w:before="0" w:after="0"/>
              <w:jc w:val="center"/>
              <w:rPr>
                <w:rFonts w:ascii="Times New Roman" w:hAnsi="Times New Roman" w:cs="Times New Roman"/>
                <w:b w:val="0"/>
                <w:i w:val="0"/>
                <w:color w:val="auto"/>
                <w:sz w:val="22"/>
                <w:szCs w:val="22"/>
              </w:rPr>
            </w:pPr>
            <w:r>
              <w:rPr>
                <w:rFonts w:ascii="Times New Roman" w:hAnsi="Times New Roman" w:cs="Times New Roman"/>
                <w:b w:val="0"/>
                <w:i w:val="0"/>
                <w:color w:val="auto"/>
                <w:sz w:val="22"/>
                <w:szCs w:val="22"/>
              </w:rPr>
              <w:t>259</w:t>
            </w:r>
          </w:p>
        </w:tc>
      </w:tr>
      <w:tr w:rsidR="00255CC4" w:rsidRPr="00337AB0" w:rsidTr="00255CC4">
        <w:tc>
          <w:tcPr>
            <w:tcW w:w="1668" w:type="dxa"/>
          </w:tcPr>
          <w:p w:rsidR="00255CC4" w:rsidRPr="00337AB0" w:rsidRDefault="00255CC4" w:rsidP="00255CC4">
            <w:pPr>
              <w:pStyle w:val="virsrakstslvl4"/>
              <w:spacing w:before="0" w:after="0"/>
              <w:rPr>
                <w:rFonts w:ascii="Times New Roman" w:hAnsi="Times New Roman" w:cs="Times New Roman"/>
                <w:b w:val="0"/>
                <w:i w:val="0"/>
                <w:color w:val="auto"/>
                <w:sz w:val="22"/>
                <w:szCs w:val="22"/>
              </w:rPr>
            </w:pPr>
            <w:r w:rsidRPr="00337AB0">
              <w:rPr>
                <w:rFonts w:ascii="Times New Roman" w:hAnsi="Times New Roman" w:cs="Times New Roman"/>
                <w:b w:val="0"/>
                <w:i w:val="0"/>
                <w:color w:val="auto"/>
                <w:sz w:val="22"/>
                <w:szCs w:val="22"/>
              </w:rPr>
              <w:t>Ventspils</w:t>
            </w:r>
          </w:p>
        </w:tc>
        <w:tc>
          <w:tcPr>
            <w:tcW w:w="1559" w:type="dxa"/>
          </w:tcPr>
          <w:p w:rsidR="00255CC4" w:rsidRPr="00337AB0" w:rsidRDefault="00255CC4" w:rsidP="00255CC4">
            <w:pPr>
              <w:pStyle w:val="virsrakstslvl4"/>
              <w:spacing w:before="0" w:after="0"/>
              <w:jc w:val="center"/>
              <w:rPr>
                <w:rFonts w:ascii="Times New Roman" w:hAnsi="Times New Roman" w:cs="Times New Roman"/>
                <w:b w:val="0"/>
                <w:i w:val="0"/>
                <w:color w:val="auto"/>
                <w:sz w:val="22"/>
                <w:szCs w:val="22"/>
              </w:rPr>
            </w:pPr>
            <w:r w:rsidRPr="00337AB0">
              <w:rPr>
                <w:rFonts w:ascii="Times New Roman" w:hAnsi="Times New Roman" w:cs="Times New Roman"/>
                <w:b w:val="0"/>
                <w:i w:val="0"/>
                <w:color w:val="auto"/>
                <w:sz w:val="22"/>
                <w:szCs w:val="22"/>
              </w:rPr>
              <w:t>221</w:t>
            </w:r>
          </w:p>
        </w:tc>
        <w:tc>
          <w:tcPr>
            <w:tcW w:w="1559" w:type="dxa"/>
          </w:tcPr>
          <w:p w:rsidR="00255CC4" w:rsidRPr="00337AB0" w:rsidRDefault="00255CC4" w:rsidP="00255CC4">
            <w:pPr>
              <w:pStyle w:val="virsrakstslvl4"/>
              <w:spacing w:before="0" w:after="0"/>
              <w:jc w:val="center"/>
              <w:rPr>
                <w:rFonts w:ascii="Times New Roman" w:hAnsi="Times New Roman" w:cs="Times New Roman"/>
                <w:b w:val="0"/>
                <w:i w:val="0"/>
                <w:color w:val="auto"/>
                <w:sz w:val="22"/>
                <w:szCs w:val="22"/>
              </w:rPr>
            </w:pPr>
            <w:r>
              <w:rPr>
                <w:rFonts w:ascii="Times New Roman" w:hAnsi="Times New Roman" w:cs="Times New Roman"/>
                <w:b w:val="0"/>
                <w:i w:val="0"/>
                <w:color w:val="auto"/>
                <w:sz w:val="22"/>
                <w:szCs w:val="22"/>
              </w:rPr>
              <w:t>225</w:t>
            </w:r>
          </w:p>
        </w:tc>
        <w:tc>
          <w:tcPr>
            <w:tcW w:w="1559" w:type="dxa"/>
          </w:tcPr>
          <w:p w:rsidR="00255CC4" w:rsidRPr="00337AB0" w:rsidRDefault="00255CC4" w:rsidP="00255CC4">
            <w:pPr>
              <w:pStyle w:val="virsrakstslvl4"/>
              <w:spacing w:before="0" w:after="0"/>
              <w:jc w:val="center"/>
              <w:rPr>
                <w:rFonts w:ascii="Times New Roman" w:hAnsi="Times New Roman" w:cs="Times New Roman"/>
                <w:b w:val="0"/>
                <w:i w:val="0"/>
                <w:color w:val="auto"/>
                <w:sz w:val="22"/>
                <w:szCs w:val="22"/>
              </w:rPr>
            </w:pPr>
            <w:r>
              <w:rPr>
                <w:rFonts w:ascii="Times New Roman" w:hAnsi="Times New Roman" w:cs="Times New Roman"/>
                <w:b w:val="0"/>
                <w:i w:val="0"/>
                <w:color w:val="auto"/>
                <w:sz w:val="22"/>
                <w:szCs w:val="22"/>
              </w:rPr>
              <w:t>229</w:t>
            </w:r>
          </w:p>
        </w:tc>
      </w:tr>
      <w:tr w:rsidR="00255CC4" w:rsidRPr="00337AB0" w:rsidTr="00255CC4">
        <w:tc>
          <w:tcPr>
            <w:tcW w:w="1668" w:type="dxa"/>
          </w:tcPr>
          <w:p w:rsidR="00255CC4" w:rsidRPr="00337AB0" w:rsidRDefault="00255CC4" w:rsidP="00255CC4">
            <w:pPr>
              <w:pStyle w:val="virsrakstslvl4"/>
              <w:spacing w:before="0" w:after="0"/>
              <w:rPr>
                <w:rFonts w:ascii="Times New Roman" w:hAnsi="Times New Roman" w:cs="Times New Roman"/>
                <w:b w:val="0"/>
                <w:i w:val="0"/>
                <w:color w:val="auto"/>
                <w:sz w:val="22"/>
                <w:szCs w:val="22"/>
              </w:rPr>
            </w:pPr>
            <w:r w:rsidRPr="00337AB0">
              <w:rPr>
                <w:rFonts w:ascii="Times New Roman" w:hAnsi="Times New Roman" w:cs="Times New Roman"/>
                <w:b w:val="0"/>
                <w:i w:val="0"/>
                <w:color w:val="auto"/>
                <w:sz w:val="22"/>
                <w:szCs w:val="22"/>
              </w:rPr>
              <w:t>Valmiera</w:t>
            </w:r>
          </w:p>
        </w:tc>
        <w:tc>
          <w:tcPr>
            <w:tcW w:w="1559" w:type="dxa"/>
          </w:tcPr>
          <w:p w:rsidR="00255CC4" w:rsidRPr="00337AB0" w:rsidRDefault="00255CC4" w:rsidP="00255CC4">
            <w:pPr>
              <w:pStyle w:val="virsrakstslvl4"/>
              <w:spacing w:before="0" w:after="0"/>
              <w:jc w:val="center"/>
              <w:rPr>
                <w:rFonts w:ascii="Times New Roman" w:hAnsi="Times New Roman" w:cs="Times New Roman"/>
                <w:b w:val="0"/>
                <w:i w:val="0"/>
                <w:color w:val="auto"/>
                <w:sz w:val="22"/>
                <w:szCs w:val="22"/>
              </w:rPr>
            </w:pPr>
            <w:r>
              <w:rPr>
                <w:rFonts w:ascii="Times New Roman" w:hAnsi="Times New Roman" w:cs="Times New Roman"/>
                <w:b w:val="0"/>
                <w:i w:val="0"/>
                <w:color w:val="auto"/>
                <w:sz w:val="22"/>
                <w:szCs w:val="22"/>
              </w:rPr>
              <w:t>-</w:t>
            </w:r>
          </w:p>
        </w:tc>
        <w:tc>
          <w:tcPr>
            <w:tcW w:w="1559" w:type="dxa"/>
          </w:tcPr>
          <w:p w:rsidR="00255CC4" w:rsidRPr="00337AB0" w:rsidRDefault="00255CC4" w:rsidP="00255CC4">
            <w:pPr>
              <w:pStyle w:val="virsrakstslvl4"/>
              <w:spacing w:before="0" w:after="0"/>
              <w:jc w:val="center"/>
              <w:rPr>
                <w:rFonts w:ascii="Times New Roman" w:hAnsi="Times New Roman" w:cs="Times New Roman"/>
                <w:b w:val="0"/>
                <w:i w:val="0"/>
                <w:color w:val="auto"/>
                <w:sz w:val="22"/>
                <w:szCs w:val="22"/>
              </w:rPr>
            </w:pPr>
            <w:r>
              <w:rPr>
                <w:rFonts w:ascii="Times New Roman" w:hAnsi="Times New Roman" w:cs="Times New Roman"/>
                <w:b w:val="0"/>
                <w:i w:val="0"/>
                <w:color w:val="auto"/>
                <w:sz w:val="22"/>
                <w:szCs w:val="22"/>
              </w:rPr>
              <w:t>-</w:t>
            </w:r>
          </w:p>
        </w:tc>
        <w:tc>
          <w:tcPr>
            <w:tcW w:w="1559" w:type="dxa"/>
          </w:tcPr>
          <w:p w:rsidR="00255CC4" w:rsidRPr="00337AB0" w:rsidRDefault="00255CC4" w:rsidP="00255CC4">
            <w:pPr>
              <w:pStyle w:val="virsrakstslvl4"/>
              <w:spacing w:before="0" w:after="0"/>
              <w:jc w:val="center"/>
              <w:rPr>
                <w:rFonts w:ascii="Times New Roman" w:hAnsi="Times New Roman" w:cs="Times New Roman"/>
                <w:b w:val="0"/>
                <w:i w:val="0"/>
                <w:color w:val="auto"/>
                <w:sz w:val="22"/>
                <w:szCs w:val="22"/>
              </w:rPr>
            </w:pPr>
            <w:r>
              <w:rPr>
                <w:rFonts w:ascii="Times New Roman" w:hAnsi="Times New Roman" w:cs="Times New Roman"/>
                <w:b w:val="0"/>
                <w:i w:val="0"/>
                <w:color w:val="auto"/>
                <w:sz w:val="22"/>
                <w:szCs w:val="22"/>
              </w:rPr>
              <w:t>135</w:t>
            </w:r>
          </w:p>
        </w:tc>
      </w:tr>
    </w:tbl>
    <w:p w:rsidR="00255CC4" w:rsidRPr="004E69B2" w:rsidRDefault="00255CC4" w:rsidP="00255CC4">
      <w:pPr>
        <w:spacing w:line="240" w:lineRule="auto"/>
        <w:rPr>
          <w:rFonts w:eastAsia="Times New Roman"/>
          <w:sz w:val="20"/>
          <w:szCs w:val="20"/>
        </w:rPr>
      </w:pPr>
      <w:r w:rsidRPr="004E69B2">
        <w:rPr>
          <w:sz w:val="20"/>
          <w:szCs w:val="20"/>
        </w:rPr>
        <w:t xml:space="preserve">Avots: LM, </w:t>
      </w:r>
      <w:r w:rsidRPr="004E69B2">
        <w:rPr>
          <w:bCs/>
          <w:sz w:val="20"/>
          <w:szCs w:val="20"/>
        </w:rPr>
        <w:t xml:space="preserve">Oficiālā statistika sociālo pakalpojumu un sociālās palīdzības jomā. </w:t>
      </w:r>
      <w:r w:rsidRPr="004E69B2">
        <w:rPr>
          <w:rFonts w:eastAsia="Times New Roman"/>
          <w:sz w:val="20"/>
          <w:szCs w:val="20"/>
        </w:rPr>
        <w:t> Ienākumu testēto pašvaldības sociālās palīdzības pabalstu saņēmēju raksturojums pēc ienākumu līmeņa uz vienu ģimenes locekli mēnesī</w:t>
      </w:r>
      <w:r>
        <w:rPr>
          <w:rFonts w:eastAsia="Times New Roman"/>
          <w:sz w:val="20"/>
          <w:szCs w:val="20"/>
        </w:rPr>
        <w:t xml:space="preserve">. </w:t>
      </w:r>
    </w:p>
    <w:p w:rsidR="00255CC4" w:rsidRPr="004E69B2" w:rsidRDefault="00255CC4" w:rsidP="00255CC4"/>
    <w:p w:rsidR="00255CC4" w:rsidRDefault="00D5490A" w:rsidP="00255CC4">
      <w:r>
        <w:t>1.2</w:t>
      </w:r>
      <w:r w:rsidR="00761553">
        <w:t>9</w:t>
      </w:r>
      <w:r w:rsidR="00255CC4">
        <w:t xml:space="preserve">. tabulā ir apkopoti maznodrošinātas personas ienākuma līmeņi novadu pašvaldībās, sadalot tos četrās grupās. Zemākajā grupā (128-199 EUR) ietilpst apmēram viena trešdaļa novadu pašvaldību un šajā grupā dinamikā nav vērojamas būtiskas izmaiņas, novadu pašvaldību skaitam kopumā paliekot gandrīz nemainīgam. Maznodrošinātas personas ienākumu līmenis robežās 200-249 EUR mēnesī ir noteikts 20% gadījumu 2014.gadā, 29,1% - 2015. gadā un jau 34,5% novadu pašvaldību 2016. gadā. Tāpat palielinās to novadu pašvaldību īpatsvars, kurās aplūkojamās mērķa grupas ienākumi ir robežās no 250 līdz 299 EUR mēnesī, attiecīgi no 17,3% 2014.gadā līdz 24,5% 2016. gadā. Pieaudzis ir arī novadu pašvaldību īpatsvars augstākajā maznodrošinātas personas ienākuma līmeņa intervālā – no 1,8% 2014. gadā līdz 6,4% 2015.-2016.gadā. Pieauguma apmēru ietekmē ne tikai tas, ka pašvaldības nosaka augstāku šīs mērķa grupas ienākumu līmeni, bet lielākā mērā tas, ka 2014. gadā nebija pieejami šādi dati par 32 pašvaldībām, bet 2016. gadā dati nav norādīti vai līmenis nav noteikts vairs tikai vienai pašvaldībai. </w:t>
      </w:r>
    </w:p>
    <w:p w:rsidR="0021681A" w:rsidRDefault="0021681A">
      <w:pPr>
        <w:spacing w:line="240" w:lineRule="auto"/>
        <w:jc w:val="left"/>
        <w:rPr>
          <w:b/>
          <w:bCs/>
          <w:color w:val="244061" w:themeColor="accent1" w:themeShade="80"/>
          <w:szCs w:val="18"/>
        </w:rPr>
      </w:pPr>
      <w:bookmarkStart w:id="261" w:name="_Toc6220100"/>
      <w:r>
        <w:br w:type="page"/>
      </w:r>
    </w:p>
    <w:p w:rsidR="00255CC4" w:rsidRPr="00EA0927" w:rsidRDefault="00AD3EDD" w:rsidP="008C6B83">
      <w:pPr>
        <w:pStyle w:val="Caption"/>
      </w:pPr>
      <w:r>
        <w:lastRenderedPageBreak/>
        <w:fldChar w:fldCharType="begin"/>
      </w:r>
      <w:r w:rsidR="00A46B54">
        <w:instrText xml:space="preserve"> STYLEREF 1 \s </w:instrText>
      </w:r>
      <w:r>
        <w:fldChar w:fldCharType="separate"/>
      </w:r>
      <w:bookmarkStart w:id="262" w:name="_Toc6857665"/>
      <w:r w:rsidR="00224B50">
        <w:rPr>
          <w:noProof/>
        </w:rPr>
        <w:t>1</w:t>
      </w:r>
      <w:r>
        <w:fldChar w:fldCharType="end"/>
      </w:r>
      <w:r w:rsidR="00A46B54">
        <w:t>.</w:t>
      </w:r>
      <w:r w:rsidR="00E21C32">
        <w:t>2</w:t>
      </w:r>
      <w:r w:rsidR="00761553">
        <w:t>9</w:t>
      </w:r>
      <w:r w:rsidR="00255CC4">
        <w:t>. tabula. Novadu pašvaldību noteiktais maznodrošinātas ģimenes (personas) ienākumu līmenis (2014-2016, EUR, mēnesī)</w:t>
      </w:r>
      <w:bookmarkEnd w:id="261"/>
      <w:bookmarkEnd w:id="262"/>
    </w:p>
    <w:tbl>
      <w:tblPr>
        <w:tblStyle w:val="TableGrid"/>
        <w:tblW w:w="9747" w:type="dxa"/>
        <w:tblLook w:val="04A0"/>
      </w:tblPr>
      <w:tblGrid>
        <w:gridCol w:w="2943"/>
        <w:gridCol w:w="1134"/>
        <w:gridCol w:w="1134"/>
        <w:gridCol w:w="1134"/>
        <w:gridCol w:w="1134"/>
        <w:gridCol w:w="1134"/>
        <w:gridCol w:w="1134"/>
      </w:tblGrid>
      <w:tr w:rsidR="00255CC4" w:rsidRPr="00BE6DA0" w:rsidTr="00BC22F8">
        <w:tc>
          <w:tcPr>
            <w:tcW w:w="2943" w:type="dxa"/>
            <w:shd w:val="clear" w:color="auto" w:fill="B8CCE4" w:themeFill="accent1" w:themeFillTint="66"/>
            <w:vAlign w:val="center"/>
          </w:tcPr>
          <w:p w:rsidR="00255CC4" w:rsidRPr="00BE6DA0" w:rsidRDefault="00255CC4" w:rsidP="00255CC4">
            <w:pPr>
              <w:rPr>
                <w:b/>
                <w:sz w:val="22"/>
                <w:szCs w:val="22"/>
              </w:rPr>
            </w:pPr>
            <w:r w:rsidRPr="00BE6DA0">
              <w:rPr>
                <w:b/>
                <w:sz w:val="22"/>
                <w:szCs w:val="22"/>
              </w:rPr>
              <w:t>Ienākuma līmeņa intervāls, EUR mēnesī</w:t>
            </w:r>
          </w:p>
        </w:tc>
        <w:tc>
          <w:tcPr>
            <w:tcW w:w="2268" w:type="dxa"/>
            <w:gridSpan w:val="2"/>
            <w:shd w:val="clear" w:color="auto" w:fill="B8CCE4" w:themeFill="accent1" w:themeFillTint="66"/>
            <w:vAlign w:val="center"/>
          </w:tcPr>
          <w:p w:rsidR="00255CC4" w:rsidRPr="00BE6DA0" w:rsidRDefault="00255CC4" w:rsidP="00255CC4">
            <w:pPr>
              <w:jc w:val="center"/>
              <w:rPr>
                <w:b/>
                <w:sz w:val="22"/>
                <w:szCs w:val="22"/>
              </w:rPr>
            </w:pPr>
            <w:r w:rsidRPr="00BE6DA0">
              <w:rPr>
                <w:b/>
                <w:sz w:val="22"/>
                <w:szCs w:val="22"/>
              </w:rPr>
              <w:t>2014</w:t>
            </w:r>
          </w:p>
        </w:tc>
        <w:tc>
          <w:tcPr>
            <w:tcW w:w="2268" w:type="dxa"/>
            <w:gridSpan w:val="2"/>
            <w:shd w:val="clear" w:color="auto" w:fill="B8CCE4" w:themeFill="accent1" w:themeFillTint="66"/>
            <w:vAlign w:val="center"/>
          </w:tcPr>
          <w:p w:rsidR="00255CC4" w:rsidRPr="00BE6DA0" w:rsidRDefault="00255CC4" w:rsidP="00255CC4">
            <w:pPr>
              <w:jc w:val="center"/>
              <w:rPr>
                <w:b/>
                <w:sz w:val="22"/>
                <w:szCs w:val="22"/>
              </w:rPr>
            </w:pPr>
            <w:r w:rsidRPr="00BE6DA0">
              <w:rPr>
                <w:b/>
                <w:sz w:val="22"/>
                <w:szCs w:val="22"/>
              </w:rPr>
              <w:t>2015</w:t>
            </w:r>
          </w:p>
        </w:tc>
        <w:tc>
          <w:tcPr>
            <w:tcW w:w="2268" w:type="dxa"/>
            <w:gridSpan w:val="2"/>
            <w:shd w:val="clear" w:color="auto" w:fill="B8CCE4" w:themeFill="accent1" w:themeFillTint="66"/>
            <w:vAlign w:val="center"/>
          </w:tcPr>
          <w:p w:rsidR="00255CC4" w:rsidRPr="00BE6DA0" w:rsidRDefault="00255CC4" w:rsidP="00255CC4">
            <w:pPr>
              <w:jc w:val="center"/>
              <w:rPr>
                <w:b/>
                <w:sz w:val="22"/>
                <w:szCs w:val="22"/>
              </w:rPr>
            </w:pPr>
            <w:r w:rsidRPr="00BE6DA0">
              <w:rPr>
                <w:b/>
                <w:sz w:val="22"/>
                <w:szCs w:val="22"/>
              </w:rPr>
              <w:t>2016</w:t>
            </w:r>
          </w:p>
        </w:tc>
      </w:tr>
      <w:tr w:rsidR="00255CC4" w:rsidRPr="00BE6DA0" w:rsidTr="00255CC4">
        <w:tc>
          <w:tcPr>
            <w:tcW w:w="2943" w:type="dxa"/>
            <w:shd w:val="clear" w:color="auto" w:fill="F2F2F2" w:themeFill="background1" w:themeFillShade="F2"/>
          </w:tcPr>
          <w:p w:rsidR="00255CC4" w:rsidRPr="00BE6DA0" w:rsidRDefault="00255CC4" w:rsidP="00255CC4">
            <w:pPr>
              <w:rPr>
                <w:b/>
                <w:color w:val="002060"/>
                <w:sz w:val="22"/>
                <w:szCs w:val="22"/>
              </w:rPr>
            </w:pPr>
            <w:r w:rsidRPr="00BE6DA0">
              <w:rPr>
                <w:b/>
                <w:color w:val="002060"/>
                <w:sz w:val="22"/>
                <w:szCs w:val="22"/>
              </w:rPr>
              <w:t>Mērvienība</w:t>
            </w:r>
          </w:p>
        </w:tc>
        <w:tc>
          <w:tcPr>
            <w:tcW w:w="1134" w:type="dxa"/>
            <w:shd w:val="clear" w:color="auto" w:fill="F2F2F2" w:themeFill="background1" w:themeFillShade="F2"/>
          </w:tcPr>
          <w:p w:rsidR="00255CC4" w:rsidRPr="00BE6DA0" w:rsidRDefault="00255CC4" w:rsidP="00255CC4">
            <w:pPr>
              <w:jc w:val="center"/>
              <w:rPr>
                <w:b/>
                <w:color w:val="002060"/>
                <w:sz w:val="22"/>
                <w:szCs w:val="22"/>
              </w:rPr>
            </w:pPr>
            <w:r w:rsidRPr="00BE6DA0">
              <w:rPr>
                <w:b/>
                <w:color w:val="002060"/>
                <w:sz w:val="22"/>
                <w:szCs w:val="22"/>
              </w:rPr>
              <w:t>skaits</w:t>
            </w:r>
          </w:p>
        </w:tc>
        <w:tc>
          <w:tcPr>
            <w:tcW w:w="1134" w:type="dxa"/>
            <w:shd w:val="clear" w:color="auto" w:fill="F2F2F2" w:themeFill="background1" w:themeFillShade="F2"/>
          </w:tcPr>
          <w:p w:rsidR="00255CC4" w:rsidRPr="00BE6DA0" w:rsidRDefault="00255CC4" w:rsidP="00255CC4">
            <w:pPr>
              <w:jc w:val="center"/>
              <w:rPr>
                <w:b/>
                <w:color w:val="002060"/>
                <w:sz w:val="22"/>
                <w:szCs w:val="22"/>
              </w:rPr>
            </w:pPr>
            <w:r w:rsidRPr="00BE6DA0">
              <w:rPr>
                <w:b/>
                <w:color w:val="002060"/>
                <w:sz w:val="22"/>
                <w:szCs w:val="22"/>
              </w:rPr>
              <w:t>%</w:t>
            </w:r>
            <w:r>
              <w:rPr>
                <w:b/>
                <w:color w:val="002060"/>
                <w:sz w:val="22"/>
                <w:szCs w:val="22"/>
              </w:rPr>
              <w:t>*</w:t>
            </w:r>
          </w:p>
        </w:tc>
        <w:tc>
          <w:tcPr>
            <w:tcW w:w="1134" w:type="dxa"/>
            <w:shd w:val="clear" w:color="auto" w:fill="F2F2F2" w:themeFill="background1" w:themeFillShade="F2"/>
          </w:tcPr>
          <w:p w:rsidR="00255CC4" w:rsidRPr="00BE6DA0" w:rsidRDefault="00255CC4" w:rsidP="00255CC4">
            <w:pPr>
              <w:jc w:val="center"/>
              <w:rPr>
                <w:b/>
                <w:color w:val="002060"/>
                <w:sz w:val="22"/>
                <w:szCs w:val="22"/>
              </w:rPr>
            </w:pPr>
            <w:r w:rsidRPr="00BE6DA0">
              <w:rPr>
                <w:b/>
                <w:color w:val="002060"/>
                <w:sz w:val="22"/>
                <w:szCs w:val="22"/>
              </w:rPr>
              <w:t>skaits</w:t>
            </w:r>
          </w:p>
        </w:tc>
        <w:tc>
          <w:tcPr>
            <w:tcW w:w="1134" w:type="dxa"/>
            <w:shd w:val="clear" w:color="auto" w:fill="F2F2F2" w:themeFill="background1" w:themeFillShade="F2"/>
          </w:tcPr>
          <w:p w:rsidR="00255CC4" w:rsidRPr="00BE6DA0" w:rsidRDefault="00255CC4" w:rsidP="00255CC4">
            <w:pPr>
              <w:jc w:val="center"/>
              <w:rPr>
                <w:b/>
                <w:color w:val="002060"/>
                <w:sz w:val="22"/>
                <w:szCs w:val="22"/>
              </w:rPr>
            </w:pPr>
            <w:r w:rsidRPr="00BE6DA0">
              <w:rPr>
                <w:b/>
                <w:color w:val="002060"/>
                <w:sz w:val="22"/>
                <w:szCs w:val="22"/>
              </w:rPr>
              <w:t>%</w:t>
            </w:r>
          </w:p>
        </w:tc>
        <w:tc>
          <w:tcPr>
            <w:tcW w:w="1134" w:type="dxa"/>
            <w:shd w:val="clear" w:color="auto" w:fill="F2F2F2" w:themeFill="background1" w:themeFillShade="F2"/>
          </w:tcPr>
          <w:p w:rsidR="00255CC4" w:rsidRPr="00BE6DA0" w:rsidRDefault="00255CC4" w:rsidP="00255CC4">
            <w:pPr>
              <w:jc w:val="center"/>
              <w:rPr>
                <w:b/>
                <w:color w:val="002060"/>
                <w:sz w:val="22"/>
                <w:szCs w:val="22"/>
              </w:rPr>
            </w:pPr>
            <w:r w:rsidRPr="00BE6DA0">
              <w:rPr>
                <w:b/>
                <w:color w:val="002060"/>
                <w:sz w:val="22"/>
                <w:szCs w:val="22"/>
              </w:rPr>
              <w:t>skaits</w:t>
            </w:r>
          </w:p>
        </w:tc>
        <w:tc>
          <w:tcPr>
            <w:tcW w:w="1134" w:type="dxa"/>
            <w:shd w:val="clear" w:color="auto" w:fill="F2F2F2" w:themeFill="background1" w:themeFillShade="F2"/>
          </w:tcPr>
          <w:p w:rsidR="00255CC4" w:rsidRPr="00BE6DA0" w:rsidRDefault="00255CC4" w:rsidP="00255CC4">
            <w:pPr>
              <w:jc w:val="center"/>
              <w:rPr>
                <w:b/>
                <w:color w:val="002060"/>
                <w:sz w:val="22"/>
                <w:szCs w:val="22"/>
              </w:rPr>
            </w:pPr>
            <w:r w:rsidRPr="00BE6DA0">
              <w:rPr>
                <w:b/>
                <w:color w:val="002060"/>
                <w:sz w:val="22"/>
                <w:szCs w:val="22"/>
              </w:rPr>
              <w:t>%</w:t>
            </w:r>
          </w:p>
        </w:tc>
      </w:tr>
      <w:tr w:rsidR="00255CC4" w:rsidRPr="00BE6DA0" w:rsidTr="00255CC4">
        <w:tc>
          <w:tcPr>
            <w:tcW w:w="2943" w:type="dxa"/>
          </w:tcPr>
          <w:p w:rsidR="00255CC4" w:rsidRPr="00BE6DA0" w:rsidRDefault="00255CC4" w:rsidP="00255CC4">
            <w:pPr>
              <w:rPr>
                <w:sz w:val="22"/>
                <w:szCs w:val="22"/>
              </w:rPr>
            </w:pPr>
            <w:r>
              <w:rPr>
                <w:sz w:val="22"/>
                <w:szCs w:val="22"/>
              </w:rPr>
              <w:t xml:space="preserve">128-199 </w:t>
            </w:r>
          </w:p>
        </w:tc>
        <w:tc>
          <w:tcPr>
            <w:tcW w:w="1134" w:type="dxa"/>
          </w:tcPr>
          <w:p w:rsidR="00255CC4" w:rsidRPr="00BE6DA0" w:rsidRDefault="00255CC4" w:rsidP="00255CC4">
            <w:pPr>
              <w:jc w:val="center"/>
              <w:rPr>
                <w:sz w:val="22"/>
                <w:szCs w:val="22"/>
              </w:rPr>
            </w:pPr>
            <w:r>
              <w:rPr>
                <w:sz w:val="22"/>
                <w:szCs w:val="22"/>
              </w:rPr>
              <w:t>35</w:t>
            </w:r>
          </w:p>
        </w:tc>
        <w:tc>
          <w:tcPr>
            <w:tcW w:w="1134" w:type="dxa"/>
          </w:tcPr>
          <w:p w:rsidR="00255CC4" w:rsidRPr="00017B4E" w:rsidRDefault="00255CC4" w:rsidP="00255CC4">
            <w:pPr>
              <w:spacing w:line="240" w:lineRule="auto"/>
              <w:jc w:val="center"/>
              <w:rPr>
                <w:rFonts w:eastAsia="Times New Roman"/>
                <w:color w:val="000000"/>
                <w:sz w:val="22"/>
                <w:szCs w:val="22"/>
              </w:rPr>
            </w:pPr>
            <w:r w:rsidRPr="00017B4E">
              <w:rPr>
                <w:rFonts w:eastAsia="Times New Roman"/>
                <w:color w:val="000000"/>
                <w:sz w:val="22"/>
                <w:szCs w:val="22"/>
              </w:rPr>
              <w:t>31,8</w:t>
            </w:r>
          </w:p>
        </w:tc>
        <w:tc>
          <w:tcPr>
            <w:tcW w:w="1134" w:type="dxa"/>
          </w:tcPr>
          <w:p w:rsidR="00255CC4" w:rsidRPr="00BE6DA0" w:rsidRDefault="00255CC4" w:rsidP="00255CC4">
            <w:pPr>
              <w:jc w:val="center"/>
              <w:rPr>
                <w:sz w:val="22"/>
                <w:szCs w:val="22"/>
              </w:rPr>
            </w:pPr>
            <w:r>
              <w:rPr>
                <w:sz w:val="22"/>
                <w:szCs w:val="22"/>
              </w:rPr>
              <w:t xml:space="preserve">34 </w:t>
            </w:r>
          </w:p>
        </w:tc>
        <w:tc>
          <w:tcPr>
            <w:tcW w:w="1134" w:type="dxa"/>
          </w:tcPr>
          <w:p w:rsidR="00255CC4" w:rsidRPr="00017B4E" w:rsidRDefault="00255CC4" w:rsidP="00255CC4">
            <w:pPr>
              <w:spacing w:line="240" w:lineRule="auto"/>
              <w:jc w:val="center"/>
              <w:rPr>
                <w:rFonts w:eastAsia="Times New Roman"/>
                <w:color w:val="000000"/>
                <w:sz w:val="22"/>
                <w:szCs w:val="22"/>
              </w:rPr>
            </w:pPr>
            <w:r w:rsidRPr="00017B4E">
              <w:rPr>
                <w:rFonts w:eastAsia="Times New Roman"/>
                <w:color w:val="000000"/>
                <w:sz w:val="22"/>
                <w:szCs w:val="22"/>
              </w:rPr>
              <w:t>30,9</w:t>
            </w:r>
          </w:p>
        </w:tc>
        <w:tc>
          <w:tcPr>
            <w:tcW w:w="1134" w:type="dxa"/>
          </w:tcPr>
          <w:p w:rsidR="00255CC4" w:rsidRPr="00BE6DA0" w:rsidRDefault="00255CC4" w:rsidP="00255CC4">
            <w:pPr>
              <w:jc w:val="center"/>
              <w:rPr>
                <w:sz w:val="22"/>
                <w:szCs w:val="22"/>
              </w:rPr>
            </w:pPr>
            <w:r>
              <w:rPr>
                <w:sz w:val="22"/>
                <w:szCs w:val="22"/>
              </w:rPr>
              <w:t>37</w:t>
            </w:r>
          </w:p>
        </w:tc>
        <w:tc>
          <w:tcPr>
            <w:tcW w:w="1134" w:type="dxa"/>
          </w:tcPr>
          <w:p w:rsidR="00255CC4" w:rsidRPr="00017B4E" w:rsidRDefault="00255CC4" w:rsidP="00255CC4">
            <w:pPr>
              <w:spacing w:line="240" w:lineRule="auto"/>
              <w:jc w:val="center"/>
              <w:rPr>
                <w:rFonts w:eastAsia="Times New Roman"/>
                <w:color w:val="000000"/>
                <w:sz w:val="22"/>
                <w:szCs w:val="22"/>
              </w:rPr>
            </w:pPr>
            <w:r w:rsidRPr="00017B4E">
              <w:rPr>
                <w:rFonts w:eastAsia="Times New Roman"/>
                <w:color w:val="000000"/>
                <w:sz w:val="22"/>
                <w:szCs w:val="22"/>
              </w:rPr>
              <w:t>33,6</w:t>
            </w:r>
          </w:p>
        </w:tc>
      </w:tr>
      <w:tr w:rsidR="00255CC4" w:rsidRPr="00BE6DA0" w:rsidTr="00255CC4">
        <w:tc>
          <w:tcPr>
            <w:tcW w:w="2943" w:type="dxa"/>
          </w:tcPr>
          <w:p w:rsidR="00255CC4" w:rsidRPr="00BE6DA0" w:rsidRDefault="00255CC4" w:rsidP="00255CC4">
            <w:pPr>
              <w:rPr>
                <w:sz w:val="22"/>
                <w:szCs w:val="22"/>
              </w:rPr>
            </w:pPr>
            <w:r>
              <w:rPr>
                <w:sz w:val="22"/>
                <w:szCs w:val="22"/>
              </w:rPr>
              <w:t>200-249</w:t>
            </w:r>
          </w:p>
        </w:tc>
        <w:tc>
          <w:tcPr>
            <w:tcW w:w="1134" w:type="dxa"/>
          </w:tcPr>
          <w:p w:rsidR="00255CC4" w:rsidRPr="00BE6DA0" w:rsidRDefault="00255CC4" w:rsidP="00255CC4">
            <w:pPr>
              <w:jc w:val="center"/>
              <w:rPr>
                <w:sz w:val="22"/>
                <w:szCs w:val="22"/>
              </w:rPr>
            </w:pPr>
            <w:r>
              <w:rPr>
                <w:sz w:val="22"/>
                <w:szCs w:val="22"/>
              </w:rPr>
              <w:t>22</w:t>
            </w:r>
          </w:p>
        </w:tc>
        <w:tc>
          <w:tcPr>
            <w:tcW w:w="1134" w:type="dxa"/>
          </w:tcPr>
          <w:p w:rsidR="00255CC4" w:rsidRPr="00017B4E" w:rsidRDefault="00255CC4" w:rsidP="00255CC4">
            <w:pPr>
              <w:spacing w:line="240" w:lineRule="auto"/>
              <w:jc w:val="center"/>
              <w:rPr>
                <w:rFonts w:eastAsia="Times New Roman"/>
                <w:color w:val="000000"/>
                <w:sz w:val="22"/>
                <w:szCs w:val="22"/>
              </w:rPr>
            </w:pPr>
            <w:r w:rsidRPr="00017B4E">
              <w:rPr>
                <w:rFonts w:eastAsia="Times New Roman"/>
                <w:color w:val="000000"/>
                <w:sz w:val="22"/>
                <w:szCs w:val="22"/>
              </w:rPr>
              <w:t>20,0</w:t>
            </w:r>
          </w:p>
        </w:tc>
        <w:tc>
          <w:tcPr>
            <w:tcW w:w="1134" w:type="dxa"/>
          </w:tcPr>
          <w:p w:rsidR="00255CC4" w:rsidRPr="00BE6DA0" w:rsidRDefault="00255CC4" w:rsidP="00255CC4">
            <w:pPr>
              <w:jc w:val="center"/>
              <w:rPr>
                <w:sz w:val="22"/>
                <w:szCs w:val="22"/>
              </w:rPr>
            </w:pPr>
            <w:r>
              <w:rPr>
                <w:sz w:val="22"/>
                <w:szCs w:val="22"/>
              </w:rPr>
              <w:t>32</w:t>
            </w:r>
          </w:p>
        </w:tc>
        <w:tc>
          <w:tcPr>
            <w:tcW w:w="1134" w:type="dxa"/>
          </w:tcPr>
          <w:p w:rsidR="00255CC4" w:rsidRPr="00017B4E" w:rsidRDefault="00255CC4" w:rsidP="00255CC4">
            <w:pPr>
              <w:spacing w:line="240" w:lineRule="auto"/>
              <w:jc w:val="center"/>
              <w:rPr>
                <w:rFonts w:eastAsia="Times New Roman"/>
                <w:color w:val="000000"/>
                <w:sz w:val="22"/>
                <w:szCs w:val="22"/>
              </w:rPr>
            </w:pPr>
            <w:r w:rsidRPr="00017B4E">
              <w:rPr>
                <w:rFonts w:eastAsia="Times New Roman"/>
                <w:color w:val="000000"/>
                <w:sz w:val="22"/>
                <w:szCs w:val="22"/>
              </w:rPr>
              <w:t>29,1</w:t>
            </w:r>
          </w:p>
        </w:tc>
        <w:tc>
          <w:tcPr>
            <w:tcW w:w="1134" w:type="dxa"/>
          </w:tcPr>
          <w:p w:rsidR="00255CC4" w:rsidRPr="00BE6DA0" w:rsidRDefault="00255CC4" w:rsidP="00255CC4">
            <w:pPr>
              <w:jc w:val="center"/>
              <w:rPr>
                <w:sz w:val="22"/>
                <w:szCs w:val="22"/>
              </w:rPr>
            </w:pPr>
            <w:r>
              <w:rPr>
                <w:sz w:val="22"/>
                <w:szCs w:val="22"/>
              </w:rPr>
              <w:t>38</w:t>
            </w:r>
          </w:p>
        </w:tc>
        <w:tc>
          <w:tcPr>
            <w:tcW w:w="1134" w:type="dxa"/>
          </w:tcPr>
          <w:p w:rsidR="00255CC4" w:rsidRPr="00017B4E" w:rsidRDefault="00255CC4" w:rsidP="00255CC4">
            <w:pPr>
              <w:spacing w:line="240" w:lineRule="auto"/>
              <w:jc w:val="center"/>
              <w:rPr>
                <w:rFonts w:eastAsia="Times New Roman"/>
                <w:color w:val="000000"/>
                <w:sz w:val="22"/>
                <w:szCs w:val="22"/>
              </w:rPr>
            </w:pPr>
            <w:r w:rsidRPr="00017B4E">
              <w:rPr>
                <w:rFonts w:eastAsia="Times New Roman"/>
                <w:color w:val="000000"/>
                <w:sz w:val="22"/>
                <w:szCs w:val="22"/>
              </w:rPr>
              <w:t>34,5</w:t>
            </w:r>
          </w:p>
        </w:tc>
      </w:tr>
      <w:tr w:rsidR="00255CC4" w:rsidRPr="00BE6DA0" w:rsidTr="00255CC4">
        <w:tc>
          <w:tcPr>
            <w:tcW w:w="2943" w:type="dxa"/>
          </w:tcPr>
          <w:p w:rsidR="00255CC4" w:rsidRPr="00BE6DA0" w:rsidRDefault="00255CC4" w:rsidP="00255CC4">
            <w:pPr>
              <w:rPr>
                <w:sz w:val="22"/>
                <w:szCs w:val="22"/>
              </w:rPr>
            </w:pPr>
            <w:r>
              <w:rPr>
                <w:sz w:val="22"/>
                <w:szCs w:val="22"/>
              </w:rPr>
              <w:t>250-299</w:t>
            </w:r>
          </w:p>
        </w:tc>
        <w:tc>
          <w:tcPr>
            <w:tcW w:w="1134" w:type="dxa"/>
          </w:tcPr>
          <w:p w:rsidR="00255CC4" w:rsidRPr="00BE6DA0" w:rsidRDefault="00255CC4" w:rsidP="00255CC4">
            <w:pPr>
              <w:jc w:val="center"/>
              <w:rPr>
                <w:sz w:val="22"/>
                <w:szCs w:val="22"/>
              </w:rPr>
            </w:pPr>
            <w:r>
              <w:rPr>
                <w:sz w:val="22"/>
                <w:szCs w:val="22"/>
              </w:rPr>
              <w:t>19</w:t>
            </w:r>
          </w:p>
        </w:tc>
        <w:tc>
          <w:tcPr>
            <w:tcW w:w="1134" w:type="dxa"/>
          </w:tcPr>
          <w:p w:rsidR="00255CC4" w:rsidRPr="00017B4E" w:rsidRDefault="00255CC4" w:rsidP="00255CC4">
            <w:pPr>
              <w:spacing w:line="240" w:lineRule="auto"/>
              <w:jc w:val="center"/>
              <w:rPr>
                <w:rFonts w:eastAsia="Times New Roman"/>
                <w:color w:val="000000"/>
                <w:sz w:val="22"/>
                <w:szCs w:val="22"/>
              </w:rPr>
            </w:pPr>
            <w:r w:rsidRPr="00017B4E">
              <w:rPr>
                <w:rFonts w:eastAsia="Times New Roman"/>
                <w:color w:val="000000"/>
                <w:sz w:val="22"/>
                <w:szCs w:val="22"/>
              </w:rPr>
              <w:t>17,3</w:t>
            </w:r>
          </w:p>
        </w:tc>
        <w:tc>
          <w:tcPr>
            <w:tcW w:w="1134" w:type="dxa"/>
          </w:tcPr>
          <w:p w:rsidR="00255CC4" w:rsidRPr="00BE6DA0" w:rsidRDefault="00255CC4" w:rsidP="00255CC4">
            <w:pPr>
              <w:jc w:val="center"/>
              <w:rPr>
                <w:sz w:val="22"/>
                <w:szCs w:val="22"/>
              </w:rPr>
            </w:pPr>
            <w:r>
              <w:rPr>
                <w:sz w:val="22"/>
                <w:szCs w:val="22"/>
              </w:rPr>
              <w:t>26</w:t>
            </w:r>
          </w:p>
        </w:tc>
        <w:tc>
          <w:tcPr>
            <w:tcW w:w="1134" w:type="dxa"/>
          </w:tcPr>
          <w:p w:rsidR="00255CC4" w:rsidRPr="00017B4E" w:rsidRDefault="00255CC4" w:rsidP="00255CC4">
            <w:pPr>
              <w:spacing w:line="240" w:lineRule="auto"/>
              <w:jc w:val="center"/>
              <w:rPr>
                <w:rFonts w:eastAsia="Times New Roman"/>
                <w:color w:val="000000"/>
                <w:sz w:val="22"/>
                <w:szCs w:val="22"/>
              </w:rPr>
            </w:pPr>
            <w:r w:rsidRPr="00017B4E">
              <w:rPr>
                <w:rFonts w:eastAsia="Times New Roman"/>
                <w:color w:val="000000"/>
                <w:sz w:val="22"/>
                <w:szCs w:val="22"/>
              </w:rPr>
              <w:t>23,6</w:t>
            </w:r>
          </w:p>
        </w:tc>
        <w:tc>
          <w:tcPr>
            <w:tcW w:w="1134" w:type="dxa"/>
          </w:tcPr>
          <w:p w:rsidR="00255CC4" w:rsidRPr="00BE6DA0" w:rsidRDefault="00255CC4" w:rsidP="00255CC4">
            <w:pPr>
              <w:jc w:val="center"/>
              <w:rPr>
                <w:sz w:val="22"/>
                <w:szCs w:val="22"/>
              </w:rPr>
            </w:pPr>
            <w:r>
              <w:rPr>
                <w:sz w:val="22"/>
                <w:szCs w:val="22"/>
              </w:rPr>
              <w:t>27</w:t>
            </w:r>
          </w:p>
        </w:tc>
        <w:tc>
          <w:tcPr>
            <w:tcW w:w="1134" w:type="dxa"/>
          </w:tcPr>
          <w:p w:rsidR="00255CC4" w:rsidRPr="00017B4E" w:rsidRDefault="00255CC4" w:rsidP="00255CC4">
            <w:pPr>
              <w:spacing w:line="240" w:lineRule="auto"/>
              <w:jc w:val="center"/>
              <w:rPr>
                <w:rFonts w:eastAsia="Times New Roman"/>
                <w:color w:val="000000"/>
                <w:sz w:val="22"/>
                <w:szCs w:val="22"/>
              </w:rPr>
            </w:pPr>
            <w:r w:rsidRPr="00017B4E">
              <w:rPr>
                <w:rFonts w:eastAsia="Times New Roman"/>
                <w:color w:val="000000"/>
                <w:sz w:val="22"/>
                <w:szCs w:val="22"/>
              </w:rPr>
              <w:t>24,5</w:t>
            </w:r>
          </w:p>
        </w:tc>
      </w:tr>
      <w:tr w:rsidR="00255CC4" w:rsidRPr="00BE6DA0" w:rsidTr="00255CC4">
        <w:tc>
          <w:tcPr>
            <w:tcW w:w="2943" w:type="dxa"/>
          </w:tcPr>
          <w:p w:rsidR="00255CC4" w:rsidRPr="00BE6DA0" w:rsidRDefault="00255CC4" w:rsidP="00255CC4">
            <w:pPr>
              <w:rPr>
                <w:sz w:val="22"/>
                <w:szCs w:val="22"/>
              </w:rPr>
            </w:pPr>
            <w:r>
              <w:rPr>
                <w:sz w:val="22"/>
                <w:szCs w:val="22"/>
              </w:rPr>
              <w:t>≥ 300</w:t>
            </w:r>
          </w:p>
        </w:tc>
        <w:tc>
          <w:tcPr>
            <w:tcW w:w="1134" w:type="dxa"/>
          </w:tcPr>
          <w:p w:rsidR="00255CC4" w:rsidRPr="00BE6DA0" w:rsidRDefault="00255CC4" w:rsidP="00255CC4">
            <w:pPr>
              <w:jc w:val="center"/>
              <w:rPr>
                <w:sz w:val="22"/>
                <w:szCs w:val="22"/>
              </w:rPr>
            </w:pPr>
            <w:r>
              <w:rPr>
                <w:sz w:val="22"/>
                <w:szCs w:val="22"/>
              </w:rPr>
              <w:t>2</w:t>
            </w:r>
          </w:p>
        </w:tc>
        <w:tc>
          <w:tcPr>
            <w:tcW w:w="1134" w:type="dxa"/>
          </w:tcPr>
          <w:p w:rsidR="00255CC4" w:rsidRPr="00017B4E" w:rsidRDefault="00255CC4" w:rsidP="00255CC4">
            <w:pPr>
              <w:spacing w:line="240" w:lineRule="auto"/>
              <w:jc w:val="center"/>
              <w:rPr>
                <w:rFonts w:eastAsia="Times New Roman"/>
                <w:color w:val="000000"/>
                <w:sz w:val="22"/>
                <w:szCs w:val="22"/>
              </w:rPr>
            </w:pPr>
            <w:r w:rsidRPr="00017B4E">
              <w:rPr>
                <w:rFonts w:eastAsia="Times New Roman"/>
                <w:color w:val="000000"/>
                <w:sz w:val="22"/>
                <w:szCs w:val="22"/>
              </w:rPr>
              <w:t>1,8</w:t>
            </w:r>
          </w:p>
        </w:tc>
        <w:tc>
          <w:tcPr>
            <w:tcW w:w="1134" w:type="dxa"/>
          </w:tcPr>
          <w:p w:rsidR="00255CC4" w:rsidRPr="00BE6DA0" w:rsidRDefault="00255CC4" w:rsidP="00255CC4">
            <w:pPr>
              <w:jc w:val="center"/>
              <w:rPr>
                <w:sz w:val="22"/>
                <w:szCs w:val="22"/>
              </w:rPr>
            </w:pPr>
            <w:r>
              <w:rPr>
                <w:sz w:val="22"/>
                <w:szCs w:val="22"/>
              </w:rPr>
              <w:t>7</w:t>
            </w:r>
          </w:p>
        </w:tc>
        <w:tc>
          <w:tcPr>
            <w:tcW w:w="1134" w:type="dxa"/>
          </w:tcPr>
          <w:p w:rsidR="00255CC4" w:rsidRPr="00017B4E" w:rsidRDefault="00255CC4" w:rsidP="00255CC4">
            <w:pPr>
              <w:spacing w:line="240" w:lineRule="auto"/>
              <w:jc w:val="center"/>
              <w:rPr>
                <w:rFonts w:eastAsia="Times New Roman"/>
                <w:color w:val="000000"/>
                <w:sz w:val="22"/>
                <w:szCs w:val="22"/>
              </w:rPr>
            </w:pPr>
            <w:r w:rsidRPr="00017B4E">
              <w:rPr>
                <w:rFonts w:eastAsia="Times New Roman"/>
                <w:color w:val="000000"/>
                <w:sz w:val="22"/>
                <w:szCs w:val="22"/>
              </w:rPr>
              <w:t>6,4</w:t>
            </w:r>
          </w:p>
        </w:tc>
        <w:tc>
          <w:tcPr>
            <w:tcW w:w="1134" w:type="dxa"/>
          </w:tcPr>
          <w:p w:rsidR="00255CC4" w:rsidRPr="00BE6DA0" w:rsidRDefault="00255CC4" w:rsidP="00255CC4">
            <w:pPr>
              <w:jc w:val="center"/>
              <w:rPr>
                <w:sz w:val="22"/>
                <w:szCs w:val="22"/>
              </w:rPr>
            </w:pPr>
            <w:r>
              <w:rPr>
                <w:sz w:val="22"/>
                <w:szCs w:val="22"/>
              </w:rPr>
              <w:t>7</w:t>
            </w:r>
          </w:p>
        </w:tc>
        <w:tc>
          <w:tcPr>
            <w:tcW w:w="1134" w:type="dxa"/>
          </w:tcPr>
          <w:p w:rsidR="00255CC4" w:rsidRPr="00017B4E" w:rsidRDefault="00255CC4" w:rsidP="00255CC4">
            <w:pPr>
              <w:spacing w:line="240" w:lineRule="auto"/>
              <w:jc w:val="center"/>
              <w:rPr>
                <w:rFonts w:eastAsia="Times New Roman"/>
                <w:color w:val="000000"/>
                <w:sz w:val="22"/>
                <w:szCs w:val="22"/>
              </w:rPr>
            </w:pPr>
            <w:r w:rsidRPr="00017B4E">
              <w:rPr>
                <w:rFonts w:eastAsia="Times New Roman"/>
                <w:color w:val="000000"/>
                <w:sz w:val="22"/>
                <w:szCs w:val="22"/>
              </w:rPr>
              <w:t>6,4</w:t>
            </w:r>
          </w:p>
        </w:tc>
      </w:tr>
      <w:tr w:rsidR="00255CC4" w:rsidRPr="00BE6DA0" w:rsidTr="00255CC4">
        <w:tc>
          <w:tcPr>
            <w:tcW w:w="2943" w:type="dxa"/>
          </w:tcPr>
          <w:p w:rsidR="00255CC4" w:rsidRPr="00BE6DA0" w:rsidRDefault="00255CC4" w:rsidP="00255CC4">
            <w:pPr>
              <w:rPr>
                <w:sz w:val="22"/>
                <w:szCs w:val="22"/>
              </w:rPr>
            </w:pPr>
            <w:r>
              <w:rPr>
                <w:sz w:val="22"/>
                <w:szCs w:val="22"/>
              </w:rPr>
              <w:t>Nav noteikts/ nav dati</w:t>
            </w:r>
          </w:p>
        </w:tc>
        <w:tc>
          <w:tcPr>
            <w:tcW w:w="1134" w:type="dxa"/>
          </w:tcPr>
          <w:p w:rsidR="00255CC4" w:rsidRPr="00BE6DA0" w:rsidRDefault="00255CC4" w:rsidP="00255CC4">
            <w:pPr>
              <w:jc w:val="center"/>
              <w:rPr>
                <w:sz w:val="22"/>
                <w:szCs w:val="22"/>
              </w:rPr>
            </w:pPr>
            <w:r>
              <w:rPr>
                <w:sz w:val="22"/>
                <w:szCs w:val="22"/>
              </w:rPr>
              <w:t>32</w:t>
            </w:r>
          </w:p>
        </w:tc>
        <w:tc>
          <w:tcPr>
            <w:tcW w:w="1134" w:type="dxa"/>
          </w:tcPr>
          <w:p w:rsidR="00255CC4" w:rsidRPr="00017B4E" w:rsidRDefault="00255CC4" w:rsidP="00255CC4">
            <w:pPr>
              <w:spacing w:line="240" w:lineRule="auto"/>
              <w:jc w:val="center"/>
              <w:rPr>
                <w:rFonts w:eastAsia="Times New Roman"/>
                <w:color w:val="000000"/>
                <w:sz w:val="22"/>
                <w:szCs w:val="22"/>
              </w:rPr>
            </w:pPr>
            <w:r w:rsidRPr="00017B4E">
              <w:rPr>
                <w:rFonts w:eastAsia="Times New Roman"/>
                <w:color w:val="000000"/>
                <w:sz w:val="22"/>
                <w:szCs w:val="22"/>
              </w:rPr>
              <w:t>29,1</w:t>
            </w:r>
          </w:p>
        </w:tc>
        <w:tc>
          <w:tcPr>
            <w:tcW w:w="1134" w:type="dxa"/>
          </w:tcPr>
          <w:p w:rsidR="00255CC4" w:rsidRPr="00BE6DA0" w:rsidRDefault="00255CC4" w:rsidP="00255CC4">
            <w:pPr>
              <w:jc w:val="center"/>
              <w:rPr>
                <w:sz w:val="22"/>
                <w:szCs w:val="22"/>
              </w:rPr>
            </w:pPr>
            <w:r>
              <w:rPr>
                <w:sz w:val="22"/>
                <w:szCs w:val="22"/>
              </w:rPr>
              <w:t>11</w:t>
            </w:r>
          </w:p>
        </w:tc>
        <w:tc>
          <w:tcPr>
            <w:tcW w:w="1134" w:type="dxa"/>
          </w:tcPr>
          <w:p w:rsidR="00255CC4" w:rsidRPr="00017B4E" w:rsidRDefault="00255CC4" w:rsidP="00255CC4">
            <w:pPr>
              <w:spacing w:line="240" w:lineRule="auto"/>
              <w:jc w:val="center"/>
              <w:rPr>
                <w:rFonts w:eastAsia="Times New Roman"/>
                <w:color w:val="000000"/>
                <w:sz w:val="22"/>
                <w:szCs w:val="22"/>
              </w:rPr>
            </w:pPr>
            <w:r w:rsidRPr="00017B4E">
              <w:rPr>
                <w:rFonts w:eastAsia="Times New Roman"/>
                <w:color w:val="000000"/>
                <w:sz w:val="22"/>
                <w:szCs w:val="22"/>
              </w:rPr>
              <w:t>10</w:t>
            </w:r>
          </w:p>
        </w:tc>
        <w:tc>
          <w:tcPr>
            <w:tcW w:w="1134" w:type="dxa"/>
          </w:tcPr>
          <w:p w:rsidR="00255CC4" w:rsidRPr="00BE6DA0" w:rsidRDefault="00255CC4" w:rsidP="00255CC4">
            <w:pPr>
              <w:jc w:val="center"/>
              <w:rPr>
                <w:sz w:val="22"/>
                <w:szCs w:val="22"/>
              </w:rPr>
            </w:pPr>
            <w:r>
              <w:rPr>
                <w:sz w:val="22"/>
                <w:szCs w:val="22"/>
              </w:rPr>
              <w:t>1</w:t>
            </w:r>
          </w:p>
        </w:tc>
        <w:tc>
          <w:tcPr>
            <w:tcW w:w="1134" w:type="dxa"/>
          </w:tcPr>
          <w:p w:rsidR="00255CC4" w:rsidRPr="00017B4E" w:rsidRDefault="00255CC4" w:rsidP="00255CC4">
            <w:pPr>
              <w:spacing w:line="240" w:lineRule="auto"/>
              <w:jc w:val="center"/>
              <w:rPr>
                <w:rFonts w:eastAsia="Times New Roman"/>
                <w:color w:val="000000"/>
                <w:sz w:val="22"/>
                <w:szCs w:val="22"/>
              </w:rPr>
            </w:pPr>
            <w:r w:rsidRPr="00017B4E">
              <w:rPr>
                <w:rFonts w:eastAsia="Times New Roman"/>
                <w:color w:val="000000"/>
                <w:sz w:val="22"/>
                <w:szCs w:val="22"/>
              </w:rPr>
              <w:t>0,9</w:t>
            </w:r>
          </w:p>
        </w:tc>
      </w:tr>
    </w:tbl>
    <w:p w:rsidR="00255CC4" w:rsidRDefault="00255CC4" w:rsidP="00255CC4">
      <w:pPr>
        <w:spacing w:line="240" w:lineRule="auto"/>
        <w:rPr>
          <w:rFonts w:eastAsia="Times New Roman"/>
          <w:sz w:val="20"/>
          <w:szCs w:val="20"/>
        </w:rPr>
      </w:pPr>
      <w:r w:rsidRPr="004E69B2">
        <w:rPr>
          <w:sz w:val="20"/>
          <w:szCs w:val="20"/>
        </w:rPr>
        <w:t xml:space="preserve">Avots: LM, </w:t>
      </w:r>
      <w:r w:rsidRPr="004E69B2">
        <w:rPr>
          <w:bCs/>
          <w:sz w:val="20"/>
          <w:szCs w:val="20"/>
        </w:rPr>
        <w:t xml:space="preserve">Oficiālā statistika sociālo pakalpojumu un sociālās palīdzības jomā. </w:t>
      </w:r>
      <w:r w:rsidRPr="004E69B2">
        <w:rPr>
          <w:rFonts w:eastAsia="Times New Roman"/>
          <w:sz w:val="20"/>
          <w:szCs w:val="20"/>
        </w:rPr>
        <w:t> Ienākumu testēto pašvaldības sociālās palīdzības pabalstu saņēmēju raksturojums pēc ienākumu līmeņa uz vienu ģimenes locekli mēnesī</w:t>
      </w:r>
      <w:r>
        <w:rPr>
          <w:rFonts w:eastAsia="Times New Roman"/>
          <w:sz w:val="20"/>
          <w:szCs w:val="20"/>
        </w:rPr>
        <w:t xml:space="preserve">. </w:t>
      </w:r>
    </w:p>
    <w:p w:rsidR="00255CC4" w:rsidRDefault="00255CC4" w:rsidP="00255CC4">
      <w:pPr>
        <w:spacing w:line="240" w:lineRule="auto"/>
        <w:rPr>
          <w:rFonts w:eastAsia="Times New Roman"/>
          <w:sz w:val="20"/>
          <w:szCs w:val="20"/>
        </w:rPr>
      </w:pPr>
      <w:r>
        <w:rPr>
          <w:rFonts w:eastAsia="Times New Roman"/>
          <w:sz w:val="20"/>
          <w:szCs w:val="20"/>
        </w:rPr>
        <w:t xml:space="preserve">* Īpatsvars aprēķināts pret kopējo novadu </w:t>
      </w:r>
      <w:r w:rsidR="00685CD2">
        <w:rPr>
          <w:rFonts w:eastAsia="Times New Roman"/>
          <w:sz w:val="20"/>
          <w:szCs w:val="20"/>
        </w:rPr>
        <w:t xml:space="preserve">pašvaldību </w:t>
      </w:r>
      <w:r>
        <w:rPr>
          <w:rFonts w:eastAsia="Times New Roman"/>
          <w:sz w:val="20"/>
          <w:szCs w:val="20"/>
        </w:rPr>
        <w:t xml:space="preserve">skaitu (n=110). </w:t>
      </w:r>
    </w:p>
    <w:p w:rsidR="00255CC4" w:rsidRDefault="00255CC4" w:rsidP="00255CC4">
      <w:pPr>
        <w:rPr>
          <w:rFonts w:eastAsia="Times New Roman"/>
        </w:rPr>
      </w:pPr>
    </w:p>
    <w:p w:rsidR="00A97EF7" w:rsidRPr="00A97EF7" w:rsidRDefault="00AB7190" w:rsidP="00255CC4">
      <w:pPr>
        <w:rPr>
          <w:rFonts w:eastAsia="Times New Roman"/>
        </w:rPr>
      </w:pPr>
      <w:r>
        <w:rPr>
          <w:rFonts w:eastAsia="Times New Roman"/>
        </w:rPr>
        <w:t>Maznod</w:t>
      </w:r>
      <w:r w:rsidR="00F349F1">
        <w:rPr>
          <w:rFonts w:eastAsia="Times New Roman"/>
        </w:rPr>
        <w:t>ro</w:t>
      </w:r>
      <w:r>
        <w:rPr>
          <w:rFonts w:eastAsia="Times New Roman"/>
        </w:rPr>
        <w:t xml:space="preserve">šinātās </w:t>
      </w:r>
      <w:r w:rsidR="00F349F1">
        <w:rPr>
          <w:rFonts w:eastAsia="Times New Roman"/>
        </w:rPr>
        <w:t xml:space="preserve">personas </w:t>
      </w:r>
      <w:r w:rsidRPr="00B30E3F">
        <w:t>statusam atbilstoš</w:t>
      </w:r>
      <w:r>
        <w:t>a</w:t>
      </w:r>
      <w:r w:rsidRPr="00B30E3F">
        <w:t xml:space="preserve"> ienākum</w:t>
      </w:r>
      <w:r w:rsidR="00F349F1">
        <w:t>a</w:t>
      </w:r>
      <w:r w:rsidRPr="00B30E3F">
        <w:t xml:space="preserve"> līme</w:t>
      </w:r>
      <w:r>
        <w:t>ņi pašvaldībās 2016. gadā kopumā noteikti intervālā no 135 līdz 400 EUR (2015. gadā intervāls bija no 128 līdz 400 EUR)</w:t>
      </w:r>
      <w:r>
        <w:rPr>
          <w:rFonts w:eastAsia="Times New Roman"/>
        </w:rPr>
        <w:t xml:space="preserve">. Tas nozīmē, ka </w:t>
      </w:r>
      <w:r w:rsidR="00A97EF7">
        <w:rPr>
          <w:rFonts w:eastAsia="Times New Roman"/>
        </w:rPr>
        <w:t>pašvaldības izmanto atšķir</w:t>
      </w:r>
      <w:r w:rsidR="003600D2">
        <w:rPr>
          <w:rFonts w:eastAsia="Times New Roman"/>
        </w:rPr>
        <w:t xml:space="preserve">īgus tā noteikšanas kritērijus, nepārkāpjot vienīgo normatīvajos aktos noteikto, ka maznodrošinātas personas ienākumu līmenis nevar būt zemāks </w:t>
      </w:r>
      <w:r w:rsidR="00C548CE">
        <w:rPr>
          <w:rFonts w:eastAsia="Times New Roman"/>
        </w:rPr>
        <w:t>par</w:t>
      </w:r>
      <w:r w:rsidR="003600D2">
        <w:rPr>
          <w:rFonts w:eastAsia="Times New Roman"/>
        </w:rPr>
        <w:t xml:space="preserve"> trūcī</w:t>
      </w:r>
      <w:r w:rsidR="00C548CE">
        <w:rPr>
          <w:rFonts w:eastAsia="Times New Roman"/>
        </w:rPr>
        <w:t>ga</w:t>
      </w:r>
      <w:r w:rsidR="003600D2">
        <w:rPr>
          <w:rFonts w:eastAsia="Times New Roman"/>
        </w:rPr>
        <w:t xml:space="preserve">s personas ienākumu līmeni (128 EUR). </w:t>
      </w:r>
      <w:r w:rsidR="00A97EF7">
        <w:rPr>
          <w:rFonts w:eastAsia="Times New Roman"/>
        </w:rPr>
        <w:t>Vienotu kritēriju trūkums</w:t>
      </w:r>
      <w:r>
        <w:rPr>
          <w:rFonts w:eastAsia="Times New Roman"/>
        </w:rPr>
        <w:t xml:space="preserve"> </w:t>
      </w:r>
      <w:r w:rsidR="00A97EF7">
        <w:rPr>
          <w:rFonts w:eastAsia="Times New Roman"/>
        </w:rPr>
        <w:t xml:space="preserve">rada situāciju, ka līdzīgā materiālajā un sociālajā situācijā esošas personas </w:t>
      </w:r>
      <w:r w:rsidR="003600D2">
        <w:rPr>
          <w:rFonts w:eastAsia="Times New Roman"/>
        </w:rPr>
        <w:t>var saņemt atšķirīgu atbalstu</w:t>
      </w:r>
      <w:r w:rsidR="00A73876">
        <w:rPr>
          <w:rFonts w:eastAsia="Times New Roman"/>
        </w:rPr>
        <w:t xml:space="preserve"> kā pašvaldības, tā valsts līmenī. Piemēram, </w:t>
      </w:r>
      <w:r w:rsidR="0070702B">
        <w:rPr>
          <w:rFonts w:eastAsia="Times New Roman"/>
        </w:rPr>
        <w:t>valsts līmenī ir noteikts (12.07.2016. MK noteikumi nr. 459 „</w:t>
      </w:r>
      <w:r w:rsidR="0070702B" w:rsidRPr="0070702B">
        <w:rPr>
          <w:rFonts w:eastAsia="Times New Roman"/>
        </w:rPr>
        <w:t>Aizsargātā lietotāja tirdzniecības pakalpojuma sniegšanas, obligātā iepirkuma komponentes un sadales sistēmas pakalpojuma kompensēšanas kārtība”</w:t>
      </w:r>
      <w:r w:rsidR="0070702B">
        <w:rPr>
          <w:rFonts w:eastAsia="Times New Roman"/>
        </w:rPr>
        <w:t xml:space="preserve">), ka </w:t>
      </w:r>
      <w:r w:rsidR="00A73876">
        <w:rPr>
          <w:rFonts w:eastAsia="Times New Roman"/>
        </w:rPr>
        <w:t xml:space="preserve">maznodrošinātām personām ir tiesības </w:t>
      </w:r>
      <w:r w:rsidR="00A73876" w:rsidRPr="00A73876">
        <w:rPr>
          <w:rFonts w:eastAsia="Times New Roman"/>
        </w:rPr>
        <w:t>saņemt elektroenerģijas pakalpojumu par samazinātu cenu</w:t>
      </w:r>
      <w:r w:rsidR="0070702B">
        <w:rPr>
          <w:rFonts w:eastAsia="Times New Roman"/>
        </w:rPr>
        <w:t xml:space="preserve">. </w:t>
      </w:r>
    </w:p>
    <w:bookmarkStart w:id="263" w:name="_Toc6220101"/>
    <w:p w:rsidR="00255CC4" w:rsidRDefault="00AD3EDD" w:rsidP="008C6B83">
      <w:pPr>
        <w:pStyle w:val="Caption"/>
      </w:pPr>
      <w:r>
        <w:fldChar w:fldCharType="begin"/>
      </w:r>
      <w:r w:rsidR="00A46B54">
        <w:instrText xml:space="preserve"> STYLEREF 1 \s </w:instrText>
      </w:r>
      <w:r>
        <w:fldChar w:fldCharType="separate"/>
      </w:r>
      <w:bookmarkStart w:id="264" w:name="_Toc6857666"/>
      <w:r w:rsidR="00224B50">
        <w:rPr>
          <w:noProof/>
        </w:rPr>
        <w:t>1</w:t>
      </w:r>
      <w:r>
        <w:fldChar w:fldCharType="end"/>
      </w:r>
      <w:r w:rsidR="00A46B54">
        <w:t>.</w:t>
      </w:r>
      <w:r w:rsidR="00761553">
        <w:t>30</w:t>
      </w:r>
      <w:r w:rsidR="00255CC4">
        <w:t>. tabula. Maznodrošināt</w:t>
      </w:r>
      <w:r w:rsidR="00685CD2">
        <w:t>o</w:t>
      </w:r>
      <w:r w:rsidR="00255CC4">
        <w:t xml:space="preserve"> ģimeņu un personu ģimenēs skaits, t.sk. salīdzinājums starp lielo pilsētu un novadu pašvaldībām (2014-2016)</w:t>
      </w:r>
      <w:bookmarkEnd w:id="263"/>
      <w:bookmarkEnd w:id="264"/>
      <w:r w:rsidR="00255CC4">
        <w:t xml:space="preserve">  </w:t>
      </w:r>
    </w:p>
    <w:tbl>
      <w:tblP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409"/>
        <w:gridCol w:w="1261"/>
        <w:gridCol w:w="1149"/>
        <w:gridCol w:w="1134"/>
        <w:gridCol w:w="2289"/>
      </w:tblGrid>
      <w:tr w:rsidR="00255CC4" w:rsidRPr="00BC22F8" w:rsidTr="00BC22F8">
        <w:trPr>
          <w:trHeight w:val="896"/>
          <w:jc w:val="center"/>
        </w:trPr>
        <w:tc>
          <w:tcPr>
            <w:tcW w:w="1560" w:type="dxa"/>
            <w:shd w:val="clear" w:color="auto" w:fill="B8CCE4" w:themeFill="accent1" w:themeFillTint="66"/>
            <w:noWrap/>
            <w:vAlign w:val="center"/>
            <w:hideMark/>
          </w:tcPr>
          <w:p w:rsidR="00255CC4" w:rsidRPr="00BC22F8" w:rsidRDefault="00255CC4" w:rsidP="00255CC4">
            <w:pPr>
              <w:spacing w:line="240" w:lineRule="auto"/>
              <w:jc w:val="left"/>
              <w:rPr>
                <w:rFonts w:eastAsia="Times New Roman"/>
                <w:b/>
                <w:color w:val="002060"/>
                <w:sz w:val="22"/>
                <w:szCs w:val="22"/>
                <w:lang w:eastAsia="en-US"/>
              </w:rPr>
            </w:pPr>
            <w:r w:rsidRPr="00BC22F8">
              <w:rPr>
                <w:rFonts w:eastAsia="Times New Roman"/>
                <w:b/>
                <w:color w:val="002060"/>
                <w:sz w:val="22"/>
                <w:szCs w:val="22"/>
                <w:lang w:eastAsia="en-US"/>
              </w:rPr>
              <w:t>Tvērums</w:t>
            </w:r>
          </w:p>
        </w:tc>
        <w:tc>
          <w:tcPr>
            <w:tcW w:w="2409" w:type="dxa"/>
            <w:shd w:val="clear" w:color="auto" w:fill="B8CCE4" w:themeFill="accent1" w:themeFillTint="66"/>
            <w:noWrap/>
            <w:vAlign w:val="center"/>
            <w:hideMark/>
          </w:tcPr>
          <w:p w:rsidR="00255CC4" w:rsidRPr="00BC22F8" w:rsidRDefault="00255CC4" w:rsidP="00255CC4">
            <w:pPr>
              <w:spacing w:line="240" w:lineRule="auto"/>
              <w:jc w:val="left"/>
              <w:rPr>
                <w:rFonts w:eastAsia="Times New Roman"/>
                <w:b/>
                <w:color w:val="002060"/>
                <w:sz w:val="22"/>
                <w:szCs w:val="22"/>
                <w:lang w:eastAsia="en-US"/>
              </w:rPr>
            </w:pPr>
            <w:r w:rsidRPr="00BC22F8">
              <w:rPr>
                <w:rFonts w:eastAsia="Times New Roman"/>
                <w:b/>
                <w:color w:val="002060"/>
                <w:sz w:val="22"/>
                <w:szCs w:val="22"/>
                <w:lang w:eastAsia="en-US"/>
              </w:rPr>
              <w:t xml:space="preserve">Rādītājs </w:t>
            </w:r>
          </w:p>
        </w:tc>
        <w:tc>
          <w:tcPr>
            <w:tcW w:w="1261" w:type="dxa"/>
            <w:shd w:val="clear" w:color="auto" w:fill="B8CCE4" w:themeFill="accent1" w:themeFillTint="66"/>
            <w:noWrap/>
            <w:vAlign w:val="center"/>
            <w:hideMark/>
          </w:tcPr>
          <w:p w:rsidR="00255CC4" w:rsidRPr="00BC22F8" w:rsidRDefault="00255CC4" w:rsidP="00255CC4">
            <w:pPr>
              <w:spacing w:line="240" w:lineRule="auto"/>
              <w:jc w:val="center"/>
              <w:rPr>
                <w:rFonts w:eastAsia="Times New Roman"/>
                <w:b/>
                <w:bCs/>
                <w:color w:val="002060"/>
                <w:sz w:val="22"/>
                <w:szCs w:val="22"/>
                <w:lang w:eastAsia="en-US"/>
              </w:rPr>
            </w:pPr>
            <w:r w:rsidRPr="00BC22F8">
              <w:rPr>
                <w:rFonts w:eastAsia="Times New Roman"/>
                <w:b/>
                <w:bCs/>
                <w:color w:val="002060"/>
                <w:sz w:val="22"/>
                <w:szCs w:val="22"/>
                <w:lang w:eastAsia="en-US"/>
              </w:rPr>
              <w:t>2014</w:t>
            </w:r>
          </w:p>
        </w:tc>
        <w:tc>
          <w:tcPr>
            <w:tcW w:w="1149" w:type="dxa"/>
            <w:shd w:val="clear" w:color="auto" w:fill="B8CCE4" w:themeFill="accent1" w:themeFillTint="66"/>
            <w:noWrap/>
            <w:vAlign w:val="center"/>
            <w:hideMark/>
          </w:tcPr>
          <w:p w:rsidR="00255CC4" w:rsidRPr="00BC22F8" w:rsidRDefault="00255CC4" w:rsidP="00255CC4">
            <w:pPr>
              <w:spacing w:line="240" w:lineRule="auto"/>
              <w:jc w:val="center"/>
              <w:rPr>
                <w:rFonts w:eastAsia="Times New Roman"/>
                <w:b/>
                <w:bCs/>
                <w:color w:val="002060"/>
                <w:sz w:val="22"/>
                <w:szCs w:val="22"/>
                <w:lang w:eastAsia="en-US"/>
              </w:rPr>
            </w:pPr>
            <w:r w:rsidRPr="00BC22F8">
              <w:rPr>
                <w:rFonts w:eastAsia="Times New Roman"/>
                <w:b/>
                <w:bCs/>
                <w:color w:val="002060"/>
                <w:sz w:val="22"/>
                <w:szCs w:val="22"/>
                <w:lang w:eastAsia="en-US"/>
              </w:rPr>
              <w:t>2015</w:t>
            </w:r>
          </w:p>
        </w:tc>
        <w:tc>
          <w:tcPr>
            <w:tcW w:w="1134" w:type="dxa"/>
            <w:shd w:val="clear" w:color="auto" w:fill="B8CCE4" w:themeFill="accent1" w:themeFillTint="66"/>
            <w:noWrap/>
            <w:vAlign w:val="center"/>
            <w:hideMark/>
          </w:tcPr>
          <w:p w:rsidR="00255CC4" w:rsidRPr="00BC22F8" w:rsidRDefault="00255CC4" w:rsidP="00255CC4">
            <w:pPr>
              <w:spacing w:line="240" w:lineRule="auto"/>
              <w:jc w:val="center"/>
              <w:rPr>
                <w:rFonts w:eastAsia="Times New Roman"/>
                <w:b/>
                <w:bCs/>
                <w:color w:val="002060"/>
                <w:sz w:val="22"/>
                <w:szCs w:val="22"/>
                <w:lang w:eastAsia="en-US"/>
              </w:rPr>
            </w:pPr>
            <w:r w:rsidRPr="00BC22F8">
              <w:rPr>
                <w:rFonts w:eastAsia="Times New Roman"/>
                <w:b/>
                <w:bCs/>
                <w:color w:val="002060"/>
                <w:sz w:val="22"/>
                <w:szCs w:val="22"/>
                <w:lang w:eastAsia="en-US"/>
              </w:rPr>
              <w:t>2016</w:t>
            </w:r>
          </w:p>
        </w:tc>
        <w:tc>
          <w:tcPr>
            <w:tcW w:w="2289" w:type="dxa"/>
            <w:shd w:val="clear" w:color="auto" w:fill="B8CCE4" w:themeFill="accent1" w:themeFillTint="66"/>
            <w:noWrap/>
            <w:vAlign w:val="center"/>
            <w:hideMark/>
          </w:tcPr>
          <w:p w:rsidR="00255CC4" w:rsidRPr="00BC22F8" w:rsidRDefault="00255CC4" w:rsidP="00255CC4">
            <w:pPr>
              <w:spacing w:line="240" w:lineRule="auto"/>
              <w:jc w:val="center"/>
              <w:rPr>
                <w:rFonts w:eastAsia="Times New Roman"/>
                <w:b/>
                <w:bCs/>
                <w:color w:val="002060"/>
                <w:sz w:val="22"/>
                <w:szCs w:val="22"/>
                <w:lang w:eastAsia="en-US"/>
              </w:rPr>
            </w:pPr>
            <w:r w:rsidRPr="00BC22F8">
              <w:rPr>
                <w:rFonts w:eastAsia="Times New Roman"/>
                <w:b/>
                <w:bCs/>
                <w:color w:val="002060"/>
                <w:sz w:val="22"/>
                <w:szCs w:val="22"/>
                <w:lang w:eastAsia="en-US"/>
              </w:rPr>
              <w:t>Tendence (%), izmaiņas no 2014.-2016.g.</w:t>
            </w:r>
          </w:p>
        </w:tc>
      </w:tr>
      <w:tr w:rsidR="00255CC4" w:rsidRPr="00D43547" w:rsidTr="00255CC4">
        <w:trPr>
          <w:trHeight w:val="300"/>
          <w:jc w:val="center"/>
        </w:trPr>
        <w:tc>
          <w:tcPr>
            <w:tcW w:w="1560" w:type="dxa"/>
            <w:vMerge w:val="restart"/>
            <w:shd w:val="clear" w:color="auto" w:fill="auto"/>
            <w:noWrap/>
            <w:vAlign w:val="center"/>
            <w:hideMark/>
          </w:tcPr>
          <w:p w:rsidR="00255CC4" w:rsidRPr="00D43547" w:rsidRDefault="00255CC4" w:rsidP="00255CC4">
            <w:pPr>
              <w:spacing w:line="240" w:lineRule="auto"/>
              <w:jc w:val="left"/>
              <w:rPr>
                <w:rFonts w:eastAsia="Times New Roman"/>
                <w:b/>
                <w:bCs/>
                <w:color w:val="000000"/>
                <w:sz w:val="22"/>
                <w:szCs w:val="22"/>
                <w:lang w:eastAsia="en-US"/>
              </w:rPr>
            </w:pPr>
            <w:r w:rsidRPr="00D43547">
              <w:rPr>
                <w:rFonts w:eastAsia="Times New Roman"/>
                <w:b/>
                <w:bCs/>
                <w:color w:val="000000"/>
                <w:sz w:val="22"/>
                <w:szCs w:val="22"/>
                <w:lang w:eastAsia="en-US"/>
              </w:rPr>
              <w:t>Valstī</w:t>
            </w:r>
          </w:p>
        </w:tc>
        <w:tc>
          <w:tcPr>
            <w:tcW w:w="2409" w:type="dxa"/>
            <w:shd w:val="clear" w:color="auto" w:fill="auto"/>
            <w:noWrap/>
            <w:vAlign w:val="center"/>
            <w:hideMark/>
          </w:tcPr>
          <w:p w:rsidR="00255CC4" w:rsidRPr="00D43547" w:rsidRDefault="00255CC4" w:rsidP="00255CC4">
            <w:pPr>
              <w:spacing w:line="240" w:lineRule="auto"/>
              <w:jc w:val="left"/>
              <w:rPr>
                <w:rFonts w:eastAsia="Times New Roman"/>
                <w:color w:val="000000"/>
                <w:sz w:val="22"/>
                <w:szCs w:val="22"/>
                <w:lang w:eastAsia="en-US"/>
              </w:rPr>
            </w:pPr>
            <w:r w:rsidRPr="00D43547">
              <w:rPr>
                <w:rFonts w:eastAsia="Times New Roman"/>
                <w:color w:val="000000"/>
                <w:sz w:val="22"/>
                <w:szCs w:val="22"/>
                <w:lang w:eastAsia="en-US"/>
              </w:rPr>
              <w:t>ģimenes</w:t>
            </w:r>
          </w:p>
        </w:tc>
        <w:tc>
          <w:tcPr>
            <w:tcW w:w="1261"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61</w:t>
            </w:r>
            <w:r>
              <w:rPr>
                <w:rFonts w:eastAsia="Times New Roman"/>
                <w:color w:val="000000"/>
                <w:sz w:val="22"/>
                <w:szCs w:val="22"/>
                <w:lang w:eastAsia="en-US"/>
              </w:rPr>
              <w:t xml:space="preserve"> </w:t>
            </w:r>
            <w:r w:rsidRPr="00D43547">
              <w:rPr>
                <w:rFonts w:eastAsia="Times New Roman"/>
                <w:color w:val="000000"/>
                <w:sz w:val="22"/>
                <w:szCs w:val="22"/>
                <w:lang w:eastAsia="en-US"/>
              </w:rPr>
              <w:t>073</w:t>
            </w:r>
          </w:p>
        </w:tc>
        <w:tc>
          <w:tcPr>
            <w:tcW w:w="1149"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56</w:t>
            </w:r>
            <w:r>
              <w:rPr>
                <w:rFonts w:eastAsia="Times New Roman"/>
                <w:color w:val="000000"/>
                <w:sz w:val="22"/>
                <w:szCs w:val="22"/>
                <w:lang w:eastAsia="en-US"/>
              </w:rPr>
              <w:t xml:space="preserve"> </w:t>
            </w:r>
            <w:r w:rsidRPr="00D43547">
              <w:rPr>
                <w:rFonts w:eastAsia="Times New Roman"/>
                <w:color w:val="000000"/>
                <w:sz w:val="22"/>
                <w:szCs w:val="22"/>
                <w:lang w:eastAsia="en-US"/>
              </w:rPr>
              <w:t>591</w:t>
            </w:r>
          </w:p>
        </w:tc>
        <w:tc>
          <w:tcPr>
            <w:tcW w:w="1134"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47</w:t>
            </w:r>
            <w:r>
              <w:rPr>
                <w:rFonts w:eastAsia="Times New Roman"/>
                <w:color w:val="000000"/>
                <w:sz w:val="22"/>
                <w:szCs w:val="22"/>
                <w:lang w:eastAsia="en-US"/>
              </w:rPr>
              <w:t xml:space="preserve"> </w:t>
            </w:r>
            <w:r w:rsidRPr="00D43547">
              <w:rPr>
                <w:rFonts w:eastAsia="Times New Roman"/>
                <w:color w:val="000000"/>
                <w:sz w:val="22"/>
                <w:szCs w:val="22"/>
                <w:lang w:eastAsia="en-US"/>
              </w:rPr>
              <w:t>859</w:t>
            </w:r>
          </w:p>
        </w:tc>
        <w:tc>
          <w:tcPr>
            <w:tcW w:w="2289" w:type="dxa"/>
            <w:shd w:val="clear" w:color="auto" w:fill="auto"/>
            <w:noWrap/>
            <w:vAlign w:val="center"/>
            <w:hideMark/>
          </w:tcPr>
          <w:p w:rsidR="00255CC4" w:rsidRPr="00D4354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D43547">
              <w:rPr>
                <w:rFonts w:eastAsia="Times New Roman"/>
                <w:color w:val="000000"/>
                <w:sz w:val="22"/>
                <w:szCs w:val="22"/>
                <w:lang w:eastAsia="en-US"/>
              </w:rPr>
              <w:t>21,6</w:t>
            </w:r>
          </w:p>
        </w:tc>
      </w:tr>
      <w:tr w:rsidR="00255CC4" w:rsidRPr="00D43547" w:rsidTr="00255CC4">
        <w:trPr>
          <w:trHeight w:val="300"/>
          <w:jc w:val="center"/>
        </w:trPr>
        <w:tc>
          <w:tcPr>
            <w:tcW w:w="1560" w:type="dxa"/>
            <w:vMerge/>
            <w:shd w:val="clear" w:color="auto" w:fill="auto"/>
            <w:noWrap/>
            <w:vAlign w:val="center"/>
            <w:hideMark/>
          </w:tcPr>
          <w:p w:rsidR="00255CC4" w:rsidRPr="00D43547" w:rsidRDefault="00255CC4" w:rsidP="00255CC4">
            <w:pPr>
              <w:spacing w:line="240" w:lineRule="auto"/>
              <w:jc w:val="left"/>
              <w:rPr>
                <w:rFonts w:eastAsia="Times New Roman"/>
                <w:color w:val="000000"/>
                <w:sz w:val="22"/>
                <w:szCs w:val="22"/>
                <w:lang w:eastAsia="en-US"/>
              </w:rPr>
            </w:pPr>
          </w:p>
        </w:tc>
        <w:tc>
          <w:tcPr>
            <w:tcW w:w="2409" w:type="dxa"/>
            <w:shd w:val="clear" w:color="auto" w:fill="auto"/>
            <w:noWrap/>
            <w:vAlign w:val="center"/>
            <w:hideMark/>
          </w:tcPr>
          <w:p w:rsidR="00255CC4" w:rsidRPr="00D43547" w:rsidRDefault="00255CC4" w:rsidP="00255CC4">
            <w:pPr>
              <w:spacing w:line="240" w:lineRule="auto"/>
              <w:jc w:val="left"/>
              <w:rPr>
                <w:rFonts w:eastAsia="Times New Roman"/>
                <w:color w:val="000000"/>
                <w:sz w:val="22"/>
                <w:szCs w:val="22"/>
                <w:lang w:eastAsia="en-US"/>
              </w:rPr>
            </w:pPr>
            <w:r w:rsidRPr="00D43547">
              <w:rPr>
                <w:rFonts w:eastAsia="Times New Roman"/>
                <w:color w:val="000000"/>
                <w:sz w:val="22"/>
                <w:szCs w:val="22"/>
                <w:lang w:eastAsia="en-US"/>
              </w:rPr>
              <w:t>personas</w:t>
            </w:r>
          </w:p>
        </w:tc>
        <w:tc>
          <w:tcPr>
            <w:tcW w:w="1261"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102</w:t>
            </w:r>
            <w:r>
              <w:rPr>
                <w:rFonts w:eastAsia="Times New Roman"/>
                <w:color w:val="000000"/>
                <w:sz w:val="22"/>
                <w:szCs w:val="22"/>
                <w:lang w:eastAsia="en-US"/>
              </w:rPr>
              <w:t xml:space="preserve"> </w:t>
            </w:r>
            <w:r w:rsidRPr="00D43547">
              <w:rPr>
                <w:rFonts w:eastAsia="Times New Roman"/>
                <w:color w:val="000000"/>
                <w:sz w:val="22"/>
                <w:szCs w:val="22"/>
                <w:lang w:eastAsia="en-US"/>
              </w:rPr>
              <w:t>456</w:t>
            </w:r>
          </w:p>
        </w:tc>
        <w:tc>
          <w:tcPr>
            <w:tcW w:w="1149"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96</w:t>
            </w:r>
            <w:r>
              <w:rPr>
                <w:rFonts w:eastAsia="Times New Roman"/>
                <w:color w:val="000000"/>
                <w:sz w:val="22"/>
                <w:szCs w:val="22"/>
                <w:lang w:eastAsia="en-US"/>
              </w:rPr>
              <w:t xml:space="preserve"> </w:t>
            </w:r>
            <w:r w:rsidRPr="00D43547">
              <w:rPr>
                <w:rFonts w:eastAsia="Times New Roman"/>
                <w:color w:val="000000"/>
                <w:sz w:val="22"/>
                <w:szCs w:val="22"/>
                <w:lang w:eastAsia="en-US"/>
              </w:rPr>
              <w:t>673</w:t>
            </w:r>
          </w:p>
        </w:tc>
        <w:tc>
          <w:tcPr>
            <w:tcW w:w="1134"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82</w:t>
            </w:r>
            <w:r>
              <w:rPr>
                <w:rFonts w:eastAsia="Times New Roman"/>
                <w:color w:val="000000"/>
                <w:sz w:val="22"/>
                <w:szCs w:val="22"/>
                <w:lang w:eastAsia="en-US"/>
              </w:rPr>
              <w:t xml:space="preserve"> </w:t>
            </w:r>
            <w:r w:rsidRPr="00D43547">
              <w:rPr>
                <w:rFonts w:eastAsia="Times New Roman"/>
                <w:color w:val="000000"/>
                <w:sz w:val="22"/>
                <w:szCs w:val="22"/>
                <w:lang w:eastAsia="en-US"/>
              </w:rPr>
              <w:t>428</w:t>
            </w:r>
          </w:p>
        </w:tc>
        <w:tc>
          <w:tcPr>
            <w:tcW w:w="2289" w:type="dxa"/>
            <w:shd w:val="clear" w:color="auto" w:fill="auto"/>
            <w:noWrap/>
            <w:vAlign w:val="center"/>
            <w:hideMark/>
          </w:tcPr>
          <w:p w:rsidR="00255CC4" w:rsidRPr="00D4354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D43547">
              <w:rPr>
                <w:rFonts w:eastAsia="Times New Roman"/>
                <w:color w:val="000000"/>
                <w:sz w:val="22"/>
                <w:szCs w:val="22"/>
                <w:lang w:eastAsia="en-US"/>
              </w:rPr>
              <w:t>19,5</w:t>
            </w:r>
          </w:p>
        </w:tc>
      </w:tr>
      <w:tr w:rsidR="00255CC4" w:rsidRPr="00D43547" w:rsidTr="00255CC4">
        <w:trPr>
          <w:trHeight w:val="300"/>
          <w:jc w:val="center"/>
        </w:trPr>
        <w:tc>
          <w:tcPr>
            <w:tcW w:w="1560" w:type="dxa"/>
            <w:vMerge/>
            <w:shd w:val="clear" w:color="auto" w:fill="auto"/>
            <w:noWrap/>
            <w:vAlign w:val="center"/>
            <w:hideMark/>
          </w:tcPr>
          <w:p w:rsidR="00255CC4" w:rsidRPr="00D43547" w:rsidRDefault="00255CC4" w:rsidP="00255CC4">
            <w:pPr>
              <w:spacing w:line="240" w:lineRule="auto"/>
              <w:jc w:val="left"/>
              <w:rPr>
                <w:rFonts w:eastAsia="Times New Roman"/>
                <w:sz w:val="22"/>
                <w:szCs w:val="22"/>
                <w:lang w:eastAsia="en-US"/>
              </w:rPr>
            </w:pPr>
          </w:p>
        </w:tc>
        <w:tc>
          <w:tcPr>
            <w:tcW w:w="2409" w:type="dxa"/>
            <w:shd w:val="clear" w:color="auto" w:fill="auto"/>
            <w:noWrap/>
            <w:vAlign w:val="center"/>
            <w:hideMark/>
          </w:tcPr>
          <w:p w:rsidR="00255CC4" w:rsidRPr="00D43547" w:rsidRDefault="00255CC4" w:rsidP="00255CC4">
            <w:pPr>
              <w:spacing w:line="240" w:lineRule="auto"/>
              <w:jc w:val="left"/>
              <w:rPr>
                <w:rFonts w:eastAsia="Times New Roman"/>
                <w:color w:val="000000"/>
                <w:sz w:val="22"/>
                <w:szCs w:val="22"/>
                <w:lang w:eastAsia="en-US"/>
              </w:rPr>
            </w:pPr>
            <w:r w:rsidRPr="00D43547">
              <w:rPr>
                <w:rFonts w:eastAsia="Times New Roman"/>
                <w:color w:val="000000"/>
                <w:sz w:val="22"/>
                <w:szCs w:val="22"/>
                <w:lang w:eastAsia="en-US"/>
              </w:rPr>
              <w:t>vid.pers.sk. ģimenē</w:t>
            </w:r>
          </w:p>
        </w:tc>
        <w:tc>
          <w:tcPr>
            <w:tcW w:w="1261"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1,7</w:t>
            </w:r>
          </w:p>
        </w:tc>
        <w:tc>
          <w:tcPr>
            <w:tcW w:w="1149"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1,7</w:t>
            </w:r>
          </w:p>
        </w:tc>
        <w:tc>
          <w:tcPr>
            <w:tcW w:w="1134"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1,7</w:t>
            </w:r>
          </w:p>
        </w:tc>
        <w:tc>
          <w:tcPr>
            <w:tcW w:w="2289" w:type="dxa"/>
            <w:shd w:val="clear" w:color="auto" w:fill="auto"/>
            <w:noWrap/>
            <w:vAlign w:val="center"/>
            <w:hideMark/>
          </w:tcPr>
          <w:p w:rsidR="00255CC4" w:rsidRPr="00D43547" w:rsidRDefault="00255CC4" w:rsidP="00255CC4">
            <w:pPr>
              <w:spacing w:line="240" w:lineRule="auto"/>
              <w:jc w:val="center"/>
              <w:rPr>
                <w:rFonts w:eastAsia="Times New Roman"/>
                <w:sz w:val="22"/>
                <w:szCs w:val="22"/>
                <w:lang w:eastAsia="en-US"/>
              </w:rPr>
            </w:pPr>
          </w:p>
        </w:tc>
      </w:tr>
      <w:tr w:rsidR="00255CC4" w:rsidRPr="00D43547" w:rsidTr="00255CC4">
        <w:trPr>
          <w:trHeight w:val="300"/>
          <w:jc w:val="center"/>
        </w:trPr>
        <w:tc>
          <w:tcPr>
            <w:tcW w:w="1560" w:type="dxa"/>
            <w:vMerge/>
            <w:shd w:val="clear" w:color="auto" w:fill="auto"/>
            <w:noWrap/>
            <w:vAlign w:val="center"/>
            <w:hideMark/>
          </w:tcPr>
          <w:p w:rsidR="00255CC4" w:rsidRPr="00D43547" w:rsidRDefault="00255CC4" w:rsidP="00255CC4">
            <w:pPr>
              <w:spacing w:line="240" w:lineRule="auto"/>
              <w:jc w:val="left"/>
              <w:rPr>
                <w:rFonts w:eastAsia="Times New Roman"/>
                <w:sz w:val="22"/>
                <w:szCs w:val="22"/>
                <w:lang w:eastAsia="en-US"/>
              </w:rPr>
            </w:pPr>
          </w:p>
        </w:tc>
        <w:tc>
          <w:tcPr>
            <w:tcW w:w="2409" w:type="dxa"/>
            <w:shd w:val="clear" w:color="auto" w:fill="auto"/>
            <w:noWrap/>
            <w:vAlign w:val="center"/>
            <w:hideMark/>
          </w:tcPr>
          <w:p w:rsidR="00255CC4" w:rsidRPr="00D43547" w:rsidRDefault="00255CC4" w:rsidP="00255CC4">
            <w:pPr>
              <w:spacing w:line="240" w:lineRule="auto"/>
              <w:jc w:val="left"/>
              <w:rPr>
                <w:rFonts w:eastAsia="Times New Roman"/>
                <w:color w:val="000000"/>
                <w:sz w:val="22"/>
                <w:szCs w:val="22"/>
                <w:lang w:eastAsia="en-US"/>
              </w:rPr>
            </w:pPr>
            <w:r w:rsidRPr="00D43547">
              <w:rPr>
                <w:rFonts w:eastAsia="Times New Roman"/>
                <w:color w:val="000000"/>
                <w:sz w:val="22"/>
                <w:szCs w:val="22"/>
                <w:lang w:eastAsia="en-US"/>
              </w:rPr>
              <w:t>%</w:t>
            </w:r>
          </w:p>
        </w:tc>
        <w:tc>
          <w:tcPr>
            <w:tcW w:w="1261"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100,0</w:t>
            </w:r>
          </w:p>
        </w:tc>
        <w:tc>
          <w:tcPr>
            <w:tcW w:w="1149"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100,0</w:t>
            </w:r>
          </w:p>
        </w:tc>
        <w:tc>
          <w:tcPr>
            <w:tcW w:w="1134"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100,0</w:t>
            </w:r>
          </w:p>
        </w:tc>
        <w:tc>
          <w:tcPr>
            <w:tcW w:w="2289" w:type="dxa"/>
            <w:shd w:val="clear" w:color="auto" w:fill="auto"/>
            <w:noWrap/>
            <w:vAlign w:val="center"/>
            <w:hideMark/>
          </w:tcPr>
          <w:p w:rsidR="00255CC4" w:rsidRPr="00D43547" w:rsidRDefault="00255CC4" w:rsidP="00255CC4">
            <w:pPr>
              <w:spacing w:line="240" w:lineRule="auto"/>
              <w:jc w:val="center"/>
              <w:rPr>
                <w:rFonts w:eastAsia="Times New Roman"/>
                <w:sz w:val="22"/>
                <w:szCs w:val="22"/>
                <w:lang w:eastAsia="en-US"/>
              </w:rPr>
            </w:pPr>
          </w:p>
        </w:tc>
      </w:tr>
      <w:tr w:rsidR="00255CC4" w:rsidRPr="00D43547" w:rsidTr="00255CC4">
        <w:trPr>
          <w:trHeight w:val="383"/>
          <w:jc w:val="center"/>
        </w:trPr>
        <w:tc>
          <w:tcPr>
            <w:tcW w:w="1560" w:type="dxa"/>
            <w:vMerge w:val="restart"/>
            <w:shd w:val="clear" w:color="auto" w:fill="auto"/>
            <w:noWrap/>
            <w:vAlign w:val="center"/>
            <w:hideMark/>
          </w:tcPr>
          <w:p w:rsidR="00255CC4" w:rsidRPr="00D43547" w:rsidRDefault="00255CC4" w:rsidP="00255CC4">
            <w:pPr>
              <w:spacing w:line="240" w:lineRule="auto"/>
              <w:jc w:val="left"/>
              <w:rPr>
                <w:rFonts w:eastAsia="Times New Roman"/>
                <w:b/>
                <w:bCs/>
                <w:color w:val="000000"/>
                <w:sz w:val="22"/>
                <w:szCs w:val="22"/>
                <w:lang w:eastAsia="en-US"/>
              </w:rPr>
            </w:pPr>
            <w:r>
              <w:rPr>
                <w:rFonts w:eastAsia="Times New Roman"/>
                <w:b/>
                <w:bCs/>
                <w:color w:val="000000"/>
                <w:sz w:val="22"/>
                <w:szCs w:val="22"/>
                <w:lang w:eastAsia="en-US"/>
              </w:rPr>
              <w:t>Pilsētās</w:t>
            </w:r>
          </w:p>
        </w:tc>
        <w:tc>
          <w:tcPr>
            <w:tcW w:w="2409" w:type="dxa"/>
            <w:shd w:val="clear" w:color="auto" w:fill="auto"/>
            <w:noWrap/>
            <w:vAlign w:val="center"/>
            <w:hideMark/>
          </w:tcPr>
          <w:p w:rsidR="00255CC4" w:rsidRPr="00D43547" w:rsidRDefault="00255CC4" w:rsidP="00255CC4">
            <w:pPr>
              <w:spacing w:line="240" w:lineRule="auto"/>
              <w:jc w:val="left"/>
              <w:rPr>
                <w:rFonts w:eastAsia="Times New Roman"/>
                <w:color w:val="000000"/>
                <w:sz w:val="22"/>
                <w:szCs w:val="22"/>
                <w:lang w:eastAsia="en-US"/>
              </w:rPr>
            </w:pPr>
            <w:r w:rsidRPr="00D43547">
              <w:rPr>
                <w:rFonts w:eastAsia="Times New Roman"/>
                <w:color w:val="000000"/>
                <w:sz w:val="22"/>
                <w:szCs w:val="22"/>
                <w:lang w:eastAsia="en-US"/>
              </w:rPr>
              <w:t>ģimenes</w:t>
            </w:r>
          </w:p>
        </w:tc>
        <w:tc>
          <w:tcPr>
            <w:tcW w:w="1261"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37</w:t>
            </w:r>
            <w:r w:rsidR="00685CD2">
              <w:rPr>
                <w:rFonts w:eastAsia="Times New Roman"/>
                <w:color w:val="000000"/>
                <w:sz w:val="22"/>
                <w:szCs w:val="22"/>
                <w:lang w:eastAsia="en-US"/>
              </w:rPr>
              <w:t xml:space="preserve"> </w:t>
            </w:r>
            <w:r w:rsidRPr="00D43547">
              <w:rPr>
                <w:rFonts w:eastAsia="Times New Roman"/>
                <w:color w:val="000000"/>
                <w:sz w:val="22"/>
                <w:szCs w:val="22"/>
                <w:lang w:eastAsia="en-US"/>
              </w:rPr>
              <w:t>827</w:t>
            </w:r>
          </w:p>
        </w:tc>
        <w:tc>
          <w:tcPr>
            <w:tcW w:w="1149"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34</w:t>
            </w:r>
            <w:r w:rsidR="00685CD2">
              <w:rPr>
                <w:rFonts w:eastAsia="Times New Roman"/>
                <w:color w:val="000000"/>
                <w:sz w:val="22"/>
                <w:szCs w:val="22"/>
                <w:lang w:eastAsia="en-US"/>
              </w:rPr>
              <w:t xml:space="preserve"> </w:t>
            </w:r>
            <w:r w:rsidRPr="00D43547">
              <w:rPr>
                <w:rFonts w:eastAsia="Times New Roman"/>
                <w:color w:val="000000"/>
                <w:sz w:val="22"/>
                <w:szCs w:val="22"/>
                <w:lang w:eastAsia="en-US"/>
              </w:rPr>
              <w:t>117</w:t>
            </w:r>
          </w:p>
        </w:tc>
        <w:tc>
          <w:tcPr>
            <w:tcW w:w="1134"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27</w:t>
            </w:r>
            <w:r w:rsidR="00685CD2">
              <w:rPr>
                <w:rFonts w:eastAsia="Times New Roman"/>
                <w:color w:val="000000"/>
                <w:sz w:val="22"/>
                <w:szCs w:val="22"/>
                <w:lang w:eastAsia="en-US"/>
              </w:rPr>
              <w:t xml:space="preserve"> </w:t>
            </w:r>
            <w:r w:rsidRPr="00D43547">
              <w:rPr>
                <w:rFonts w:eastAsia="Times New Roman"/>
                <w:color w:val="000000"/>
                <w:sz w:val="22"/>
                <w:szCs w:val="22"/>
                <w:lang w:eastAsia="en-US"/>
              </w:rPr>
              <w:t>169</w:t>
            </w:r>
          </w:p>
        </w:tc>
        <w:tc>
          <w:tcPr>
            <w:tcW w:w="2289" w:type="dxa"/>
            <w:shd w:val="clear" w:color="auto" w:fill="auto"/>
            <w:noWrap/>
            <w:vAlign w:val="center"/>
            <w:hideMark/>
          </w:tcPr>
          <w:p w:rsidR="00255CC4" w:rsidRPr="00D4354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D43547">
              <w:rPr>
                <w:rFonts w:eastAsia="Times New Roman"/>
                <w:color w:val="000000"/>
                <w:sz w:val="22"/>
                <w:szCs w:val="22"/>
                <w:lang w:eastAsia="en-US"/>
              </w:rPr>
              <w:t>28,2</w:t>
            </w:r>
          </w:p>
        </w:tc>
      </w:tr>
      <w:tr w:rsidR="00255CC4" w:rsidRPr="00D43547" w:rsidTr="00255CC4">
        <w:trPr>
          <w:trHeight w:val="300"/>
          <w:jc w:val="center"/>
        </w:trPr>
        <w:tc>
          <w:tcPr>
            <w:tcW w:w="1560" w:type="dxa"/>
            <w:vMerge/>
            <w:shd w:val="clear" w:color="auto" w:fill="auto"/>
            <w:noWrap/>
            <w:vAlign w:val="center"/>
            <w:hideMark/>
          </w:tcPr>
          <w:p w:rsidR="00255CC4" w:rsidRPr="00D43547" w:rsidRDefault="00255CC4" w:rsidP="00255CC4">
            <w:pPr>
              <w:spacing w:line="240" w:lineRule="auto"/>
              <w:jc w:val="left"/>
              <w:rPr>
                <w:rFonts w:eastAsia="Times New Roman"/>
                <w:sz w:val="22"/>
                <w:szCs w:val="22"/>
                <w:lang w:eastAsia="en-US"/>
              </w:rPr>
            </w:pPr>
          </w:p>
        </w:tc>
        <w:tc>
          <w:tcPr>
            <w:tcW w:w="2409" w:type="dxa"/>
            <w:shd w:val="clear" w:color="auto" w:fill="auto"/>
            <w:noWrap/>
            <w:vAlign w:val="center"/>
            <w:hideMark/>
          </w:tcPr>
          <w:p w:rsidR="00255CC4" w:rsidRPr="00D43547" w:rsidRDefault="00255CC4" w:rsidP="00255CC4">
            <w:pPr>
              <w:spacing w:line="240" w:lineRule="auto"/>
              <w:jc w:val="left"/>
              <w:rPr>
                <w:rFonts w:eastAsia="Times New Roman"/>
                <w:color w:val="000000"/>
                <w:sz w:val="22"/>
                <w:szCs w:val="22"/>
                <w:lang w:eastAsia="en-US"/>
              </w:rPr>
            </w:pPr>
            <w:r w:rsidRPr="00D43547">
              <w:rPr>
                <w:rFonts w:eastAsia="Times New Roman"/>
                <w:color w:val="000000"/>
                <w:sz w:val="22"/>
                <w:szCs w:val="22"/>
                <w:lang w:eastAsia="en-US"/>
              </w:rPr>
              <w:t>personas</w:t>
            </w:r>
          </w:p>
        </w:tc>
        <w:tc>
          <w:tcPr>
            <w:tcW w:w="1261"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52</w:t>
            </w:r>
            <w:r w:rsidR="00685CD2">
              <w:rPr>
                <w:rFonts w:eastAsia="Times New Roman"/>
                <w:color w:val="000000"/>
                <w:sz w:val="22"/>
                <w:szCs w:val="22"/>
                <w:lang w:eastAsia="en-US"/>
              </w:rPr>
              <w:t xml:space="preserve"> </w:t>
            </w:r>
            <w:r w:rsidRPr="00D43547">
              <w:rPr>
                <w:rFonts w:eastAsia="Times New Roman"/>
                <w:color w:val="000000"/>
                <w:sz w:val="22"/>
                <w:szCs w:val="22"/>
                <w:lang w:eastAsia="en-US"/>
              </w:rPr>
              <w:t>843</w:t>
            </w:r>
          </w:p>
        </w:tc>
        <w:tc>
          <w:tcPr>
            <w:tcW w:w="1149"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49</w:t>
            </w:r>
            <w:r w:rsidR="00685CD2">
              <w:rPr>
                <w:rFonts w:eastAsia="Times New Roman"/>
                <w:color w:val="000000"/>
                <w:sz w:val="22"/>
                <w:szCs w:val="22"/>
                <w:lang w:eastAsia="en-US"/>
              </w:rPr>
              <w:t xml:space="preserve"> </w:t>
            </w:r>
            <w:r w:rsidRPr="00D43547">
              <w:rPr>
                <w:rFonts w:eastAsia="Times New Roman"/>
                <w:color w:val="000000"/>
                <w:sz w:val="22"/>
                <w:szCs w:val="22"/>
                <w:lang w:eastAsia="en-US"/>
              </w:rPr>
              <w:t>296</w:t>
            </w:r>
          </w:p>
        </w:tc>
        <w:tc>
          <w:tcPr>
            <w:tcW w:w="1134"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39</w:t>
            </w:r>
            <w:r w:rsidR="00685CD2">
              <w:rPr>
                <w:rFonts w:eastAsia="Times New Roman"/>
                <w:color w:val="000000"/>
                <w:sz w:val="22"/>
                <w:szCs w:val="22"/>
                <w:lang w:eastAsia="en-US"/>
              </w:rPr>
              <w:t xml:space="preserve"> </w:t>
            </w:r>
            <w:r w:rsidRPr="00D43547">
              <w:rPr>
                <w:rFonts w:eastAsia="Times New Roman"/>
                <w:color w:val="000000"/>
                <w:sz w:val="22"/>
                <w:szCs w:val="22"/>
                <w:lang w:eastAsia="en-US"/>
              </w:rPr>
              <w:t>796</w:t>
            </w:r>
          </w:p>
        </w:tc>
        <w:tc>
          <w:tcPr>
            <w:tcW w:w="2289" w:type="dxa"/>
            <w:shd w:val="clear" w:color="auto" w:fill="auto"/>
            <w:noWrap/>
            <w:vAlign w:val="center"/>
            <w:hideMark/>
          </w:tcPr>
          <w:p w:rsidR="00255CC4" w:rsidRPr="00D4354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D43547">
              <w:rPr>
                <w:rFonts w:eastAsia="Times New Roman"/>
                <w:color w:val="000000"/>
                <w:sz w:val="22"/>
                <w:szCs w:val="22"/>
                <w:lang w:eastAsia="en-US"/>
              </w:rPr>
              <w:t>24,7</w:t>
            </w:r>
          </w:p>
        </w:tc>
      </w:tr>
      <w:tr w:rsidR="00255CC4" w:rsidRPr="00D43547" w:rsidTr="00255CC4">
        <w:trPr>
          <w:trHeight w:val="300"/>
          <w:jc w:val="center"/>
        </w:trPr>
        <w:tc>
          <w:tcPr>
            <w:tcW w:w="1560" w:type="dxa"/>
            <w:vMerge/>
            <w:shd w:val="clear" w:color="auto" w:fill="auto"/>
            <w:noWrap/>
            <w:vAlign w:val="center"/>
            <w:hideMark/>
          </w:tcPr>
          <w:p w:rsidR="00255CC4" w:rsidRPr="00D43547" w:rsidRDefault="00255CC4" w:rsidP="00255CC4">
            <w:pPr>
              <w:spacing w:line="240" w:lineRule="auto"/>
              <w:jc w:val="left"/>
              <w:rPr>
                <w:rFonts w:eastAsia="Times New Roman"/>
                <w:sz w:val="22"/>
                <w:szCs w:val="22"/>
                <w:lang w:eastAsia="en-US"/>
              </w:rPr>
            </w:pPr>
          </w:p>
        </w:tc>
        <w:tc>
          <w:tcPr>
            <w:tcW w:w="2409" w:type="dxa"/>
            <w:shd w:val="clear" w:color="auto" w:fill="auto"/>
            <w:noWrap/>
            <w:vAlign w:val="center"/>
            <w:hideMark/>
          </w:tcPr>
          <w:p w:rsidR="00255CC4" w:rsidRPr="00D43547" w:rsidRDefault="00255CC4" w:rsidP="00255CC4">
            <w:pPr>
              <w:spacing w:line="240" w:lineRule="auto"/>
              <w:jc w:val="left"/>
              <w:rPr>
                <w:rFonts w:eastAsia="Times New Roman"/>
                <w:color w:val="000000"/>
                <w:sz w:val="22"/>
                <w:szCs w:val="22"/>
                <w:lang w:eastAsia="en-US"/>
              </w:rPr>
            </w:pPr>
            <w:r w:rsidRPr="00D43547">
              <w:rPr>
                <w:rFonts w:eastAsia="Times New Roman"/>
                <w:color w:val="000000"/>
                <w:sz w:val="22"/>
                <w:szCs w:val="22"/>
                <w:lang w:eastAsia="en-US"/>
              </w:rPr>
              <w:t>vid.pers.sk. ģimenē</w:t>
            </w:r>
          </w:p>
        </w:tc>
        <w:tc>
          <w:tcPr>
            <w:tcW w:w="1261"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1,4</w:t>
            </w:r>
          </w:p>
        </w:tc>
        <w:tc>
          <w:tcPr>
            <w:tcW w:w="1149"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1,4</w:t>
            </w:r>
          </w:p>
        </w:tc>
        <w:tc>
          <w:tcPr>
            <w:tcW w:w="1134"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1,5</w:t>
            </w:r>
          </w:p>
        </w:tc>
        <w:tc>
          <w:tcPr>
            <w:tcW w:w="2289" w:type="dxa"/>
            <w:shd w:val="clear" w:color="auto" w:fill="auto"/>
            <w:noWrap/>
            <w:vAlign w:val="center"/>
            <w:hideMark/>
          </w:tcPr>
          <w:p w:rsidR="00255CC4" w:rsidRPr="00D43547" w:rsidRDefault="00255CC4" w:rsidP="00255CC4">
            <w:pPr>
              <w:spacing w:line="240" w:lineRule="auto"/>
              <w:jc w:val="center"/>
              <w:rPr>
                <w:rFonts w:eastAsia="Times New Roman"/>
                <w:sz w:val="22"/>
                <w:szCs w:val="22"/>
                <w:lang w:eastAsia="en-US"/>
              </w:rPr>
            </w:pPr>
          </w:p>
        </w:tc>
      </w:tr>
      <w:tr w:rsidR="00255CC4" w:rsidRPr="00D43547" w:rsidTr="00255CC4">
        <w:trPr>
          <w:trHeight w:val="300"/>
          <w:jc w:val="center"/>
        </w:trPr>
        <w:tc>
          <w:tcPr>
            <w:tcW w:w="1560" w:type="dxa"/>
            <w:vMerge/>
            <w:shd w:val="clear" w:color="auto" w:fill="auto"/>
            <w:noWrap/>
            <w:vAlign w:val="center"/>
            <w:hideMark/>
          </w:tcPr>
          <w:p w:rsidR="00255CC4" w:rsidRPr="00D43547" w:rsidRDefault="00255CC4" w:rsidP="00255CC4">
            <w:pPr>
              <w:spacing w:line="240" w:lineRule="auto"/>
              <w:jc w:val="left"/>
              <w:rPr>
                <w:rFonts w:eastAsia="Times New Roman"/>
                <w:sz w:val="22"/>
                <w:szCs w:val="22"/>
                <w:lang w:eastAsia="en-US"/>
              </w:rPr>
            </w:pPr>
          </w:p>
        </w:tc>
        <w:tc>
          <w:tcPr>
            <w:tcW w:w="2409" w:type="dxa"/>
            <w:shd w:val="clear" w:color="auto" w:fill="auto"/>
            <w:noWrap/>
            <w:vAlign w:val="center"/>
            <w:hideMark/>
          </w:tcPr>
          <w:p w:rsidR="00255CC4" w:rsidRPr="00D43547" w:rsidRDefault="00255CC4" w:rsidP="00255CC4">
            <w:pPr>
              <w:spacing w:line="240" w:lineRule="auto"/>
              <w:jc w:val="left"/>
              <w:rPr>
                <w:rFonts w:eastAsia="Times New Roman"/>
                <w:color w:val="000000"/>
                <w:sz w:val="22"/>
                <w:szCs w:val="22"/>
                <w:lang w:eastAsia="en-US"/>
              </w:rPr>
            </w:pPr>
            <w:r w:rsidRPr="00D43547">
              <w:rPr>
                <w:rFonts w:eastAsia="Times New Roman"/>
                <w:color w:val="000000"/>
                <w:sz w:val="22"/>
                <w:szCs w:val="22"/>
                <w:lang w:eastAsia="en-US"/>
              </w:rPr>
              <w:t>%</w:t>
            </w:r>
            <w:r>
              <w:rPr>
                <w:rFonts w:eastAsia="Times New Roman"/>
                <w:color w:val="000000"/>
                <w:sz w:val="22"/>
                <w:szCs w:val="22"/>
                <w:lang w:eastAsia="en-US"/>
              </w:rPr>
              <w:t xml:space="preserve"> no kopējā skaita</w:t>
            </w:r>
          </w:p>
        </w:tc>
        <w:tc>
          <w:tcPr>
            <w:tcW w:w="1261"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51,6</w:t>
            </w:r>
          </w:p>
        </w:tc>
        <w:tc>
          <w:tcPr>
            <w:tcW w:w="1149"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51,0</w:t>
            </w:r>
          </w:p>
        </w:tc>
        <w:tc>
          <w:tcPr>
            <w:tcW w:w="1134"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48,3</w:t>
            </w:r>
          </w:p>
        </w:tc>
        <w:tc>
          <w:tcPr>
            <w:tcW w:w="2289" w:type="dxa"/>
            <w:shd w:val="clear" w:color="auto" w:fill="auto"/>
            <w:noWrap/>
            <w:vAlign w:val="center"/>
            <w:hideMark/>
          </w:tcPr>
          <w:p w:rsidR="00255CC4" w:rsidRPr="00D43547" w:rsidRDefault="00255CC4" w:rsidP="00255CC4">
            <w:pPr>
              <w:spacing w:line="240" w:lineRule="auto"/>
              <w:jc w:val="center"/>
              <w:rPr>
                <w:rFonts w:eastAsia="Times New Roman"/>
                <w:sz w:val="22"/>
                <w:szCs w:val="22"/>
                <w:lang w:eastAsia="en-US"/>
              </w:rPr>
            </w:pPr>
            <w:r>
              <w:rPr>
                <w:rFonts w:eastAsia="Times New Roman"/>
                <w:color w:val="000000"/>
                <w:sz w:val="22"/>
                <w:szCs w:val="22"/>
                <w:lang w:eastAsia="en-US"/>
              </w:rPr>
              <w:t xml:space="preserve">↓ 3,3 </w:t>
            </w:r>
            <w:r w:rsidRPr="00D43547">
              <w:rPr>
                <w:rFonts w:eastAsia="Times New Roman"/>
                <w:color w:val="000000"/>
                <w:sz w:val="22"/>
                <w:szCs w:val="22"/>
                <w:lang w:eastAsia="en-US"/>
              </w:rPr>
              <w:t>procentpunkti</w:t>
            </w:r>
          </w:p>
        </w:tc>
      </w:tr>
      <w:tr w:rsidR="00255CC4" w:rsidRPr="00D43547" w:rsidTr="00255CC4">
        <w:trPr>
          <w:trHeight w:val="300"/>
          <w:jc w:val="center"/>
        </w:trPr>
        <w:tc>
          <w:tcPr>
            <w:tcW w:w="1560" w:type="dxa"/>
            <w:vMerge w:val="restart"/>
            <w:shd w:val="clear" w:color="auto" w:fill="auto"/>
            <w:noWrap/>
            <w:vAlign w:val="center"/>
            <w:hideMark/>
          </w:tcPr>
          <w:p w:rsidR="00255CC4" w:rsidRPr="00D43547" w:rsidRDefault="00255CC4" w:rsidP="00255CC4">
            <w:pPr>
              <w:spacing w:line="240" w:lineRule="auto"/>
              <w:jc w:val="left"/>
              <w:rPr>
                <w:rFonts w:eastAsia="Times New Roman"/>
                <w:b/>
                <w:bCs/>
                <w:color w:val="000000"/>
                <w:sz w:val="22"/>
                <w:szCs w:val="22"/>
                <w:lang w:eastAsia="en-US"/>
              </w:rPr>
            </w:pPr>
            <w:r w:rsidRPr="00D43547">
              <w:rPr>
                <w:rFonts w:eastAsia="Times New Roman"/>
                <w:b/>
                <w:bCs/>
                <w:color w:val="000000"/>
                <w:sz w:val="22"/>
                <w:szCs w:val="22"/>
                <w:lang w:eastAsia="en-US"/>
              </w:rPr>
              <w:t>Novados</w:t>
            </w:r>
          </w:p>
        </w:tc>
        <w:tc>
          <w:tcPr>
            <w:tcW w:w="2409" w:type="dxa"/>
            <w:shd w:val="clear" w:color="auto" w:fill="auto"/>
            <w:noWrap/>
            <w:vAlign w:val="center"/>
            <w:hideMark/>
          </w:tcPr>
          <w:p w:rsidR="00255CC4" w:rsidRPr="00D43547" w:rsidRDefault="00255CC4" w:rsidP="00255CC4">
            <w:pPr>
              <w:spacing w:line="240" w:lineRule="auto"/>
              <w:jc w:val="left"/>
              <w:rPr>
                <w:rFonts w:eastAsia="Times New Roman"/>
                <w:color w:val="000000"/>
                <w:sz w:val="22"/>
                <w:szCs w:val="22"/>
                <w:lang w:eastAsia="en-US"/>
              </w:rPr>
            </w:pPr>
            <w:r w:rsidRPr="00D43547">
              <w:rPr>
                <w:rFonts w:eastAsia="Times New Roman"/>
                <w:color w:val="000000"/>
                <w:sz w:val="22"/>
                <w:szCs w:val="22"/>
                <w:lang w:eastAsia="en-US"/>
              </w:rPr>
              <w:t>ģimenes</w:t>
            </w:r>
          </w:p>
        </w:tc>
        <w:tc>
          <w:tcPr>
            <w:tcW w:w="1261"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23</w:t>
            </w:r>
            <w:r w:rsidR="00685CD2">
              <w:rPr>
                <w:rFonts w:eastAsia="Times New Roman"/>
                <w:color w:val="000000"/>
                <w:sz w:val="22"/>
                <w:szCs w:val="22"/>
                <w:lang w:eastAsia="en-US"/>
              </w:rPr>
              <w:t xml:space="preserve"> </w:t>
            </w:r>
            <w:r w:rsidRPr="00D43547">
              <w:rPr>
                <w:rFonts w:eastAsia="Times New Roman"/>
                <w:color w:val="000000"/>
                <w:sz w:val="22"/>
                <w:szCs w:val="22"/>
                <w:lang w:eastAsia="en-US"/>
              </w:rPr>
              <w:t>246</w:t>
            </w:r>
          </w:p>
        </w:tc>
        <w:tc>
          <w:tcPr>
            <w:tcW w:w="1149"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22</w:t>
            </w:r>
            <w:r w:rsidR="00685CD2">
              <w:rPr>
                <w:rFonts w:eastAsia="Times New Roman"/>
                <w:color w:val="000000"/>
                <w:sz w:val="22"/>
                <w:szCs w:val="22"/>
                <w:lang w:eastAsia="en-US"/>
              </w:rPr>
              <w:t xml:space="preserve"> </w:t>
            </w:r>
            <w:r w:rsidRPr="00D43547">
              <w:rPr>
                <w:rFonts w:eastAsia="Times New Roman"/>
                <w:color w:val="000000"/>
                <w:sz w:val="22"/>
                <w:szCs w:val="22"/>
                <w:lang w:eastAsia="en-US"/>
              </w:rPr>
              <w:t>474</w:t>
            </w:r>
          </w:p>
        </w:tc>
        <w:tc>
          <w:tcPr>
            <w:tcW w:w="1134"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20</w:t>
            </w:r>
            <w:r w:rsidR="00685CD2">
              <w:rPr>
                <w:rFonts w:eastAsia="Times New Roman"/>
                <w:color w:val="000000"/>
                <w:sz w:val="22"/>
                <w:szCs w:val="22"/>
                <w:lang w:eastAsia="en-US"/>
              </w:rPr>
              <w:t xml:space="preserve"> </w:t>
            </w:r>
            <w:r w:rsidRPr="00D43547">
              <w:rPr>
                <w:rFonts w:eastAsia="Times New Roman"/>
                <w:color w:val="000000"/>
                <w:sz w:val="22"/>
                <w:szCs w:val="22"/>
                <w:lang w:eastAsia="en-US"/>
              </w:rPr>
              <w:t>690</w:t>
            </w:r>
          </w:p>
        </w:tc>
        <w:tc>
          <w:tcPr>
            <w:tcW w:w="2289" w:type="dxa"/>
            <w:shd w:val="clear" w:color="auto" w:fill="auto"/>
            <w:noWrap/>
            <w:vAlign w:val="center"/>
            <w:hideMark/>
          </w:tcPr>
          <w:p w:rsidR="00255CC4" w:rsidRPr="00D4354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D43547">
              <w:rPr>
                <w:rFonts w:eastAsia="Times New Roman"/>
                <w:color w:val="000000"/>
                <w:sz w:val="22"/>
                <w:szCs w:val="22"/>
                <w:lang w:eastAsia="en-US"/>
              </w:rPr>
              <w:t>11,0</w:t>
            </w:r>
          </w:p>
          <w:p w:rsidR="00255CC4" w:rsidRPr="00D43547" w:rsidRDefault="00255CC4" w:rsidP="00255CC4">
            <w:pPr>
              <w:spacing w:line="240" w:lineRule="auto"/>
              <w:jc w:val="center"/>
              <w:rPr>
                <w:rFonts w:eastAsia="Times New Roman"/>
                <w:color w:val="000000"/>
                <w:sz w:val="22"/>
                <w:szCs w:val="22"/>
                <w:lang w:eastAsia="en-US"/>
              </w:rPr>
            </w:pPr>
          </w:p>
        </w:tc>
      </w:tr>
      <w:tr w:rsidR="00255CC4" w:rsidRPr="00D43547" w:rsidTr="00255CC4">
        <w:trPr>
          <w:trHeight w:val="300"/>
          <w:jc w:val="center"/>
        </w:trPr>
        <w:tc>
          <w:tcPr>
            <w:tcW w:w="1560" w:type="dxa"/>
            <w:vMerge/>
            <w:shd w:val="clear" w:color="auto" w:fill="auto"/>
            <w:noWrap/>
            <w:vAlign w:val="center"/>
            <w:hideMark/>
          </w:tcPr>
          <w:p w:rsidR="00255CC4" w:rsidRPr="00D43547" w:rsidRDefault="00255CC4" w:rsidP="00255CC4">
            <w:pPr>
              <w:spacing w:line="240" w:lineRule="auto"/>
              <w:jc w:val="left"/>
              <w:rPr>
                <w:rFonts w:eastAsia="Times New Roman"/>
                <w:color w:val="000000"/>
                <w:sz w:val="22"/>
                <w:szCs w:val="22"/>
                <w:lang w:eastAsia="en-US"/>
              </w:rPr>
            </w:pPr>
          </w:p>
        </w:tc>
        <w:tc>
          <w:tcPr>
            <w:tcW w:w="2409" w:type="dxa"/>
            <w:shd w:val="clear" w:color="auto" w:fill="auto"/>
            <w:noWrap/>
            <w:vAlign w:val="center"/>
            <w:hideMark/>
          </w:tcPr>
          <w:p w:rsidR="00255CC4" w:rsidRPr="00D43547" w:rsidRDefault="00255CC4" w:rsidP="00255CC4">
            <w:pPr>
              <w:spacing w:line="240" w:lineRule="auto"/>
              <w:jc w:val="left"/>
              <w:rPr>
                <w:rFonts w:eastAsia="Times New Roman"/>
                <w:color w:val="000000"/>
                <w:sz w:val="22"/>
                <w:szCs w:val="22"/>
                <w:lang w:eastAsia="en-US"/>
              </w:rPr>
            </w:pPr>
            <w:r w:rsidRPr="00D43547">
              <w:rPr>
                <w:rFonts w:eastAsia="Times New Roman"/>
                <w:color w:val="000000"/>
                <w:sz w:val="22"/>
                <w:szCs w:val="22"/>
                <w:lang w:eastAsia="en-US"/>
              </w:rPr>
              <w:t>personas</w:t>
            </w:r>
          </w:p>
        </w:tc>
        <w:tc>
          <w:tcPr>
            <w:tcW w:w="1261"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49</w:t>
            </w:r>
            <w:r w:rsidR="00685CD2">
              <w:rPr>
                <w:rFonts w:eastAsia="Times New Roman"/>
                <w:color w:val="000000"/>
                <w:sz w:val="22"/>
                <w:szCs w:val="22"/>
                <w:lang w:eastAsia="en-US"/>
              </w:rPr>
              <w:t xml:space="preserve"> </w:t>
            </w:r>
            <w:r w:rsidRPr="00D43547">
              <w:rPr>
                <w:rFonts w:eastAsia="Times New Roman"/>
                <w:color w:val="000000"/>
                <w:sz w:val="22"/>
                <w:szCs w:val="22"/>
                <w:lang w:eastAsia="en-US"/>
              </w:rPr>
              <w:t>613</w:t>
            </w:r>
          </w:p>
        </w:tc>
        <w:tc>
          <w:tcPr>
            <w:tcW w:w="1149"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47</w:t>
            </w:r>
            <w:r w:rsidR="00685CD2">
              <w:rPr>
                <w:rFonts w:eastAsia="Times New Roman"/>
                <w:color w:val="000000"/>
                <w:sz w:val="22"/>
                <w:szCs w:val="22"/>
                <w:lang w:eastAsia="en-US"/>
              </w:rPr>
              <w:t xml:space="preserve"> </w:t>
            </w:r>
            <w:r w:rsidRPr="00D43547">
              <w:rPr>
                <w:rFonts w:eastAsia="Times New Roman"/>
                <w:color w:val="000000"/>
                <w:sz w:val="22"/>
                <w:szCs w:val="22"/>
                <w:lang w:eastAsia="en-US"/>
              </w:rPr>
              <w:t>377</w:t>
            </w:r>
          </w:p>
        </w:tc>
        <w:tc>
          <w:tcPr>
            <w:tcW w:w="1134"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42</w:t>
            </w:r>
            <w:r w:rsidR="00685CD2">
              <w:rPr>
                <w:rFonts w:eastAsia="Times New Roman"/>
                <w:color w:val="000000"/>
                <w:sz w:val="22"/>
                <w:szCs w:val="22"/>
                <w:lang w:eastAsia="en-US"/>
              </w:rPr>
              <w:t xml:space="preserve"> </w:t>
            </w:r>
            <w:r w:rsidRPr="00D43547">
              <w:rPr>
                <w:rFonts w:eastAsia="Times New Roman"/>
                <w:color w:val="000000"/>
                <w:sz w:val="22"/>
                <w:szCs w:val="22"/>
                <w:lang w:eastAsia="en-US"/>
              </w:rPr>
              <w:t>632</w:t>
            </w:r>
          </w:p>
        </w:tc>
        <w:tc>
          <w:tcPr>
            <w:tcW w:w="2289" w:type="dxa"/>
            <w:shd w:val="clear" w:color="auto" w:fill="auto"/>
            <w:noWrap/>
            <w:vAlign w:val="center"/>
            <w:hideMark/>
          </w:tcPr>
          <w:p w:rsidR="00255CC4" w:rsidRPr="00D4354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D43547">
              <w:rPr>
                <w:rFonts w:eastAsia="Times New Roman"/>
                <w:color w:val="000000"/>
                <w:sz w:val="22"/>
                <w:szCs w:val="22"/>
                <w:lang w:eastAsia="en-US"/>
              </w:rPr>
              <w:t>14,1</w:t>
            </w:r>
          </w:p>
        </w:tc>
      </w:tr>
      <w:tr w:rsidR="00255CC4" w:rsidRPr="00D43547" w:rsidTr="00255CC4">
        <w:trPr>
          <w:trHeight w:val="300"/>
          <w:jc w:val="center"/>
        </w:trPr>
        <w:tc>
          <w:tcPr>
            <w:tcW w:w="1560" w:type="dxa"/>
            <w:vMerge/>
            <w:shd w:val="clear" w:color="auto" w:fill="auto"/>
            <w:noWrap/>
            <w:vAlign w:val="center"/>
            <w:hideMark/>
          </w:tcPr>
          <w:p w:rsidR="00255CC4" w:rsidRPr="00D43547" w:rsidRDefault="00255CC4" w:rsidP="00255CC4">
            <w:pPr>
              <w:spacing w:line="240" w:lineRule="auto"/>
              <w:jc w:val="left"/>
              <w:rPr>
                <w:rFonts w:eastAsia="Times New Roman"/>
                <w:sz w:val="22"/>
                <w:szCs w:val="22"/>
                <w:lang w:eastAsia="en-US"/>
              </w:rPr>
            </w:pPr>
          </w:p>
        </w:tc>
        <w:tc>
          <w:tcPr>
            <w:tcW w:w="2409" w:type="dxa"/>
            <w:shd w:val="clear" w:color="auto" w:fill="auto"/>
            <w:noWrap/>
            <w:vAlign w:val="center"/>
            <w:hideMark/>
          </w:tcPr>
          <w:p w:rsidR="00255CC4" w:rsidRPr="00D43547" w:rsidRDefault="00255CC4" w:rsidP="00255CC4">
            <w:pPr>
              <w:spacing w:line="240" w:lineRule="auto"/>
              <w:jc w:val="left"/>
              <w:rPr>
                <w:rFonts w:eastAsia="Times New Roman"/>
                <w:color w:val="000000"/>
                <w:sz w:val="22"/>
                <w:szCs w:val="22"/>
                <w:lang w:eastAsia="en-US"/>
              </w:rPr>
            </w:pPr>
            <w:r w:rsidRPr="00D43547">
              <w:rPr>
                <w:rFonts w:eastAsia="Times New Roman"/>
                <w:color w:val="000000"/>
                <w:sz w:val="22"/>
                <w:szCs w:val="22"/>
                <w:lang w:eastAsia="en-US"/>
              </w:rPr>
              <w:t>vid.pers.sk. ģimenē</w:t>
            </w:r>
          </w:p>
        </w:tc>
        <w:tc>
          <w:tcPr>
            <w:tcW w:w="1261"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2,1</w:t>
            </w:r>
          </w:p>
        </w:tc>
        <w:tc>
          <w:tcPr>
            <w:tcW w:w="1149"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2,1</w:t>
            </w:r>
          </w:p>
        </w:tc>
        <w:tc>
          <w:tcPr>
            <w:tcW w:w="1134"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2,1</w:t>
            </w:r>
          </w:p>
        </w:tc>
        <w:tc>
          <w:tcPr>
            <w:tcW w:w="2289" w:type="dxa"/>
            <w:shd w:val="clear" w:color="auto" w:fill="auto"/>
            <w:noWrap/>
            <w:vAlign w:val="center"/>
            <w:hideMark/>
          </w:tcPr>
          <w:p w:rsidR="00255CC4" w:rsidRPr="00D43547" w:rsidRDefault="00255CC4" w:rsidP="00255CC4">
            <w:pPr>
              <w:spacing w:line="240" w:lineRule="auto"/>
              <w:jc w:val="center"/>
              <w:rPr>
                <w:rFonts w:eastAsia="Times New Roman"/>
                <w:sz w:val="22"/>
                <w:szCs w:val="22"/>
                <w:lang w:eastAsia="en-US"/>
              </w:rPr>
            </w:pPr>
          </w:p>
        </w:tc>
      </w:tr>
      <w:tr w:rsidR="00255CC4" w:rsidRPr="00D43547" w:rsidTr="00255CC4">
        <w:trPr>
          <w:trHeight w:val="300"/>
          <w:jc w:val="center"/>
        </w:trPr>
        <w:tc>
          <w:tcPr>
            <w:tcW w:w="1560" w:type="dxa"/>
            <w:vMerge/>
            <w:shd w:val="clear" w:color="auto" w:fill="auto"/>
            <w:noWrap/>
            <w:vAlign w:val="center"/>
            <w:hideMark/>
          </w:tcPr>
          <w:p w:rsidR="00255CC4" w:rsidRPr="00D43547" w:rsidRDefault="00255CC4" w:rsidP="00255CC4">
            <w:pPr>
              <w:spacing w:line="240" w:lineRule="auto"/>
              <w:jc w:val="left"/>
              <w:rPr>
                <w:rFonts w:eastAsia="Times New Roman"/>
                <w:sz w:val="22"/>
                <w:szCs w:val="22"/>
                <w:lang w:eastAsia="en-US"/>
              </w:rPr>
            </w:pPr>
          </w:p>
        </w:tc>
        <w:tc>
          <w:tcPr>
            <w:tcW w:w="2409" w:type="dxa"/>
            <w:shd w:val="clear" w:color="auto" w:fill="auto"/>
            <w:noWrap/>
            <w:vAlign w:val="center"/>
            <w:hideMark/>
          </w:tcPr>
          <w:p w:rsidR="00255CC4" w:rsidRPr="00D43547" w:rsidRDefault="00255CC4" w:rsidP="00255CC4">
            <w:pPr>
              <w:spacing w:line="240" w:lineRule="auto"/>
              <w:jc w:val="left"/>
              <w:rPr>
                <w:rFonts w:eastAsia="Times New Roman"/>
                <w:color w:val="000000"/>
                <w:sz w:val="22"/>
                <w:szCs w:val="22"/>
                <w:lang w:eastAsia="en-US"/>
              </w:rPr>
            </w:pPr>
            <w:r w:rsidRPr="00D43547">
              <w:rPr>
                <w:rFonts w:eastAsia="Times New Roman"/>
                <w:color w:val="000000"/>
                <w:sz w:val="22"/>
                <w:szCs w:val="22"/>
                <w:lang w:eastAsia="en-US"/>
              </w:rPr>
              <w:t>%</w:t>
            </w:r>
            <w:r>
              <w:rPr>
                <w:rFonts w:eastAsia="Times New Roman"/>
                <w:color w:val="000000"/>
                <w:sz w:val="22"/>
                <w:szCs w:val="22"/>
                <w:lang w:eastAsia="en-US"/>
              </w:rPr>
              <w:t xml:space="preserve"> no kopēja skaita</w:t>
            </w:r>
          </w:p>
        </w:tc>
        <w:tc>
          <w:tcPr>
            <w:tcW w:w="1261"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48,4</w:t>
            </w:r>
          </w:p>
        </w:tc>
        <w:tc>
          <w:tcPr>
            <w:tcW w:w="1149"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49,0</w:t>
            </w:r>
          </w:p>
        </w:tc>
        <w:tc>
          <w:tcPr>
            <w:tcW w:w="1134" w:type="dxa"/>
            <w:shd w:val="clear" w:color="auto" w:fill="auto"/>
            <w:noWrap/>
            <w:vAlign w:val="center"/>
            <w:hideMark/>
          </w:tcPr>
          <w:p w:rsidR="00255CC4" w:rsidRPr="00D43547" w:rsidRDefault="00255CC4" w:rsidP="00255CC4">
            <w:pPr>
              <w:spacing w:line="240" w:lineRule="auto"/>
              <w:jc w:val="right"/>
              <w:rPr>
                <w:rFonts w:eastAsia="Times New Roman"/>
                <w:color w:val="000000"/>
                <w:sz w:val="22"/>
                <w:szCs w:val="22"/>
                <w:lang w:eastAsia="en-US"/>
              </w:rPr>
            </w:pPr>
            <w:r w:rsidRPr="00D43547">
              <w:rPr>
                <w:rFonts w:eastAsia="Times New Roman"/>
                <w:color w:val="000000"/>
                <w:sz w:val="22"/>
                <w:szCs w:val="22"/>
                <w:lang w:eastAsia="en-US"/>
              </w:rPr>
              <w:t>51,7</w:t>
            </w:r>
          </w:p>
        </w:tc>
        <w:tc>
          <w:tcPr>
            <w:tcW w:w="2289" w:type="dxa"/>
            <w:shd w:val="clear" w:color="auto" w:fill="auto"/>
            <w:noWrap/>
            <w:vAlign w:val="center"/>
            <w:hideMark/>
          </w:tcPr>
          <w:p w:rsidR="00255CC4" w:rsidRPr="00D4354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D43547">
              <w:rPr>
                <w:rFonts w:eastAsia="Times New Roman"/>
                <w:color w:val="000000"/>
                <w:sz w:val="22"/>
                <w:szCs w:val="22"/>
                <w:lang w:eastAsia="en-US"/>
              </w:rPr>
              <w:t>3,3</w:t>
            </w:r>
            <w:r>
              <w:rPr>
                <w:rFonts w:eastAsia="Times New Roman"/>
                <w:color w:val="000000"/>
                <w:sz w:val="22"/>
                <w:szCs w:val="22"/>
                <w:lang w:eastAsia="en-US"/>
              </w:rPr>
              <w:t xml:space="preserve"> </w:t>
            </w:r>
            <w:r w:rsidRPr="00D43547">
              <w:rPr>
                <w:rFonts w:eastAsia="Times New Roman"/>
                <w:color w:val="000000"/>
                <w:sz w:val="22"/>
                <w:szCs w:val="22"/>
                <w:lang w:eastAsia="en-US"/>
              </w:rPr>
              <w:t>procentpunkti</w:t>
            </w:r>
          </w:p>
        </w:tc>
      </w:tr>
    </w:tbl>
    <w:p w:rsidR="00255CC4" w:rsidRDefault="00255CC4" w:rsidP="00255CC4">
      <w:pPr>
        <w:spacing w:line="240" w:lineRule="auto"/>
        <w:rPr>
          <w:rFonts w:eastAsia="Times New Roman"/>
          <w:sz w:val="20"/>
          <w:szCs w:val="20"/>
        </w:rPr>
      </w:pPr>
      <w:r w:rsidRPr="004E69B2">
        <w:rPr>
          <w:sz w:val="20"/>
          <w:szCs w:val="20"/>
        </w:rPr>
        <w:t xml:space="preserve">Avots: LM, </w:t>
      </w:r>
      <w:r w:rsidRPr="004E69B2">
        <w:rPr>
          <w:bCs/>
          <w:sz w:val="20"/>
          <w:szCs w:val="20"/>
        </w:rPr>
        <w:t xml:space="preserve">Oficiālā statistika sociālo pakalpojumu un sociālās palīdzības jomā. </w:t>
      </w:r>
      <w:r w:rsidRPr="004E69B2">
        <w:rPr>
          <w:rFonts w:eastAsia="Times New Roman"/>
          <w:sz w:val="20"/>
          <w:szCs w:val="20"/>
        </w:rPr>
        <w:t> Ienākumu testēto pašvaldības sociālās palīdzības pabalstu saņēmēju raksturojums pēc ienākumu līmeņa uz vienu ģimenes locekli mēnesī</w:t>
      </w:r>
      <w:r>
        <w:rPr>
          <w:rFonts w:eastAsia="Times New Roman"/>
          <w:sz w:val="20"/>
          <w:szCs w:val="20"/>
        </w:rPr>
        <w:t xml:space="preserve">. </w:t>
      </w:r>
    </w:p>
    <w:p w:rsidR="00255CC4" w:rsidRDefault="00255CC4" w:rsidP="00255CC4">
      <w:pPr>
        <w:rPr>
          <w:rFonts w:eastAsia="Times New Roman"/>
        </w:rPr>
      </w:pPr>
    </w:p>
    <w:p w:rsidR="00FA1B47" w:rsidRPr="00A97EF7" w:rsidRDefault="00FA1B47" w:rsidP="00FA1B47">
      <w:pPr>
        <w:rPr>
          <w:rFonts w:eastAsia="Times New Roman"/>
        </w:rPr>
      </w:pPr>
      <w:r>
        <w:rPr>
          <w:rFonts w:eastAsia="Times New Roman"/>
        </w:rPr>
        <w:lastRenderedPageBreak/>
        <w:t>Šāda atbalsta pieejamību attiecīgi ietekmē katras pašvaldības noteiktais maznodrošinātas personas ienākumu slieksnis. Proti, ja personas ienākumi vidēji mēnesī 2016. gadā bija 300 EUR, tad Jēkabpilī dzīvojoša persona attiecīgi varēja saņemt šo atvieglojumu (sk. 1.</w:t>
      </w:r>
      <w:r w:rsidR="00761553">
        <w:rPr>
          <w:rFonts w:eastAsia="Times New Roman"/>
        </w:rPr>
        <w:t>28</w:t>
      </w:r>
      <w:r>
        <w:rPr>
          <w:rFonts w:eastAsia="Times New Roman"/>
        </w:rPr>
        <w:t xml:space="preserve">. tabulu), kamēr Daugavpilī dzīvojoša persona ar tādiem pat ienākumiem nevarēja šo atvieglojumu saņemt, jo maznodrošinātās personas statusam atbilstošie vidējie ienākumi mēnesī Daugavpilī 2016. gadā bija noteikti 296 EUR apmērā. </w:t>
      </w:r>
    </w:p>
    <w:p w:rsidR="00FA1B47" w:rsidRDefault="00FA1B47" w:rsidP="00255CC4">
      <w:pPr>
        <w:rPr>
          <w:rFonts w:eastAsia="Times New Roman"/>
        </w:rPr>
      </w:pPr>
    </w:p>
    <w:p w:rsidR="00255CC4" w:rsidRPr="00DE0F32" w:rsidRDefault="00255CC4" w:rsidP="00255CC4">
      <w:pPr>
        <w:rPr>
          <w:rFonts w:eastAsia="Times New Roman"/>
        </w:rPr>
      </w:pPr>
      <w:r>
        <w:rPr>
          <w:rFonts w:eastAsia="Times New Roman"/>
        </w:rPr>
        <w:t>Kopējam maznodrošināto personu skaitam ir tendence samazināties (sk.</w:t>
      </w:r>
      <w:r w:rsidR="00D5490A">
        <w:rPr>
          <w:rFonts w:eastAsia="Times New Roman"/>
        </w:rPr>
        <w:t>1.</w:t>
      </w:r>
      <w:r w:rsidR="00761553">
        <w:rPr>
          <w:rFonts w:eastAsia="Times New Roman"/>
        </w:rPr>
        <w:t>30</w:t>
      </w:r>
      <w:r>
        <w:rPr>
          <w:rFonts w:eastAsia="Times New Roman"/>
        </w:rPr>
        <w:t xml:space="preserve">. tabulu). Aprēķinot maznodrošināto personu īpatsvaru pret kopējo valsts iedzīvotāju skaitu, konstatēts, ka 2014. gadā tās veidoja 5,1% no kopējā iedzīvotāju skaita, 2015.gadā – 4,8%, 2016.gadā – 4,1%. Valstī </w:t>
      </w:r>
      <w:r w:rsidRPr="00590A52">
        <w:rPr>
          <w:rFonts w:eastAsia="Times New Roman"/>
          <w:b/>
        </w:rPr>
        <w:t>kopumā laikā no 2014.</w:t>
      </w:r>
      <w:r>
        <w:rPr>
          <w:rFonts w:eastAsia="Times New Roman"/>
          <w:b/>
        </w:rPr>
        <w:t xml:space="preserve"> </w:t>
      </w:r>
      <w:r w:rsidRPr="00590A52">
        <w:rPr>
          <w:rFonts w:eastAsia="Times New Roman"/>
          <w:b/>
        </w:rPr>
        <w:t>gada līdz 2016.</w:t>
      </w:r>
      <w:r>
        <w:rPr>
          <w:rFonts w:eastAsia="Times New Roman"/>
          <w:b/>
        </w:rPr>
        <w:t xml:space="preserve"> </w:t>
      </w:r>
      <w:r w:rsidRPr="00590A52">
        <w:rPr>
          <w:rFonts w:eastAsia="Times New Roman"/>
          <w:b/>
        </w:rPr>
        <w:t>gadam maznodrošināto personu skaits ir samazinājies par 19,5%</w:t>
      </w:r>
      <w:r>
        <w:rPr>
          <w:rFonts w:eastAsia="Times New Roman"/>
        </w:rPr>
        <w:t xml:space="preserve">, pilsētu pašvaldībās par 24,7%, bet novadu pašvaldībās ievērojami mazākā apmērā – par 14,1%. Teju nemainīgs ir personu skaita ģimenēs rādītājs – valstī kopumā vidēji tās ir 1,7 personas, pilsētās – 1,4 līdz 1,5 persona un novadu pašvaldībās 2,1 persona. </w:t>
      </w:r>
    </w:p>
    <w:p w:rsidR="00255CC4" w:rsidRDefault="00255CC4" w:rsidP="00255CC4">
      <w:pPr>
        <w:rPr>
          <w:rFonts w:eastAsia="Times New Roman"/>
        </w:rPr>
      </w:pPr>
    </w:p>
    <w:p w:rsidR="00255CC4" w:rsidRDefault="00255CC4" w:rsidP="00255CC4">
      <w:pPr>
        <w:rPr>
          <w:rFonts w:eastAsia="Times New Roman"/>
        </w:rPr>
      </w:pPr>
      <w:r>
        <w:rPr>
          <w:rFonts w:eastAsia="Times New Roman"/>
        </w:rPr>
        <w:t xml:space="preserve">Maznodrošināto personu sadalījums </w:t>
      </w:r>
      <w:r w:rsidR="00685CD2">
        <w:rPr>
          <w:rFonts w:eastAsia="Times New Roman"/>
        </w:rPr>
        <w:t xml:space="preserve">lielo </w:t>
      </w:r>
      <w:r>
        <w:rPr>
          <w:rFonts w:eastAsia="Times New Roman"/>
        </w:rPr>
        <w:t xml:space="preserve">pilsētu un novadu pašvaldībās ir vienmērīgs un saglabājas visā Izvērtējuma periodā ļoti līdzīgās proporcijās. 2014. gadā 51,6% no visām maznodrošinātajām personām dzīvoja pilsētās (deviņas lielās pilsētas), attiecīgi 48,4% - novadu pašvaldībās, 2015. gadā – 51% un 49%. Savukārt 2016. gadā proporcija mainās – pilsētās dzīvo 48,3% maznodrošināto personu, novadu pašvaldībās </w:t>
      </w:r>
      <w:r w:rsidR="00FB37BD">
        <w:rPr>
          <w:rFonts w:eastAsia="Times New Roman"/>
        </w:rPr>
        <w:t>–</w:t>
      </w:r>
      <w:r>
        <w:rPr>
          <w:rFonts w:eastAsia="Times New Roman"/>
        </w:rPr>
        <w:t xml:space="preserve"> 51,7%. Tātad iezīmējas kopēja tendence lēnām </w:t>
      </w:r>
      <w:r w:rsidRPr="00535254">
        <w:rPr>
          <w:rFonts w:eastAsia="Times New Roman"/>
          <w:b/>
        </w:rPr>
        <w:t>palielināties maznodrošināto personu īpatsvaram novadu pašvaldībās</w:t>
      </w:r>
      <w:r>
        <w:rPr>
          <w:rFonts w:eastAsia="Times New Roman"/>
        </w:rPr>
        <w:t xml:space="preserve">. Tas, iespējams, skaidrojams ar to, ka novadu pašvaldībās, tāpat kā kopumā, ir vērojama tendence noteikt augstākus maznodrošinātās personas ienākumu līmeņus, kamēr zemākajās ienākumu grupās (piemēram, 1., 2. kvintile) ienākumu pieaugums ir lēnāks, attiecīgi pieaug to iedzīvotāju ar zemiem ienākumiem skaits, kuru ienākumi atbilst maznodrošinātās personas statusam. Ietekme ir arī tam, ka novadu pašvaldībās ir kopumā noteikti zemāki maznodrošinātās personas ienākumu līmeņi un zemāks ir arī kopējais iedzīvotāju ienākumu līmenis. </w:t>
      </w:r>
    </w:p>
    <w:p w:rsidR="00FA1B47" w:rsidRDefault="00FA1B47" w:rsidP="00255CC4">
      <w:pPr>
        <w:rPr>
          <w:rFonts w:eastAsia="Times New Roman"/>
        </w:rPr>
      </w:pPr>
    </w:p>
    <w:p w:rsidR="00FA1B47" w:rsidRDefault="00FA1B47" w:rsidP="00C33A64">
      <w:r>
        <w:t>1.14. attēlā (absolūtajos skaitļos) un 1.15. attēlā (īpatsvara izteiksmē) apkopotie dati par maznodrošināto personu sadalījumu apakšgrupās pēc dažādām sociāli demogrāfiskām pazīmēm atklāj, ka kaut arī dažādu apakšgrupu liekums absolūtajos skaitļos sarūk, tomēr to īpatsvars no kopējā maznodrošināto personu skaita saglabājas vienmērīgs. Visā I</w:t>
      </w:r>
      <w:r w:rsidRPr="004A3A2A">
        <w:t>zvērtējuma periodā</w:t>
      </w:r>
      <w:r>
        <w:rPr>
          <w:b/>
        </w:rPr>
        <w:t xml:space="preserve"> v</w:t>
      </w:r>
      <w:r w:rsidRPr="00590A52">
        <w:rPr>
          <w:b/>
        </w:rPr>
        <w:t>airāk nekā puse tās ir pensijas vecuma personas</w:t>
      </w:r>
      <w:r>
        <w:t xml:space="preserve"> (2014. gadā – 54,8%, 2015. gadā – 52,5%, 2016. gadā – 52,1%). Divas nākamās lielākās grupas ar tendenci nedaudz pieaugt ir </w:t>
      </w:r>
      <w:r w:rsidRPr="004A3A2A">
        <w:rPr>
          <w:b/>
        </w:rPr>
        <w:t>bērni</w:t>
      </w:r>
      <w:r>
        <w:t xml:space="preserve"> (2014. gadā – 16,5%, 2015. gadā – 16,6%, 2016. gadā – 17,3%) un </w:t>
      </w:r>
      <w:r w:rsidRPr="004A3A2A">
        <w:rPr>
          <w:b/>
        </w:rPr>
        <w:t>nestrādājošas darbspējīgas personas</w:t>
      </w:r>
      <w:r>
        <w:t xml:space="preserve"> (2014. gadā – 15,5%, 2015. gadā – 17,2%, 2016. gadā – 16,5%). </w:t>
      </w:r>
    </w:p>
    <w:p w:rsidR="00FA1B47" w:rsidRDefault="00FA1B47" w:rsidP="00FA1B47">
      <w:pPr>
        <w:rPr>
          <w:rFonts w:eastAsia="Times New Roman"/>
        </w:rPr>
      </w:pPr>
    </w:p>
    <w:p w:rsidR="00FA1B47" w:rsidRDefault="00FA1B47" w:rsidP="00FA1B47">
      <w:pPr>
        <w:rPr>
          <w:rFonts w:eastAsia="Times New Roman"/>
        </w:rPr>
      </w:pPr>
      <w:r>
        <w:rPr>
          <w:rFonts w:eastAsia="Times New Roman"/>
        </w:rPr>
        <w:t>Nemainīgi liela – 4,7% - saglabās strādājošo maznodrošināto personu grupa. Neliels pakāpenisks pieaugums ir vērojams pilngadīgo personu ar invaliditāti grupas īpatsvarā no kopējā maznodrošināto personu skaita – no 7% 2014. gadā līdz 8% 2016. gadā.</w:t>
      </w:r>
    </w:p>
    <w:p w:rsidR="00FA1B47" w:rsidRDefault="00FA1B47" w:rsidP="00255CC4">
      <w:pPr>
        <w:rPr>
          <w:rFonts w:eastAsia="Times New Roman"/>
        </w:rPr>
      </w:pPr>
    </w:p>
    <w:p w:rsidR="002809B6" w:rsidRDefault="002809B6">
      <w:pPr>
        <w:spacing w:line="240" w:lineRule="auto"/>
        <w:jc w:val="left"/>
        <w:rPr>
          <w:b/>
          <w:color w:val="002060"/>
        </w:rPr>
      </w:pPr>
      <w:bookmarkStart w:id="265" w:name="_Toc6220102"/>
      <w:r>
        <w:rPr>
          <w:b/>
          <w:color w:val="002060"/>
        </w:rPr>
        <w:br w:type="page"/>
      </w:r>
    </w:p>
    <w:p w:rsidR="00255CC4" w:rsidRPr="002809B6" w:rsidRDefault="00AD3EDD" w:rsidP="002809B6">
      <w:pPr>
        <w:spacing w:before="240" w:after="120"/>
        <w:jc w:val="left"/>
        <w:rPr>
          <w:b/>
          <w:color w:val="002060"/>
        </w:rPr>
      </w:pPr>
      <w:r w:rsidRPr="002809B6">
        <w:rPr>
          <w:b/>
          <w:color w:val="002060"/>
        </w:rPr>
        <w:lastRenderedPageBreak/>
        <w:fldChar w:fldCharType="begin"/>
      </w:r>
      <w:r w:rsidR="006B5456" w:rsidRPr="002809B6">
        <w:rPr>
          <w:b/>
          <w:color w:val="002060"/>
        </w:rPr>
        <w:instrText xml:space="preserve"> STYLEREF 1 \s </w:instrText>
      </w:r>
      <w:r w:rsidRPr="002809B6">
        <w:rPr>
          <w:b/>
          <w:color w:val="002060"/>
        </w:rPr>
        <w:fldChar w:fldCharType="separate"/>
      </w:r>
      <w:bookmarkStart w:id="266" w:name="_Toc6855768"/>
      <w:r w:rsidR="00224B50">
        <w:rPr>
          <w:b/>
          <w:noProof/>
          <w:color w:val="002060"/>
        </w:rPr>
        <w:t>1</w:t>
      </w:r>
      <w:r w:rsidRPr="002809B6">
        <w:rPr>
          <w:b/>
          <w:color w:val="002060"/>
        </w:rPr>
        <w:fldChar w:fldCharType="end"/>
      </w:r>
      <w:r w:rsidR="006B5456" w:rsidRPr="002809B6">
        <w:rPr>
          <w:b/>
          <w:color w:val="002060"/>
        </w:rPr>
        <w:t>.</w:t>
      </w:r>
      <w:r w:rsidRPr="002809B6">
        <w:rPr>
          <w:b/>
          <w:color w:val="002060"/>
        </w:rPr>
        <w:fldChar w:fldCharType="begin"/>
      </w:r>
      <w:r w:rsidR="000F1524" w:rsidRPr="002809B6">
        <w:rPr>
          <w:b/>
          <w:color w:val="002060"/>
        </w:rPr>
        <w:instrText xml:space="preserve"> SEQ Ilustrācija \* ARABIC \s 1 </w:instrText>
      </w:r>
      <w:r w:rsidRPr="002809B6">
        <w:rPr>
          <w:b/>
          <w:color w:val="002060"/>
        </w:rPr>
        <w:fldChar w:fldCharType="separate"/>
      </w:r>
      <w:r w:rsidR="00224B50">
        <w:rPr>
          <w:b/>
          <w:noProof/>
          <w:color w:val="002060"/>
        </w:rPr>
        <w:t>14</w:t>
      </w:r>
      <w:r w:rsidRPr="002809B6">
        <w:rPr>
          <w:b/>
          <w:color w:val="002060"/>
        </w:rPr>
        <w:fldChar w:fldCharType="end"/>
      </w:r>
      <w:r w:rsidR="00255CC4" w:rsidRPr="002809B6">
        <w:rPr>
          <w:b/>
          <w:color w:val="002060"/>
        </w:rPr>
        <w:t>. attēls. Maznodrošināto personu skaits sadalījumā pa sociāli demogrāfiskajām grupām (2014 – 2016, skaits)</w:t>
      </w:r>
      <w:bookmarkEnd w:id="265"/>
      <w:bookmarkEnd w:id="266"/>
    </w:p>
    <w:p w:rsidR="00255CC4" w:rsidRDefault="00426ECC" w:rsidP="00255CC4">
      <w:pPr>
        <w:rPr>
          <w:rFonts w:eastAsia="Times New Roman"/>
        </w:rPr>
      </w:pPr>
      <w:r w:rsidRPr="00426ECC">
        <w:rPr>
          <w:noProof/>
        </w:rPr>
        <w:drawing>
          <wp:inline distT="0" distB="0" distL="0" distR="0">
            <wp:extent cx="5804535" cy="3474720"/>
            <wp:effectExtent l="19050" t="0" r="5715" b="0"/>
            <wp:docPr id="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5804535" cy="3474720"/>
                    </a:xfrm>
                    <a:prstGeom prst="rect">
                      <a:avLst/>
                    </a:prstGeom>
                    <a:noFill/>
                    <a:ln w="9525">
                      <a:noFill/>
                      <a:miter lim="800000"/>
                      <a:headEnd/>
                      <a:tailEnd/>
                    </a:ln>
                  </pic:spPr>
                </pic:pic>
              </a:graphicData>
            </a:graphic>
          </wp:inline>
        </w:drawing>
      </w:r>
    </w:p>
    <w:p w:rsidR="00255CC4" w:rsidRDefault="00255CC4" w:rsidP="00255CC4">
      <w:pPr>
        <w:spacing w:line="240" w:lineRule="auto"/>
        <w:rPr>
          <w:rFonts w:eastAsia="Times New Roman"/>
          <w:sz w:val="20"/>
          <w:szCs w:val="20"/>
        </w:rPr>
      </w:pPr>
      <w:r w:rsidRPr="004E69B2">
        <w:rPr>
          <w:sz w:val="20"/>
          <w:szCs w:val="20"/>
        </w:rPr>
        <w:t xml:space="preserve">Avots: LM, </w:t>
      </w:r>
      <w:r w:rsidRPr="004E69B2">
        <w:rPr>
          <w:bCs/>
          <w:sz w:val="20"/>
          <w:szCs w:val="20"/>
        </w:rPr>
        <w:t xml:space="preserve">Oficiālā statistika sociālo pakalpojumu un sociālās palīdzības jomā. </w:t>
      </w:r>
      <w:r w:rsidRPr="004E69B2">
        <w:rPr>
          <w:rFonts w:eastAsia="Times New Roman"/>
          <w:sz w:val="20"/>
          <w:szCs w:val="20"/>
        </w:rPr>
        <w:t> Ienākumu testēto pašvaldības sociālās palīdzības pabalstu saņēmēju raksturojums pēc ienākumu līmeņa uz vienu ģimenes locekli mēnesī</w:t>
      </w:r>
      <w:r>
        <w:rPr>
          <w:rFonts w:eastAsia="Times New Roman"/>
          <w:sz w:val="20"/>
          <w:szCs w:val="20"/>
        </w:rPr>
        <w:t xml:space="preserve">. </w:t>
      </w:r>
    </w:p>
    <w:bookmarkStart w:id="267" w:name="_Toc6220103"/>
    <w:p w:rsidR="00255CC4" w:rsidRPr="002809B6" w:rsidRDefault="00AD3EDD" w:rsidP="002809B6">
      <w:pPr>
        <w:spacing w:before="240" w:after="120"/>
        <w:jc w:val="left"/>
        <w:rPr>
          <w:b/>
          <w:color w:val="002060"/>
        </w:rPr>
      </w:pPr>
      <w:r w:rsidRPr="002809B6">
        <w:rPr>
          <w:b/>
          <w:color w:val="002060"/>
        </w:rPr>
        <w:fldChar w:fldCharType="begin"/>
      </w:r>
      <w:r w:rsidR="006B5456" w:rsidRPr="002809B6">
        <w:rPr>
          <w:b/>
          <w:color w:val="002060"/>
        </w:rPr>
        <w:instrText xml:space="preserve"> STYLEREF 1 \s </w:instrText>
      </w:r>
      <w:r w:rsidRPr="002809B6">
        <w:rPr>
          <w:b/>
          <w:color w:val="002060"/>
        </w:rPr>
        <w:fldChar w:fldCharType="separate"/>
      </w:r>
      <w:bookmarkStart w:id="268" w:name="_Toc6855769"/>
      <w:r w:rsidR="00224B50">
        <w:rPr>
          <w:b/>
          <w:noProof/>
          <w:color w:val="002060"/>
        </w:rPr>
        <w:t>1</w:t>
      </w:r>
      <w:r w:rsidRPr="002809B6">
        <w:rPr>
          <w:b/>
          <w:color w:val="002060"/>
        </w:rPr>
        <w:fldChar w:fldCharType="end"/>
      </w:r>
      <w:r w:rsidR="006B5456" w:rsidRPr="002809B6">
        <w:rPr>
          <w:b/>
          <w:color w:val="002060"/>
        </w:rPr>
        <w:t>.</w:t>
      </w:r>
      <w:r w:rsidRPr="002809B6">
        <w:rPr>
          <w:b/>
          <w:color w:val="002060"/>
        </w:rPr>
        <w:fldChar w:fldCharType="begin"/>
      </w:r>
      <w:r w:rsidR="000F1524" w:rsidRPr="002809B6">
        <w:rPr>
          <w:b/>
          <w:color w:val="002060"/>
        </w:rPr>
        <w:instrText xml:space="preserve"> SEQ Ilustrācija \* ARABIC \s 1 </w:instrText>
      </w:r>
      <w:r w:rsidRPr="002809B6">
        <w:rPr>
          <w:b/>
          <w:color w:val="002060"/>
        </w:rPr>
        <w:fldChar w:fldCharType="separate"/>
      </w:r>
      <w:r w:rsidR="00224B50">
        <w:rPr>
          <w:b/>
          <w:noProof/>
          <w:color w:val="002060"/>
        </w:rPr>
        <w:t>15</w:t>
      </w:r>
      <w:r w:rsidRPr="002809B6">
        <w:rPr>
          <w:b/>
          <w:color w:val="002060"/>
        </w:rPr>
        <w:fldChar w:fldCharType="end"/>
      </w:r>
      <w:r w:rsidR="00255CC4" w:rsidRPr="002809B6">
        <w:rPr>
          <w:b/>
          <w:color w:val="002060"/>
        </w:rPr>
        <w:t>. attēls. Maznodrošinātās personas sadalījumā pa sociāli demogrāfiskajām grupām (2014 – 2016, % no kopējā skaita)</w:t>
      </w:r>
      <w:bookmarkEnd w:id="267"/>
      <w:bookmarkEnd w:id="268"/>
    </w:p>
    <w:p w:rsidR="00255CC4" w:rsidRDefault="00426ECC" w:rsidP="00255CC4">
      <w:pPr>
        <w:rPr>
          <w:rFonts w:eastAsia="Times New Roman"/>
        </w:rPr>
      </w:pPr>
      <w:r w:rsidRPr="00426ECC">
        <w:rPr>
          <w:noProof/>
        </w:rPr>
        <w:drawing>
          <wp:inline distT="0" distB="0" distL="0" distR="0">
            <wp:extent cx="5772785" cy="3355340"/>
            <wp:effectExtent l="19050" t="0" r="0" b="0"/>
            <wp:docPr id="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5772785" cy="3355340"/>
                    </a:xfrm>
                    <a:prstGeom prst="rect">
                      <a:avLst/>
                    </a:prstGeom>
                    <a:noFill/>
                    <a:ln w="9525">
                      <a:noFill/>
                      <a:miter lim="800000"/>
                      <a:headEnd/>
                      <a:tailEnd/>
                    </a:ln>
                  </pic:spPr>
                </pic:pic>
              </a:graphicData>
            </a:graphic>
          </wp:inline>
        </w:drawing>
      </w:r>
    </w:p>
    <w:p w:rsidR="00255CC4" w:rsidRDefault="00255CC4" w:rsidP="00255CC4">
      <w:pPr>
        <w:spacing w:line="240" w:lineRule="auto"/>
        <w:rPr>
          <w:rFonts w:eastAsia="Times New Roman"/>
          <w:sz w:val="20"/>
          <w:szCs w:val="20"/>
        </w:rPr>
      </w:pPr>
      <w:r w:rsidRPr="004E69B2">
        <w:rPr>
          <w:sz w:val="20"/>
          <w:szCs w:val="20"/>
        </w:rPr>
        <w:t xml:space="preserve">Avots: LM, </w:t>
      </w:r>
      <w:r w:rsidRPr="004E69B2">
        <w:rPr>
          <w:bCs/>
          <w:sz w:val="20"/>
          <w:szCs w:val="20"/>
        </w:rPr>
        <w:t xml:space="preserve">Oficiālā statistika sociālo pakalpojumu un sociālās palīdzības jomā. </w:t>
      </w:r>
      <w:r w:rsidRPr="004E69B2">
        <w:rPr>
          <w:rFonts w:eastAsia="Times New Roman"/>
          <w:sz w:val="20"/>
          <w:szCs w:val="20"/>
        </w:rPr>
        <w:t> Ienākumu testēto pašvaldības sociālās palīdzības pabalstu saņēmēju raksturojums pēc ienākumu līmeņa uz vienu ģimenes locekli mēnesī</w:t>
      </w:r>
      <w:r>
        <w:rPr>
          <w:rFonts w:eastAsia="Times New Roman"/>
          <w:sz w:val="20"/>
          <w:szCs w:val="20"/>
        </w:rPr>
        <w:t xml:space="preserve">. </w:t>
      </w:r>
    </w:p>
    <w:p w:rsidR="00255CC4" w:rsidRDefault="00255CC4" w:rsidP="00255CC4">
      <w:pPr>
        <w:rPr>
          <w:rFonts w:eastAsia="Times New Roman"/>
        </w:rPr>
      </w:pPr>
    </w:p>
    <w:bookmarkStart w:id="269" w:name="_Toc6220104"/>
    <w:p w:rsidR="00255CC4" w:rsidRDefault="00AD3EDD" w:rsidP="008C6B83">
      <w:pPr>
        <w:pStyle w:val="Caption"/>
      </w:pPr>
      <w:r>
        <w:rPr>
          <w:noProof/>
        </w:rPr>
        <w:lastRenderedPageBreak/>
        <w:fldChar w:fldCharType="begin"/>
      </w:r>
      <w:r w:rsidR="00A46B54">
        <w:rPr>
          <w:noProof/>
        </w:rPr>
        <w:instrText xml:space="preserve"> STYLEREF 1 \s </w:instrText>
      </w:r>
      <w:r>
        <w:rPr>
          <w:noProof/>
        </w:rPr>
        <w:fldChar w:fldCharType="separate"/>
      </w:r>
      <w:r w:rsidR="00224B50">
        <w:rPr>
          <w:noProof/>
        </w:rPr>
        <w:t>1</w:t>
      </w:r>
      <w:r>
        <w:rPr>
          <w:noProof/>
        </w:rPr>
        <w:fldChar w:fldCharType="end"/>
      </w:r>
      <w:r w:rsidR="00A46B54">
        <w:rPr>
          <w:noProof/>
        </w:rPr>
        <w:t>.</w:t>
      </w:r>
      <w:r w:rsidR="00761553">
        <w:rPr>
          <w:noProof/>
        </w:rPr>
        <w:t>31</w:t>
      </w:r>
      <w:r w:rsidR="00255CC4" w:rsidRPr="00731740">
        <w:rPr>
          <w:noProof/>
        </w:rPr>
        <w:t xml:space="preserve">. </w:t>
      </w:r>
      <w:r w:rsidR="00255CC4" w:rsidRPr="00A661B6">
        <w:t>tabula</w:t>
      </w:r>
      <w:r w:rsidR="00255CC4" w:rsidRPr="00731740">
        <w:rPr>
          <w:noProof/>
        </w:rPr>
        <w:t xml:space="preserve">. </w:t>
      </w:r>
      <w:r w:rsidR="00255CC4">
        <w:rPr>
          <w:noProof/>
        </w:rPr>
        <w:t>I</w:t>
      </w:r>
      <w:r w:rsidR="00255CC4">
        <w:t>enākumu testēto pašvaldības sociālās palīdzības pabalstiem izlietoto līdzekļu maznodrošinātām personām salīdzinājums starp lielo pilsētu un novadu pašvaldībām 2014.g.-2016.g. periodā</w:t>
      </w:r>
      <w:bookmarkEnd w:id="269"/>
      <w:r w:rsidR="00255CC4">
        <w:t xml:space="preserve">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2060"/>
        <w:gridCol w:w="1767"/>
        <w:gridCol w:w="1559"/>
        <w:gridCol w:w="1560"/>
      </w:tblGrid>
      <w:tr w:rsidR="00255CC4" w:rsidRPr="00BC22F8" w:rsidTr="00BC22F8">
        <w:trPr>
          <w:trHeight w:val="300"/>
        </w:trPr>
        <w:tc>
          <w:tcPr>
            <w:tcW w:w="1985" w:type="dxa"/>
            <w:shd w:val="clear" w:color="auto" w:fill="B8CCE4" w:themeFill="accent1" w:themeFillTint="66"/>
          </w:tcPr>
          <w:p w:rsidR="00255CC4" w:rsidRPr="00BC22F8" w:rsidRDefault="00255CC4" w:rsidP="00255CC4">
            <w:pPr>
              <w:spacing w:before="80" w:after="80" w:line="240" w:lineRule="auto"/>
              <w:jc w:val="left"/>
              <w:rPr>
                <w:rFonts w:eastAsia="Times New Roman"/>
                <w:b/>
                <w:bCs/>
                <w:color w:val="002060"/>
                <w:sz w:val="22"/>
                <w:szCs w:val="22"/>
                <w:lang w:eastAsia="en-US"/>
              </w:rPr>
            </w:pPr>
            <w:r w:rsidRPr="00BC22F8">
              <w:rPr>
                <w:rFonts w:eastAsia="Times New Roman"/>
                <w:b/>
                <w:bCs/>
                <w:color w:val="002060"/>
                <w:sz w:val="22"/>
                <w:szCs w:val="22"/>
                <w:lang w:eastAsia="en-US"/>
              </w:rPr>
              <w:t>Rādītājs</w:t>
            </w:r>
          </w:p>
        </w:tc>
        <w:tc>
          <w:tcPr>
            <w:tcW w:w="2060" w:type="dxa"/>
            <w:shd w:val="clear" w:color="auto" w:fill="B8CCE4" w:themeFill="accent1" w:themeFillTint="66"/>
            <w:noWrap/>
            <w:vAlign w:val="center"/>
            <w:hideMark/>
          </w:tcPr>
          <w:p w:rsidR="00255CC4" w:rsidRPr="00BC22F8" w:rsidRDefault="00255CC4" w:rsidP="00255CC4">
            <w:pPr>
              <w:spacing w:before="80" w:after="80" w:line="240" w:lineRule="auto"/>
              <w:jc w:val="left"/>
              <w:rPr>
                <w:rFonts w:eastAsia="Times New Roman"/>
                <w:b/>
                <w:bCs/>
                <w:color w:val="002060"/>
                <w:sz w:val="22"/>
                <w:szCs w:val="22"/>
                <w:lang w:eastAsia="en-US"/>
              </w:rPr>
            </w:pPr>
            <w:r w:rsidRPr="00BC22F8">
              <w:rPr>
                <w:rFonts w:eastAsia="Times New Roman"/>
                <w:b/>
                <w:bCs/>
                <w:color w:val="002060"/>
                <w:sz w:val="22"/>
                <w:szCs w:val="22"/>
                <w:lang w:eastAsia="en-US"/>
              </w:rPr>
              <w:t>Gads</w:t>
            </w:r>
          </w:p>
        </w:tc>
        <w:tc>
          <w:tcPr>
            <w:tcW w:w="1767" w:type="dxa"/>
            <w:shd w:val="clear" w:color="auto" w:fill="B8CCE4" w:themeFill="accent1" w:themeFillTint="66"/>
            <w:vAlign w:val="center"/>
            <w:hideMark/>
          </w:tcPr>
          <w:p w:rsidR="00255CC4" w:rsidRPr="00BC22F8" w:rsidRDefault="00255CC4" w:rsidP="00255CC4">
            <w:pPr>
              <w:spacing w:before="80" w:after="80" w:line="240" w:lineRule="auto"/>
              <w:jc w:val="center"/>
              <w:rPr>
                <w:rFonts w:eastAsia="Times New Roman"/>
                <w:b/>
                <w:color w:val="002060"/>
                <w:sz w:val="22"/>
                <w:szCs w:val="22"/>
                <w:lang w:eastAsia="en-US"/>
              </w:rPr>
            </w:pPr>
            <w:r w:rsidRPr="00BC22F8">
              <w:rPr>
                <w:rFonts w:eastAsia="Times New Roman"/>
                <w:b/>
                <w:color w:val="002060"/>
                <w:sz w:val="22"/>
                <w:szCs w:val="22"/>
                <w:lang w:eastAsia="en-US"/>
              </w:rPr>
              <w:t>Valstī kopā</w:t>
            </w:r>
          </w:p>
        </w:tc>
        <w:tc>
          <w:tcPr>
            <w:tcW w:w="1559" w:type="dxa"/>
            <w:shd w:val="clear" w:color="auto" w:fill="B8CCE4" w:themeFill="accent1" w:themeFillTint="66"/>
            <w:vAlign w:val="center"/>
            <w:hideMark/>
          </w:tcPr>
          <w:p w:rsidR="00255CC4" w:rsidRPr="00BC22F8" w:rsidRDefault="00255CC4" w:rsidP="00255CC4">
            <w:pPr>
              <w:spacing w:before="80" w:after="80" w:line="240" w:lineRule="auto"/>
              <w:jc w:val="center"/>
              <w:rPr>
                <w:rFonts w:eastAsia="Times New Roman"/>
                <w:b/>
                <w:color w:val="002060"/>
                <w:sz w:val="22"/>
                <w:szCs w:val="22"/>
                <w:lang w:eastAsia="en-US"/>
              </w:rPr>
            </w:pPr>
            <w:r w:rsidRPr="00BC22F8">
              <w:rPr>
                <w:rFonts w:eastAsia="Times New Roman"/>
                <w:b/>
                <w:color w:val="002060"/>
                <w:sz w:val="22"/>
                <w:szCs w:val="22"/>
                <w:lang w:eastAsia="en-US"/>
              </w:rPr>
              <w:t>Pilsētās</w:t>
            </w:r>
          </w:p>
        </w:tc>
        <w:tc>
          <w:tcPr>
            <w:tcW w:w="1560" w:type="dxa"/>
            <w:shd w:val="clear" w:color="auto" w:fill="B8CCE4" w:themeFill="accent1" w:themeFillTint="66"/>
            <w:vAlign w:val="center"/>
            <w:hideMark/>
          </w:tcPr>
          <w:p w:rsidR="00255CC4" w:rsidRPr="00BC22F8" w:rsidRDefault="00255CC4" w:rsidP="00255CC4">
            <w:pPr>
              <w:spacing w:before="80" w:after="80" w:line="240" w:lineRule="auto"/>
              <w:jc w:val="center"/>
              <w:rPr>
                <w:rFonts w:eastAsia="Times New Roman"/>
                <w:b/>
                <w:color w:val="002060"/>
                <w:sz w:val="22"/>
                <w:szCs w:val="22"/>
                <w:lang w:eastAsia="en-US"/>
              </w:rPr>
            </w:pPr>
            <w:r w:rsidRPr="00BC22F8">
              <w:rPr>
                <w:rFonts w:eastAsia="Times New Roman"/>
                <w:b/>
                <w:color w:val="002060"/>
                <w:sz w:val="22"/>
                <w:szCs w:val="22"/>
                <w:lang w:eastAsia="en-US"/>
              </w:rPr>
              <w:t>Novados</w:t>
            </w:r>
          </w:p>
        </w:tc>
      </w:tr>
      <w:tr w:rsidR="00255CC4" w:rsidRPr="00647F87" w:rsidTr="00255CC4">
        <w:trPr>
          <w:trHeight w:val="300"/>
        </w:trPr>
        <w:tc>
          <w:tcPr>
            <w:tcW w:w="1985" w:type="dxa"/>
            <w:vMerge w:val="restart"/>
            <w:vAlign w:val="center"/>
          </w:tcPr>
          <w:p w:rsidR="00255CC4" w:rsidRDefault="00255CC4" w:rsidP="00255CC4">
            <w:pPr>
              <w:spacing w:line="240" w:lineRule="auto"/>
              <w:jc w:val="left"/>
              <w:rPr>
                <w:rFonts w:eastAsia="Times New Roman"/>
                <w:b/>
                <w:color w:val="000000"/>
                <w:sz w:val="22"/>
                <w:szCs w:val="22"/>
                <w:lang w:eastAsia="en-US"/>
              </w:rPr>
            </w:pPr>
            <w:r w:rsidRPr="00BC1C1F">
              <w:rPr>
                <w:rFonts w:eastAsia="Times New Roman"/>
                <w:b/>
                <w:color w:val="000000"/>
                <w:sz w:val="22"/>
                <w:szCs w:val="22"/>
                <w:lang w:eastAsia="en-US"/>
              </w:rPr>
              <w:t>Izlietotie  līdzekļi</w:t>
            </w:r>
            <w:r>
              <w:rPr>
                <w:rFonts w:eastAsia="Times New Roman"/>
                <w:b/>
                <w:color w:val="000000"/>
                <w:sz w:val="22"/>
                <w:szCs w:val="22"/>
                <w:lang w:eastAsia="en-US"/>
              </w:rPr>
              <w:t>,</w:t>
            </w:r>
          </w:p>
          <w:p w:rsidR="00255CC4" w:rsidRPr="00BC1C1F" w:rsidRDefault="00255CC4" w:rsidP="00255CC4">
            <w:pPr>
              <w:spacing w:line="240" w:lineRule="auto"/>
              <w:jc w:val="left"/>
              <w:rPr>
                <w:rFonts w:eastAsia="Times New Roman"/>
                <w:b/>
                <w:color w:val="000000"/>
                <w:sz w:val="22"/>
                <w:szCs w:val="22"/>
                <w:lang w:eastAsia="en-US"/>
              </w:rPr>
            </w:pPr>
            <w:r>
              <w:rPr>
                <w:rFonts w:eastAsia="Times New Roman"/>
                <w:b/>
                <w:color w:val="000000"/>
                <w:sz w:val="22"/>
                <w:szCs w:val="22"/>
                <w:lang w:eastAsia="en-US"/>
              </w:rPr>
              <w:t>EUR</w:t>
            </w:r>
          </w:p>
        </w:tc>
        <w:tc>
          <w:tcPr>
            <w:tcW w:w="2060" w:type="dxa"/>
            <w:shd w:val="clear" w:color="auto" w:fill="auto"/>
            <w:noWrap/>
            <w:vAlign w:val="center"/>
            <w:hideMark/>
          </w:tcPr>
          <w:p w:rsidR="00255CC4" w:rsidRPr="009660AA" w:rsidRDefault="00255CC4" w:rsidP="00255CC4">
            <w:pPr>
              <w:spacing w:line="240" w:lineRule="auto"/>
              <w:jc w:val="right"/>
              <w:rPr>
                <w:rFonts w:eastAsia="Times New Roman"/>
                <w:b/>
                <w:color w:val="000000"/>
                <w:sz w:val="22"/>
                <w:szCs w:val="22"/>
                <w:lang w:eastAsia="en-US"/>
              </w:rPr>
            </w:pPr>
            <w:r w:rsidRPr="009660AA">
              <w:rPr>
                <w:rFonts w:eastAsia="Times New Roman"/>
                <w:b/>
                <w:color w:val="000000"/>
                <w:sz w:val="22"/>
                <w:szCs w:val="22"/>
                <w:lang w:eastAsia="en-US"/>
              </w:rPr>
              <w:t>2014</w:t>
            </w:r>
          </w:p>
        </w:tc>
        <w:tc>
          <w:tcPr>
            <w:tcW w:w="1767"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12 572 184</w:t>
            </w:r>
          </w:p>
        </w:tc>
        <w:tc>
          <w:tcPr>
            <w:tcW w:w="1559"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7 914 101</w:t>
            </w:r>
          </w:p>
        </w:tc>
        <w:tc>
          <w:tcPr>
            <w:tcW w:w="1560"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4 658 083</w:t>
            </w:r>
          </w:p>
        </w:tc>
      </w:tr>
      <w:tr w:rsidR="00255CC4" w:rsidRPr="00647F87" w:rsidTr="00255CC4">
        <w:trPr>
          <w:trHeight w:val="300"/>
        </w:trPr>
        <w:tc>
          <w:tcPr>
            <w:tcW w:w="1985" w:type="dxa"/>
            <w:vMerge/>
          </w:tcPr>
          <w:p w:rsidR="00255CC4" w:rsidRPr="00647F87" w:rsidRDefault="00255CC4" w:rsidP="00255CC4">
            <w:pPr>
              <w:spacing w:line="240" w:lineRule="auto"/>
              <w:jc w:val="left"/>
              <w:rPr>
                <w:rFonts w:eastAsia="Times New Roman"/>
                <w:color w:val="000000"/>
                <w:sz w:val="22"/>
                <w:szCs w:val="22"/>
                <w:lang w:eastAsia="en-US"/>
              </w:rPr>
            </w:pPr>
          </w:p>
        </w:tc>
        <w:tc>
          <w:tcPr>
            <w:tcW w:w="2060" w:type="dxa"/>
            <w:shd w:val="clear" w:color="auto" w:fill="auto"/>
            <w:noWrap/>
            <w:vAlign w:val="center"/>
            <w:hideMark/>
          </w:tcPr>
          <w:p w:rsidR="00255CC4" w:rsidRPr="009660AA" w:rsidRDefault="00255CC4" w:rsidP="00255CC4">
            <w:pPr>
              <w:spacing w:line="240" w:lineRule="auto"/>
              <w:jc w:val="right"/>
              <w:rPr>
                <w:rFonts w:eastAsia="Times New Roman"/>
                <w:b/>
                <w:color w:val="000000"/>
                <w:sz w:val="22"/>
                <w:szCs w:val="22"/>
                <w:lang w:eastAsia="en-US"/>
              </w:rPr>
            </w:pPr>
            <w:r w:rsidRPr="009660AA">
              <w:rPr>
                <w:rFonts w:eastAsia="Times New Roman"/>
                <w:b/>
                <w:color w:val="000000"/>
                <w:sz w:val="22"/>
                <w:szCs w:val="22"/>
                <w:lang w:eastAsia="en-US"/>
              </w:rPr>
              <w:t>2015</w:t>
            </w:r>
          </w:p>
        </w:tc>
        <w:tc>
          <w:tcPr>
            <w:tcW w:w="1767"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11 703 265</w:t>
            </w:r>
          </w:p>
        </w:tc>
        <w:tc>
          <w:tcPr>
            <w:tcW w:w="1559"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7 177 772</w:t>
            </w:r>
          </w:p>
        </w:tc>
        <w:tc>
          <w:tcPr>
            <w:tcW w:w="1560"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4 525 493</w:t>
            </w:r>
          </w:p>
        </w:tc>
      </w:tr>
      <w:tr w:rsidR="00255CC4" w:rsidRPr="00647F87" w:rsidTr="00255CC4">
        <w:trPr>
          <w:trHeight w:val="300"/>
        </w:trPr>
        <w:tc>
          <w:tcPr>
            <w:tcW w:w="1985" w:type="dxa"/>
            <w:vMerge/>
          </w:tcPr>
          <w:p w:rsidR="00255CC4" w:rsidRPr="00647F87" w:rsidRDefault="00255CC4" w:rsidP="00255CC4">
            <w:pPr>
              <w:spacing w:line="240" w:lineRule="auto"/>
              <w:jc w:val="left"/>
              <w:rPr>
                <w:rFonts w:eastAsia="Times New Roman"/>
                <w:color w:val="000000"/>
                <w:sz w:val="22"/>
                <w:szCs w:val="22"/>
                <w:lang w:eastAsia="en-US"/>
              </w:rPr>
            </w:pPr>
          </w:p>
        </w:tc>
        <w:tc>
          <w:tcPr>
            <w:tcW w:w="2060" w:type="dxa"/>
            <w:shd w:val="clear" w:color="auto" w:fill="auto"/>
            <w:noWrap/>
            <w:vAlign w:val="center"/>
            <w:hideMark/>
          </w:tcPr>
          <w:p w:rsidR="00255CC4" w:rsidRPr="009660AA" w:rsidRDefault="00255CC4" w:rsidP="00255CC4">
            <w:pPr>
              <w:spacing w:line="240" w:lineRule="auto"/>
              <w:jc w:val="right"/>
              <w:rPr>
                <w:rFonts w:eastAsia="Times New Roman"/>
                <w:b/>
                <w:color w:val="000000"/>
                <w:sz w:val="22"/>
                <w:szCs w:val="22"/>
                <w:lang w:eastAsia="en-US"/>
              </w:rPr>
            </w:pPr>
            <w:r w:rsidRPr="009660AA">
              <w:rPr>
                <w:rFonts w:eastAsia="Times New Roman"/>
                <w:b/>
                <w:color w:val="000000"/>
                <w:sz w:val="22"/>
                <w:szCs w:val="22"/>
                <w:lang w:eastAsia="en-US"/>
              </w:rPr>
              <w:t>2016</w:t>
            </w:r>
          </w:p>
        </w:tc>
        <w:tc>
          <w:tcPr>
            <w:tcW w:w="1767"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10 474 404</w:t>
            </w:r>
          </w:p>
        </w:tc>
        <w:tc>
          <w:tcPr>
            <w:tcW w:w="1559"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6 405 664</w:t>
            </w:r>
          </w:p>
        </w:tc>
        <w:tc>
          <w:tcPr>
            <w:tcW w:w="1560"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4 068 740</w:t>
            </w:r>
          </w:p>
        </w:tc>
      </w:tr>
      <w:tr w:rsidR="00255CC4" w:rsidRPr="00647F87" w:rsidTr="00255CC4">
        <w:trPr>
          <w:trHeight w:val="300"/>
        </w:trPr>
        <w:tc>
          <w:tcPr>
            <w:tcW w:w="1985" w:type="dxa"/>
            <w:vMerge/>
            <w:vAlign w:val="center"/>
          </w:tcPr>
          <w:p w:rsidR="00255CC4" w:rsidRPr="00647F87" w:rsidRDefault="00255CC4" w:rsidP="00255CC4">
            <w:pPr>
              <w:spacing w:line="240" w:lineRule="auto"/>
              <w:jc w:val="left"/>
              <w:rPr>
                <w:rFonts w:eastAsia="Times New Roman"/>
                <w:color w:val="000000"/>
                <w:sz w:val="22"/>
                <w:szCs w:val="22"/>
                <w:lang w:eastAsia="en-US"/>
              </w:rPr>
            </w:pPr>
          </w:p>
        </w:tc>
        <w:tc>
          <w:tcPr>
            <w:tcW w:w="2060" w:type="dxa"/>
            <w:shd w:val="clear" w:color="auto" w:fill="auto"/>
            <w:noWrap/>
            <w:vAlign w:val="center"/>
            <w:hideMark/>
          </w:tcPr>
          <w:p w:rsidR="00255CC4" w:rsidRPr="00647F87" w:rsidRDefault="00255CC4" w:rsidP="00255CC4">
            <w:pPr>
              <w:spacing w:line="240" w:lineRule="auto"/>
              <w:jc w:val="right"/>
              <w:rPr>
                <w:rFonts w:eastAsia="Times New Roman"/>
                <w:color w:val="000000"/>
                <w:sz w:val="22"/>
                <w:szCs w:val="22"/>
                <w:lang w:eastAsia="en-US"/>
              </w:rPr>
            </w:pPr>
            <w:r>
              <w:rPr>
                <w:rFonts w:eastAsia="Times New Roman"/>
                <w:color w:val="000000"/>
                <w:sz w:val="22"/>
                <w:szCs w:val="22"/>
                <w:lang w:eastAsia="en-US"/>
              </w:rPr>
              <w:t>Izmaiņas 2014.g.-2016.g., %</w:t>
            </w:r>
          </w:p>
        </w:tc>
        <w:tc>
          <w:tcPr>
            <w:tcW w:w="1767"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647F87">
              <w:rPr>
                <w:rFonts w:eastAsia="Times New Roman"/>
                <w:color w:val="000000"/>
                <w:sz w:val="22"/>
                <w:szCs w:val="22"/>
                <w:lang w:eastAsia="en-US"/>
              </w:rPr>
              <w:t>16,7</w:t>
            </w:r>
          </w:p>
        </w:tc>
        <w:tc>
          <w:tcPr>
            <w:tcW w:w="1559"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647F87">
              <w:rPr>
                <w:rFonts w:eastAsia="Times New Roman"/>
                <w:color w:val="000000"/>
                <w:sz w:val="22"/>
                <w:szCs w:val="22"/>
                <w:lang w:eastAsia="en-US"/>
              </w:rPr>
              <w:t>19,1</w:t>
            </w:r>
          </w:p>
        </w:tc>
        <w:tc>
          <w:tcPr>
            <w:tcW w:w="1560"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647F87">
              <w:rPr>
                <w:rFonts w:eastAsia="Times New Roman"/>
                <w:color w:val="000000"/>
                <w:sz w:val="22"/>
                <w:szCs w:val="22"/>
                <w:lang w:eastAsia="en-US"/>
              </w:rPr>
              <w:t>12,7</w:t>
            </w:r>
          </w:p>
        </w:tc>
      </w:tr>
    </w:tbl>
    <w:p w:rsidR="00255CC4" w:rsidRDefault="00255CC4" w:rsidP="00255CC4">
      <w:pPr>
        <w:spacing w:line="240" w:lineRule="auto"/>
        <w:rPr>
          <w:rFonts w:eastAsia="Times New Roman"/>
          <w:sz w:val="20"/>
          <w:szCs w:val="20"/>
        </w:rPr>
      </w:pPr>
      <w:r w:rsidRPr="004E69B2">
        <w:rPr>
          <w:sz w:val="20"/>
          <w:szCs w:val="20"/>
        </w:rPr>
        <w:t xml:space="preserve">Avots: LM, </w:t>
      </w:r>
      <w:r w:rsidRPr="004E69B2">
        <w:rPr>
          <w:bCs/>
          <w:sz w:val="20"/>
          <w:szCs w:val="20"/>
        </w:rPr>
        <w:t xml:space="preserve">Oficiālā statistika sociālo pakalpojumu un sociālās palīdzības jomā. </w:t>
      </w:r>
      <w:r w:rsidRPr="004E69B2">
        <w:rPr>
          <w:rFonts w:eastAsia="Times New Roman"/>
          <w:sz w:val="20"/>
          <w:szCs w:val="20"/>
        </w:rPr>
        <w:t> Ienākumu testēto pašvaldības sociālās palīdzības pabalstu saņēmēju raksturojums pēc ienākumu līmeņa uz vienu ģimenes locekli mēnesī</w:t>
      </w:r>
      <w:r>
        <w:rPr>
          <w:rFonts w:eastAsia="Times New Roman"/>
          <w:sz w:val="20"/>
          <w:szCs w:val="20"/>
        </w:rPr>
        <w:t xml:space="preserve">. </w:t>
      </w:r>
    </w:p>
    <w:p w:rsidR="00255CC4" w:rsidRDefault="00255CC4" w:rsidP="00255CC4">
      <w:pPr>
        <w:rPr>
          <w:rFonts w:eastAsia="Times New Roman"/>
        </w:rPr>
      </w:pPr>
    </w:p>
    <w:p w:rsidR="00255CC4" w:rsidRDefault="00255CC4" w:rsidP="00255CC4">
      <w:pPr>
        <w:rPr>
          <w:rFonts w:eastAsia="Times New Roman"/>
        </w:rPr>
      </w:pPr>
      <w:r>
        <w:rPr>
          <w:rFonts w:eastAsia="Times New Roman"/>
        </w:rPr>
        <w:t>Izlietoto līdzekļu apjoms maznodrošināto personu atbalstam laika periodā no 2014. gada līdz 2016. gadam ir pakāpeniski samazinājies par 16,7% valstī kopumā, par 19,1% deviņu lielo pilsētu pašvaldībās un par 12,7% novadu pašvaldībās. Samazinājies ir arī kopējais maznodrošināto personu skaits – par 19,5% valstī kopumā, par 19,3% pilsētu pašvaldībās un lielākā apmērā – par 24,7% - novadu pašvaldībās (sk.</w:t>
      </w:r>
      <w:r w:rsidR="00D5490A">
        <w:rPr>
          <w:rFonts w:eastAsia="Times New Roman"/>
        </w:rPr>
        <w:t>1.</w:t>
      </w:r>
      <w:r w:rsidR="00761553">
        <w:rPr>
          <w:rFonts w:eastAsia="Times New Roman"/>
        </w:rPr>
        <w:t>31</w:t>
      </w:r>
      <w:r>
        <w:rPr>
          <w:rFonts w:eastAsia="Times New Roman"/>
        </w:rPr>
        <w:t xml:space="preserve">. tabulu). </w:t>
      </w:r>
    </w:p>
    <w:bookmarkStart w:id="270" w:name="_Toc6220105"/>
    <w:p w:rsidR="00255CC4" w:rsidRDefault="00AD3EDD" w:rsidP="008C6B83">
      <w:pPr>
        <w:pStyle w:val="Caption"/>
      </w:pPr>
      <w:r>
        <w:fldChar w:fldCharType="begin"/>
      </w:r>
      <w:r w:rsidR="00A46B54">
        <w:instrText xml:space="preserve"> STYLEREF 1 \s </w:instrText>
      </w:r>
      <w:r>
        <w:fldChar w:fldCharType="separate"/>
      </w:r>
      <w:r w:rsidR="00224B50">
        <w:rPr>
          <w:noProof/>
        </w:rPr>
        <w:t>1</w:t>
      </w:r>
      <w:r>
        <w:fldChar w:fldCharType="end"/>
      </w:r>
      <w:r w:rsidR="00A46B54">
        <w:t>.</w:t>
      </w:r>
      <w:r w:rsidR="000A7157">
        <w:t>3</w:t>
      </w:r>
      <w:r w:rsidR="00761553">
        <w:t>2</w:t>
      </w:r>
      <w:r w:rsidR="00255CC4">
        <w:t xml:space="preserve">. tabula. </w:t>
      </w:r>
      <w:r w:rsidR="00255CC4" w:rsidRPr="00A661B6">
        <w:t>Maznodrošināto</w:t>
      </w:r>
      <w:r w:rsidR="00255CC4">
        <w:t xml:space="preserve"> personu ienākumu testēto pašvaldības sociālās palīdzības (pabalstu) apmēra salīdzinājums starp lielo pilsētu un novadu pašvaldībām 2014.g.-2016.g. periodā</w:t>
      </w:r>
      <w:bookmarkEnd w:id="270"/>
      <w:r w:rsidR="00255CC4">
        <w:t xml:space="preserve"> </w:t>
      </w:r>
    </w:p>
    <w:tbl>
      <w:tblPr>
        <w:tblW w:w="9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926"/>
        <w:gridCol w:w="1417"/>
        <w:gridCol w:w="1275"/>
        <w:gridCol w:w="1274"/>
      </w:tblGrid>
      <w:tr w:rsidR="00255CC4" w:rsidRPr="00BC22F8" w:rsidTr="00BC22F8">
        <w:trPr>
          <w:trHeight w:val="300"/>
        </w:trPr>
        <w:tc>
          <w:tcPr>
            <w:tcW w:w="4962" w:type="dxa"/>
            <w:shd w:val="clear" w:color="auto" w:fill="B8CCE4" w:themeFill="accent1" w:themeFillTint="66"/>
          </w:tcPr>
          <w:p w:rsidR="00255CC4" w:rsidRPr="00BC22F8" w:rsidRDefault="00255CC4" w:rsidP="00255CC4">
            <w:pPr>
              <w:spacing w:before="80" w:after="80" w:line="240" w:lineRule="auto"/>
              <w:jc w:val="left"/>
              <w:rPr>
                <w:rFonts w:eastAsia="Times New Roman"/>
                <w:b/>
                <w:bCs/>
                <w:color w:val="002060"/>
                <w:sz w:val="22"/>
                <w:szCs w:val="22"/>
                <w:lang w:eastAsia="en-US"/>
              </w:rPr>
            </w:pPr>
            <w:r w:rsidRPr="00BC22F8">
              <w:rPr>
                <w:rFonts w:eastAsia="Times New Roman"/>
                <w:b/>
                <w:bCs/>
                <w:color w:val="002060"/>
                <w:sz w:val="22"/>
                <w:szCs w:val="22"/>
                <w:lang w:eastAsia="en-US"/>
              </w:rPr>
              <w:t>Rādītājs</w:t>
            </w:r>
          </w:p>
        </w:tc>
        <w:tc>
          <w:tcPr>
            <w:tcW w:w="926" w:type="dxa"/>
            <w:shd w:val="clear" w:color="auto" w:fill="B8CCE4" w:themeFill="accent1" w:themeFillTint="66"/>
            <w:noWrap/>
            <w:vAlign w:val="center"/>
            <w:hideMark/>
          </w:tcPr>
          <w:p w:rsidR="00255CC4" w:rsidRPr="00BC22F8" w:rsidRDefault="00255CC4" w:rsidP="00255CC4">
            <w:pPr>
              <w:spacing w:before="80" w:after="80" w:line="240" w:lineRule="auto"/>
              <w:jc w:val="center"/>
              <w:rPr>
                <w:rFonts w:eastAsia="Times New Roman"/>
                <w:b/>
                <w:bCs/>
                <w:color w:val="002060"/>
                <w:sz w:val="22"/>
                <w:szCs w:val="22"/>
                <w:lang w:eastAsia="en-US"/>
              </w:rPr>
            </w:pPr>
            <w:r w:rsidRPr="00BC22F8">
              <w:rPr>
                <w:rFonts w:eastAsia="Times New Roman"/>
                <w:b/>
                <w:bCs/>
                <w:color w:val="002060"/>
                <w:sz w:val="22"/>
                <w:szCs w:val="22"/>
                <w:lang w:eastAsia="en-US"/>
              </w:rPr>
              <w:t>Gads</w:t>
            </w:r>
          </w:p>
        </w:tc>
        <w:tc>
          <w:tcPr>
            <w:tcW w:w="1417" w:type="dxa"/>
            <w:shd w:val="clear" w:color="auto" w:fill="B8CCE4" w:themeFill="accent1" w:themeFillTint="66"/>
            <w:vAlign w:val="center"/>
            <w:hideMark/>
          </w:tcPr>
          <w:p w:rsidR="00255CC4" w:rsidRPr="00BC22F8" w:rsidRDefault="00255CC4" w:rsidP="00255CC4">
            <w:pPr>
              <w:spacing w:before="80" w:after="80" w:line="240" w:lineRule="auto"/>
              <w:jc w:val="center"/>
              <w:rPr>
                <w:rFonts w:eastAsia="Times New Roman"/>
                <w:b/>
                <w:color w:val="002060"/>
                <w:sz w:val="22"/>
                <w:szCs w:val="22"/>
                <w:lang w:eastAsia="en-US"/>
              </w:rPr>
            </w:pPr>
            <w:r w:rsidRPr="00BC22F8">
              <w:rPr>
                <w:rFonts w:eastAsia="Times New Roman"/>
                <w:b/>
                <w:color w:val="002060"/>
                <w:sz w:val="22"/>
                <w:szCs w:val="22"/>
                <w:lang w:eastAsia="en-US"/>
              </w:rPr>
              <w:t>Valstī kopā</w:t>
            </w:r>
          </w:p>
        </w:tc>
        <w:tc>
          <w:tcPr>
            <w:tcW w:w="1275" w:type="dxa"/>
            <w:shd w:val="clear" w:color="auto" w:fill="B8CCE4" w:themeFill="accent1" w:themeFillTint="66"/>
            <w:vAlign w:val="center"/>
            <w:hideMark/>
          </w:tcPr>
          <w:p w:rsidR="00255CC4" w:rsidRPr="00BC22F8" w:rsidRDefault="00255CC4" w:rsidP="00255CC4">
            <w:pPr>
              <w:spacing w:before="80" w:after="80" w:line="240" w:lineRule="auto"/>
              <w:jc w:val="center"/>
              <w:rPr>
                <w:rFonts w:eastAsia="Times New Roman"/>
                <w:b/>
                <w:color w:val="002060"/>
                <w:sz w:val="22"/>
                <w:szCs w:val="22"/>
                <w:lang w:eastAsia="en-US"/>
              </w:rPr>
            </w:pPr>
            <w:r w:rsidRPr="00BC22F8">
              <w:rPr>
                <w:rFonts w:eastAsia="Times New Roman"/>
                <w:b/>
                <w:color w:val="002060"/>
                <w:sz w:val="22"/>
                <w:szCs w:val="22"/>
                <w:lang w:eastAsia="en-US"/>
              </w:rPr>
              <w:t>Pilsētās</w:t>
            </w:r>
          </w:p>
        </w:tc>
        <w:tc>
          <w:tcPr>
            <w:tcW w:w="1274" w:type="dxa"/>
            <w:shd w:val="clear" w:color="auto" w:fill="B8CCE4" w:themeFill="accent1" w:themeFillTint="66"/>
            <w:vAlign w:val="center"/>
            <w:hideMark/>
          </w:tcPr>
          <w:p w:rsidR="00255CC4" w:rsidRPr="00BC22F8" w:rsidRDefault="00255CC4" w:rsidP="00255CC4">
            <w:pPr>
              <w:spacing w:before="80" w:after="80" w:line="240" w:lineRule="auto"/>
              <w:jc w:val="center"/>
              <w:rPr>
                <w:rFonts w:eastAsia="Times New Roman"/>
                <w:b/>
                <w:color w:val="002060"/>
                <w:sz w:val="22"/>
                <w:szCs w:val="22"/>
                <w:lang w:eastAsia="en-US"/>
              </w:rPr>
            </w:pPr>
            <w:r w:rsidRPr="00BC22F8">
              <w:rPr>
                <w:rFonts w:eastAsia="Times New Roman"/>
                <w:b/>
                <w:color w:val="002060"/>
                <w:sz w:val="22"/>
                <w:szCs w:val="22"/>
                <w:lang w:eastAsia="en-US"/>
              </w:rPr>
              <w:t>Novados</w:t>
            </w:r>
          </w:p>
        </w:tc>
      </w:tr>
      <w:tr w:rsidR="00255CC4" w:rsidRPr="00647F87" w:rsidTr="00255CC4">
        <w:trPr>
          <w:trHeight w:val="300"/>
        </w:trPr>
        <w:tc>
          <w:tcPr>
            <w:tcW w:w="4962" w:type="dxa"/>
            <w:vMerge w:val="restart"/>
            <w:vAlign w:val="center"/>
          </w:tcPr>
          <w:p w:rsidR="00255CC4" w:rsidRPr="00731740" w:rsidRDefault="00255CC4" w:rsidP="00255CC4">
            <w:pPr>
              <w:spacing w:line="240" w:lineRule="auto"/>
              <w:jc w:val="left"/>
              <w:rPr>
                <w:rFonts w:eastAsia="Times New Roman"/>
                <w:b/>
                <w:color w:val="000000"/>
                <w:sz w:val="22"/>
                <w:szCs w:val="22"/>
                <w:lang w:eastAsia="en-US"/>
              </w:rPr>
            </w:pPr>
            <w:r w:rsidRPr="00731740">
              <w:rPr>
                <w:rFonts w:eastAsia="Times New Roman"/>
                <w:b/>
                <w:color w:val="000000"/>
                <w:sz w:val="22"/>
                <w:szCs w:val="22"/>
                <w:lang w:eastAsia="en-US"/>
              </w:rPr>
              <w:t>Vidējais pabalstu apjoms vienai personai, EUR</w:t>
            </w:r>
          </w:p>
        </w:tc>
        <w:tc>
          <w:tcPr>
            <w:tcW w:w="926" w:type="dxa"/>
            <w:shd w:val="clear" w:color="auto" w:fill="auto"/>
            <w:noWrap/>
            <w:vAlign w:val="center"/>
            <w:hideMark/>
          </w:tcPr>
          <w:p w:rsidR="00255CC4" w:rsidRPr="009660AA" w:rsidRDefault="00255CC4" w:rsidP="00255CC4">
            <w:pPr>
              <w:spacing w:line="240" w:lineRule="auto"/>
              <w:jc w:val="center"/>
              <w:rPr>
                <w:rFonts w:eastAsia="Times New Roman"/>
                <w:b/>
                <w:color w:val="000000"/>
                <w:sz w:val="22"/>
                <w:szCs w:val="22"/>
                <w:lang w:eastAsia="en-US"/>
              </w:rPr>
            </w:pPr>
            <w:r w:rsidRPr="009660AA">
              <w:rPr>
                <w:rFonts w:eastAsia="Times New Roman"/>
                <w:b/>
                <w:color w:val="000000"/>
                <w:sz w:val="22"/>
                <w:szCs w:val="22"/>
                <w:lang w:eastAsia="en-US"/>
              </w:rPr>
              <w:t>2014</w:t>
            </w:r>
          </w:p>
        </w:tc>
        <w:tc>
          <w:tcPr>
            <w:tcW w:w="1417"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sidRPr="00647F87">
              <w:rPr>
                <w:rFonts w:eastAsia="Times New Roman"/>
                <w:color w:val="000000"/>
                <w:sz w:val="22"/>
                <w:szCs w:val="22"/>
                <w:lang w:eastAsia="en-US"/>
              </w:rPr>
              <w:t>122,7</w:t>
            </w:r>
          </w:p>
        </w:tc>
        <w:tc>
          <w:tcPr>
            <w:tcW w:w="1275"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sidRPr="00647F87">
              <w:rPr>
                <w:rFonts w:eastAsia="Times New Roman"/>
                <w:color w:val="000000"/>
                <w:sz w:val="22"/>
                <w:szCs w:val="22"/>
                <w:lang w:eastAsia="en-US"/>
              </w:rPr>
              <w:t>149,8</w:t>
            </w:r>
          </w:p>
        </w:tc>
        <w:tc>
          <w:tcPr>
            <w:tcW w:w="1274"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sidRPr="00647F87">
              <w:rPr>
                <w:rFonts w:eastAsia="Times New Roman"/>
                <w:color w:val="000000"/>
                <w:sz w:val="22"/>
                <w:szCs w:val="22"/>
                <w:lang w:eastAsia="en-US"/>
              </w:rPr>
              <w:t>93,9</w:t>
            </w:r>
          </w:p>
        </w:tc>
      </w:tr>
      <w:tr w:rsidR="00255CC4" w:rsidRPr="00647F87" w:rsidTr="00255CC4">
        <w:trPr>
          <w:trHeight w:val="300"/>
        </w:trPr>
        <w:tc>
          <w:tcPr>
            <w:tcW w:w="4962" w:type="dxa"/>
            <w:vMerge/>
          </w:tcPr>
          <w:p w:rsidR="00255CC4" w:rsidRPr="00647F87" w:rsidRDefault="00255CC4" w:rsidP="00255CC4">
            <w:pPr>
              <w:spacing w:line="240" w:lineRule="auto"/>
              <w:jc w:val="left"/>
              <w:rPr>
                <w:rFonts w:eastAsia="Times New Roman"/>
                <w:color w:val="000000"/>
                <w:sz w:val="22"/>
                <w:szCs w:val="22"/>
                <w:lang w:eastAsia="en-US"/>
              </w:rPr>
            </w:pPr>
          </w:p>
        </w:tc>
        <w:tc>
          <w:tcPr>
            <w:tcW w:w="926" w:type="dxa"/>
            <w:shd w:val="clear" w:color="auto" w:fill="auto"/>
            <w:noWrap/>
            <w:vAlign w:val="center"/>
            <w:hideMark/>
          </w:tcPr>
          <w:p w:rsidR="00255CC4" w:rsidRPr="009660AA" w:rsidRDefault="00255CC4" w:rsidP="00255CC4">
            <w:pPr>
              <w:spacing w:line="240" w:lineRule="auto"/>
              <w:jc w:val="center"/>
              <w:rPr>
                <w:rFonts w:eastAsia="Times New Roman"/>
                <w:b/>
                <w:color w:val="000000"/>
                <w:sz w:val="22"/>
                <w:szCs w:val="22"/>
                <w:lang w:eastAsia="en-US"/>
              </w:rPr>
            </w:pPr>
            <w:r w:rsidRPr="009660AA">
              <w:rPr>
                <w:rFonts w:eastAsia="Times New Roman"/>
                <w:b/>
                <w:color w:val="000000"/>
                <w:sz w:val="22"/>
                <w:szCs w:val="22"/>
                <w:lang w:eastAsia="en-US"/>
              </w:rPr>
              <w:t>2015</w:t>
            </w:r>
          </w:p>
        </w:tc>
        <w:tc>
          <w:tcPr>
            <w:tcW w:w="1417"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sidRPr="00647F87">
              <w:rPr>
                <w:rFonts w:eastAsia="Times New Roman"/>
                <w:color w:val="000000"/>
                <w:sz w:val="22"/>
                <w:szCs w:val="22"/>
                <w:lang w:eastAsia="en-US"/>
              </w:rPr>
              <w:t>121,1</w:t>
            </w:r>
          </w:p>
        </w:tc>
        <w:tc>
          <w:tcPr>
            <w:tcW w:w="1275"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sidRPr="00647F87">
              <w:rPr>
                <w:rFonts w:eastAsia="Times New Roman"/>
                <w:color w:val="000000"/>
                <w:sz w:val="22"/>
                <w:szCs w:val="22"/>
                <w:lang w:eastAsia="en-US"/>
              </w:rPr>
              <w:t>145,6</w:t>
            </w:r>
          </w:p>
        </w:tc>
        <w:tc>
          <w:tcPr>
            <w:tcW w:w="1274"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sidRPr="00647F87">
              <w:rPr>
                <w:rFonts w:eastAsia="Times New Roman"/>
                <w:color w:val="000000"/>
                <w:sz w:val="22"/>
                <w:szCs w:val="22"/>
                <w:lang w:eastAsia="en-US"/>
              </w:rPr>
              <w:t>95,5</w:t>
            </w:r>
          </w:p>
        </w:tc>
      </w:tr>
      <w:tr w:rsidR="00255CC4" w:rsidRPr="00647F87" w:rsidTr="00255CC4">
        <w:trPr>
          <w:trHeight w:val="300"/>
        </w:trPr>
        <w:tc>
          <w:tcPr>
            <w:tcW w:w="4962" w:type="dxa"/>
            <w:vMerge/>
          </w:tcPr>
          <w:p w:rsidR="00255CC4" w:rsidRPr="00647F87" w:rsidRDefault="00255CC4" w:rsidP="00255CC4">
            <w:pPr>
              <w:spacing w:line="240" w:lineRule="auto"/>
              <w:jc w:val="left"/>
              <w:rPr>
                <w:rFonts w:eastAsia="Times New Roman"/>
                <w:color w:val="000000"/>
                <w:sz w:val="22"/>
                <w:szCs w:val="22"/>
                <w:lang w:eastAsia="en-US"/>
              </w:rPr>
            </w:pPr>
          </w:p>
        </w:tc>
        <w:tc>
          <w:tcPr>
            <w:tcW w:w="926" w:type="dxa"/>
            <w:shd w:val="clear" w:color="auto" w:fill="auto"/>
            <w:noWrap/>
            <w:vAlign w:val="center"/>
            <w:hideMark/>
          </w:tcPr>
          <w:p w:rsidR="00255CC4" w:rsidRPr="009660AA" w:rsidRDefault="00255CC4" w:rsidP="00255CC4">
            <w:pPr>
              <w:spacing w:line="240" w:lineRule="auto"/>
              <w:jc w:val="center"/>
              <w:rPr>
                <w:rFonts w:eastAsia="Times New Roman"/>
                <w:b/>
                <w:color w:val="000000"/>
                <w:sz w:val="22"/>
                <w:szCs w:val="22"/>
                <w:lang w:eastAsia="en-US"/>
              </w:rPr>
            </w:pPr>
            <w:r w:rsidRPr="009660AA">
              <w:rPr>
                <w:rFonts w:eastAsia="Times New Roman"/>
                <w:b/>
                <w:color w:val="000000"/>
                <w:sz w:val="22"/>
                <w:szCs w:val="22"/>
                <w:lang w:eastAsia="en-US"/>
              </w:rPr>
              <w:t>2016</w:t>
            </w:r>
          </w:p>
        </w:tc>
        <w:tc>
          <w:tcPr>
            <w:tcW w:w="1417"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sidRPr="00647F87">
              <w:rPr>
                <w:rFonts w:eastAsia="Times New Roman"/>
                <w:color w:val="000000"/>
                <w:sz w:val="22"/>
                <w:szCs w:val="22"/>
                <w:lang w:eastAsia="en-US"/>
              </w:rPr>
              <w:t>127,1</w:t>
            </w:r>
          </w:p>
        </w:tc>
        <w:tc>
          <w:tcPr>
            <w:tcW w:w="1275"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sidRPr="00647F87">
              <w:rPr>
                <w:rFonts w:eastAsia="Times New Roman"/>
                <w:color w:val="000000"/>
                <w:sz w:val="22"/>
                <w:szCs w:val="22"/>
                <w:lang w:eastAsia="en-US"/>
              </w:rPr>
              <w:t>161</w:t>
            </w:r>
          </w:p>
        </w:tc>
        <w:tc>
          <w:tcPr>
            <w:tcW w:w="1274"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sidRPr="00647F87">
              <w:rPr>
                <w:rFonts w:eastAsia="Times New Roman"/>
                <w:color w:val="000000"/>
                <w:sz w:val="22"/>
                <w:szCs w:val="22"/>
                <w:lang w:eastAsia="en-US"/>
              </w:rPr>
              <w:t>95,4</w:t>
            </w:r>
          </w:p>
        </w:tc>
      </w:tr>
      <w:tr w:rsidR="00255CC4" w:rsidRPr="00647F87" w:rsidTr="00255CC4">
        <w:trPr>
          <w:trHeight w:val="300"/>
        </w:trPr>
        <w:tc>
          <w:tcPr>
            <w:tcW w:w="5888" w:type="dxa"/>
            <w:gridSpan w:val="2"/>
          </w:tcPr>
          <w:p w:rsidR="00255CC4" w:rsidRPr="00647F87" w:rsidRDefault="00255CC4" w:rsidP="00255CC4">
            <w:pPr>
              <w:spacing w:line="240" w:lineRule="auto"/>
              <w:jc w:val="left"/>
              <w:rPr>
                <w:rFonts w:eastAsia="Times New Roman"/>
                <w:color w:val="000000"/>
                <w:sz w:val="22"/>
                <w:szCs w:val="22"/>
                <w:lang w:eastAsia="en-US"/>
              </w:rPr>
            </w:pPr>
            <w:r w:rsidRPr="00647F87">
              <w:rPr>
                <w:rFonts w:eastAsia="Times New Roman"/>
                <w:color w:val="000000"/>
                <w:sz w:val="22"/>
                <w:szCs w:val="22"/>
                <w:lang w:eastAsia="en-US"/>
              </w:rPr>
              <w:t xml:space="preserve">Vidējā maznodrošinātas personas </w:t>
            </w:r>
            <w:r>
              <w:rPr>
                <w:rFonts w:eastAsia="Times New Roman"/>
                <w:color w:val="000000"/>
                <w:sz w:val="22"/>
                <w:szCs w:val="22"/>
                <w:lang w:eastAsia="en-US"/>
              </w:rPr>
              <w:t>pabalstu</w:t>
            </w:r>
            <w:r w:rsidRPr="00647F87">
              <w:rPr>
                <w:rFonts w:eastAsia="Times New Roman"/>
                <w:color w:val="000000"/>
                <w:sz w:val="22"/>
                <w:szCs w:val="22"/>
                <w:lang w:eastAsia="en-US"/>
              </w:rPr>
              <w:t xml:space="preserve"> lieluma vienai personai </w:t>
            </w:r>
            <w:r w:rsidRPr="00731740">
              <w:rPr>
                <w:rFonts w:eastAsia="Times New Roman"/>
                <w:b/>
                <w:color w:val="000000"/>
                <w:sz w:val="22"/>
                <w:szCs w:val="22"/>
                <w:lang w:eastAsia="en-US"/>
              </w:rPr>
              <w:t>izmaiņas 2014.g.-2016.g., %</w:t>
            </w:r>
          </w:p>
        </w:tc>
        <w:tc>
          <w:tcPr>
            <w:tcW w:w="1417"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647F87">
              <w:rPr>
                <w:rFonts w:eastAsia="Times New Roman"/>
                <w:color w:val="000000"/>
                <w:sz w:val="22"/>
                <w:szCs w:val="22"/>
                <w:lang w:eastAsia="en-US"/>
              </w:rPr>
              <w:t>3,6</w:t>
            </w:r>
          </w:p>
        </w:tc>
        <w:tc>
          <w:tcPr>
            <w:tcW w:w="1275"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647F87">
              <w:rPr>
                <w:rFonts w:eastAsia="Times New Roman"/>
                <w:color w:val="000000"/>
                <w:sz w:val="22"/>
                <w:szCs w:val="22"/>
                <w:lang w:eastAsia="en-US"/>
              </w:rPr>
              <w:t>7,5</w:t>
            </w:r>
          </w:p>
        </w:tc>
        <w:tc>
          <w:tcPr>
            <w:tcW w:w="1274"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647F87">
              <w:rPr>
                <w:rFonts w:eastAsia="Times New Roman"/>
                <w:color w:val="000000"/>
                <w:sz w:val="22"/>
                <w:szCs w:val="22"/>
                <w:lang w:eastAsia="en-US"/>
              </w:rPr>
              <w:t>1,6</w:t>
            </w:r>
          </w:p>
        </w:tc>
      </w:tr>
      <w:tr w:rsidR="00255CC4" w:rsidRPr="00647F87" w:rsidTr="00255CC4">
        <w:trPr>
          <w:trHeight w:val="300"/>
        </w:trPr>
        <w:tc>
          <w:tcPr>
            <w:tcW w:w="5888" w:type="dxa"/>
            <w:gridSpan w:val="2"/>
          </w:tcPr>
          <w:p w:rsidR="00255CC4" w:rsidRPr="00647F87" w:rsidRDefault="00255CC4" w:rsidP="00255CC4">
            <w:pPr>
              <w:spacing w:line="240" w:lineRule="auto"/>
              <w:jc w:val="left"/>
              <w:rPr>
                <w:rFonts w:eastAsia="Times New Roman"/>
                <w:color w:val="000000"/>
                <w:sz w:val="22"/>
                <w:szCs w:val="22"/>
                <w:lang w:eastAsia="en-US"/>
              </w:rPr>
            </w:pPr>
            <w:r w:rsidRPr="00647F87">
              <w:rPr>
                <w:rFonts w:eastAsia="Times New Roman"/>
                <w:color w:val="000000"/>
                <w:sz w:val="22"/>
                <w:szCs w:val="22"/>
                <w:lang w:eastAsia="en-US"/>
              </w:rPr>
              <w:t xml:space="preserve">Vidējā maznodrošinātās personas </w:t>
            </w:r>
            <w:r>
              <w:rPr>
                <w:rFonts w:eastAsia="Times New Roman"/>
                <w:color w:val="000000"/>
                <w:sz w:val="22"/>
                <w:szCs w:val="22"/>
                <w:lang w:eastAsia="en-US"/>
              </w:rPr>
              <w:t>pabalstu</w:t>
            </w:r>
            <w:r w:rsidRPr="00647F87">
              <w:rPr>
                <w:rFonts w:eastAsia="Times New Roman"/>
                <w:color w:val="000000"/>
                <w:sz w:val="22"/>
                <w:szCs w:val="22"/>
                <w:lang w:eastAsia="en-US"/>
              </w:rPr>
              <w:t xml:space="preserve"> lieluma vienai personai </w:t>
            </w:r>
            <w:r w:rsidRPr="00731740">
              <w:rPr>
                <w:rFonts w:eastAsia="Times New Roman"/>
                <w:b/>
                <w:color w:val="000000"/>
                <w:sz w:val="22"/>
                <w:szCs w:val="22"/>
                <w:lang w:eastAsia="en-US"/>
              </w:rPr>
              <w:t>izmaiņas 2014.g.-2016.g., EUR</w:t>
            </w:r>
          </w:p>
        </w:tc>
        <w:tc>
          <w:tcPr>
            <w:tcW w:w="1417"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647F87">
              <w:rPr>
                <w:rFonts w:eastAsia="Times New Roman"/>
                <w:color w:val="000000"/>
                <w:sz w:val="22"/>
                <w:szCs w:val="22"/>
                <w:lang w:eastAsia="en-US"/>
              </w:rPr>
              <w:t>4,4</w:t>
            </w:r>
          </w:p>
        </w:tc>
        <w:tc>
          <w:tcPr>
            <w:tcW w:w="1275"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647F87">
              <w:rPr>
                <w:rFonts w:eastAsia="Times New Roman"/>
                <w:color w:val="000000"/>
                <w:sz w:val="22"/>
                <w:szCs w:val="22"/>
                <w:lang w:eastAsia="en-US"/>
              </w:rPr>
              <w:t>11,2</w:t>
            </w:r>
          </w:p>
        </w:tc>
        <w:tc>
          <w:tcPr>
            <w:tcW w:w="1274"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647F87">
              <w:rPr>
                <w:rFonts w:eastAsia="Times New Roman"/>
                <w:color w:val="000000"/>
                <w:sz w:val="22"/>
                <w:szCs w:val="22"/>
                <w:lang w:eastAsia="en-US"/>
              </w:rPr>
              <w:t>1,5</w:t>
            </w:r>
          </w:p>
        </w:tc>
      </w:tr>
    </w:tbl>
    <w:p w:rsidR="00255CC4" w:rsidRDefault="00255CC4" w:rsidP="00255CC4">
      <w:pPr>
        <w:spacing w:line="240" w:lineRule="auto"/>
        <w:rPr>
          <w:rFonts w:eastAsia="Times New Roman"/>
          <w:sz w:val="20"/>
          <w:szCs w:val="20"/>
        </w:rPr>
      </w:pPr>
      <w:r w:rsidRPr="004E69B2">
        <w:rPr>
          <w:sz w:val="20"/>
          <w:szCs w:val="20"/>
        </w:rPr>
        <w:t xml:space="preserve">Avots: LM, </w:t>
      </w:r>
      <w:r w:rsidRPr="004E69B2">
        <w:rPr>
          <w:bCs/>
          <w:sz w:val="20"/>
          <w:szCs w:val="20"/>
        </w:rPr>
        <w:t xml:space="preserve">Oficiālā statistika sociālo pakalpojumu un sociālās palīdzības jomā. </w:t>
      </w:r>
      <w:r w:rsidRPr="004E69B2">
        <w:rPr>
          <w:rFonts w:eastAsia="Times New Roman"/>
          <w:sz w:val="20"/>
          <w:szCs w:val="20"/>
        </w:rPr>
        <w:t> Ienākumu testēto pašvaldības sociālās palīdzības pabalstu saņēmēju raksturojums pēc ienākumu līmeņa uz vienu ģimenes locekli mēnesī</w:t>
      </w:r>
      <w:r>
        <w:rPr>
          <w:rFonts w:eastAsia="Times New Roman"/>
          <w:sz w:val="20"/>
          <w:szCs w:val="20"/>
        </w:rPr>
        <w:t xml:space="preserve">. </w:t>
      </w:r>
    </w:p>
    <w:p w:rsidR="00761553" w:rsidRDefault="00761553" w:rsidP="00255CC4">
      <w:pPr>
        <w:rPr>
          <w:rFonts w:eastAsia="Times New Roman"/>
        </w:rPr>
      </w:pPr>
    </w:p>
    <w:p w:rsidR="00255CC4" w:rsidRDefault="00255CC4" w:rsidP="00255CC4">
      <w:pPr>
        <w:rPr>
          <w:rFonts w:eastAsia="Times New Roman"/>
        </w:rPr>
      </w:pPr>
      <w:r>
        <w:rPr>
          <w:rFonts w:eastAsia="Times New Roman"/>
        </w:rPr>
        <w:t>Izmaiņas sniegtā atbalsta apmērā uz vienu personu ir mazāk nozīmīgas (sk.</w:t>
      </w:r>
      <w:r w:rsidR="008C6B83">
        <w:rPr>
          <w:rFonts w:eastAsia="Times New Roman"/>
        </w:rPr>
        <w:t xml:space="preserve"> </w:t>
      </w:r>
      <w:r w:rsidR="00D5490A">
        <w:rPr>
          <w:rFonts w:eastAsia="Times New Roman"/>
        </w:rPr>
        <w:t>1.3</w:t>
      </w:r>
      <w:r w:rsidR="00761553">
        <w:rPr>
          <w:rFonts w:eastAsia="Times New Roman"/>
        </w:rPr>
        <w:t>2</w:t>
      </w:r>
      <w:r>
        <w:rPr>
          <w:rFonts w:eastAsia="Times New Roman"/>
        </w:rPr>
        <w:t xml:space="preserve">. tabulu), īpaši novadu pašvaldībās, kurās vidējā maznodrošinātas personas atbalstam izlietoto līdzekļu summa uz vienu personu Izvērtējuma periodā ir pieaugusi tikai par 1,5 EUR. Pilsētu pašvaldībās šī rādītāja lielums ir 11,2 EUR. Attiecīgi novadu pašvaldībās pieaugums ir tikai 1,6% apmērā, kamēr pilsētu pašvaldībās – 7,5% apmērā. </w:t>
      </w:r>
    </w:p>
    <w:p w:rsidR="00255CC4" w:rsidRDefault="00255CC4" w:rsidP="00C33A64">
      <w:pPr>
        <w:pStyle w:val="virsrakstslvl4"/>
      </w:pPr>
      <w:bookmarkStart w:id="271" w:name="_Toc6841547"/>
      <w:r>
        <w:t xml:space="preserve">Garantētā minimālā ienākuma līmeņa </w:t>
      </w:r>
      <w:r w:rsidRPr="00E8208E">
        <w:t>pabalsta saņēmēji</w:t>
      </w:r>
      <w:bookmarkEnd w:id="271"/>
      <w:r w:rsidRPr="00E8208E">
        <w:t xml:space="preserve"> </w:t>
      </w:r>
    </w:p>
    <w:p w:rsidR="00115F7E" w:rsidRDefault="00115F7E" w:rsidP="00255CC4">
      <w:pPr>
        <w:rPr>
          <w:rFonts w:eastAsia="Times New Roman"/>
        </w:rPr>
      </w:pPr>
      <w:r w:rsidRPr="00173A24">
        <w:t xml:space="preserve">GMI līmenis tiek noteikts centralizēti valsts līmenī, bet lēmumu par </w:t>
      </w:r>
      <w:r>
        <w:t xml:space="preserve">pabalsta GMI līmeņa nodrošināšanai </w:t>
      </w:r>
      <w:r w:rsidRPr="00173A24">
        <w:t xml:space="preserve">piešķiršanu, pamatojoties uz </w:t>
      </w:r>
      <w:r>
        <w:t>ģimenes (personas) materiālo resursu (</w:t>
      </w:r>
      <w:r w:rsidRPr="00173A24">
        <w:t xml:space="preserve">ienākumu </w:t>
      </w:r>
      <w:r>
        <w:t xml:space="preserve">un īpašumu) </w:t>
      </w:r>
      <w:r w:rsidRPr="00173A24">
        <w:t>izvērtējumu</w:t>
      </w:r>
      <w:r>
        <w:t xml:space="preserve"> un pabalsta apmēra aprēķināšanu</w:t>
      </w:r>
      <w:r w:rsidRPr="00173A24">
        <w:t>, pieņem katra pašvaldība</w:t>
      </w:r>
      <w:r>
        <w:t xml:space="preserve"> jeb precīzāk – pašvaldības sociālais dienests</w:t>
      </w:r>
      <w:r w:rsidRPr="00173A24">
        <w:t>.</w:t>
      </w:r>
      <w:r>
        <w:rPr>
          <w:rStyle w:val="FootnoteReference"/>
        </w:rPr>
        <w:footnoteReference w:id="110"/>
      </w:r>
    </w:p>
    <w:bookmarkStart w:id="272" w:name="_Toc6220106"/>
    <w:p w:rsidR="00255CC4" w:rsidRPr="002809B6" w:rsidRDefault="00AD3EDD" w:rsidP="002809B6">
      <w:pPr>
        <w:spacing w:before="240" w:after="120"/>
        <w:jc w:val="left"/>
        <w:rPr>
          <w:b/>
          <w:color w:val="002060"/>
        </w:rPr>
      </w:pPr>
      <w:r w:rsidRPr="002809B6">
        <w:rPr>
          <w:b/>
          <w:color w:val="002060"/>
        </w:rPr>
        <w:lastRenderedPageBreak/>
        <w:fldChar w:fldCharType="begin"/>
      </w:r>
      <w:r w:rsidR="006B5456" w:rsidRPr="002809B6">
        <w:rPr>
          <w:b/>
          <w:color w:val="002060"/>
        </w:rPr>
        <w:instrText xml:space="preserve"> STYLEREF 1 \s </w:instrText>
      </w:r>
      <w:r w:rsidRPr="002809B6">
        <w:rPr>
          <w:b/>
          <w:color w:val="002060"/>
        </w:rPr>
        <w:fldChar w:fldCharType="separate"/>
      </w:r>
      <w:bookmarkStart w:id="273" w:name="_Toc6855770"/>
      <w:r w:rsidR="00224B50">
        <w:rPr>
          <w:b/>
          <w:noProof/>
          <w:color w:val="002060"/>
        </w:rPr>
        <w:t>1</w:t>
      </w:r>
      <w:r w:rsidRPr="002809B6">
        <w:rPr>
          <w:b/>
          <w:color w:val="002060"/>
        </w:rPr>
        <w:fldChar w:fldCharType="end"/>
      </w:r>
      <w:r w:rsidR="006B5456" w:rsidRPr="002809B6">
        <w:rPr>
          <w:b/>
          <w:color w:val="002060"/>
        </w:rPr>
        <w:t>.</w:t>
      </w:r>
      <w:r w:rsidRPr="002809B6">
        <w:rPr>
          <w:b/>
          <w:color w:val="002060"/>
        </w:rPr>
        <w:fldChar w:fldCharType="begin"/>
      </w:r>
      <w:r w:rsidR="000F1524" w:rsidRPr="002809B6">
        <w:rPr>
          <w:b/>
          <w:color w:val="002060"/>
        </w:rPr>
        <w:instrText xml:space="preserve"> SEQ Ilustrācija \* ARABIC \s 1 </w:instrText>
      </w:r>
      <w:r w:rsidRPr="002809B6">
        <w:rPr>
          <w:b/>
          <w:color w:val="002060"/>
        </w:rPr>
        <w:fldChar w:fldCharType="separate"/>
      </w:r>
      <w:r w:rsidR="00224B50">
        <w:rPr>
          <w:b/>
          <w:noProof/>
          <w:color w:val="002060"/>
        </w:rPr>
        <w:t>16</w:t>
      </w:r>
      <w:r w:rsidRPr="002809B6">
        <w:rPr>
          <w:b/>
          <w:color w:val="002060"/>
        </w:rPr>
        <w:fldChar w:fldCharType="end"/>
      </w:r>
      <w:r w:rsidR="00255CC4" w:rsidRPr="002809B6">
        <w:rPr>
          <w:b/>
          <w:color w:val="002060"/>
        </w:rPr>
        <w:t>. attēls. GMI pabalsta saņēmēju (personu ģimenēs) skaits sadalījumā pa sociāli demogrāfiskajām grupām (2014 – 2016, skaits)</w:t>
      </w:r>
      <w:bookmarkEnd w:id="272"/>
      <w:bookmarkEnd w:id="273"/>
    </w:p>
    <w:p w:rsidR="00255CC4" w:rsidRDefault="00255CC4" w:rsidP="00255CC4">
      <w:pPr>
        <w:pStyle w:val="virsrakstslvl4"/>
      </w:pPr>
      <w:r w:rsidRPr="00F64F5E">
        <w:rPr>
          <w:noProof/>
        </w:rPr>
        <w:drawing>
          <wp:inline distT="0" distB="0" distL="0" distR="0">
            <wp:extent cx="6188710" cy="3522670"/>
            <wp:effectExtent l="19050" t="0" r="2540" b="0"/>
            <wp:docPr id="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6188710" cy="3522670"/>
                    </a:xfrm>
                    <a:prstGeom prst="rect">
                      <a:avLst/>
                    </a:prstGeom>
                    <a:noFill/>
                    <a:ln w="9525">
                      <a:noFill/>
                      <a:miter lim="800000"/>
                      <a:headEnd/>
                      <a:tailEnd/>
                    </a:ln>
                  </pic:spPr>
                </pic:pic>
              </a:graphicData>
            </a:graphic>
          </wp:inline>
        </w:drawing>
      </w:r>
    </w:p>
    <w:p w:rsidR="00255CC4" w:rsidRDefault="00255CC4" w:rsidP="00255CC4">
      <w:pPr>
        <w:spacing w:line="240" w:lineRule="auto"/>
        <w:rPr>
          <w:bCs/>
          <w:sz w:val="20"/>
          <w:szCs w:val="20"/>
        </w:rPr>
      </w:pPr>
      <w:r w:rsidRPr="004E69B2">
        <w:rPr>
          <w:sz w:val="20"/>
          <w:szCs w:val="20"/>
        </w:rPr>
        <w:t xml:space="preserve">Avots: LM, </w:t>
      </w:r>
      <w:r w:rsidRPr="004E69B2">
        <w:rPr>
          <w:bCs/>
          <w:sz w:val="20"/>
          <w:szCs w:val="20"/>
        </w:rPr>
        <w:t>Oficiālā statistika sociālo pakalpojumu un sociālās palīdzības jomā</w:t>
      </w:r>
      <w:r>
        <w:rPr>
          <w:bCs/>
          <w:sz w:val="20"/>
          <w:szCs w:val="20"/>
        </w:rPr>
        <w:t xml:space="preserve">. </w:t>
      </w:r>
      <w:r w:rsidRPr="00D417AF">
        <w:rPr>
          <w:bCs/>
          <w:sz w:val="20"/>
          <w:szCs w:val="20"/>
        </w:rPr>
        <w:t>Pabalsts garantētā minimālā ienākumu līmeņa nodrošināšana</w:t>
      </w:r>
      <w:r>
        <w:rPr>
          <w:bCs/>
          <w:sz w:val="20"/>
          <w:szCs w:val="20"/>
        </w:rPr>
        <w:t>i.</w:t>
      </w:r>
    </w:p>
    <w:p w:rsidR="008C60A0" w:rsidRDefault="008C60A0" w:rsidP="00255CC4">
      <w:pPr>
        <w:spacing w:line="240" w:lineRule="auto"/>
        <w:rPr>
          <w:bCs/>
          <w:sz w:val="20"/>
          <w:szCs w:val="20"/>
        </w:rPr>
      </w:pPr>
    </w:p>
    <w:p w:rsidR="008C60A0" w:rsidRPr="004D79FF" w:rsidRDefault="008C60A0" w:rsidP="008C60A0">
      <w:pPr>
        <w:rPr>
          <w:rFonts w:eastAsia="Times New Roman"/>
        </w:rPr>
      </w:pPr>
      <w:r w:rsidRPr="004D79FF">
        <w:rPr>
          <w:rFonts w:eastAsia="Times New Roman"/>
        </w:rPr>
        <w:t>Pabalstu garantētā minimālā ienākuma līmeņa nodrošināšanai 2014.</w:t>
      </w:r>
      <w:r>
        <w:rPr>
          <w:rFonts w:eastAsia="Times New Roman"/>
        </w:rPr>
        <w:t xml:space="preserve"> </w:t>
      </w:r>
      <w:r w:rsidRPr="004D79FF">
        <w:rPr>
          <w:rFonts w:eastAsia="Times New Roman"/>
        </w:rPr>
        <w:t>gadā saņēma 2,3% iedzīvotāju (46 026 personas 23 776 ģimenēs), 2015.gadā – 1,7% iedzīvotāju (34 218 personas 19 610 ģimenēs) un 2016.</w:t>
      </w:r>
      <w:r>
        <w:rPr>
          <w:rFonts w:eastAsia="Times New Roman"/>
        </w:rPr>
        <w:t xml:space="preserve"> </w:t>
      </w:r>
      <w:r w:rsidRPr="004D79FF">
        <w:rPr>
          <w:rFonts w:eastAsia="Times New Roman"/>
        </w:rPr>
        <w:t>gadā 1,4% iedzīvotāju (27 769 personas 17 229 ģimenēs)</w:t>
      </w:r>
      <w:r>
        <w:rPr>
          <w:rFonts w:eastAsia="Times New Roman"/>
        </w:rPr>
        <w:t xml:space="preserve"> (sk. 1.16., 1.17. attēlus)</w:t>
      </w:r>
      <w:r w:rsidRPr="004D79FF">
        <w:rPr>
          <w:rFonts w:eastAsia="Times New Roman"/>
        </w:rPr>
        <w:t>. Vidējais personu skaits ģimenēs ir pakāpeniski samazinājies no 1,9 personām 2014.</w:t>
      </w:r>
      <w:r>
        <w:rPr>
          <w:rFonts w:eastAsia="Times New Roman"/>
        </w:rPr>
        <w:t xml:space="preserve"> </w:t>
      </w:r>
      <w:r w:rsidRPr="004D79FF">
        <w:rPr>
          <w:rFonts w:eastAsia="Times New Roman"/>
        </w:rPr>
        <w:t>gadā līdz 1,7 personām 2015.</w:t>
      </w:r>
      <w:r>
        <w:rPr>
          <w:rFonts w:eastAsia="Times New Roman"/>
        </w:rPr>
        <w:t xml:space="preserve"> </w:t>
      </w:r>
      <w:r w:rsidRPr="004D79FF">
        <w:rPr>
          <w:rFonts w:eastAsia="Times New Roman"/>
        </w:rPr>
        <w:t>gadā un 1,6 personām 2016.</w:t>
      </w:r>
      <w:r>
        <w:rPr>
          <w:rFonts w:eastAsia="Times New Roman"/>
        </w:rPr>
        <w:t xml:space="preserve"> </w:t>
      </w:r>
      <w:r w:rsidRPr="004D79FF">
        <w:rPr>
          <w:rFonts w:eastAsia="Times New Roman"/>
        </w:rPr>
        <w:t>gadā. Saskaņā ar normatīvo regulējumu</w:t>
      </w:r>
      <w:r w:rsidRPr="007E078A">
        <w:rPr>
          <w:rFonts w:eastAsia="Times New Roman"/>
          <w:vertAlign w:val="superscript"/>
        </w:rPr>
        <w:footnoteReference w:id="111"/>
      </w:r>
      <w:r w:rsidRPr="004D79FF">
        <w:rPr>
          <w:rFonts w:eastAsia="Times New Roman"/>
        </w:rPr>
        <w:t xml:space="preserve"> garantētais minimālais ienākumu līmenis (GMI) vienai personai </w:t>
      </w:r>
      <w:r>
        <w:rPr>
          <w:rFonts w:eastAsia="Times New Roman"/>
        </w:rPr>
        <w:t xml:space="preserve">Izvērtējuma periodā bija 49,80 EUR </w:t>
      </w:r>
      <w:r w:rsidRPr="004D79FF">
        <w:rPr>
          <w:rFonts w:eastAsia="Times New Roman"/>
        </w:rPr>
        <w:t xml:space="preserve">mēnesī. </w:t>
      </w:r>
      <w:r>
        <w:rPr>
          <w:rFonts w:eastAsia="Times New Roman"/>
        </w:rPr>
        <w:t xml:space="preserve">Tā apmērs ilgstoši nav pārskatīts, lai gan kopš 2018. gada tas ir 53 EUR. </w:t>
      </w:r>
      <w:r w:rsidRPr="004D79FF">
        <w:rPr>
          <w:rFonts w:eastAsia="Times New Roman"/>
        </w:rPr>
        <w:t>Pašvaldībām ir tiesības noteikt atšķirīgu GMI. 2014.</w:t>
      </w:r>
      <w:r>
        <w:rPr>
          <w:rFonts w:eastAsia="Times New Roman"/>
        </w:rPr>
        <w:t xml:space="preserve"> </w:t>
      </w:r>
      <w:r w:rsidRPr="004D79FF">
        <w:rPr>
          <w:rFonts w:eastAsia="Times New Roman"/>
        </w:rPr>
        <w:t xml:space="preserve">gadā tāds bija </w:t>
      </w:r>
      <w:r>
        <w:rPr>
          <w:rFonts w:eastAsia="Times New Roman"/>
        </w:rPr>
        <w:t xml:space="preserve">noteikts </w:t>
      </w:r>
      <w:r w:rsidRPr="004D79FF">
        <w:rPr>
          <w:rFonts w:eastAsia="Times New Roman"/>
        </w:rPr>
        <w:t>24 pašvaldībās personām ar invaliditāti un 23 pašvaldībās pensijas vecuma personām, 2015.</w:t>
      </w:r>
      <w:r>
        <w:rPr>
          <w:rFonts w:eastAsia="Times New Roman"/>
        </w:rPr>
        <w:t xml:space="preserve"> </w:t>
      </w:r>
      <w:r w:rsidRPr="004D79FF">
        <w:rPr>
          <w:rFonts w:eastAsia="Times New Roman"/>
        </w:rPr>
        <w:t>gadā – 18 pašvaldībās personām ar invaliditāti un 16 pašvaldībās pensijas vecuma personām, savukārt 2016</w:t>
      </w:r>
      <w:r>
        <w:rPr>
          <w:rFonts w:eastAsia="Times New Roman"/>
        </w:rPr>
        <w:t xml:space="preserve">. </w:t>
      </w:r>
      <w:r w:rsidRPr="004D79FF">
        <w:rPr>
          <w:rFonts w:eastAsia="Times New Roman"/>
        </w:rPr>
        <w:t>gadā attiecīgi 23 un 22 pašvaldībās bija noteikts atšķirīgs GMI divām minētajām mērķa grupām.</w:t>
      </w:r>
      <w:r>
        <w:rPr>
          <w:rStyle w:val="FootnoteReference"/>
          <w:rFonts w:eastAsia="Times New Roman"/>
        </w:rPr>
        <w:footnoteReference w:id="112"/>
      </w:r>
      <w:r w:rsidRPr="004D79FF">
        <w:rPr>
          <w:rFonts w:eastAsia="Times New Roman"/>
        </w:rPr>
        <w:t xml:space="preserve">  </w:t>
      </w:r>
    </w:p>
    <w:p w:rsidR="002809B6" w:rsidRDefault="002809B6">
      <w:pPr>
        <w:spacing w:line="240" w:lineRule="auto"/>
        <w:jc w:val="left"/>
        <w:rPr>
          <w:b/>
          <w:color w:val="002060"/>
        </w:rPr>
      </w:pPr>
      <w:bookmarkStart w:id="274" w:name="_Toc6220107"/>
      <w:r>
        <w:rPr>
          <w:b/>
          <w:color w:val="002060"/>
        </w:rPr>
        <w:br w:type="page"/>
      </w:r>
    </w:p>
    <w:p w:rsidR="00255CC4" w:rsidRPr="002809B6" w:rsidRDefault="00AD3EDD" w:rsidP="002809B6">
      <w:pPr>
        <w:spacing w:before="240" w:after="120"/>
        <w:jc w:val="left"/>
        <w:rPr>
          <w:b/>
          <w:color w:val="002060"/>
        </w:rPr>
      </w:pPr>
      <w:r w:rsidRPr="002809B6">
        <w:rPr>
          <w:b/>
          <w:color w:val="002060"/>
        </w:rPr>
        <w:lastRenderedPageBreak/>
        <w:fldChar w:fldCharType="begin"/>
      </w:r>
      <w:r w:rsidR="006B5456" w:rsidRPr="002809B6">
        <w:rPr>
          <w:b/>
          <w:color w:val="002060"/>
        </w:rPr>
        <w:instrText xml:space="preserve"> STYLEREF 1 \s </w:instrText>
      </w:r>
      <w:r w:rsidRPr="002809B6">
        <w:rPr>
          <w:b/>
          <w:color w:val="002060"/>
        </w:rPr>
        <w:fldChar w:fldCharType="separate"/>
      </w:r>
      <w:bookmarkStart w:id="275" w:name="_Toc6855771"/>
      <w:r w:rsidR="00224B50">
        <w:rPr>
          <w:b/>
          <w:noProof/>
          <w:color w:val="002060"/>
        </w:rPr>
        <w:t>1</w:t>
      </w:r>
      <w:r w:rsidRPr="002809B6">
        <w:rPr>
          <w:b/>
          <w:color w:val="002060"/>
        </w:rPr>
        <w:fldChar w:fldCharType="end"/>
      </w:r>
      <w:r w:rsidR="006B5456" w:rsidRPr="002809B6">
        <w:rPr>
          <w:b/>
          <w:color w:val="002060"/>
        </w:rPr>
        <w:t>.</w:t>
      </w:r>
      <w:r w:rsidRPr="002809B6">
        <w:rPr>
          <w:b/>
          <w:color w:val="002060"/>
        </w:rPr>
        <w:fldChar w:fldCharType="begin"/>
      </w:r>
      <w:r w:rsidR="000F1524" w:rsidRPr="002809B6">
        <w:rPr>
          <w:b/>
          <w:color w:val="002060"/>
        </w:rPr>
        <w:instrText xml:space="preserve"> SEQ Ilustrācija \* ARABIC \s 1 </w:instrText>
      </w:r>
      <w:r w:rsidRPr="002809B6">
        <w:rPr>
          <w:b/>
          <w:color w:val="002060"/>
        </w:rPr>
        <w:fldChar w:fldCharType="separate"/>
      </w:r>
      <w:r w:rsidR="00224B50">
        <w:rPr>
          <w:b/>
          <w:noProof/>
          <w:color w:val="002060"/>
        </w:rPr>
        <w:t>17</w:t>
      </w:r>
      <w:r w:rsidRPr="002809B6">
        <w:rPr>
          <w:b/>
          <w:color w:val="002060"/>
        </w:rPr>
        <w:fldChar w:fldCharType="end"/>
      </w:r>
      <w:r w:rsidR="00255CC4" w:rsidRPr="002809B6">
        <w:rPr>
          <w:b/>
          <w:color w:val="002060"/>
        </w:rPr>
        <w:t>. attēls. GMI pabalsta saņēmēji (personas ģimenēs) sadalījumā pa sociāli demogrāfiskajām grupām (2014 – 2016, % no kopējā skaita)</w:t>
      </w:r>
      <w:bookmarkEnd w:id="274"/>
      <w:bookmarkEnd w:id="275"/>
    </w:p>
    <w:p w:rsidR="00255CC4" w:rsidRDefault="00255CC4" w:rsidP="00255CC4">
      <w:pPr>
        <w:pStyle w:val="virsrakstslvl4"/>
      </w:pPr>
      <w:r w:rsidRPr="00F64F5E">
        <w:rPr>
          <w:noProof/>
        </w:rPr>
        <w:drawing>
          <wp:inline distT="0" distB="0" distL="0" distR="0">
            <wp:extent cx="6115050" cy="2962275"/>
            <wp:effectExtent l="19050" t="0" r="0" b="0"/>
            <wp:docPr id="5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6115050" cy="2962275"/>
                    </a:xfrm>
                    <a:prstGeom prst="rect">
                      <a:avLst/>
                    </a:prstGeom>
                    <a:noFill/>
                    <a:ln w="9525">
                      <a:noFill/>
                      <a:miter lim="800000"/>
                      <a:headEnd/>
                      <a:tailEnd/>
                    </a:ln>
                  </pic:spPr>
                </pic:pic>
              </a:graphicData>
            </a:graphic>
          </wp:inline>
        </w:drawing>
      </w:r>
    </w:p>
    <w:p w:rsidR="00255CC4" w:rsidRDefault="00255CC4" w:rsidP="00255CC4">
      <w:pPr>
        <w:spacing w:line="240" w:lineRule="auto"/>
        <w:rPr>
          <w:bCs/>
          <w:sz w:val="20"/>
          <w:szCs w:val="20"/>
        </w:rPr>
      </w:pPr>
      <w:r w:rsidRPr="004E69B2">
        <w:rPr>
          <w:sz w:val="20"/>
          <w:szCs w:val="20"/>
        </w:rPr>
        <w:t xml:space="preserve">Avots: LM, </w:t>
      </w:r>
      <w:r w:rsidRPr="004E69B2">
        <w:rPr>
          <w:bCs/>
          <w:sz w:val="20"/>
          <w:szCs w:val="20"/>
        </w:rPr>
        <w:t>Oficiālā statistika sociālo pakalpojumu un sociālās palīdzības jomā</w:t>
      </w:r>
      <w:r>
        <w:rPr>
          <w:bCs/>
          <w:sz w:val="20"/>
          <w:szCs w:val="20"/>
        </w:rPr>
        <w:t xml:space="preserve">. </w:t>
      </w:r>
      <w:r w:rsidRPr="00D417AF">
        <w:rPr>
          <w:bCs/>
          <w:sz w:val="20"/>
          <w:szCs w:val="20"/>
        </w:rPr>
        <w:t>Pabalsts garantētā minimālā ienākumu līmeņa nodrošināšana</w:t>
      </w:r>
      <w:r>
        <w:rPr>
          <w:bCs/>
          <w:sz w:val="20"/>
          <w:szCs w:val="20"/>
        </w:rPr>
        <w:t>i.</w:t>
      </w:r>
    </w:p>
    <w:p w:rsidR="00255CC4" w:rsidRPr="00D417AF" w:rsidRDefault="00255CC4" w:rsidP="00255CC4">
      <w:pPr>
        <w:rPr>
          <w:bCs/>
          <w:sz w:val="20"/>
          <w:szCs w:val="20"/>
        </w:rPr>
      </w:pPr>
    </w:p>
    <w:p w:rsidR="00255CC4" w:rsidRDefault="00255CC4" w:rsidP="00255CC4">
      <w:pPr>
        <w:rPr>
          <w:rFonts w:eastAsia="Times New Roman"/>
        </w:rPr>
      </w:pPr>
      <w:r>
        <w:rPr>
          <w:rFonts w:eastAsia="Times New Roman"/>
        </w:rPr>
        <w:t xml:space="preserve">Kopējais GMI pabalsta saņēmēju skaits Izvērtējuma periodā ir samazinājies par 39,7%. 2016. gadā GMI pabalstu valstī kopumā saņēma 46 026 personas, no tām 20 473 deviņu lielo pilsētu pašvaldībās un 25 553 novadu pašvaldībās. No visiem GMI pabalsta saņēmējiem 2014. gadā 49,4% bija vīrieši un 50,6% sievietes, 2015. gadā – 51,1% vīrieši un 48,9% sievietes, bet 2016. gadā – vīriešu īpatsvars palielinājās līdz 52,7%, attiecīgi sarūkot sieviešu īpatsvaram līdz 47,3%. </w:t>
      </w:r>
      <w:r w:rsidRPr="007E078A">
        <w:rPr>
          <w:rFonts w:eastAsia="Times New Roman"/>
        </w:rPr>
        <w:t xml:space="preserve">Dati </w:t>
      </w:r>
      <w:r>
        <w:rPr>
          <w:rFonts w:eastAsia="Times New Roman"/>
        </w:rPr>
        <w:t>par GMI pabalsta saņēmēju profilu, kas apkopoti un atspoguļoti 1.1</w:t>
      </w:r>
      <w:r w:rsidR="001B4226">
        <w:rPr>
          <w:rFonts w:eastAsia="Times New Roman"/>
        </w:rPr>
        <w:t>6</w:t>
      </w:r>
      <w:r>
        <w:rPr>
          <w:rFonts w:eastAsia="Times New Roman"/>
        </w:rPr>
        <w:t>.attēlā (absolūtajos skaitļos) un 1.1</w:t>
      </w:r>
      <w:r w:rsidR="001B4226">
        <w:rPr>
          <w:rFonts w:eastAsia="Times New Roman"/>
        </w:rPr>
        <w:t>7</w:t>
      </w:r>
      <w:r>
        <w:rPr>
          <w:rFonts w:eastAsia="Times New Roman"/>
        </w:rPr>
        <w:t xml:space="preserve">.attēlā (īpatsvara izteiksmē) rāda, ka </w:t>
      </w:r>
      <w:r w:rsidRPr="00A30F3F">
        <w:rPr>
          <w:rFonts w:eastAsia="Times New Roman"/>
          <w:b/>
        </w:rPr>
        <w:t>turpina samazināties bērnu īpatsvars GMI pabalsta saņēmēju vidū</w:t>
      </w:r>
      <w:r>
        <w:rPr>
          <w:rFonts w:eastAsia="Times New Roman"/>
        </w:rPr>
        <w:t xml:space="preserve"> – no 29,1% 2014. gadā līdz 24,8% 2015. gadā un 20,7% 2016.gadā, veidojot kopējo samazinājumu par 8,5 procentpunktiem. </w:t>
      </w:r>
      <w:r w:rsidRPr="00A30F3F">
        <w:rPr>
          <w:rFonts w:eastAsia="Times New Roman"/>
          <w:b/>
        </w:rPr>
        <w:t>Samazinājies ir strādājošo personu īpatsvars, kas saņem GMI pabalstu</w:t>
      </w:r>
      <w:r>
        <w:rPr>
          <w:rFonts w:eastAsia="Times New Roman"/>
        </w:rPr>
        <w:t xml:space="preserve"> (no 10,7% 2014. gadā līdz 8,8% 2016. gadā). Tāpat starp GMI pabalsta saņēmējiem ir samazinājies arī personu, kuras atrodas bērna kopšanas atvaļinājumā, skaits. </w:t>
      </w:r>
    </w:p>
    <w:p w:rsidR="00255CC4" w:rsidRDefault="00255CC4" w:rsidP="00255CC4">
      <w:pPr>
        <w:rPr>
          <w:rFonts w:eastAsia="Times New Roman"/>
        </w:rPr>
      </w:pPr>
    </w:p>
    <w:p w:rsidR="00426ECC" w:rsidRDefault="000B3DB1" w:rsidP="00C33A64">
      <w:r>
        <w:t>1.18</w:t>
      </w:r>
      <w:r w:rsidR="00426ECC" w:rsidRPr="00A02780">
        <w:t xml:space="preserve">. </w:t>
      </w:r>
      <w:r w:rsidR="00426ECC">
        <w:t xml:space="preserve">attēlā apkopotie GMI pabalsta saņēmēju profilu raksturojošie dati valstī kopumā un sadalījumā pa pilsētu un novadu pašvaldībām atklāj, ka 2016. gadā pilngadīgo darbspējīgo iedzīvotāju vidū tas ir augstāks tieši novadu pašvaldībās (64%), kamēr pilsētu pašvaldībās šajā mērķa grupā ir 41,8% GMI pabalsta saņēmēju. Savukārt, skatoties pilngadīgo darbspējīgo personu apakšgrupas, lielāko grupu veido tieši nestrādājošās personas – 42,4% valstī kopumā, 29,4% deviņu lielo pilsētu pašvaldībās un 54% novadu pašvaldībās. Ievērojamas atšķirības ir vērojamas starp pilsētu un novadu pašvaldībām pilngadīgo personu ar invaliditāti grupā. Valstī kopumā no visiem GMI pabalsta saņēmējiem 13,5% ir personas ar invaliditāti, kamēr  pilsētu pašvaldībās 21% ir personas ar invaliditāti, bet novadu pašvaldībās tikai 6,8%. Līdzīga tendence ir arī pensijas vecuma personu grupā – pilsētu pašvaldībās 15,8%, kamēr novadu pašvaldībās – 6,6%. </w:t>
      </w:r>
    </w:p>
    <w:p w:rsidR="00E13D1A" w:rsidRDefault="00E13D1A" w:rsidP="00426ECC">
      <w:pPr>
        <w:rPr>
          <w:rFonts w:eastAsia="Times New Roman"/>
        </w:rPr>
      </w:pPr>
    </w:p>
    <w:p w:rsidR="00E13D1A" w:rsidRDefault="00E13D1A" w:rsidP="00426ECC">
      <w:pPr>
        <w:rPr>
          <w:rFonts w:eastAsia="Times New Roman"/>
        </w:rPr>
      </w:pPr>
    </w:p>
    <w:p w:rsidR="00E13D1A" w:rsidRPr="00D62BB4" w:rsidRDefault="00E13D1A" w:rsidP="002809B6">
      <w:pPr>
        <w:jc w:val="left"/>
        <w:rPr>
          <w:b/>
          <w:color w:val="002060"/>
        </w:rPr>
      </w:pPr>
      <w:r w:rsidRPr="00D62BB4">
        <w:rPr>
          <w:b/>
          <w:noProof/>
          <w:color w:val="002060"/>
        </w:rPr>
        <w:lastRenderedPageBreak/>
        <w:drawing>
          <wp:anchor distT="0" distB="0" distL="114300" distR="114300" simplePos="0" relativeHeight="251672576" behindDoc="1" locked="0" layoutInCell="1" allowOverlap="1">
            <wp:simplePos x="0" y="0"/>
            <wp:positionH relativeFrom="column">
              <wp:posOffset>331</wp:posOffset>
            </wp:positionH>
            <wp:positionV relativeFrom="paragraph">
              <wp:posOffset>628926</wp:posOffset>
            </wp:positionV>
            <wp:extent cx="2381250" cy="2306955"/>
            <wp:effectExtent l="0" t="0" r="0" b="0"/>
            <wp:wrapTopAndBottom/>
            <wp:docPr id="8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Pr="00D62BB4">
        <w:rPr>
          <w:b/>
          <w:color w:val="002060"/>
        </w:rPr>
        <w:t xml:space="preserve">1.18. attēls. GMI pabalsta saņēmēji (personas ģimenēs) sadalījumā pa sociāli demogrāfiskajām grupām 2016. gadā </w:t>
      </w:r>
      <w:r w:rsidR="00082335" w:rsidRPr="00D62BB4">
        <w:rPr>
          <w:b/>
          <w:color w:val="002060"/>
        </w:rPr>
        <w:t xml:space="preserve">valstī, novados, lielajās pilsētās </w:t>
      </w:r>
      <w:r w:rsidRPr="00D62BB4">
        <w:rPr>
          <w:b/>
          <w:color w:val="002060"/>
        </w:rPr>
        <w:t>(% no kopējā skaita)</w:t>
      </w:r>
    </w:p>
    <w:p w:rsidR="00E13D1A" w:rsidRDefault="00FA1B47" w:rsidP="00426ECC">
      <w:pPr>
        <w:rPr>
          <w:rFonts w:eastAsia="Times New Roman"/>
        </w:rPr>
      </w:pPr>
      <w:r>
        <w:rPr>
          <w:rFonts w:eastAsia="Times New Roman"/>
          <w:noProof/>
        </w:rPr>
        <w:drawing>
          <wp:anchor distT="0" distB="0" distL="114300" distR="114300" simplePos="0" relativeHeight="251670528" behindDoc="0" locked="0" layoutInCell="1" allowOverlap="1">
            <wp:simplePos x="0" y="0"/>
            <wp:positionH relativeFrom="column">
              <wp:posOffset>3813175</wp:posOffset>
            </wp:positionH>
            <wp:positionV relativeFrom="paragraph">
              <wp:posOffset>223520</wp:posOffset>
            </wp:positionV>
            <wp:extent cx="2945130" cy="2243455"/>
            <wp:effectExtent l="0" t="0" r="0" b="0"/>
            <wp:wrapNone/>
            <wp:docPr id="7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Pr>
          <w:rFonts w:eastAsia="Times New Roman"/>
          <w:noProof/>
        </w:rPr>
        <w:drawing>
          <wp:anchor distT="0" distB="0" distL="114300" distR="114300" simplePos="0" relativeHeight="251669504" behindDoc="0" locked="0" layoutInCell="1" allowOverlap="1">
            <wp:simplePos x="0" y="0"/>
            <wp:positionH relativeFrom="column">
              <wp:posOffset>1750695</wp:posOffset>
            </wp:positionH>
            <wp:positionV relativeFrom="paragraph">
              <wp:posOffset>223520</wp:posOffset>
            </wp:positionV>
            <wp:extent cx="2849245" cy="2243455"/>
            <wp:effectExtent l="0" t="0" r="0" b="0"/>
            <wp:wrapNone/>
            <wp:docPr id="7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E13D1A" w:rsidRDefault="00E13D1A" w:rsidP="00E13D1A">
      <w:pPr>
        <w:jc w:val="center"/>
        <w:rPr>
          <w:rFonts w:eastAsia="Times New Roman"/>
        </w:rPr>
      </w:pPr>
      <w:r>
        <w:rPr>
          <w:noProof/>
        </w:rPr>
        <w:drawing>
          <wp:inline distT="0" distB="0" distL="0" distR="0">
            <wp:extent cx="3734243" cy="761302"/>
            <wp:effectExtent l="19050" t="0" r="0" b="0"/>
            <wp:docPr id="8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cstate="print"/>
                    <a:srcRect/>
                    <a:stretch>
                      <a:fillRect/>
                    </a:stretch>
                  </pic:blipFill>
                  <pic:spPr bwMode="auto">
                    <a:xfrm>
                      <a:off x="0" y="0"/>
                      <a:ext cx="3735540" cy="761566"/>
                    </a:xfrm>
                    <a:prstGeom prst="rect">
                      <a:avLst/>
                    </a:prstGeom>
                    <a:noFill/>
                    <a:ln w="9525">
                      <a:noFill/>
                      <a:miter lim="800000"/>
                      <a:headEnd/>
                      <a:tailEnd/>
                    </a:ln>
                  </pic:spPr>
                </pic:pic>
              </a:graphicData>
            </a:graphic>
          </wp:inline>
        </w:drawing>
      </w:r>
    </w:p>
    <w:p w:rsidR="00941797" w:rsidRDefault="00941797" w:rsidP="00941797">
      <w:pPr>
        <w:spacing w:line="240" w:lineRule="auto"/>
        <w:jc w:val="center"/>
        <w:rPr>
          <w:noProof/>
        </w:rPr>
      </w:pPr>
    </w:p>
    <w:p w:rsidR="00255CC4" w:rsidRDefault="00255CC4" w:rsidP="00255CC4">
      <w:pPr>
        <w:rPr>
          <w:rFonts w:eastAsia="Times New Roman"/>
        </w:rPr>
      </w:pPr>
      <w:r>
        <w:rPr>
          <w:rFonts w:eastAsia="Times New Roman"/>
          <w:b/>
        </w:rPr>
        <w:t>GMI pabalsta saņēmēju p</w:t>
      </w:r>
      <w:r w:rsidRPr="00511E93">
        <w:rPr>
          <w:rFonts w:eastAsia="Times New Roman"/>
          <w:b/>
        </w:rPr>
        <w:t xml:space="preserve">ieaugums vērojams </w:t>
      </w:r>
      <w:r w:rsidRPr="00511E93">
        <w:rPr>
          <w:rFonts w:eastAsia="Times New Roman"/>
        </w:rPr>
        <w:t>trīs mērķa grupās</w:t>
      </w:r>
      <w:r w:rsidRPr="00511E93">
        <w:rPr>
          <w:rFonts w:eastAsia="Times New Roman"/>
          <w:b/>
        </w:rPr>
        <w:t xml:space="preserve"> – pensijas vecuma cilvēku </w:t>
      </w:r>
      <w:r w:rsidRPr="00511E93">
        <w:rPr>
          <w:rFonts w:eastAsia="Times New Roman"/>
        </w:rPr>
        <w:t>vidū</w:t>
      </w:r>
      <w:r>
        <w:rPr>
          <w:rFonts w:eastAsia="Times New Roman"/>
        </w:rPr>
        <w:t xml:space="preserve"> (no 7,2% 2014. gadā līdz 11% 2016. gadā), </w:t>
      </w:r>
      <w:r w:rsidRPr="00511E93">
        <w:rPr>
          <w:rFonts w:eastAsia="Times New Roman"/>
          <w:b/>
        </w:rPr>
        <w:t xml:space="preserve">nestrādājošo darbspējīgo iedzīvotāju </w:t>
      </w:r>
      <w:r w:rsidRPr="00511E93">
        <w:rPr>
          <w:rFonts w:eastAsia="Times New Roman"/>
        </w:rPr>
        <w:t>vidū</w:t>
      </w:r>
      <w:r>
        <w:rPr>
          <w:rFonts w:eastAsia="Times New Roman"/>
        </w:rPr>
        <w:t xml:space="preserve"> (no 38,4% 2014. gadā līdz 42,4% 2016. gadā, kas ir vislielākais pieaugums no visām apakšgrupām – 4 procentpunkti) un </w:t>
      </w:r>
      <w:r w:rsidRPr="00511E93">
        <w:rPr>
          <w:rFonts w:eastAsia="Times New Roman"/>
          <w:b/>
        </w:rPr>
        <w:t xml:space="preserve">pilngadīgo personu ar invaliditāti </w:t>
      </w:r>
      <w:r w:rsidRPr="00511E93">
        <w:rPr>
          <w:rFonts w:eastAsia="Times New Roman"/>
        </w:rPr>
        <w:t>vidū</w:t>
      </w:r>
      <w:r>
        <w:rPr>
          <w:rFonts w:eastAsia="Times New Roman"/>
        </w:rPr>
        <w:t xml:space="preserve"> (no 9,8% 2014. gadā līdz 13,5% 2016. gadā; pieaugums par 3,7 procentpunktiem)</w:t>
      </w:r>
      <w:r w:rsidR="00764353">
        <w:rPr>
          <w:rFonts w:eastAsia="Times New Roman"/>
        </w:rPr>
        <w:t>, kas lielā mērā izriet no tā, ka ir samazinājies divu grupu – strādājošu personu un nestrādājošu darbspējīgu personu skaits GMI pabalsta saņēmēju vidū</w:t>
      </w:r>
      <w:r>
        <w:rPr>
          <w:rFonts w:eastAsia="Times New Roman"/>
        </w:rPr>
        <w:t>.</w:t>
      </w:r>
      <w:r w:rsidR="00764353">
        <w:rPr>
          <w:rFonts w:eastAsia="Times New Roman"/>
        </w:rPr>
        <w:t xml:space="preserve"> Samazinoties šo personu skaitam, samazinās to proporcija no kopējā GMI pabalsta saņēmēju skaita, </w:t>
      </w:r>
      <w:r w:rsidR="00DE3A43">
        <w:rPr>
          <w:rFonts w:eastAsia="Times New Roman"/>
        </w:rPr>
        <w:t>kā arī bērnu skaits, ja GMI pabalstu vairs nesaņem viņa vecāki; tā</w:t>
      </w:r>
      <w:r w:rsidR="00764353">
        <w:rPr>
          <w:rFonts w:eastAsia="Times New Roman"/>
        </w:rPr>
        <w:t xml:space="preserve"> rezultātā pārējo grupu relatīvais īpatsvars</w:t>
      </w:r>
      <w:r>
        <w:rPr>
          <w:rFonts w:eastAsia="Times New Roman"/>
        </w:rPr>
        <w:t xml:space="preserve"> </w:t>
      </w:r>
      <w:r w:rsidR="00764353">
        <w:rPr>
          <w:rFonts w:eastAsia="Times New Roman"/>
        </w:rPr>
        <w:t xml:space="preserve">pieaug. </w:t>
      </w:r>
      <w:r>
        <w:rPr>
          <w:rFonts w:eastAsia="Times New Roman"/>
        </w:rPr>
        <w:t xml:space="preserve">Attiecībā uz vecuma pensijas un invaliditātes pensijas saņēmējiem iespējamais skaidrojums to pieaugumam GMI pabalsta saņēmēju vidū ir </w:t>
      </w:r>
      <w:r w:rsidR="00764353">
        <w:rPr>
          <w:rFonts w:eastAsia="Times New Roman"/>
        </w:rPr>
        <w:t xml:space="preserve">arī </w:t>
      </w:r>
      <w:r>
        <w:rPr>
          <w:rFonts w:eastAsia="Times New Roman"/>
        </w:rPr>
        <w:t xml:space="preserve">tas, ka mājsaimniecības locekļiem, kas dzīvo kopā ar viņiem, ir ļoti zemi ienākumi vai to nav, kā rezultātā uz vienu mājsaimniecības locekli aprēķinātais ienākums ir zem GMI sliekšņa. Personu ar invaliditāti gadījumā skaidrojumu sniedz arī šīs grupas ienākumu padziļināta analīze 1.2.6. sadaļā. </w:t>
      </w:r>
    </w:p>
    <w:p w:rsidR="00255CC4" w:rsidRDefault="00255CC4" w:rsidP="00255CC4">
      <w:pPr>
        <w:rPr>
          <w:rFonts w:eastAsia="Times New Roman"/>
        </w:rPr>
      </w:pPr>
    </w:p>
    <w:p w:rsidR="00620882" w:rsidRDefault="00255CC4" w:rsidP="00255CC4">
      <w:pPr>
        <w:rPr>
          <w:rFonts w:eastAsia="Times New Roman"/>
        </w:rPr>
      </w:pPr>
      <w:r>
        <w:rPr>
          <w:rFonts w:eastAsia="Times New Roman"/>
        </w:rPr>
        <w:t xml:space="preserve">GMI pabalsta saņēmēju pieaugums nestrādājošo darbspējīgo iedzīvotāju vidū (šajā grupā nav iekļauti vecuma un invaliditātes pensijas saņēmēji) analizējams kontekstā ar bezdarba rādītājiem. Bezdarba līmenis laikā no 2014. gada līdz 2016. gadam samazinājās par 1,2 procentpunktiem, t.i., no 10,8% 2014. gadā līdz 9,6% 2016. gadā. Ilgstošā bezdarba rādītāji kritās vēl lēnāk – no 4,6% 2014. gadā līdz 4% 2016. gadā. CSP dati atklāj, ka 2016. gadā kopumā bija 19 600 personas vecumā no 25 līdz 54 gadiem, kuras ir gatavas uzsākt darbu, bet to nemeklē, vecumā no 15 līdz 54 gadiem tādas ir 25 000 personas. Savukārt saskaņā ar pašvaldību administratīvajiem datiem nestrādājošo darbspējīgo iedzīvotāju, kas saņem GMI pabalstu, skaits 2016. gadā bija 11 779. Šo datu salīdzinājums sniedz vismaz daļēju skaidrojumu augstajam GMI pabalsta saņēmēju īpatsvaram no visiem GMI pabalsta saņēmējiem nestrādājošo darbspējīgo iedzīvotāju vidū. Proti, šajā grupā, iespējams, ir liela daļa personu ar zemu nodarbinātības motivāciju. Vērā ņemams faktors ir tas, ka lielākā daļa no šīm </w:t>
      </w:r>
      <w:r>
        <w:rPr>
          <w:rFonts w:eastAsia="Times New Roman"/>
        </w:rPr>
        <w:lastRenderedPageBreak/>
        <w:t xml:space="preserve">11 779 personām ir novadu pašvaldību iedzīvotāji, kur ir objektīvi lielākas grūtības atrast darbu, nekā tas ir pilsētās. Papildu faktors ir šo personu subjektīvie ierobežojumi strādāt algotu darbu – veselības stāvoklis, rūpes par ģimenes locekļiem, ierobežotas mobilitātes iespējas, piemēram, mājokļa dēļ, pirmspensijas vecums kā vēl viens darba meklējumus apgrūtinošs faktors, darba tirgus pieprasījumam neatbilstošas prasmes u.c. </w:t>
      </w:r>
    </w:p>
    <w:p w:rsidR="00620882" w:rsidRDefault="00620882" w:rsidP="00255CC4">
      <w:pPr>
        <w:rPr>
          <w:rFonts w:eastAsia="Times New Roman"/>
        </w:rPr>
      </w:pPr>
    </w:p>
    <w:p w:rsidR="00255CC4" w:rsidRDefault="00CE667D" w:rsidP="00255CC4">
      <w:pPr>
        <w:rPr>
          <w:rFonts w:eastAsia="Times New Roman"/>
        </w:rPr>
      </w:pPr>
      <w:r>
        <w:rPr>
          <w:rFonts w:eastAsia="Times New Roman"/>
        </w:rPr>
        <w:t xml:space="preserve">OECD veiktā nestrādājošo darbspējīgo personu, kas saņēmušas GMI pabalstu, analīze apstiprina, ka nav novērojama </w:t>
      </w:r>
      <w:r w:rsidR="00620882">
        <w:rPr>
          <w:rFonts w:eastAsia="Times New Roman"/>
        </w:rPr>
        <w:t xml:space="preserve">nozīmīga </w:t>
      </w:r>
      <w:r>
        <w:rPr>
          <w:rFonts w:eastAsia="Times New Roman"/>
        </w:rPr>
        <w:t xml:space="preserve">personas atkarība no </w:t>
      </w:r>
      <w:r w:rsidR="00620882">
        <w:rPr>
          <w:rFonts w:eastAsia="Times New Roman"/>
        </w:rPr>
        <w:t>šī pabalsta</w:t>
      </w:r>
      <w:r>
        <w:rPr>
          <w:rFonts w:eastAsia="Times New Roman"/>
        </w:rPr>
        <w:t>, jo ir cieši sasaistīta ar personas reģistrēšanos NVA un līdzdalību aktīvajos nodarbinātības pasākumos.</w:t>
      </w:r>
      <w:r w:rsidR="00620882">
        <w:rPr>
          <w:rFonts w:eastAsia="Times New Roman"/>
        </w:rPr>
        <w:t xml:space="preserve"> GMI pabalsts kalpo divējādi – daļai personu tas ir īstermiņa situācijas risinājums, savukārt noteiktām sabiedrības grupām – jau ilgtermiņa risinājums. Tomēr ilgtermiņa risinājums GMI pabalsts ir cilvēkiem, kuriem ir būtiskas problēmas iekļauties darba tirgū, piemēram, personām ar invaliditāti, pirmspensijas vecuma cilvēkiem</w:t>
      </w:r>
      <w:r w:rsidR="00620882">
        <w:rPr>
          <w:rStyle w:val="FootnoteReference"/>
          <w:rFonts w:eastAsia="Times New Roman"/>
        </w:rPr>
        <w:footnoteReference w:id="113"/>
      </w:r>
      <w:r w:rsidR="00620882">
        <w:rPr>
          <w:rFonts w:eastAsia="Times New Roman"/>
        </w:rPr>
        <w:t>.</w:t>
      </w:r>
    </w:p>
    <w:p w:rsidR="00255CC4" w:rsidRDefault="00255CC4" w:rsidP="00255CC4">
      <w:pPr>
        <w:rPr>
          <w:rFonts w:eastAsia="Times New Roman"/>
        </w:rPr>
      </w:pPr>
    </w:p>
    <w:p w:rsidR="00255CC4" w:rsidRDefault="00255CC4" w:rsidP="00255CC4">
      <w:pPr>
        <w:rPr>
          <w:rFonts w:eastAsia="Times New Roman"/>
        </w:rPr>
      </w:pPr>
      <w:r>
        <w:rPr>
          <w:rFonts w:eastAsia="Times New Roman"/>
        </w:rPr>
        <w:t>GMI pabalstam izlietoto līdzekļu apmērs valstī, pilsētu un novadu pašvaldībās absolūtajos skaitļos ir atspoguļots</w:t>
      </w:r>
      <w:r w:rsidR="008C6B83">
        <w:rPr>
          <w:rFonts w:eastAsia="Times New Roman"/>
        </w:rPr>
        <w:t xml:space="preserve"> </w:t>
      </w:r>
      <w:r w:rsidR="00A02780">
        <w:rPr>
          <w:rFonts w:eastAsia="Times New Roman"/>
        </w:rPr>
        <w:t>1.</w:t>
      </w:r>
      <w:r w:rsidR="00761553">
        <w:rPr>
          <w:rFonts w:eastAsia="Times New Roman"/>
        </w:rPr>
        <w:t>33.</w:t>
      </w:r>
      <w:r>
        <w:rPr>
          <w:rFonts w:eastAsia="Times New Roman"/>
        </w:rPr>
        <w:t xml:space="preserve"> tabulā. Kopējie izlietotie līdzekļi GMI pabalsta izmaksai laikā no 2014. gada līdz 2016. gadam ir samazinājušies par 31,5%. Mazāks šis samazinājums ir novadu pašvaldībās – par 12,7%, savukārt pilsētu pašvaldībās par 19,1%. </w:t>
      </w:r>
    </w:p>
    <w:bookmarkStart w:id="276" w:name="_Toc6220109"/>
    <w:p w:rsidR="00255CC4" w:rsidRDefault="00AD3EDD" w:rsidP="008C6B83">
      <w:pPr>
        <w:pStyle w:val="Caption"/>
      </w:pPr>
      <w:r>
        <w:fldChar w:fldCharType="begin"/>
      </w:r>
      <w:r w:rsidR="00A46B54">
        <w:instrText xml:space="preserve"> STYLEREF 1 \s </w:instrText>
      </w:r>
      <w:r>
        <w:fldChar w:fldCharType="separate"/>
      </w:r>
      <w:r w:rsidR="00224B50">
        <w:rPr>
          <w:noProof/>
        </w:rPr>
        <w:t>1</w:t>
      </w:r>
      <w:r>
        <w:fldChar w:fldCharType="end"/>
      </w:r>
      <w:r w:rsidR="00A46B54">
        <w:t>.</w:t>
      </w:r>
      <w:r w:rsidR="000A7157">
        <w:t>3</w:t>
      </w:r>
      <w:r w:rsidR="00761553">
        <w:t>3</w:t>
      </w:r>
      <w:r w:rsidR="00255CC4" w:rsidRPr="00000E34">
        <w:t>. tabula.  </w:t>
      </w:r>
      <w:r w:rsidR="00255CC4">
        <w:t>GMI pabalstam izlietotie līdzekļi lielo pilsētu un novadu pašvaldībās 2014.g.-2016.g. periodā (EUR)</w:t>
      </w:r>
      <w:bookmarkEnd w:id="276"/>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2060"/>
        <w:gridCol w:w="1767"/>
        <w:gridCol w:w="1559"/>
        <w:gridCol w:w="1418"/>
      </w:tblGrid>
      <w:tr w:rsidR="00255CC4" w:rsidRPr="00082031" w:rsidTr="00082031">
        <w:trPr>
          <w:trHeight w:val="300"/>
        </w:trPr>
        <w:tc>
          <w:tcPr>
            <w:tcW w:w="1985" w:type="dxa"/>
            <w:shd w:val="clear" w:color="auto" w:fill="B8CCE4" w:themeFill="accent1" w:themeFillTint="66"/>
          </w:tcPr>
          <w:p w:rsidR="00255CC4" w:rsidRPr="00082031" w:rsidRDefault="00255CC4" w:rsidP="00082031">
            <w:pPr>
              <w:spacing w:before="80" w:after="80" w:line="240" w:lineRule="auto"/>
              <w:jc w:val="center"/>
              <w:rPr>
                <w:rFonts w:eastAsia="Times New Roman"/>
                <w:b/>
                <w:bCs/>
                <w:color w:val="002060"/>
                <w:sz w:val="22"/>
                <w:szCs w:val="22"/>
                <w:lang w:eastAsia="en-US"/>
              </w:rPr>
            </w:pPr>
            <w:r w:rsidRPr="00082031">
              <w:rPr>
                <w:rFonts w:eastAsia="Times New Roman"/>
                <w:b/>
                <w:bCs/>
                <w:color w:val="002060"/>
                <w:sz w:val="22"/>
                <w:szCs w:val="22"/>
                <w:lang w:eastAsia="en-US"/>
              </w:rPr>
              <w:t>Rādītājs</w:t>
            </w:r>
          </w:p>
        </w:tc>
        <w:tc>
          <w:tcPr>
            <w:tcW w:w="2060" w:type="dxa"/>
            <w:shd w:val="clear" w:color="auto" w:fill="B8CCE4" w:themeFill="accent1" w:themeFillTint="66"/>
            <w:noWrap/>
            <w:vAlign w:val="center"/>
            <w:hideMark/>
          </w:tcPr>
          <w:p w:rsidR="00255CC4" w:rsidRPr="00082031" w:rsidRDefault="00255CC4" w:rsidP="00082031">
            <w:pPr>
              <w:spacing w:before="80" w:after="80" w:line="240" w:lineRule="auto"/>
              <w:jc w:val="center"/>
              <w:rPr>
                <w:rFonts w:eastAsia="Times New Roman"/>
                <w:b/>
                <w:bCs/>
                <w:color w:val="002060"/>
                <w:sz w:val="22"/>
                <w:szCs w:val="22"/>
                <w:lang w:eastAsia="en-US"/>
              </w:rPr>
            </w:pPr>
            <w:r w:rsidRPr="00082031">
              <w:rPr>
                <w:rFonts w:eastAsia="Times New Roman"/>
                <w:b/>
                <w:bCs/>
                <w:color w:val="002060"/>
                <w:sz w:val="22"/>
                <w:szCs w:val="22"/>
                <w:lang w:eastAsia="en-US"/>
              </w:rPr>
              <w:t>Gads</w:t>
            </w:r>
          </w:p>
        </w:tc>
        <w:tc>
          <w:tcPr>
            <w:tcW w:w="1767" w:type="dxa"/>
            <w:shd w:val="clear" w:color="auto" w:fill="B8CCE4" w:themeFill="accent1" w:themeFillTint="66"/>
            <w:vAlign w:val="center"/>
            <w:hideMark/>
          </w:tcPr>
          <w:p w:rsidR="00255CC4" w:rsidRPr="00082031" w:rsidRDefault="00255CC4" w:rsidP="00082031">
            <w:pPr>
              <w:spacing w:before="80" w:after="80" w:line="240" w:lineRule="auto"/>
              <w:jc w:val="center"/>
              <w:rPr>
                <w:rFonts w:eastAsia="Times New Roman"/>
                <w:b/>
                <w:color w:val="002060"/>
                <w:sz w:val="22"/>
                <w:szCs w:val="22"/>
                <w:lang w:eastAsia="en-US"/>
              </w:rPr>
            </w:pPr>
            <w:r w:rsidRPr="00082031">
              <w:rPr>
                <w:rFonts w:eastAsia="Times New Roman"/>
                <w:b/>
                <w:color w:val="002060"/>
                <w:sz w:val="22"/>
                <w:szCs w:val="22"/>
                <w:lang w:eastAsia="en-US"/>
              </w:rPr>
              <w:t>Valstī kopā</w:t>
            </w:r>
          </w:p>
        </w:tc>
        <w:tc>
          <w:tcPr>
            <w:tcW w:w="1559" w:type="dxa"/>
            <w:shd w:val="clear" w:color="auto" w:fill="B8CCE4" w:themeFill="accent1" w:themeFillTint="66"/>
            <w:vAlign w:val="center"/>
            <w:hideMark/>
          </w:tcPr>
          <w:p w:rsidR="00255CC4" w:rsidRPr="00082031" w:rsidRDefault="00255CC4" w:rsidP="00082031">
            <w:pPr>
              <w:spacing w:before="80" w:after="80" w:line="240" w:lineRule="auto"/>
              <w:jc w:val="center"/>
              <w:rPr>
                <w:rFonts w:eastAsia="Times New Roman"/>
                <w:b/>
                <w:color w:val="002060"/>
                <w:sz w:val="22"/>
                <w:szCs w:val="22"/>
                <w:lang w:eastAsia="en-US"/>
              </w:rPr>
            </w:pPr>
            <w:r w:rsidRPr="00082031">
              <w:rPr>
                <w:rFonts w:eastAsia="Times New Roman"/>
                <w:b/>
                <w:color w:val="002060"/>
                <w:sz w:val="22"/>
                <w:szCs w:val="22"/>
                <w:lang w:eastAsia="en-US"/>
              </w:rPr>
              <w:t>Pilsētās</w:t>
            </w:r>
          </w:p>
        </w:tc>
        <w:tc>
          <w:tcPr>
            <w:tcW w:w="1418" w:type="dxa"/>
            <w:shd w:val="clear" w:color="auto" w:fill="B8CCE4" w:themeFill="accent1" w:themeFillTint="66"/>
            <w:vAlign w:val="center"/>
            <w:hideMark/>
          </w:tcPr>
          <w:p w:rsidR="00255CC4" w:rsidRPr="00082031" w:rsidRDefault="00255CC4" w:rsidP="00082031">
            <w:pPr>
              <w:spacing w:before="80" w:after="80" w:line="240" w:lineRule="auto"/>
              <w:jc w:val="center"/>
              <w:rPr>
                <w:rFonts w:eastAsia="Times New Roman"/>
                <w:b/>
                <w:color w:val="002060"/>
                <w:sz w:val="22"/>
                <w:szCs w:val="22"/>
                <w:lang w:eastAsia="en-US"/>
              </w:rPr>
            </w:pPr>
            <w:r w:rsidRPr="00082031">
              <w:rPr>
                <w:rFonts w:eastAsia="Times New Roman"/>
                <w:b/>
                <w:color w:val="002060"/>
                <w:sz w:val="22"/>
                <w:szCs w:val="22"/>
                <w:lang w:eastAsia="en-US"/>
              </w:rPr>
              <w:t>Novados</w:t>
            </w:r>
          </w:p>
        </w:tc>
      </w:tr>
      <w:tr w:rsidR="00255CC4" w:rsidRPr="00647F87" w:rsidTr="00255CC4">
        <w:trPr>
          <w:trHeight w:val="300"/>
        </w:trPr>
        <w:tc>
          <w:tcPr>
            <w:tcW w:w="1985" w:type="dxa"/>
            <w:vMerge w:val="restart"/>
            <w:vAlign w:val="center"/>
          </w:tcPr>
          <w:p w:rsidR="00255CC4" w:rsidRDefault="00255CC4" w:rsidP="00255CC4">
            <w:pPr>
              <w:spacing w:line="240" w:lineRule="auto"/>
              <w:jc w:val="left"/>
              <w:rPr>
                <w:rFonts w:eastAsia="Times New Roman"/>
                <w:b/>
                <w:color w:val="000000"/>
                <w:sz w:val="22"/>
                <w:szCs w:val="22"/>
                <w:lang w:eastAsia="en-US"/>
              </w:rPr>
            </w:pPr>
            <w:r w:rsidRPr="00BC1C1F">
              <w:rPr>
                <w:rFonts w:eastAsia="Times New Roman"/>
                <w:b/>
                <w:color w:val="000000"/>
                <w:sz w:val="22"/>
                <w:szCs w:val="22"/>
                <w:lang w:eastAsia="en-US"/>
              </w:rPr>
              <w:t>Izlietotie  līdzekļi</w:t>
            </w:r>
            <w:r>
              <w:rPr>
                <w:rFonts w:eastAsia="Times New Roman"/>
                <w:b/>
                <w:color w:val="000000"/>
                <w:sz w:val="22"/>
                <w:szCs w:val="22"/>
                <w:lang w:eastAsia="en-US"/>
              </w:rPr>
              <w:t>,</w:t>
            </w:r>
          </w:p>
          <w:p w:rsidR="00255CC4" w:rsidRPr="00BC1C1F" w:rsidRDefault="00255CC4" w:rsidP="00255CC4">
            <w:pPr>
              <w:spacing w:line="240" w:lineRule="auto"/>
              <w:jc w:val="left"/>
              <w:rPr>
                <w:rFonts w:eastAsia="Times New Roman"/>
                <w:b/>
                <w:color w:val="000000"/>
                <w:sz w:val="22"/>
                <w:szCs w:val="22"/>
                <w:lang w:eastAsia="en-US"/>
              </w:rPr>
            </w:pPr>
            <w:r>
              <w:rPr>
                <w:rFonts w:eastAsia="Times New Roman"/>
                <w:b/>
                <w:color w:val="000000"/>
                <w:sz w:val="22"/>
                <w:szCs w:val="22"/>
                <w:lang w:eastAsia="en-US"/>
              </w:rPr>
              <w:t>EUR</w:t>
            </w:r>
          </w:p>
        </w:tc>
        <w:tc>
          <w:tcPr>
            <w:tcW w:w="2060" w:type="dxa"/>
            <w:shd w:val="clear" w:color="auto" w:fill="auto"/>
            <w:noWrap/>
            <w:vAlign w:val="center"/>
            <w:hideMark/>
          </w:tcPr>
          <w:p w:rsidR="00255CC4" w:rsidRPr="009660AA" w:rsidRDefault="00255CC4" w:rsidP="00255CC4">
            <w:pPr>
              <w:spacing w:line="240" w:lineRule="auto"/>
              <w:jc w:val="right"/>
              <w:rPr>
                <w:rFonts w:eastAsia="Times New Roman"/>
                <w:b/>
                <w:color w:val="000000"/>
                <w:sz w:val="22"/>
                <w:szCs w:val="22"/>
                <w:lang w:eastAsia="en-US"/>
              </w:rPr>
            </w:pPr>
            <w:r w:rsidRPr="009660AA">
              <w:rPr>
                <w:rFonts w:eastAsia="Times New Roman"/>
                <w:b/>
                <w:color w:val="000000"/>
                <w:sz w:val="22"/>
                <w:szCs w:val="22"/>
                <w:lang w:eastAsia="en-US"/>
              </w:rPr>
              <w:t>2014</w:t>
            </w:r>
          </w:p>
        </w:tc>
        <w:tc>
          <w:tcPr>
            <w:tcW w:w="1767"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9 854 067</w:t>
            </w:r>
          </w:p>
        </w:tc>
        <w:tc>
          <w:tcPr>
            <w:tcW w:w="1559"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4 766 218</w:t>
            </w:r>
          </w:p>
        </w:tc>
        <w:tc>
          <w:tcPr>
            <w:tcW w:w="1418"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5 087 849</w:t>
            </w:r>
          </w:p>
        </w:tc>
      </w:tr>
      <w:tr w:rsidR="00255CC4" w:rsidRPr="00647F87" w:rsidTr="00255CC4">
        <w:trPr>
          <w:trHeight w:val="300"/>
        </w:trPr>
        <w:tc>
          <w:tcPr>
            <w:tcW w:w="1985" w:type="dxa"/>
            <w:vMerge/>
          </w:tcPr>
          <w:p w:rsidR="00255CC4" w:rsidRPr="00647F87" w:rsidRDefault="00255CC4" w:rsidP="00255CC4">
            <w:pPr>
              <w:spacing w:line="240" w:lineRule="auto"/>
              <w:jc w:val="left"/>
              <w:rPr>
                <w:rFonts w:eastAsia="Times New Roman"/>
                <w:color w:val="000000"/>
                <w:sz w:val="22"/>
                <w:szCs w:val="22"/>
                <w:lang w:eastAsia="en-US"/>
              </w:rPr>
            </w:pPr>
          </w:p>
        </w:tc>
        <w:tc>
          <w:tcPr>
            <w:tcW w:w="2060" w:type="dxa"/>
            <w:shd w:val="clear" w:color="auto" w:fill="auto"/>
            <w:noWrap/>
            <w:vAlign w:val="center"/>
            <w:hideMark/>
          </w:tcPr>
          <w:p w:rsidR="00255CC4" w:rsidRPr="009660AA" w:rsidRDefault="00255CC4" w:rsidP="00255CC4">
            <w:pPr>
              <w:spacing w:line="240" w:lineRule="auto"/>
              <w:jc w:val="right"/>
              <w:rPr>
                <w:rFonts w:eastAsia="Times New Roman"/>
                <w:b/>
                <w:color w:val="000000"/>
                <w:sz w:val="22"/>
                <w:szCs w:val="22"/>
                <w:lang w:eastAsia="en-US"/>
              </w:rPr>
            </w:pPr>
            <w:r w:rsidRPr="009660AA">
              <w:rPr>
                <w:rFonts w:eastAsia="Times New Roman"/>
                <w:b/>
                <w:color w:val="000000"/>
                <w:sz w:val="22"/>
                <w:szCs w:val="22"/>
                <w:lang w:eastAsia="en-US"/>
              </w:rPr>
              <w:t>2015</w:t>
            </w:r>
          </w:p>
        </w:tc>
        <w:tc>
          <w:tcPr>
            <w:tcW w:w="1767"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7 849 905</w:t>
            </w:r>
          </w:p>
        </w:tc>
        <w:tc>
          <w:tcPr>
            <w:tcW w:w="1559"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3 769 210</w:t>
            </w:r>
          </w:p>
        </w:tc>
        <w:tc>
          <w:tcPr>
            <w:tcW w:w="1418"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4 080 695</w:t>
            </w:r>
          </w:p>
        </w:tc>
      </w:tr>
      <w:tr w:rsidR="00255CC4" w:rsidRPr="00647F87" w:rsidTr="00255CC4">
        <w:trPr>
          <w:trHeight w:val="300"/>
        </w:trPr>
        <w:tc>
          <w:tcPr>
            <w:tcW w:w="1985" w:type="dxa"/>
            <w:vMerge/>
          </w:tcPr>
          <w:p w:rsidR="00255CC4" w:rsidRPr="00647F87" w:rsidRDefault="00255CC4" w:rsidP="00255CC4">
            <w:pPr>
              <w:spacing w:line="240" w:lineRule="auto"/>
              <w:jc w:val="left"/>
              <w:rPr>
                <w:rFonts w:eastAsia="Times New Roman"/>
                <w:color w:val="000000"/>
                <w:sz w:val="22"/>
                <w:szCs w:val="22"/>
                <w:lang w:eastAsia="en-US"/>
              </w:rPr>
            </w:pPr>
          </w:p>
        </w:tc>
        <w:tc>
          <w:tcPr>
            <w:tcW w:w="2060" w:type="dxa"/>
            <w:shd w:val="clear" w:color="auto" w:fill="auto"/>
            <w:noWrap/>
            <w:vAlign w:val="center"/>
            <w:hideMark/>
          </w:tcPr>
          <w:p w:rsidR="00255CC4" w:rsidRPr="009660AA" w:rsidRDefault="00255CC4" w:rsidP="00255CC4">
            <w:pPr>
              <w:spacing w:line="240" w:lineRule="auto"/>
              <w:jc w:val="right"/>
              <w:rPr>
                <w:rFonts w:eastAsia="Times New Roman"/>
                <w:b/>
                <w:color w:val="000000"/>
                <w:sz w:val="22"/>
                <w:szCs w:val="22"/>
                <w:lang w:eastAsia="en-US"/>
              </w:rPr>
            </w:pPr>
            <w:r w:rsidRPr="009660AA">
              <w:rPr>
                <w:rFonts w:eastAsia="Times New Roman"/>
                <w:b/>
                <w:color w:val="000000"/>
                <w:sz w:val="22"/>
                <w:szCs w:val="22"/>
                <w:lang w:eastAsia="en-US"/>
              </w:rPr>
              <w:t>2016</w:t>
            </w:r>
          </w:p>
        </w:tc>
        <w:tc>
          <w:tcPr>
            <w:tcW w:w="1767"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6 728 936</w:t>
            </w:r>
          </w:p>
        </w:tc>
        <w:tc>
          <w:tcPr>
            <w:tcW w:w="1559"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3 414 582</w:t>
            </w:r>
          </w:p>
        </w:tc>
        <w:tc>
          <w:tcPr>
            <w:tcW w:w="1418"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3 314 354</w:t>
            </w:r>
          </w:p>
        </w:tc>
      </w:tr>
      <w:tr w:rsidR="00255CC4" w:rsidRPr="00647F87" w:rsidTr="00255CC4">
        <w:trPr>
          <w:trHeight w:val="300"/>
        </w:trPr>
        <w:tc>
          <w:tcPr>
            <w:tcW w:w="1985" w:type="dxa"/>
            <w:vMerge/>
            <w:vAlign w:val="center"/>
          </w:tcPr>
          <w:p w:rsidR="00255CC4" w:rsidRPr="00647F87" w:rsidRDefault="00255CC4" w:rsidP="00255CC4">
            <w:pPr>
              <w:spacing w:line="240" w:lineRule="auto"/>
              <w:jc w:val="left"/>
              <w:rPr>
                <w:rFonts w:eastAsia="Times New Roman"/>
                <w:color w:val="000000"/>
                <w:sz w:val="22"/>
                <w:szCs w:val="22"/>
                <w:lang w:eastAsia="en-US"/>
              </w:rPr>
            </w:pPr>
          </w:p>
        </w:tc>
        <w:tc>
          <w:tcPr>
            <w:tcW w:w="2060" w:type="dxa"/>
            <w:shd w:val="clear" w:color="auto" w:fill="auto"/>
            <w:noWrap/>
            <w:vAlign w:val="center"/>
            <w:hideMark/>
          </w:tcPr>
          <w:p w:rsidR="00255CC4" w:rsidRPr="00647F87" w:rsidRDefault="00255CC4" w:rsidP="00255CC4">
            <w:pPr>
              <w:spacing w:line="240" w:lineRule="auto"/>
              <w:jc w:val="right"/>
              <w:rPr>
                <w:rFonts w:eastAsia="Times New Roman"/>
                <w:color w:val="000000"/>
                <w:sz w:val="22"/>
                <w:szCs w:val="22"/>
                <w:lang w:eastAsia="en-US"/>
              </w:rPr>
            </w:pPr>
            <w:r>
              <w:rPr>
                <w:rFonts w:eastAsia="Times New Roman"/>
                <w:color w:val="000000"/>
                <w:sz w:val="22"/>
                <w:szCs w:val="22"/>
                <w:lang w:eastAsia="en-US"/>
              </w:rPr>
              <w:t>Izmaiņas 2014.g.-2016.g., %</w:t>
            </w:r>
          </w:p>
        </w:tc>
        <w:tc>
          <w:tcPr>
            <w:tcW w:w="1767" w:type="dxa"/>
            <w:shd w:val="clear" w:color="auto" w:fill="auto"/>
            <w:noWrap/>
            <w:vAlign w:val="center"/>
          </w:tcPr>
          <w:p w:rsidR="00255CC4" w:rsidRPr="00495B6E" w:rsidRDefault="00255CC4" w:rsidP="00255CC4">
            <w:pPr>
              <w:spacing w:line="240" w:lineRule="auto"/>
              <w:jc w:val="center"/>
              <w:rPr>
                <w:rFonts w:eastAsia="Times New Roman"/>
                <w:color w:val="000000"/>
                <w:sz w:val="22"/>
                <w:szCs w:val="22"/>
              </w:rPr>
            </w:pPr>
            <w:r>
              <w:rPr>
                <w:rFonts w:eastAsia="Times New Roman"/>
                <w:color w:val="000000"/>
                <w:sz w:val="22"/>
                <w:szCs w:val="22"/>
              </w:rPr>
              <w:sym w:font="Symbol" w:char="F0AF"/>
            </w:r>
            <w:r>
              <w:rPr>
                <w:rFonts w:eastAsia="Times New Roman"/>
                <w:color w:val="000000"/>
                <w:sz w:val="22"/>
                <w:szCs w:val="22"/>
              </w:rPr>
              <w:t xml:space="preserve"> </w:t>
            </w:r>
            <w:r w:rsidRPr="00495B6E">
              <w:rPr>
                <w:rFonts w:eastAsia="Times New Roman"/>
                <w:color w:val="000000"/>
                <w:sz w:val="22"/>
                <w:szCs w:val="22"/>
              </w:rPr>
              <w:t>31,5</w:t>
            </w:r>
          </w:p>
        </w:tc>
        <w:tc>
          <w:tcPr>
            <w:tcW w:w="1559" w:type="dxa"/>
            <w:shd w:val="clear" w:color="auto" w:fill="auto"/>
            <w:noWrap/>
            <w:vAlign w:val="center"/>
          </w:tcPr>
          <w:p w:rsidR="00255CC4" w:rsidRPr="00495B6E" w:rsidRDefault="00255CC4" w:rsidP="00255CC4">
            <w:pPr>
              <w:spacing w:line="240" w:lineRule="auto"/>
              <w:jc w:val="center"/>
              <w:rPr>
                <w:rFonts w:eastAsia="Times New Roman"/>
                <w:color w:val="000000"/>
                <w:sz w:val="22"/>
                <w:szCs w:val="22"/>
              </w:rPr>
            </w:pPr>
            <w:r>
              <w:rPr>
                <w:rFonts w:eastAsia="Times New Roman"/>
                <w:color w:val="000000"/>
                <w:sz w:val="22"/>
                <w:szCs w:val="22"/>
              </w:rPr>
              <w:sym w:font="Symbol" w:char="F0AF"/>
            </w:r>
            <w:r>
              <w:rPr>
                <w:rFonts w:eastAsia="Times New Roman"/>
                <w:color w:val="000000"/>
                <w:sz w:val="22"/>
                <w:szCs w:val="22"/>
              </w:rPr>
              <w:t xml:space="preserve"> </w:t>
            </w:r>
            <w:r w:rsidRPr="00495B6E">
              <w:rPr>
                <w:rFonts w:eastAsia="Times New Roman"/>
                <w:color w:val="000000"/>
                <w:sz w:val="22"/>
                <w:szCs w:val="22"/>
              </w:rPr>
              <w:t>19,1</w:t>
            </w:r>
          </w:p>
        </w:tc>
        <w:tc>
          <w:tcPr>
            <w:tcW w:w="1418" w:type="dxa"/>
            <w:shd w:val="clear" w:color="auto" w:fill="auto"/>
            <w:noWrap/>
            <w:vAlign w:val="center"/>
          </w:tcPr>
          <w:p w:rsidR="00255CC4" w:rsidRPr="00495B6E" w:rsidRDefault="00255CC4" w:rsidP="00255CC4">
            <w:pPr>
              <w:spacing w:line="240" w:lineRule="auto"/>
              <w:jc w:val="center"/>
              <w:rPr>
                <w:rFonts w:eastAsia="Times New Roman"/>
                <w:color w:val="000000"/>
                <w:sz w:val="22"/>
                <w:szCs w:val="22"/>
              </w:rPr>
            </w:pPr>
            <w:r>
              <w:rPr>
                <w:rFonts w:eastAsia="Times New Roman"/>
                <w:color w:val="000000"/>
                <w:sz w:val="22"/>
                <w:szCs w:val="22"/>
              </w:rPr>
              <w:sym w:font="Symbol" w:char="F0AF"/>
            </w:r>
            <w:r>
              <w:rPr>
                <w:rFonts w:eastAsia="Times New Roman"/>
                <w:color w:val="000000"/>
                <w:sz w:val="22"/>
                <w:szCs w:val="22"/>
              </w:rPr>
              <w:t xml:space="preserve"> </w:t>
            </w:r>
            <w:r w:rsidRPr="00495B6E">
              <w:rPr>
                <w:rFonts w:eastAsia="Times New Roman"/>
                <w:color w:val="000000"/>
                <w:sz w:val="22"/>
                <w:szCs w:val="22"/>
              </w:rPr>
              <w:t>12,7</w:t>
            </w:r>
          </w:p>
        </w:tc>
      </w:tr>
      <w:tr w:rsidR="00255CC4" w:rsidRPr="00647F87" w:rsidTr="00255CC4">
        <w:trPr>
          <w:trHeight w:val="300"/>
        </w:trPr>
        <w:tc>
          <w:tcPr>
            <w:tcW w:w="1985" w:type="dxa"/>
            <w:vMerge w:val="restart"/>
            <w:vAlign w:val="center"/>
          </w:tcPr>
          <w:p w:rsidR="00255CC4" w:rsidRPr="00BC1C1F" w:rsidRDefault="00255CC4" w:rsidP="00255CC4">
            <w:pPr>
              <w:spacing w:line="240" w:lineRule="auto"/>
              <w:jc w:val="left"/>
              <w:rPr>
                <w:rFonts w:eastAsia="Times New Roman"/>
                <w:b/>
                <w:color w:val="000000"/>
                <w:sz w:val="22"/>
                <w:szCs w:val="22"/>
                <w:lang w:eastAsia="en-US"/>
              </w:rPr>
            </w:pPr>
            <w:r w:rsidRPr="00BC1C1F">
              <w:rPr>
                <w:rFonts w:eastAsia="Times New Roman"/>
                <w:b/>
                <w:color w:val="000000"/>
                <w:sz w:val="22"/>
                <w:szCs w:val="22"/>
                <w:lang w:eastAsia="en-US"/>
              </w:rPr>
              <w:t>Personu skaits</w:t>
            </w:r>
          </w:p>
        </w:tc>
        <w:tc>
          <w:tcPr>
            <w:tcW w:w="2060" w:type="dxa"/>
            <w:shd w:val="clear" w:color="auto" w:fill="auto"/>
            <w:noWrap/>
            <w:vAlign w:val="center"/>
            <w:hideMark/>
          </w:tcPr>
          <w:p w:rsidR="00255CC4" w:rsidRPr="009660AA" w:rsidRDefault="00255CC4" w:rsidP="00255CC4">
            <w:pPr>
              <w:spacing w:line="240" w:lineRule="auto"/>
              <w:jc w:val="right"/>
              <w:rPr>
                <w:rFonts w:eastAsia="Times New Roman"/>
                <w:b/>
                <w:color w:val="000000"/>
                <w:sz w:val="22"/>
                <w:szCs w:val="22"/>
                <w:lang w:eastAsia="en-US"/>
              </w:rPr>
            </w:pPr>
            <w:r w:rsidRPr="009660AA">
              <w:rPr>
                <w:rFonts w:eastAsia="Times New Roman"/>
                <w:b/>
                <w:color w:val="000000"/>
                <w:sz w:val="22"/>
                <w:szCs w:val="22"/>
                <w:lang w:eastAsia="en-US"/>
              </w:rPr>
              <w:t>2014</w:t>
            </w:r>
          </w:p>
        </w:tc>
        <w:tc>
          <w:tcPr>
            <w:tcW w:w="1767"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46 026</w:t>
            </w:r>
          </w:p>
        </w:tc>
        <w:tc>
          <w:tcPr>
            <w:tcW w:w="1559"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20 473</w:t>
            </w:r>
          </w:p>
        </w:tc>
        <w:tc>
          <w:tcPr>
            <w:tcW w:w="1418"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25 553</w:t>
            </w:r>
          </w:p>
        </w:tc>
      </w:tr>
      <w:tr w:rsidR="00255CC4" w:rsidRPr="00647F87" w:rsidTr="00255CC4">
        <w:trPr>
          <w:trHeight w:val="300"/>
        </w:trPr>
        <w:tc>
          <w:tcPr>
            <w:tcW w:w="1985" w:type="dxa"/>
            <w:vMerge/>
          </w:tcPr>
          <w:p w:rsidR="00255CC4" w:rsidRPr="00647F87" w:rsidRDefault="00255CC4" w:rsidP="00255CC4">
            <w:pPr>
              <w:spacing w:line="240" w:lineRule="auto"/>
              <w:jc w:val="left"/>
              <w:rPr>
                <w:rFonts w:eastAsia="Times New Roman"/>
                <w:color w:val="000000"/>
                <w:sz w:val="22"/>
                <w:szCs w:val="22"/>
                <w:lang w:eastAsia="en-US"/>
              </w:rPr>
            </w:pPr>
          </w:p>
        </w:tc>
        <w:tc>
          <w:tcPr>
            <w:tcW w:w="2060" w:type="dxa"/>
            <w:shd w:val="clear" w:color="auto" w:fill="auto"/>
            <w:noWrap/>
            <w:vAlign w:val="center"/>
            <w:hideMark/>
          </w:tcPr>
          <w:p w:rsidR="00255CC4" w:rsidRPr="009660AA" w:rsidRDefault="00255CC4" w:rsidP="00255CC4">
            <w:pPr>
              <w:spacing w:line="240" w:lineRule="auto"/>
              <w:jc w:val="right"/>
              <w:rPr>
                <w:rFonts w:eastAsia="Times New Roman"/>
                <w:b/>
                <w:color w:val="000000"/>
                <w:sz w:val="22"/>
                <w:szCs w:val="22"/>
                <w:lang w:eastAsia="en-US"/>
              </w:rPr>
            </w:pPr>
            <w:r w:rsidRPr="009660AA">
              <w:rPr>
                <w:rFonts w:eastAsia="Times New Roman"/>
                <w:b/>
                <w:color w:val="000000"/>
                <w:sz w:val="22"/>
                <w:szCs w:val="22"/>
                <w:lang w:eastAsia="en-US"/>
              </w:rPr>
              <w:t>2015</w:t>
            </w:r>
          </w:p>
        </w:tc>
        <w:tc>
          <w:tcPr>
            <w:tcW w:w="1767"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34 218</w:t>
            </w:r>
          </w:p>
        </w:tc>
        <w:tc>
          <w:tcPr>
            <w:tcW w:w="1559"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15 762</w:t>
            </w:r>
          </w:p>
        </w:tc>
        <w:tc>
          <w:tcPr>
            <w:tcW w:w="1418"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18 456</w:t>
            </w:r>
          </w:p>
        </w:tc>
      </w:tr>
      <w:tr w:rsidR="00255CC4" w:rsidRPr="00647F87" w:rsidTr="00255CC4">
        <w:trPr>
          <w:trHeight w:val="300"/>
        </w:trPr>
        <w:tc>
          <w:tcPr>
            <w:tcW w:w="1985" w:type="dxa"/>
            <w:vMerge/>
          </w:tcPr>
          <w:p w:rsidR="00255CC4" w:rsidRPr="00647F87" w:rsidRDefault="00255CC4" w:rsidP="00255CC4">
            <w:pPr>
              <w:spacing w:line="240" w:lineRule="auto"/>
              <w:jc w:val="left"/>
              <w:rPr>
                <w:rFonts w:eastAsia="Times New Roman"/>
                <w:color w:val="000000"/>
                <w:sz w:val="22"/>
                <w:szCs w:val="22"/>
                <w:lang w:eastAsia="en-US"/>
              </w:rPr>
            </w:pPr>
          </w:p>
        </w:tc>
        <w:tc>
          <w:tcPr>
            <w:tcW w:w="2060" w:type="dxa"/>
            <w:shd w:val="clear" w:color="auto" w:fill="auto"/>
            <w:noWrap/>
            <w:vAlign w:val="center"/>
            <w:hideMark/>
          </w:tcPr>
          <w:p w:rsidR="00255CC4" w:rsidRPr="009660AA" w:rsidRDefault="00255CC4" w:rsidP="00255CC4">
            <w:pPr>
              <w:spacing w:line="240" w:lineRule="auto"/>
              <w:jc w:val="right"/>
              <w:rPr>
                <w:rFonts w:eastAsia="Times New Roman"/>
                <w:b/>
                <w:color w:val="000000"/>
                <w:sz w:val="22"/>
                <w:szCs w:val="22"/>
                <w:lang w:eastAsia="en-US"/>
              </w:rPr>
            </w:pPr>
            <w:r w:rsidRPr="009660AA">
              <w:rPr>
                <w:rFonts w:eastAsia="Times New Roman"/>
                <w:b/>
                <w:color w:val="000000"/>
                <w:sz w:val="22"/>
                <w:szCs w:val="22"/>
                <w:lang w:eastAsia="en-US"/>
              </w:rPr>
              <w:t>2016</w:t>
            </w:r>
          </w:p>
        </w:tc>
        <w:tc>
          <w:tcPr>
            <w:tcW w:w="1767"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27 769</w:t>
            </w:r>
          </w:p>
        </w:tc>
        <w:tc>
          <w:tcPr>
            <w:tcW w:w="1559"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13 114</w:t>
            </w:r>
          </w:p>
        </w:tc>
        <w:tc>
          <w:tcPr>
            <w:tcW w:w="1418" w:type="dxa"/>
            <w:shd w:val="clear" w:color="auto" w:fill="auto"/>
            <w:noWrap/>
            <w:vAlign w:val="center"/>
            <w:hideMark/>
          </w:tcPr>
          <w:p w:rsidR="00255CC4" w:rsidRPr="00647F87"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14 655</w:t>
            </w:r>
          </w:p>
        </w:tc>
      </w:tr>
      <w:tr w:rsidR="00255CC4" w:rsidRPr="00647F87" w:rsidTr="00255CC4">
        <w:trPr>
          <w:trHeight w:val="300"/>
        </w:trPr>
        <w:tc>
          <w:tcPr>
            <w:tcW w:w="1985" w:type="dxa"/>
            <w:vMerge/>
            <w:vAlign w:val="center"/>
          </w:tcPr>
          <w:p w:rsidR="00255CC4" w:rsidRPr="00647F87" w:rsidRDefault="00255CC4" w:rsidP="00255CC4">
            <w:pPr>
              <w:spacing w:line="240" w:lineRule="auto"/>
              <w:jc w:val="left"/>
              <w:rPr>
                <w:rFonts w:eastAsia="Times New Roman"/>
                <w:color w:val="000000"/>
                <w:sz w:val="22"/>
                <w:szCs w:val="22"/>
                <w:lang w:eastAsia="en-US"/>
              </w:rPr>
            </w:pPr>
          </w:p>
        </w:tc>
        <w:tc>
          <w:tcPr>
            <w:tcW w:w="2060" w:type="dxa"/>
            <w:shd w:val="clear" w:color="auto" w:fill="auto"/>
            <w:noWrap/>
            <w:vAlign w:val="center"/>
            <w:hideMark/>
          </w:tcPr>
          <w:p w:rsidR="00255CC4" w:rsidRPr="00647F87" w:rsidRDefault="00255CC4" w:rsidP="00255CC4">
            <w:pPr>
              <w:spacing w:line="240" w:lineRule="auto"/>
              <w:jc w:val="right"/>
              <w:rPr>
                <w:rFonts w:eastAsia="Times New Roman"/>
                <w:color w:val="000000"/>
                <w:sz w:val="22"/>
                <w:szCs w:val="22"/>
                <w:lang w:eastAsia="en-US"/>
              </w:rPr>
            </w:pPr>
            <w:r>
              <w:rPr>
                <w:rFonts w:eastAsia="Times New Roman"/>
                <w:color w:val="000000"/>
                <w:sz w:val="22"/>
                <w:szCs w:val="22"/>
                <w:lang w:eastAsia="en-US"/>
              </w:rPr>
              <w:t>I</w:t>
            </w:r>
            <w:r w:rsidRPr="00647F87">
              <w:rPr>
                <w:rFonts w:eastAsia="Times New Roman"/>
                <w:color w:val="000000"/>
                <w:sz w:val="22"/>
                <w:szCs w:val="22"/>
                <w:lang w:eastAsia="en-US"/>
              </w:rPr>
              <w:t>zmaiņas 2014.-2016.g., %</w:t>
            </w:r>
          </w:p>
        </w:tc>
        <w:tc>
          <w:tcPr>
            <w:tcW w:w="1767" w:type="dxa"/>
            <w:shd w:val="clear" w:color="auto" w:fill="auto"/>
            <w:noWrap/>
            <w:vAlign w:val="center"/>
          </w:tcPr>
          <w:p w:rsidR="00255CC4" w:rsidRPr="00495B6E" w:rsidRDefault="00255CC4" w:rsidP="00255CC4">
            <w:pPr>
              <w:spacing w:line="240" w:lineRule="auto"/>
              <w:jc w:val="center"/>
              <w:rPr>
                <w:rFonts w:eastAsia="Times New Roman"/>
                <w:color w:val="000000"/>
                <w:sz w:val="22"/>
                <w:szCs w:val="22"/>
              </w:rPr>
            </w:pPr>
            <w:r>
              <w:rPr>
                <w:rFonts w:eastAsia="Times New Roman"/>
                <w:color w:val="000000"/>
                <w:sz w:val="22"/>
                <w:szCs w:val="22"/>
              </w:rPr>
              <w:sym w:font="Symbol" w:char="F0AF"/>
            </w:r>
            <w:r>
              <w:rPr>
                <w:rFonts w:eastAsia="Times New Roman"/>
                <w:color w:val="000000"/>
                <w:sz w:val="22"/>
                <w:szCs w:val="22"/>
              </w:rPr>
              <w:t xml:space="preserve"> </w:t>
            </w:r>
            <w:r w:rsidRPr="00495B6E">
              <w:rPr>
                <w:rFonts w:eastAsia="Times New Roman"/>
                <w:color w:val="000000"/>
                <w:sz w:val="22"/>
                <w:szCs w:val="22"/>
              </w:rPr>
              <w:t>39,7%</w:t>
            </w:r>
          </w:p>
        </w:tc>
        <w:tc>
          <w:tcPr>
            <w:tcW w:w="1559" w:type="dxa"/>
            <w:shd w:val="clear" w:color="auto" w:fill="auto"/>
            <w:noWrap/>
            <w:vAlign w:val="center"/>
          </w:tcPr>
          <w:p w:rsidR="00255CC4" w:rsidRPr="00495B6E" w:rsidRDefault="00255CC4" w:rsidP="00255CC4">
            <w:pPr>
              <w:spacing w:line="240" w:lineRule="auto"/>
              <w:jc w:val="center"/>
              <w:rPr>
                <w:rFonts w:eastAsia="Times New Roman"/>
                <w:color w:val="000000"/>
                <w:sz w:val="22"/>
                <w:szCs w:val="22"/>
              </w:rPr>
            </w:pPr>
            <w:r>
              <w:rPr>
                <w:rFonts w:eastAsia="Times New Roman"/>
                <w:color w:val="000000"/>
                <w:sz w:val="22"/>
                <w:szCs w:val="22"/>
              </w:rPr>
              <w:sym w:font="Symbol" w:char="F0AF"/>
            </w:r>
            <w:r>
              <w:rPr>
                <w:rFonts w:eastAsia="Times New Roman"/>
                <w:color w:val="000000"/>
                <w:sz w:val="22"/>
                <w:szCs w:val="22"/>
              </w:rPr>
              <w:t xml:space="preserve"> </w:t>
            </w:r>
            <w:r w:rsidRPr="00495B6E">
              <w:rPr>
                <w:rFonts w:eastAsia="Times New Roman"/>
                <w:color w:val="000000"/>
                <w:sz w:val="22"/>
                <w:szCs w:val="22"/>
              </w:rPr>
              <w:t>35,9%</w:t>
            </w:r>
          </w:p>
        </w:tc>
        <w:tc>
          <w:tcPr>
            <w:tcW w:w="1418" w:type="dxa"/>
            <w:shd w:val="clear" w:color="auto" w:fill="auto"/>
            <w:noWrap/>
            <w:vAlign w:val="center"/>
          </w:tcPr>
          <w:p w:rsidR="00255CC4" w:rsidRPr="00495B6E" w:rsidRDefault="00255CC4" w:rsidP="00255CC4">
            <w:pPr>
              <w:spacing w:line="240" w:lineRule="auto"/>
              <w:jc w:val="center"/>
              <w:rPr>
                <w:rFonts w:eastAsia="Times New Roman"/>
                <w:color w:val="000000"/>
                <w:sz w:val="22"/>
                <w:szCs w:val="22"/>
              </w:rPr>
            </w:pPr>
            <w:r>
              <w:rPr>
                <w:rFonts w:eastAsia="Times New Roman"/>
                <w:color w:val="000000"/>
                <w:sz w:val="22"/>
                <w:szCs w:val="22"/>
              </w:rPr>
              <w:sym w:font="Symbol" w:char="F0AF"/>
            </w:r>
            <w:r>
              <w:rPr>
                <w:rFonts w:eastAsia="Times New Roman"/>
                <w:color w:val="000000"/>
                <w:sz w:val="22"/>
                <w:szCs w:val="22"/>
              </w:rPr>
              <w:t xml:space="preserve"> </w:t>
            </w:r>
            <w:r w:rsidRPr="00495B6E">
              <w:rPr>
                <w:rFonts w:eastAsia="Times New Roman"/>
                <w:color w:val="000000"/>
                <w:sz w:val="22"/>
                <w:szCs w:val="22"/>
              </w:rPr>
              <w:t>42,6%</w:t>
            </w:r>
          </w:p>
        </w:tc>
      </w:tr>
    </w:tbl>
    <w:p w:rsidR="00255CC4" w:rsidRDefault="00255CC4" w:rsidP="00255CC4">
      <w:pPr>
        <w:spacing w:line="240" w:lineRule="auto"/>
        <w:rPr>
          <w:bCs/>
          <w:sz w:val="20"/>
          <w:szCs w:val="20"/>
        </w:rPr>
      </w:pPr>
      <w:r w:rsidRPr="004E69B2">
        <w:rPr>
          <w:sz w:val="20"/>
          <w:szCs w:val="20"/>
        </w:rPr>
        <w:t xml:space="preserve">Avots: LM, </w:t>
      </w:r>
      <w:r w:rsidRPr="004E69B2">
        <w:rPr>
          <w:bCs/>
          <w:sz w:val="20"/>
          <w:szCs w:val="20"/>
        </w:rPr>
        <w:t>Oficiālā statistika sociālo pakalpojumu un sociālās palīdzības jomā</w:t>
      </w:r>
      <w:r>
        <w:rPr>
          <w:bCs/>
          <w:sz w:val="20"/>
          <w:szCs w:val="20"/>
        </w:rPr>
        <w:t xml:space="preserve">. </w:t>
      </w:r>
      <w:r w:rsidRPr="00D417AF">
        <w:rPr>
          <w:bCs/>
          <w:sz w:val="20"/>
          <w:szCs w:val="20"/>
        </w:rPr>
        <w:t>Pabalsts garantētā minimālā ienākumu līmeņa nodrošināšana</w:t>
      </w:r>
      <w:r>
        <w:rPr>
          <w:bCs/>
          <w:sz w:val="20"/>
          <w:szCs w:val="20"/>
        </w:rPr>
        <w:t>.</w:t>
      </w:r>
    </w:p>
    <w:p w:rsidR="00FA1B47" w:rsidRDefault="00FA1B47" w:rsidP="00255CC4">
      <w:pPr>
        <w:rPr>
          <w:rFonts w:eastAsia="Times New Roman"/>
        </w:rPr>
      </w:pPr>
    </w:p>
    <w:p w:rsidR="00255CC4" w:rsidRDefault="00255CC4" w:rsidP="00255CC4">
      <w:pPr>
        <w:rPr>
          <w:rFonts w:eastAsia="Times New Roman"/>
        </w:rPr>
      </w:pPr>
      <w:r>
        <w:rPr>
          <w:rFonts w:eastAsia="Times New Roman"/>
        </w:rPr>
        <w:t>Vidējais GMI pabalsts vienai personai gadā 2014. gadā bija 163,05 EUR, bet mēnesī 33,9 EUR, 2015. gadā attiecīgi 185,35 EUR gadā un 36,76 EUR mēnesī, 2016. gadā – 188,6 EUR gadā un 37,69 EUR mēnesī, kas liecina par pieaugumu 5,30 EUR apmērā (sk.</w:t>
      </w:r>
      <w:r w:rsidR="008C6B83">
        <w:rPr>
          <w:rFonts w:eastAsia="Times New Roman"/>
        </w:rPr>
        <w:t xml:space="preserve"> </w:t>
      </w:r>
      <w:r w:rsidR="00A02780">
        <w:rPr>
          <w:rFonts w:eastAsia="Times New Roman"/>
        </w:rPr>
        <w:t>1.3</w:t>
      </w:r>
      <w:r w:rsidR="00761553">
        <w:rPr>
          <w:rFonts w:eastAsia="Times New Roman"/>
        </w:rPr>
        <w:t>4</w:t>
      </w:r>
      <w:r>
        <w:rPr>
          <w:rFonts w:eastAsia="Times New Roman"/>
        </w:rPr>
        <w:t xml:space="preserve">. tabulu). Lielāks GMI pabalsta apmēra pieaugums bija novadu pašvaldībās, lai gan pabalsta apmērs absolūtajos skaitļos (EUR) ir ļoti līdzīgs kā valstī kopumā, tā deviņu lielo pilsētu un novadu pašvaldībās. </w:t>
      </w:r>
    </w:p>
    <w:bookmarkStart w:id="277" w:name="_Toc6220110"/>
    <w:p w:rsidR="00255CC4" w:rsidRDefault="00AD3EDD" w:rsidP="008C6B83">
      <w:pPr>
        <w:pStyle w:val="Caption"/>
      </w:pPr>
      <w:r>
        <w:lastRenderedPageBreak/>
        <w:fldChar w:fldCharType="begin"/>
      </w:r>
      <w:r w:rsidR="00A46B54">
        <w:instrText xml:space="preserve"> STYLEREF 1 \s </w:instrText>
      </w:r>
      <w:r>
        <w:fldChar w:fldCharType="separate"/>
      </w:r>
      <w:bookmarkStart w:id="278" w:name="_Toc6857667"/>
      <w:r w:rsidR="00224B50">
        <w:rPr>
          <w:noProof/>
        </w:rPr>
        <w:t>1</w:t>
      </w:r>
      <w:r>
        <w:fldChar w:fldCharType="end"/>
      </w:r>
      <w:r w:rsidR="00A46B54">
        <w:t>.</w:t>
      </w:r>
      <w:r w:rsidR="00E21C32">
        <w:t>3</w:t>
      </w:r>
      <w:r w:rsidR="00761553">
        <w:t>4</w:t>
      </w:r>
      <w:r w:rsidR="00E21C32">
        <w:t>.</w:t>
      </w:r>
      <w:r w:rsidR="00255CC4" w:rsidRPr="00000E34">
        <w:t xml:space="preserve"> tabula.  </w:t>
      </w:r>
      <w:r w:rsidR="00255CC4">
        <w:t>GMI pabalsta apmēra salīdzinājums starp lielo pilsētu un novadu pašvaldībām 2014.g.-2016.g. periodā</w:t>
      </w:r>
      <w:bookmarkEnd w:id="277"/>
      <w:bookmarkEnd w:id="278"/>
      <w:r w:rsidR="00255CC4">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4"/>
        <w:gridCol w:w="1417"/>
        <w:gridCol w:w="1276"/>
        <w:gridCol w:w="1134"/>
      </w:tblGrid>
      <w:tr w:rsidR="00255CC4" w:rsidRPr="00082031" w:rsidTr="00082031">
        <w:trPr>
          <w:trHeight w:val="300"/>
        </w:trPr>
        <w:tc>
          <w:tcPr>
            <w:tcW w:w="5954" w:type="dxa"/>
            <w:shd w:val="clear" w:color="auto" w:fill="B8CCE4" w:themeFill="accent1" w:themeFillTint="66"/>
            <w:noWrap/>
            <w:vAlign w:val="center"/>
            <w:hideMark/>
          </w:tcPr>
          <w:p w:rsidR="00255CC4" w:rsidRPr="00082031" w:rsidRDefault="00255CC4" w:rsidP="00CA6BC9">
            <w:pPr>
              <w:spacing w:before="120" w:after="120" w:line="240" w:lineRule="auto"/>
              <w:jc w:val="left"/>
              <w:rPr>
                <w:rFonts w:eastAsia="Times New Roman"/>
                <w:b/>
                <w:bCs/>
                <w:color w:val="002060"/>
                <w:sz w:val="22"/>
                <w:szCs w:val="22"/>
              </w:rPr>
            </w:pPr>
            <w:r w:rsidRPr="00082031">
              <w:rPr>
                <w:rFonts w:eastAsia="Times New Roman"/>
                <w:b/>
                <w:bCs/>
                <w:color w:val="002060"/>
                <w:sz w:val="22"/>
                <w:szCs w:val="22"/>
              </w:rPr>
              <w:t>Rādītājs</w:t>
            </w:r>
          </w:p>
        </w:tc>
        <w:tc>
          <w:tcPr>
            <w:tcW w:w="1417" w:type="dxa"/>
            <w:shd w:val="clear" w:color="auto" w:fill="B8CCE4" w:themeFill="accent1" w:themeFillTint="66"/>
            <w:noWrap/>
            <w:vAlign w:val="center"/>
            <w:hideMark/>
          </w:tcPr>
          <w:p w:rsidR="00255CC4" w:rsidRPr="00082031" w:rsidRDefault="00255CC4" w:rsidP="00CA6BC9">
            <w:pPr>
              <w:spacing w:before="120" w:after="120" w:line="240" w:lineRule="auto"/>
              <w:jc w:val="left"/>
              <w:rPr>
                <w:rFonts w:eastAsia="Times New Roman"/>
                <w:b/>
                <w:color w:val="002060"/>
                <w:sz w:val="22"/>
                <w:szCs w:val="22"/>
              </w:rPr>
            </w:pPr>
            <w:r w:rsidRPr="00082031">
              <w:rPr>
                <w:rFonts w:eastAsia="Times New Roman"/>
                <w:b/>
                <w:color w:val="002060"/>
                <w:sz w:val="22"/>
                <w:szCs w:val="22"/>
              </w:rPr>
              <w:t>Valstī kopā</w:t>
            </w:r>
          </w:p>
        </w:tc>
        <w:tc>
          <w:tcPr>
            <w:tcW w:w="1276" w:type="dxa"/>
            <w:shd w:val="clear" w:color="auto" w:fill="B8CCE4" w:themeFill="accent1" w:themeFillTint="66"/>
            <w:noWrap/>
            <w:vAlign w:val="center"/>
            <w:hideMark/>
          </w:tcPr>
          <w:p w:rsidR="00255CC4" w:rsidRPr="00082031" w:rsidRDefault="00255CC4" w:rsidP="00CA6BC9">
            <w:pPr>
              <w:spacing w:before="120" w:after="120" w:line="240" w:lineRule="auto"/>
              <w:jc w:val="left"/>
              <w:rPr>
                <w:rFonts w:eastAsia="Times New Roman"/>
                <w:b/>
                <w:color w:val="002060"/>
                <w:sz w:val="22"/>
                <w:szCs w:val="22"/>
              </w:rPr>
            </w:pPr>
            <w:r w:rsidRPr="00082031">
              <w:rPr>
                <w:rFonts w:eastAsia="Times New Roman"/>
                <w:b/>
                <w:color w:val="002060"/>
                <w:sz w:val="22"/>
                <w:szCs w:val="22"/>
              </w:rPr>
              <w:t>Pilsētās</w:t>
            </w:r>
          </w:p>
        </w:tc>
        <w:tc>
          <w:tcPr>
            <w:tcW w:w="1134" w:type="dxa"/>
            <w:shd w:val="clear" w:color="auto" w:fill="B8CCE4" w:themeFill="accent1" w:themeFillTint="66"/>
            <w:noWrap/>
            <w:vAlign w:val="center"/>
            <w:hideMark/>
          </w:tcPr>
          <w:p w:rsidR="00255CC4" w:rsidRPr="00082031" w:rsidRDefault="00255CC4" w:rsidP="00CA6BC9">
            <w:pPr>
              <w:spacing w:before="120" w:after="120" w:line="240" w:lineRule="auto"/>
              <w:jc w:val="left"/>
              <w:rPr>
                <w:rFonts w:eastAsia="Times New Roman"/>
                <w:b/>
                <w:color w:val="002060"/>
                <w:sz w:val="22"/>
                <w:szCs w:val="22"/>
              </w:rPr>
            </w:pPr>
            <w:r w:rsidRPr="00082031">
              <w:rPr>
                <w:rFonts w:eastAsia="Times New Roman"/>
                <w:b/>
                <w:color w:val="002060"/>
                <w:sz w:val="22"/>
                <w:szCs w:val="22"/>
              </w:rPr>
              <w:t>Novados</w:t>
            </w:r>
          </w:p>
        </w:tc>
      </w:tr>
      <w:tr w:rsidR="00255CC4" w:rsidRPr="00495B6E" w:rsidTr="00426ECC">
        <w:trPr>
          <w:trHeight w:val="300"/>
        </w:trPr>
        <w:tc>
          <w:tcPr>
            <w:tcW w:w="5954" w:type="dxa"/>
            <w:shd w:val="clear" w:color="auto" w:fill="D9D9D9" w:themeFill="background1" w:themeFillShade="D9"/>
            <w:noWrap/>
            <w:vAlign w:val="center"/>
            <w:hideMark/>
          </w:tcPr>
          <w:p w:rsidR="00255CC4" w:rsidRPr="00495B6E" w:rsidRDefault="00255CC4" w:rsidP="00255CC4">
            <w:pPr>
              <w:spacing w:line="240" w:lineRule="auto"/>
              <w:jc w:val="left"/>
              <w:rPr>
                <w:rFonts w:eastAsia="Times New Roman"/>
                <w:color w:val="000000"/>
                <w:sz w:val="22"/>
                <w:szCs w:val="22"/>
              </w:rPr>
            </w:pPr>
            <w:r w:rsidRPr="00495B6E">
              <w:rPr>
                <w:rFonts w:eastAsia="Times New Roman"/>
                <w:color w:val="000000"/>
                <w:sz w:val="22"/>
                <w:szCs w:val="22"/>
              </w:rPr>
              <w:t xml:space="preserve">Vidējais GMI pabalsts vienai personai </w:t>
            </w:r>
            <w:r w:rsidRPr="00426ECC">
              <w:rPr>
                <w:rFonts w:eastAsia="Times New Roman"/>
                <w:b/>
                <w:color w:val="000000"/>
                <w:sz w:val="22"/>
                <w:szCs w:val="22"/>
              </w:rPr>
              <w:t>2014.g.</w:t>
            </w:r>
            <w:r w:rsidRPr="00495B6E">
              <w:rPr>
                <w:rFonts w:eastAsia="Times New Roman"/>
                <w:color w:val="000000"/>
                <w:sz w:val="22"/>
                <w:szCs w:val="22"/>
              </w:rPr>
              <w:t>, EUR/gadā</w:t>
            </w:r>
          </w:p>
        </w:tc>
        <w:tc>
          <w:tcPr>
            <w:tcW w:w="1417" w:type="dxa"/>
            <w:shd w:val="clear" w:color="auto" w:fill="D9D9D9" w:themeFill="background1" w:themeFillShade="D9"/>
            <w:noWrap/>
            <w:vAlign w:val="center"/>
            <w:hideMark/>
          </w:tcPr>
          <w:p w:rsidR="00255CC4" w:rsidRPr="008C7C42" w:rsidRDefault="00255CC4" w:rsidP="00255CC4">
            <w:pPr>
              <w:spacing w:line="240" w:lineRule="auto"/>
              <w:jc w:val="center"/>
              <w:rPr>
                <w:rFonts w:eastAsia="Times New Roman"/>
                <w:b/>
                <w:color w:val="000000"/>
                <w:sz w:val="22"/>
                <w:szCs w:val="22"/>
              </w:rPr>
            </w:pPr>
            <w:r w:rsidRPr="008C7C42">
              <w:rPr>
                <w:rFonts w:eastAsia="Times New Roman"/>
                <w:b/>
                <w:color w:val="000000"/>
                <w:sz w:val="22"/>
                <w:szCs w:val="22"/>
              </w:rPr>
              <w:t>163,05</w:t>
            </w:r>
          </w:p>
        </w:tc>
        <w:tc>
          <w:tcPr>
            <w:tcW w:w="1276" w:type="dxa"/>
            <w:shd w:val="clear" w:color="auto" w:fill="D9D9D9" w:themeFill="background1" w:themeFillShade="D9"/>
            <w:noWrap/>
            <w:vAlign w:val="center"/>
            <w:hideMark/>
          </w:tcPr>
          <w:p w:rsidR="00255CC4" w:rsidRPr="00495B6E" w:rsidRDefault="00255CC4" w:rsidP="00255CC4">
            <w:pPr>
              <w:spacing w:line="240" w:lineRule="auto"/>
              <w:jc w:val="center"/>
              <w:rPr>
                <w:rFonts w:eastAsia="Times New Roman"/>
                <w:color w:val="000000"/>
                <w:sz w:val="22"/>
                <w:szCs w:val="22"/>
              </w:rPr>
            </w:pPr>
            <w:r w:rsidRPr="00495B6E">
              <w:rPr>
                <w:rFonts w:eastAsia="Times New Roman"/>
                <w:color w:val="000000"/>
                <w:sz w:val="22"/>
                <w:szCs w:val="22"/>
              </w:rPr>
              <w:t>200,94</w:t>
            </w:r>
          </w:p>
        </w:tc>
        <w:tc>
          <w:tcPr>
            <w:tcW w:w="1134" w:type="dxa"/>
            <w:shd w:val="clear" w:color="auto" w:fill="D9D9D9" w:themeFill="background1" w:themeFillShade="D9"/>
            <w:noWrap/>
            <w:vAlign w:val="center"/>
            <w:hideMark/>
          </w:tcPr>
          <w:p w:rsidR="00255CC4" w:rsidRPr="00495B6E" w:rsidRDefault="00255CC4" w:rsidP="00255CC4">
            <w:pPr>
              <w:spacing w:line="240" w:lineRule="auto"/>
              <w:jc w:val="center"/>
              <w:rPr>
                <w:rFonts w:eastAsia="Times New Roman"/>
                <w:color w:val="000000"/>
                <w:sz w:val="22"/>
                <w:szCs w:val="22"/>
              </w:rPr>
            </w:pPr>
            <w:r w:rsidRPr="00495B6E">
              <w:rPr>
                <w:rFonts w:eastAsia="Times New Roman"/>
                <w:color w:val="000000"/>
                <w:sz w:val="22"/>
                <w:szCs w:val="22"/>
              </w:rPr>
              <w:t>159,96</w:t>
            </w:r>
          </w:p>
        </w:tc>
      </w:tr>
      <w:tr w:rsidR="00255CC4" w:rsidRPr="00495B6E" w:rsidTr="00426ECC">
        <w:trPr>
          <w:trHeight w:val="300"/>
        </w:trPr>
        <w:tc>
          <w:tcPr>
            <w:tcW w:w="5954" w:type="dxa"/>
            <w:shd w:val="clear" w:color="auto" w:fill="D9D9D9" w:themeFill="background1" w:themeFillShade="D9"/>
            <w:noWrap/>
            <w:vAlign w:val="center"/>
            <w:hideMark/>
          </w:tcPr>
          <w:p w:rsidR="00255CC4" w:rsidRPr="00495B6E" w:rsidRDefault="00255CC4" w:rsidP="00255CC4">
            <w:pPr>
              <w:spacing w:line="240" w:lineRule="auto"/>
              <w:jc w:val="left"/>
              <w:rPr>
                <w:rFonts w:eastAsia="Times New Roman"/>
                <w:sz w:val="22"/>
                <w:szCs w:val="22"/>
              </w:rPr>
            </w:pPr>
            <w:r w:rsidRPr="00495B6E">
              <w:rPr>
                <w:rFonts w:eastAsia="Times New Roman"/>
                <w:sz w:val="22"/>
                <w:szCs w:val="22"/>
              </w:rPr>
              <w:t>Vidējais GMI pabalsts vienai personai 2014.g., EUR/mēnesī</w:t>
            </w:r>
          </w:p>
        </w:tc>
        <w:tc>
          <w:tcPr>
            <w:tcW w:w="1417" w:type="dxa"/>
            <w:shd w:val="clear" w:color="auto" w:fill="D9D9D9" w:themeFill="background1" w:themeFillShade="D9"/>
            <w:noWrap/>
            <w:vAlign w:val="center"/>
            <w:hideMark/>
          </w:tcPr>
          <w:p w:rsidR="00255CC4" w:rsidRPr="00495B6E" w:rsidRDefault="00255CC4" w:rsidP="00255CC4">
            <w:pPr>
              <w:spacing w:line="240" w:lineRule="auto"/>
              <w:jc w:val="center"/>
              <w:rPr>
                <w:rFonts w:eastAsia="Times New Roman"/>
                <w:color w:val="000000"/>
                <w:sz w:val="22"/>
                <w:szCs w:val="22"/>
              </w:rPr>
            </w:pPr>
            <w:r w:rsidRPr="00495B6E">
              <w:rPr>
                <w:rFonts w:eastAsia="Times New Roman"/>
                <w:color w:val="000000"/>
                <w:sz w:val="22"/>
                <w:szCs w:val="22"/>
              </w:rPr>
              <w:t>32,39</w:t>
            </w:r>
          </w:p>
        </w:tc>
        <w:tc>
          <w:tcPr>
            <w:tcW w:w="1276" w:type="dxa"/>
            <w:shd w:val="clear" w:color="auto" w:fill="D9D9D9" w:themeFill="background1" w:themeFillShade="D9"/>
            <w:noWrap/>
            <w:vAlign w:val="center"/>
            <w:hideMark/>
          </w:tcPr>
          <w:p w:rsidR="00255CC4" w:rsidRPr="00495B6E" w:rsidRDefault="00255CC4" w:rsidP="00255CC4">
            <w:pPr>
              <w:spacing w:line="240" w:lineRule="auto"/>
              <w:jc w:val="center"/>
              <w:rPr>
                <w:rFonts w:eastAsia="Times New Roman"/>
                <w:color w:val="000000"/>
                <w:sz w:val="22"/>
                <w:szCs w:val="22"/>
              </w:rPr>
            </w:pPr>
            <w:r w:rsidRPr="00495B6E">
              <w:rPr>
                <w:rFonts w:eastAsia="Times New Roman"/>
                <w:color w:val="000000"/>
                <w:sz w:val="22"/>
                <w:szCs w:val="22"/>
              </w:rPr>
              <w:t>35,67</w:t>
            </w:r>
          </w:p>
        </w:tc>
        <w:tc>
          <w:tcPr>
            <w:tcW w:w="1134" w:type="dxa"/>
            <w:shd w:val="clear" w:color="auto" w:fill="D9D9D9" w:themeFill="background1" w:themeFillShade="D9"/>
            <w:noWrap/>
            <w:vAlign w:val="center"/>
            <w:hideMark/>
          </w:tcPr>
          <w:p w:rsidR="00255CC4" w:rsidRPr="00495B6E" w:rsidRDefault="00255CC4" w:rsidP="00255CC4">
            <w:pPr>
              <w:spacing w:line="240" w:lineRule="auto"/>
              <w:jc w:val="center"/>
              <w:rPr>
                <w:rFonts w:eastAsia="Times New Roman"/>
                <w:color w:val="000000"/>
                <w:sz w:val="22"/>
                <w:szCs w:val="22"/>
              </w:rPr>
            </w:pPr>
            <w:r w:rsidRPr="00495B6E">
              <w:rPr>
                <w:rFonts w:eastAsia="Times New Roman"/>
                <w:color w:val="000000"/>
                <w:sz w:val="22"/>
                <w:szCs w:val="22"/>
              </w:rPr>
              <w:t>32,12</w:t>
            </w:r>
          </w:p>
        </w:tc>
      </w:tr>
      <w:tr w:rsidR="00255CC4" w:rsidRPr="00495B6E" w:rsidTr="00255CC4">
        <w:trPr>
          <w:trHeight w:val="300"/>
        </w:trPr>
        <w:tc>
          <w:tcPr>
            <w:tcW w:w="5954" w:type="dxa"/>
            <w:shd w:val="clear" w:color="auto" w:fill="auto"/>
            <w:noWrap/>
            <w:vAlign w:val="center"/>
            <w:hideMark/>
          </w:tcPr>
          <w:p w:rsidR="00255CC4" w:rsidRPr="00495B6E" w:rsidRDefault="00255CC4" w:rsidP="00255CC4">
            <w:pPr>
              <w:spacing w:line="240" w:lineRule="auto"/>
              <w:jc w:val="left"/>
              <w:rPr>
                <w:rFonts w:eastAsia="Times New Roman"/>
                <w:color w:val="000000"/>
                <w:sz w:val="22"/>
                <w:szCs w:val="22"/>
              </w:rPr>
            </w:pPr>
            <w:r w:rsidRPr="00495B6E">
              <w:rPr>
                <w:rFonts w:eastAsia="Times New Roman"/>
                <w:color w:val="000000"/>
                <w:sz w:val="22"/>
                <w:szCs w:val="22"/>
              </w:rPr>
              <w:t xml:space="preserve">Vidējais GMI pabalsts vienai personai </w:t>
            </w:r>
            <w:r w:rsidRPr="00426ECC">
              <w:rPr>
                <w:rFonts w:eastAsia="Times New Roman"/>
                <w:b/>
                <w:color w:val="000000"/>
                <w:sz w:val="22"/>
                <w:szCs w:val="22"/>
              </w:rPr>
              <w:t>2015.g.</w:t>
            </w:r>
            <w:r w:rsidRPr="00495B6E">
              <w:rPr>
                <w:rFonts w:eastAsia="Times New Roman"/>
                <w:color w:val="000000"/>
                <w:sz w:val="22"/>
                <w:szCs w:val="22"/>
              </w:rPr>
              <w:t>, EUR/ gadā</w:t>
            </w:r>
          </w:p>
        </w:tc>
        <w:tc>
          <w:tcPr>
            <w:tcW w:w="1417" w:type="dxa"/>
            <w:shd w:val="clear" w:color="auto" w:fill="auto"/>
            <w:noWrap/>
            <w:vAlign w:val="center"/>
            <w:hideMark/>
          </w:tcPr>
          <w:p w:rsidR="00255CC4" w:rsidRPr="008C7C42" w:rsidRDefault="00255CC4" w:rsidP="00255CC4">
            <w:pPr>
              <w:spacing w:line="240" w:lineRule="auto"/>
              <w:jc w:val="center"/>
              <w:rPr>
                <w:rFonts w:eastAsia="Times New Roman"/>
                <w:b/>
                <w:color w:val="000000"/>
                <w:sz w:val="22"/>
                <w:szCs w:val="22"/>
              </w:rPr>
            </w:pPr>
            <w:r w:rsidRPr="008C7C42">
              <w:rPr>
                <w:rFonts w:eastAsia="Times New Roman"/>
                <w:b/>
                <w:color w:val="000000"/>
                <w:sz w:val="22"/>
                <w:szCs w:val="22"/>
              </w:rPr>
              <w:t>185,35</w:t>
            </w:r>
          </w:p>
        </w:tc>
        <w:tc>
          <w:tcPr>
            <w:tcW w:w="1276" w:type="dxa"/>
            <w:shd w:val="clear" w:color="auto" w:fill="auto"/>
            <w:noWrap/>
            <w:vAlign w:val="center"/>
            <w:hideMark/>
          </w:tcPr>
          <w:p w:rsidR="00255CC4" w:rsidRPr="00495B6E" w:rsidRDefault="00255CC4" w:rsidP="00255CC4">
            <w:pPr>
              <w:spacing w:line="240" w:lineRule="auto"/>
              <w:jc w:val="center"/>
              <w:rPr>
                <w:rFonts w:eastAsia="Times New Roman"/>
                <w:color w:val="000000"/>
                <w:sz w:val="22"/>
                <w:szCs w:val="22"/>
              </w:rPr>
            </w:pPr>
            <w:r w:rsidRPr="00495B6E">
              <w:rPr>
                <w:rFonts w:eastAsia="Times New Roman"/>
                <w:color w:val="000000"/>
                <w:sz w:val="22"/>
                <w:szCs w:val="22"/>
              </w:rPr>
              <w:t>205</w:t>
            </w:r>
            <w:r w:rsidR="00685CD2">
              <w:rPr>
                <w:rFonts w:eastAsia="Times New Roman"/>
                <w:color w:val="000000"/>
                <w:sz w:val="22"/>
                <w:szCs w:val="22"/>
              </w:rPr>
              <w:t>,0</w:t>
            </w:r>
          </w:p>
        </w:tc>
        <w:tc>
          <w:tcPr>
            <w:tcW w:w="1134" w:type="dxa"/>
            <w:shd w:val="clear" w:color="auto" w:fill="auto"/>
            <w:noWrap/>
            <w:vAlign w:val="center"/>
            <w:hideMark/>
          </w:tcPr>
          <w:p w:rsidR="00255CC4" w:rsidRPr="00495B6E" w:rsidRDefault="00255CC4" w:rsidP="00255CC4">
            <w:pPr>
              <w:spacing w:line="240" w:lineRule="auto"/>
              <w:jc w:val="center"/>
              <w:rPr>
                <w:rFonts w:eastAsia="Times New Roman"/>
                <w:color w:val="000000"/>
                <w:sz w:val="22"/>
                <w:szCs w:val="22"/>
              </w:rPr>
            </w:pPr>
            <w:r w:rsidRPr="00495B6E">
              <w:rPr>
                <w:rFonts w:eastAsia="Times New Roman"/>
                <w:color w:val="000000"/>
                <w:sz w:val="22"/>
                <w:szCs w:val="22"/>
              </w:rPr>
              <w:t>183,75</w:t>
            </w:r>
          </w:p>
        </w:tc>
      </w:tr>
      <w:tr w:rsidR="00255CC4" w:rsidRPr="00495B6E" w:rsidTr="00255CC4">
        <w:trPr>
          <w:trHeight w:val="300"/>
        </w:trPr>
        <w:tc>
          <w:tcPr>
            <w:tcW w:w="5954" w:type="dxa"/>
            <w:shd w:val="clear" w:color="auto" w:fill="auto"/>
            <w:noWrap/>
            <w:vAlign w:val="center"/>
            <w:hideMark/>
          </w:tcPr>
          <w:p w:rsidR="00255CC4" w:rsidRPr="00495B6E" w:rsidRDefault="00255CC4" w:rsidP="00255CC4">
            <w:pPr>
              <w:spacing w:line="240" w:lineRule="auto"/>
              <w:jc w:val="left"/>
              <w:rPr>
                <w:rFonts w:eastAsia="Times New Roman"/>
                <w:sz w:val="22"/>
                <w:szCs w:val="22"/>
              </w:rPr>
            </w:pPr>
            <w:r w:rsidRPr="00495B6E">
              <w:rPr>
                <w:rFonts w:eastAsia="Times New Roman"/>
                <w:sz w:val="22"/>
                <w:szCs w:val="22"/>
              </w:rPr>
              <w:t>Vidējais GMI pabalsts vienai personai 2015.g., EUR/ mēnesī</w:t>
            </w:r>
          </w:p>
        </w:tc>
        <w:tc>
          <w:tcPr>
            <w:tcW w:w="1417" w:type="dxa"/>
            <w:shd w:val="clear" w:color="auto" w:fill="auto"/>
            <w:noWrap/>
            <w:vAlign w:val="center"/>
            <w:hideMark/>
          </w:tcPr>
          <w:p w:rsidR="00255CC4" w:rsidRPr="00495B6E" w:rsidRDefault="00255CC4" w:rsidP="00255CC4">
            <w:pPr>
              <w:spacing w:line="240" w:lineRule="auto"/>
              <w:jc w:val="center"/>
              <w:rPr>
                <w:rFonts w:eastAsia="Times New Roman"/>
                <w:color w:val="000000"/>
                <w:sz w:val="22"/>
                <w:szCs w:val="22"/>
              </w:rPr>
            </w:pPr>
            <w:r w:rsidRPr="00495B6E">
              <w:rPr>
                <w:rFonts w:eastAsia="Times New Roman"/>
                <w:color w:val="000000"/>
                <w:sz w:val="22"/>
                <w:szCs w:val="22"/>
              </w:rPr>
              <w:t>35,67</w:t>
            </w:r>
          </w:p>
        </w:tc>
        <w:tc>
          <w:tcPr>
            <w:tcW w:w="1276" w:type="dxa"/>
            <w:shd w:val="clear" w:color="auto" w:fill="auto"/>
            <w:noWrap/>
            <w:vAlign w:val="center"/>
            <w:hideMark/>
          </w:tcPr>
          <w:p w:rsidR="00255CC4" w:rsidRPr="00495B6E" w:rsidRDefault="00255CC4" w:rsidP="00255CC4">
            <w:pPr>
              <w:spacing w:line="240" w:lineRule="auto"/>
              <w:jc w:val="center"/>
              <w:rPr>
                <w:rFonts w:eastAsia="Times New Roman"/>
                <w:color w:val="000000"/>
                <w:sz w:val="22"/>
                <w:szCs w:val="22"/>
              </w:rPr>
            </w:pPr>
            <w:r w:rsidRPr="00495B6E">
              <w:rPr>
                <w:rFonts w:eastAsia="Times New Roman"/>
                <w:color w:val="000000"/>
                <w:sz w:val="22"/>
                <w:szCs w:val="22"/>
              </w:rPr>
              <w:t>36,77</w:t>
            </w:r>
          </w:p>
        </w:tc>
        <w:tc>
          <w:tcPr>
            <w:tcW w:w="1134" w:type="dxa"/>
            <w:shd w:val="clear" w:color="auto" w:fill="auto"/>
            <w:noWrap/>
            <w:vAlign w:val="center"/>
            <w:hideMark/>
          </w:tcPr>
          <w:p w:rsidR="00255CC4" w:rsidRPr="00495B6E" w:rsidRDefault="00255CC4" w:rsidP="00255CC4">
            <w:pPr>
              <w:spacing w:line="240" w:lineRule="auto"/>
              <w:jc w:val="center"/>
              <w:rPr>
                <w:rFonts w:eastAsia="Times New Roman"/>
                <w:color w:val="000000"/>
                <w:sz w:val="22"/>
                <w:szCs w:val="22"/>
              </w:rPr>
            </w:pPr>
            <w:r w:rsidRPr="00495B6E">
              <w:rPr>
                <w:rFonts w:eastAsia="Times New Roman"/>
                <w:color w:val="000000"/>
                <w:sz w:val="22"/>
                <w:szCs w:val="22"/>
              </w:rPr>
              <w:t>35,76</w:t>
            </w:r>
          </w:p>
        </w:tc>
      </w:tr>
      <w:tr w:rsidR="00255CC4" w:rsidRPr="00495B6E" w:rsidTr="00426ECC">
        <w:trPr>
          <w:trHeight w:val="300"/>
        </w:trPr>
        <w:tc>
          <w:tcPr>
            <w:tcW w:w="5954" w:type="dxa"/>
            <w:shd w:val="clear" w:color="auto" w:fill="D9D9D9" w:themeFill="background1" w:themeFillShade="D9"/>
            <w:noWrap/>
            <w:vAlign w:val="center"/>
            <w:hideMark/>
          </w:tcPr>
          <w:p w:rsidR="00255CC4" w:rsidRPr="00495B6E" w:rsidRDefault="00255CC4" w:rsidP="00255CC4">
            <w:pPr>
              <w:spacing w:line="240" w:lineRule="auto"/>
              <w:jc w:val="left"/>
              <w:rPr>
                <w:rFonts w:eastAsia="Times New Roman"/>
                <w:sz w:val="22"/>
                <w:szCs w:val="22"/>
              </w:rPr>
            </w:pPr>
            <w:r w:rsidRPr="00495B6E">
              <w:rPr>
                <w:rFonts w:eastAsia="Times New Roman"/>
                <w:sz w:val="22"/>
                <w:szCs w:val="22"/>
              </w:rPr>
              <w:t xml:space="preserve">Vidējais GMI pabalsts vienai personai </w:t>
            </w:r>
            <w:r w:rsidRPr="00426ECC">
              <w:rPr>
                <w:rFonts w:eastAsia="Times New Roman"/>
                <w:b/>
                <w:sz w:val="22"/>
                <w:szCs w:val="22"/>
              </w:rPr>
              <w:t>2016.g.</w:t>
            </w:r>
            <w:r w:rsidRPr="00495B6E">
              <w:rPr>
                <w:rFonts w:eastAsia="Times New Roman"/>
                <w:sz w:val="22"/>
                <w:szCs w:val="22"/>
              </w:rPr>
              <w:t>, EUR/gadā</w:t>
            </w:r>
          </w:p>
        </w:tc>
        <w:tc>
          <w:tcPr>
            <w:tcW w:w="1417" w:type="dxa"/>
            <w:shd w:val="clear" w:color="auto" w:fill="D9D9D9" w:themeFill="background1" w:themeFillShade="D9"/>
            <w:noWrap/>
            <w:vAlign w:val="center"/>
            <w:hideMark/>
          </w:tcPr>
          <w:p w:rsidR="00255CC4" w:rsidRPr="008C7C42" w:rsidRDefault="00255CC4" w:rsidP="00255CC4">
            <w:pPr>
              <w:spacing w:line="240" w:lineRule="auto"/>
              <w:jc w:val="center"/>
              <w:rPr>
                <w:rFonts w:eastAsia="Times New Roman"/>
                <w:b/>
                <w:color w:val="000000"/>
                <w:sz w:val="22"/>
                <w:szCs w:val="22"/>
              </w:rPr>
            </w:pPr>
            <w:r w:rsidRPr="008C7C42">
              <w:rPr>
                <w:rFonts w:eastAsia="Times New Roman"/>
                <w:b/>
                <w:color w:val="000000"/>
                <w:sz w:val="22"/>
                <w:szCs w:val="22"/>
              </w:rPr>
              <w:t>188,6</w:t>
            </w:r>
          </w:p>
        </w:tc>
        <w:tc>
          <w:tcPr>
            <w:tcW w:w="1276" w:type="dxa"/>
            <w:shd w:val="clear" w:color="auto" w:fill="D9D9D9" w:themeFill="background1" w:themeFillShade="D9"/>
            <w:noWrap/>
            <w:vAlign w:val="center"/>
            <w:hideMark/>
          </w:tcPr>
          <w:p w:rsidR="00255CC4" w:rsidRPr="00495B6E" w:rsidRDefault="00255CC4" w:rsidP="00255CC4">
            <w:pPr>
              <w:spacing w:line="240" w:lineRule="auto"/>
              <w:jc w:val="center"/>
              <w:rPr>
                <w:rFonts w:eastAsia="Times New Roman"/>
                <w:color w:val="000000"/>
                <w:sz w:val="22"/>
                <w:szCs w:val="22"/>
              </w:rPr>
            </w:pPr>
            <w:r w:rsidRPr="00495B6E">
              <w:rPr>
                <w:rFonts w:eastAsia="Times New Roman"/>
                <w:color w:val="000000"/>
                <w:sz w:val="22"/>
                <w:szCs w:val="22"/>
              </w:rPr>
              <w:t>221,18</w:t>
            </w:r>
          </w:p>
        </w:tc>
        <w:tc>
          <w:tcPr>
            <w:tcW w:w="1134" w:type="dxa"/>
            <w:shd w:val="clear" w:color="auto" w:fill="D9D9D9" w:themeFill="background1" w:themeFillShade="D9"/>
            <w:noWrap/>
            <w:vAlign w:val="center"/>
            <w:hideMark/>
          </w:tcPr>
          <w:p w:rsidR="00255CC4" w:rsidRPr="00495B6E" w:rsidRDefault="00255CC4" w:rsidP="00255CC4">
            <w:pPr>
              <w:spacing w:line="240" w:lineRule="auto"/>
              <w:jc w:val="center"/>
              <w:rPr>
                <w:rFonts w:eastAsia="Times New Roman"/>
                <w:color w:val="000000"/>
                <w:sz w:val="22"/>
                <w:szCs w:val="22"/>
              </w:rPr>
            </w:pPr>
            <w:r w:rsidRPr="00495B6E">
              <w:rPr>
                <w:rFonts w:eastAsia="Times New Roman"/>
                <w:color w:val="000000"/>
                <w:sz w:val="22"/>
                <w:szCs w:val="22"/>
              </w:rPr>
              <w:t>185,93</w:t>
            </w:r>
          </w:p>
        </w:tc>
      </w:tr>
      <w:tr w:rsidR="00255CC4" w:rsidRPr="00495B6E" w:rsidTr="00426ECC">
        <w:trPr>
          <w:trHeight w:val="300"/>
        </w:trPr>
        <w:tc>
          <w:tcPr>
            <w:tcW w:w="5954" w:type="dxa"/>
            <w:shd w:val="clear" w:color="auto" w:fill="D9D9D9" w:themeFill="background1" w:themeFillShade="D9"/>
            <w:noWrap/>
            <w:vAlign w:val="center"/>
            <w:hideMark/>
          </w:tcPr>
          <w:p w:rsidR="00255CC4" w:rsidRPr="00495B6E" w:rsidRDefault="00255CC4" w:rsidP="00255CC4">
            <w:pPr>
              <w:spacing w:line="240" w:lineRule="auto"/>
              <w:jc w:val="left"/>
              <w:rPr>
                <w:rFonts w:eastAsia="Times New Roman"/>
                <w:sz w:val="22"/>
                <w:szCs w:val="22"/>
              </w:rPr>
            </w:pPr>
            <w:r w:rsidRPr="00495B6E">
              <w:rPr>
                <w:rFonts w:eastAsia="Times New Roman"/>
                <w:sz w:val="22"/>
                <w:szCs w:val="22"/>
              </w:rPr>
              <w:t>Vidējais GMI pabalsts vienai personai 2016.g., EUR/mēnesī</w:t>
            </w:r>
          </w:p>
        </w:tc>
        <w:tc>
          <w:tcPr>
            <w:tcW w:w="1417" w:type="dxa"/>
            <w:shd w:val="clear" w:color="auto" w:fill="D9D9D9" w:themeFill="background1" w:themeFillShade="D9"/>
            <w:noWrap/>
            <w:vAlign w:val="center"/>
            <w:hideMark/>
          </w:tcPr>
          <w:p w:rsidR="00255CC4" w:rsidRPr="00495B6E" w:rsidRDefault="00255CC4" w:rsidP="00255CC4">
            <w:pPr>
              <w:spacing w:line="240" w:lineRule="auto"/>
              <w:jc w:val="center"/>
              <w:rPr>
                <w:rFonts w:eastAsia="Times New Roman"/>
                <w:color w:val="000000"/>
                <w:sz w:val="22"/>
                <w:szCs w:val="22"/>
              </w:rPr>
            </w:pPr>
            <w:r w:rsidRPr="00495B6E">
              <w:rPr>
                <w:rFonts w:eastAsia="Times New Roman"/>
                <w:color w:val="000000"/>
                <w:sz w:val="22"/>
                <w:szCs w:val="22"/>
              </w:rPr>
              <w:t>37,69</w:t>
            </w:r>
          </w:p>
        </w:tc>
        <w:tc>
          <w:tcPr>
            <w:tcW w:w="1276" w:type="dxa"/>
            <w:shd w:val="clear" w:color="auto" w:fill="D9D9D9" w:themeFill="background1" w:themeFillShade="D9"/>
            <w:noWrap/>
            <w:vAlign w:val="center"/>
            <w:hideMark/>
          </w:tcPr>
          <w:p w:rsidR="00255CC4" w:rsidRPr="00495B6E" w:rsidRDefault="00255CC4" w:rsidP="00255CC4">
            <w:pPr>
              <w:spacing w:line="240" w:lineRule="auto"/>
              <w:jc w:val="center"/>
              <w:rPr>
                <w:rFonts w:eastAsia="Times New Roman"/>
                <w:color w:val="000000"/>
                <w:sz w:val="22"/>
                <w:szCs w:val="22"/>
              </w:rPr>
            </w:pPr>
            <w:r w:rsidRPr="00495B6E">
              <w:rPr>
                <w:rFonts w:eastAsia="Times New Roman"/>
                <w:color w:val="000000"/>
                <w:sz w:val="22"/>
                <w:szCs w:val="22"/>
              </w:rPr>
              <w:t>37,43</w:t>
            </w:r>
          </w:p>
        </w:tc>
        <w:tc>
          <w:tcPr>
            <w:tcW w:w="1134" w:type="dxa"/>
            <w:shd w:val="clear" w:color="auto" w:fill="D9D9D9" w:themeFill="background1" w:themeFillShade="D9"/>
            <w:noWrap/>
            <w:vAlign w:val="center"/>
            <w:hideMark/>
          </w:tcPr>
          <w:p w:rsidR="00255CC4" w:rsidRPr="00495B6E" w:rsidRDefault="00255CC4" w:rsidP="00255CC4">
            <w:pPr>
              <w:spacing w:line="240" w:lineRule="auto"/>
              <w:jc w:val="center"/>
              <w:rPr>
                <w:rFonts w:eastAsia="Times New Roman"/>
                <w:color w:val="000000"/>
                <w:sz w:val="22"/>
                <w:szCs w:val="22"/>
              </w:rPr>
            </w:pPr>
            <w:r w:rsidRPr="00495B6E">
              <w:rPr>
                <w:rFonts w:eastAsia="Times New Roman"/>
                <w:color w:val="000000"/>
                <w:sz w:val="22"/>
                <w:szCs w:val="22"/>
              </w:rPr>
              <w:t>37,71</w:t>
            </w:r>
          </w:p>
        </w:tc>
      </w:tr>
      <w:tr w:rsidR="00255CC4" w:rsidRPr="00495B6E" w:rsidTr="00255CC4">
        <w:trPr>
          <w:trHeight w:val="300"/>
        </w:trPr>
        <w:tc>
          <w:tcPr>
            <w:tcW w:w="5954" w:type="dxa"/>
            <w:shd w:val="clear" w:color="auto" w:fill="auto"/>
            <w:noWrap/>
            <w:vAlign w:val="center"/>
            <w:hideMark/>
          </w:tcPr>
          <w:p w:rsidR="00255CC4" w:rsidRPr="00495B6E" w:rsidRDefault="00255CC4" w:rsidP="00255CC4">
            <w:pPr>
              <w:spacing w:line="240" w:lineRule="auto"/>
              <w:jc w:val="left"/>
              <w:rPr>
                <w:rFonts w:eastAsia="Times New Roman"/>
                <w:color w:val="000000"/>
                <w:sz w:val="22"/>
                <w:szCs w:val="22"/>
              </w:rPr>
            </w:pPr>
            <w:r w:rsidRPr="00495B6E">
              <w:rPr>
                <w:rFonts w:eastAsia="Times New Roman"/>
                <w:color w:val="000000"/>
                <w:sz w:val="22"/>
                <w:szCs w:val="22"/>
              </w:rPr>
              <w:t xml:space="preserve">Vidējā GMI pabalsta lieluma vienai personai izmaiņas 2014.g.-2016.g., </w:t>
            </w:r>
            <w:r w:rsidRPr="00495B6E">
              <w:rPr>
                <w:rFonts w:eastAsia="Times New Roman"/>
                <w:b/>
                <w:color w:val="000000"/>
                <w:sz w:val="22"/>
                <w:szCs w:val="22"/>
              </w:rPr>
              <w:t>EUR/gadā</w:t>
            </w:r>
          </w:p>
        </w:tc>
        <w:tc>
          <w:tcPr>
            <w:tcW w:w="1417" w:type="dxa"/>
            <w:shd w:val="clear" w:color="auto" w:fill="auto"/>
            <w:noWrap/>
            <w:vAlign w:val="center"/>
            <w:hideMark/>
          </w:tcPr>
          <w:p w:rsidR="00255CC4" w:rsidRPr="00495B6E" w:rsidRDefault="00255CC4" w:rsidP="00255CC4">
            <w:pPr>
              <w:spacing w:line="240" w:lineRule="auto"/>
              <w:jc w:val="center"/>
              <w:rPr>
                <w:rFonts w:eastAsia="Times New Roman"/>
                <w:color w:val="000000"/>
                <w:sz w:val="22"/>
                <w:szCs w:val="22"/>
              </w:rPr>
            </w:pPr>
            <w:r>
              <w:rPr>
                <w:rFonts w:eastAsia="Times New Roman"/>
                <w:color w:val="000000"/>
                <w:sz w:val="22"/>
                <w:szCs w:val="22"/>
              </w:rPr>
              <w:sym w:font="Symbol" w:char="F0AD"/>
            </w:r>
            <w:r>
              <w:rPr>
                <w:rFonts w:eastAsia="Times New Roman"/>
                <w:color w:val="000000"/>
                <w:sz w:val="22"/>
                <w:szCs w:val="22"/>
              </w:rPr>
              <w:t xml:space="preserve"> </w:t>
            </w:r>
            <w:r w:rsidRPr="00495B6E">
              <w:rPr>
                <w:rFonts w:eastAsia="Times New Roman"/>
                <w:color w:val="000000"/>
                <w:sz w:val="22"/>
                <w:szCs w:val="22"/>
              </w:rPr>
              <w:t>25,55</w:t>
            </w:r>
          </w:p>
        </w:tc>
        <w:tc>
          <w:tcPr>
            <w:tcW w:w="1276" w:type="dxa"/>
            <w:shd w:val="clear" w:color="auto" w:fill="auto"/>
            <w:noWrap/>
            <w:vAlign w:val="center"/>
            <w:hideMark/>
          </w:tcPr>
          <w:p w:rsidR="00255CC4" w:rsidRPr="00495B6E" w:rsidRDefault="00255CC4" w:rsidP="00255CC4">
            <w:pPr>
              <w:spacing w:line="240" w:lineRule="auto"/>
              <w:jc w:val="center"/>
              <w:rPr>
                <w:rFonts w:eastAsia="Times New Roman"/>
                <w:color w:val="000000"/>
                <w:sz w:val="22"/>
                <w:szCs w:val="22"/>
              </w:rPr>
            </w:pPr>
            <w:r>
              <w:rPr>
                <w:rFonts w:eastAsia="Times New Roman"/>
                <w:color w:val="000000"/>
                <w:sz w:val="22"/>
                <w:szCs w:val="22"/>
              </w:rPr>
              <w:sym w:font="Symbol" w:char="F0AD"/>
            </w:r>
            <w:r>
              <w:rPr>
                <w:rFonts w:eastAsia="Times New Roman"/>
                <w:color w:val="000000"/>
                <w:sz w:val="22"/>
                <w:szCs w:val="22"/>
              </w:rPr>
              <w:t xml:space="preserve"> </w:t>
            </w:r>
            <w:r w:rsidRPr="00495B6E">
              <w:rPr>
                <w:rFonts w:eastAsia="Times New Roman"/>
                <w:color w:val="000000"/>
                <w:sz w:val="22"/>
                <w:szCs w:val="22"/>
              </w:rPr>
              <w:t>20,24</w:t>
            </w:r>
          </w:p>
        </w:tc>
        <w:tc>
          <w:tcPr>
            <w:tcW w:w="1134" w:type="dxa"/>
            <w:shd w:val="clear" w:color="auto" w:fill="auto"/>
            <w:noWrap/>
            <w:vAlign w:val="center"/>
            <w:hideMark/>
          </w:tcPr>
          <w:p w:rsidR="00255CC4" w:rsidRPr="00495B6E" w:rsidRDefault="00255CC4" w:rsidP="00255CC4">
            <w:pPr>
              <w:spacing w:line="240" w:lineRule="auto"/>
              <w:jc w:val="center"/>
              <w:rPr>
                <w:rFonts w:eastAsia="Times New Roman"/>
                <w:color w:val="000000"/>
                <w:sz w:val="22"/>
                <w:szCs w:val="22"/>
              </w:rPr>
            </w:pPr>
            <w:r>
              <w:rPr>
                <w:rFonts w:eastAsia="Times New Roman"/>
                <w:color w:val="000000"/>
                <w:sz w:val="22"/>
                <w:szCs w:val="22"/>
              </w:rPr>
              <w:sym w:font="Symbol" w:char="F0AD"/>
            </w:r>
            <w:r>
              <w:rPr>
                <w:rFonts w:eastAsia="Times New Roman"/>
                <w:color w:val="000000"/>
                <w:sz w:val="22"/>
                <w:szCs w:val="22"/>
              </w:rPr>
              <w:t xml:space="preserve"> </w:t>
            </w:r>
            <w:r w:rsidRPr="00495B6E">
              <w:rPr>
                <w:rFonts w:eastAsia="Times New Roman"/>
                <w:color w:val="000000"/>
                <w:sz w:val="22"/>
                <w:szCs w:val="22"/>
              </w:rPr>
              <w:t>25,97</w:t>
            </w:r>
          </w:p>
        </w:tc>
      </w:tr>
      <w:tr w:rsidR="00255CC4" w:rsidRPr="00495B6E" w:rsidTr="00255CC4">
        <w:trPr>
          <w:trHeight w:val="300"/>
        </w:trPr>
        <w:tc>
          <w:tcPr>
            <w:tcW w:w="5954" w:type="dxa"/>
            <w:shd w:val="clear" w:color="auto" w:fill="auto"/>
            <w:noWrap/>
            <w:vAlign w:val="center"/>
            <w:hideMark/>
          </w:tcPr>
          <w:p w:rsidR="00255CC4" w:rsidRPr="00495B6E" w:rsidRDefault="00255CC4" w:rsidP="00255CC4">
            <w:pPr>
              <w:spacing w:line="240" w:lineRule="auto"/>
              <w:jc w:val="left"/>
              <w:rPr>
                <w:rFonts w:eastAsia="Times New Roman"/>
                <w:sz w:val="22"/>
                <w:szCs w:val="22"/>
              </w:rPr>
            </w:pPr>
            <w:r w:rsidRPr="00495B6E">
              <w:rPr>
                <w:rFonts w:eastAsia="Times New Roman"/>
                <w:sz w:val="22"/>
                <w:szCs w:val="22"/>
              </w:rPr>
              <w:t xml:space="preserve">Vidējā GMI pabalsta lieluma vienai personai izmaiņas 2014.g.-2016.g., </w:t>
            </w:r>
            <w:r w:rsidRPr="00495B6E">
              <w:rPr>
                <w:rFonts w:eastAsia="Times New Roman"/>
                <w:b/>
                <w:sz w:val="22"/>
                <w:szCs w:val="22"/>
              </w:rPr>
              <w:t>EUR/mēnesī</w:t>
            </w:r>
          </w:p>
        </w:tc>
        <w:tc>
          <w:tcPr>
            <w:tcW w:w="1417" w:type="dxa"/>
            <w:shd w:val="clear" w:color="auto" w:fill="auto"/>
            <w:noWrap/>
            <w:vAlign w:val="center"/>
            <w:hideMark/>
          </w:tcPr>
          <w:p w:rsidR="00255CC4" w:rsidRPr="00495B6E" w:rsidRDefault="00255CC4" w:rsidP="00255CC4">
            <w:pPr>
              <w:spacing w:line="240" w:lineRule="auto"/>
              <w:jc w:val="center"/>
              <w:rPr>
                <w:rFonts w:eastAsia="Times New Roman"/>
                <w:color w:val="000000"/>
                <w:sz w:val="22"/>
                <w:szCs w:val="22"/>
              </w:rPr>
            </w:pPr>
            <w:r>
              <w:rPr>
                <w:rFonts w:eastAsia="Times New Roman"/>
                <w:color w:val="000000"/>
                <w:sz w:val="22"/>
                <w:szCs w:val="22"/>
              </w:rPr>
              <w:sym w:font="Symbol" w:char="F0AD"/>
            </w:r>
            <w:r>
              <w:rPr>
                <w:rFonts w:eastAsia="Times New Roman"/>
                <w:color w:val="000000"/>
                <w:sz w:val="22"/>
                <w:szCs w:val="22"/>
              </w:rPr>
              <w:t xml:space="preserve"> </w:t>
            </w:r>
            <w:r w:rsidRPr="00495B6E">
              <w:rPr>
                <w:rFonts w:eastAsia="Times New Roman"/>
                <w:color w:val="000000"/>
                <w:sz w:val="22"/>
                <w:szCs w:val="22"/>
              </w:rPr>
              <w:t>5,3</w:t>
            </w:r>
          </w:p>
        </w:tc>
        <w:tc>
          <w:tcPr>
            <w:tcW w:w="1276" w:type="dxa"/>
            <w:shd w:val="clear" w:color="auto" w:fill="auto"/>
            <w:noWrap/>
            <w:vAlign w:val="center"/>
            <w:hideMark/>
          </w:tcPr>
          <w:p w:rsidR="00255CC4" w:rsidRPr="00495B6E" w:rsidRDefault="00255CC4" w:rsidP="00255CC4">
            <w:pPr>
              <w:spacing w:line="240" w:lineRule="auto"/>
              <w:jc w:val="center"/>
              <w:rPr>
                <w:rFonts w:eastAsia="Times New Roman"/>
                <w:color w:val="000000"/>
                <w:sz w:val="22"/>
                <w:szCs w:val="22"/>
              </w:rPr>
            </w:pPr>
            <w:r>
              <w:rPr>
                <w:rFonts w:eastAsia="Times New Roman"/>
                <w:color w:val="000000"/>
                <w:sz w:val="22"/>
                <w:szCs w:val="22"/>
              </w:rPr>
              <w:sym w:font="Symbol" w:char="F0AD"/>
            </w:r>
            <w:r>
              <w:rPr>
                <w:rFonts w:eastAsia="Times New Roman"/>
                <w:color w:val="000000"/>
                <w:sz w:val="22"/>
                <w:szCs w:val="22"/>
              </w:rPr>
              <w:t xml:space="preserve"> </w:t>
            </w:r>
            <w:r w:rsidRPr="00495B6E">
              <w:rPr>
                <w:rFonts w:eastAsia="Times New Roman"/>
                <w:color w:val="000000"/>
                <w:sz w:val="22"/>
                <w:szCs w:val="22"/>
              </w:rPr>
              <w:t>1,76</w:t>
            </w:r>
          </w:p>
        </w:tc>
        <w:tc>
          <w:tcPr>
            <w:tcW w:w="1134" w:type="dxa"/>
            <w:shd w:val="clear" w:color="auto" w:fill="auto"/>
            <w:noWrap/>
            <w:vAlign w:val="center"/>
            <w:hideMark/>
          </w:tcPr>
          <w:p w:rsidR="00255CC4" w:rsidRPr="00495B6E" w:rsidRDefault="00255CC4" w:rsidP="00255CC4">
            <w:pPr>
              <w:spacing w:line="240" w:lineRule="auto"/>
              <w:jc w:val="center"/>
              <w:rPr>
                <w:rFonts w:eastAsia="Times New Roman"/>
                <w:color w:val="000000"/>
                <w:sz w:val="22"/>
                <w:szCs w:val="22"/>
              </w:rPr>
            </w:pPr>
            <w:r>
              <w:rPr>
                <w:rFonts w:eastAsia="Times New Roman"/>
                <w:color w:val="000000"/>
                <w:sz w:val="22"/>
                <w:szCs w:val="22"/>
              </w:rPr>
              <w:sym w:font="Symbol" w:char="F0AD"/>
            </w:r>
            <w:r>
              <w:rPr>
                <w:rFonts w:eastAsia="Times New Roman"/>
                <w:color w:val="000000"/>
                <w:sz w:val="22"/>
                <w:szCs w:val="22"/>
              </w:rPr>
              <w:t xml:space="preserve"> </w:t>
            </w:r>
            <w:r w:rsidRPr="00495B6E">
              <w:rPr>
                <w:rFonts w:eastAsia="Times New Roman"/>
                <w:color w:val="000000"/>
                <w:sz w:val="22"/>
                <w:szCs w:val="22"/>
              </w:rPr>
              <w:t>5,59</w:t>
            </w:r>
          </w:p>
        </w:tc>
      </w:tr>
      <w:tr w:rsidR="00255CC4" w:rsidRPr="00495B6E" w:rsidTr="00255CC4">
        <w:trPr>
          <w:trHeight w:val="300"/>
        </w:trPr>
        <w:tc>
          <w:tcPr>
            <w:tcW w:w="5954" w:type="dxa"/>
            <w:shd w:val="clear" w:color="auto" w:fill="auto"/>
            <w:noWrap/>
            <w:vAlign w:val="center"/>
            <w:hideMark/>
          </w:tcPr>
          <w:p w:rsidR="00255CC4" w:rsidRPr="00495B6E" w:rsidRDefault="00255CC4" w:rsidP="00255CC4">
            <w:pPr>
              <w:spacing w:line="240" w:lineRule="auto"/>
              <w:jc w:val="left"/>
              <w:rPr>
                <w:rFonts w:eastAsia="Times New Roman"/>
                <w:color w:val="000000"/>
                <w:sz w:val="22"/>
                <w:szCs w:val="22"/>
              </w:rPr>
            </w:pPr>
            <w:r w:rsidRPr="00495B6E">
              <w:rPr>
                <w:rFonts w:eastAsia="Times New Roman"/>
                <w:color w:val="000000"/>
                <w:sz w:val="22"/>
                <w:szCs w:val="22"/>
              </w:rPr>
              <w:t xml:space="preserve">Vidējā GMI pabalsta lieluma gadā vienai personai izmaiņas 2014.g.-2016.g., </w:t>
            </w:r>
            <w:r w:rsidRPr="00495B6E">
              <w:rPr>
                <w:rFonts w:eastAsia="Times New Roman"/>
                <w:b/>
                <w:color w:val="000000"/>
                <w:sz w:val="22"/>
                <w:szCs w:val="22"/>
              </w:rPr>
              <w:t>%</w:t>
            </w:r>
          </w:p>
        </w:tc>
        <w:tc>
          <w:tcPr>
            <w:tcW w:w="1417" w:type="dxa"/>
            <w:shd w:val="clear" w:color="auto" w:fill="auto"/>
            <w:noWrap/>
            <w:vAlign w:val="center"/>
            <w:hideMark/>
          </w:tcPr>
          <w:p w:rsidR="00255CC4" w:rsidRPr="00495B6E" w:rsidRDefault="00255CC4" w:rsidP="00255CC4">
            <w:pPr>
              <w:spacing w:line="240" w:lineRule="auto"/>
              <w:jc w:val="center"/>
              <w:rPr>
                <w:rFonts w:eastAsia="Times New Roman"/>
                <w:color w:val="000000"/>
                <w:sz w:val="22"/>
                <w:szCs w:val="22"/>
              </w:rPr>
            </w:pPr>
            <w:r>
              <w:rPr>
                <w:rFonts w:eastAsia="Times New Roman"/>
                <w:color w:val="000000"/>
                <w:sz w:val="22"/>
                <w:szCs w:val="22"/>
              </w:rPr>
              <w:sym w:font="Symbol" w:char="F0AD"/>
            </w:r>
            <w:r>
              <w:rPr>
                <w:rFonts w:eastAsia="Times New Roman"/>
                <w:color w:val="000000"/>
                <w:sz w:val="22"/>
                <w:szCs w:val="22"/>
              </w:rPr>
              <w:t xml:space="preserve"> </w:t>
            </w:r>
            <w:r w:rsidRPr="00495B6E">
              <w:rPr>
                <w:rFonts w:eastAsia="Times New Roman"/>
                <w:color w:val="000000"/>
                <w:sz w:val="22"/>
                <w:szCs w:val="22"/>
              </w:rPr>
              <w:t>15,7%</w:t>
            </w:r>
          </w:p>
        </w:tc>
        <w:tc>
          <w:tcPr>
            <w:tcW w:w="1276" w:type="dxa"/>
            <w:shd w:val="clear" w:color="auto" w:fill="auto"/>
            <w:noWrap/>
            <w:vAlign w:val="center"/>
            <w:hideMark/>
          </w:tcPr>
          <w:p w:rsidR="00255CC4" w:rsidRPr="00495B6E" w:rsidRDefault="00255CC4" w:rsidP="00255CC4">
            <w:pPr>
              <w:spacing w:line="240" w:lineRule="auto"/>
              <w:jc w:val="center"/>
              <w:rPr>
                <w:rFonts w:eastAsia="Times New Roman"/>
                <w:color w:val="000000"/>
                <w:sz w:val="22"/>
                <w:szCs w:val="22"/>
              </w:rPr>
            </w:pPr>
            <w:r>
              <w:rPr>
                <w:rFonts w:eastAsia="Times New Roman"/>
                <w:color w:val="000000"/>
                <w:sz w:val="22"/>
                <w:szCs w:val="22"/>
              </w:rPr>
              <w:sym w:font="Symbol" w:char="F0AD"/>
            </w:r>
            <w:r>
              <w:rPr>
                <w:rFonts w:eastAsia="Times New Roman"/>
                <w:color w:val="000000"/>
                <w:sz w:val="22"/>
                <w:szCs w:val="22"/>
              </w:rPr>
              <w:t xml:space="preserve"> </w:t>
            </w:r>
            <w:r w:rsidRPr="00495B6E">
              <w:rPr>
                <w:rFonts w:eastAsia="Times New Roman"/>
                <w:color w:val="000000"/>
                <w:sz w:val="22"/>
                <w:szCs w:val="22"/>
              </w:rPr>
              <w:t>10,0%</w:t>
            </w:r>
          </w:p>
        </w:tc>
        <w:tc>
          <w:tcPr>
            <w:tcW w:w="1134" w:type="dxa"/>
            <w:shd w:val="clear" w:color="auto" w:fill="auto"/>
            <w:noWrap/>
            <w:vAlign w:val="center"/>
            <w:hideMark/>
          </w:tcPr>
          <w:p w:rsidR="00255CC4" w:rsidRPr="00495B6E" w:rsidRDefault="00255CC4" w:rsidP="00255CC4">
            <w:pPr>
              <w:spacing w:line="240" w:lineRule="auto"/>
              <w:jc w:val="center"/>
              <w:rPr>
                <w:rFonts w:eastAsia="Times New Roman"/>
                <w:color w:val="000000"/>
                <w:sz w:val="22"/>
                <w:szCs w:val="22"/>
              </w:rPr>
            </w:pPr>
            <w:r>
              <w:rPr>
                <w:rFonts w:eastAsia="Times New Roman"/>
                <w:color w:val="000000"/>
                <w:sz w:val="22"/>
                <w:szCs w:val="22"/>
              </w:rPr>
              <w:sym w:font="Symbol" w:char="F0AD"/>
            </w:r>
            <w:r>
              <w:rPr>
                <w:rFonts w:eastAsia="Times New Roman"/>
                <w:color w:val="000000"/>
                <w:sz w:val="22"/>
                <w:szCs w:val="22"/>
              </w:rPr>
              <w:t xml:space="preserve"> </w:t>
            </w:r>
            <w:r w:rsidRPr="00495B6E">
              <w:rPr>
                <w:rFonts w:eastAsia="Times New Roman"/>
                <w:color w:val="000000"/>
                <w:sz w:val="22"/>
                <w:szCs w:val="22"/>
              </w:rPr>
              <w:t>16,2%</w:t>
            </w:r>
          </w:p>
        </w:tc>
      </w:tr>
    </w:tbl>
    <w:p w:rsidR="00255CC4" w:rsidRDefault="00255CC4" w:rsidP="00255CC4">
      <w:pPr>
        <w:spacing w:line="240" w:lineRule="auto"/>
        <w:rPr>
          <w:bCs/>
          <w:sz w:val="20"/>
          <w:szCs w:val="20"/>
        </w:rPr>
      </w:pPr>
      <w:r w:rsidRPr="004E69B2">
        <w:rPr>
          <w:sz w:val="20"/>
          <w:szCs w:val="20"/>
        </w:rPr>
        <w:t xml:space="preserve">Avots: LM, </w:t>
      </w:r>
      <w:r w:rsidRPr="004E69B2">
        <w:rPr>
          <w:bCs/>
          <w:sz w:val="20"/>
          <w:szCs w:val="20"/>
        </w:rPr>
        <w:t>Oficiālā statistika sociālo pakalpojumu un sociālās palīdzības jomā</w:t>
      </w:r>
      <w:r>
        <w:rPr>
          <w:bCs/>
          <w:sz w:val="20"/>
          <w:szCs w:val="20"/>
        </w:rPr>
        <w:t xml:space="preserve">. </w:t>
      </w:r>
      <w:r w:rsidRPr="00D417AF">
        <w:rPr>
          <w:bCs/>
          <w:sz w:val="20"/>
          <w:szCs w:val="20"/>
        </w:rPr>
        <w:t>Pabalsts garantētā minimālā ienākumu līmeņa nodrošināšana</w:t>
      </w:r>
      <w:r>
        <w:rPr>
          <w:bCs/>
          <w:sz w:val="20"/>
          <w:szCs w:val="20"/>
        </w:rPr>
        <w:t>.</w:t>
      </w:r>
    </w:p>
    <w:p w:rsidR="00255CC4" w:rsidRPr="00877B9F" w:rsidRDefault="00AD3EDD" w:rsidP="008C6B83">
      <w:pPr>
        <w:pStyle w:val="Caption"/>
        <w:rPr>
          <w:rFonts w:eastAsia="Times New Roman"/>
          <w:lang w:eastAsia="en-US"/>
        </w:rPr>
      </w:pPr>
      <w:r>
        <w:fldChar w:fldCharType="begin"/>
      </w:r>
      <w:r w:rsidR="000F1524">
        <w:instrText xml:space="preserve"> STYLEREF 1 \s </w:instrText>
      </w:r>
      <w:r>
        <w:fldChar w:fldCharType="separate"/>
      </w:r>
      <w:bookmarkStart w:id="279" w:name="_Toc6857668"/>
      <w:r w:rsidR="00224B50">
        <w:rPr>
          <w:noProof/>
        </w:rPr>
        <w:t>1</w:t>
      </w:r>
      <w:r>
        <w:rPr>
          <w:noProof/>
        </w:rPr>
        <w:fldChar w:fldCharType="end"/>
      </w:r>
      <w:r w:rsidR="00A46B54">
        <w:t>.</w:t>
      </w:r>
      <w:r w:rsidR="00E21C32">
        <w:t>3</w:t>
      </w:r>
      <w:r w:rsidR="00761553">
        <w:t>5</w:t>
      </w:r>
      <w:r w:rsidR="00255CC4" w:rsidRPr="00877B9F">
        <w:t xml:space="preserve">. </w:t>
      </w:r>
      <w:r w:rsidR="00255CC4">
        <w:t>tabula</w:t>
      </w:r>
      <w:r w:rsidR="00255CC4" w:rsidRPr="00877B9F">
        <w:t>.  Ienākumu testēto pašvaldības sociālās palīdzības pabalstu saņēmēju raksturojums pēc ienākumu līmeņa uz vienu ģimenes locekli mēnesī</w:t>
      </w:r>
      <w:r w:rsidR="00255CC4">
        <w:t xml:space="preserve"> (2014-2016, skaits)</w:t>
      </w:r>
      <w:bookmarkEnd w:id="279"/>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1134"/>
        <w:gridCol w:w="1417"/>
        <w:gridCol w:w="1460"/>
        <w:gridCol w:w="1824"/>
        <w:gridCol w:w="1307"/>
        <w:gridCol w:w="1788"/>
      </w:tblGrid>
      <w:tr w:rsidR="00255CC4" w:rsidRPr="00FB4440" w:rsidTr="00761553">
        <w:trPr>
          <w:trHeight w:val="300"/>
        </w:trPr>
        <w:tc>
          <w:tcPr>
            <w:tcW w:w="851" w:type="dxa"/>
            <w:vMerge w:val="restart"/>
            <w:shd w:val="clear" w:color="auto" w:fill="B8CCE4" w:themeFill="accent1" w:themeFillTint="66"/>
            <w:noWrap/>
            <w:vAlign w:val="center"/>
            <w:hideMark/>
          </w:tcPr>
          <w:p w:rsidR="00255CC4" w:rsidRPr="00761553" w:rsidRDefault="00255CC4" w:rsidP="00255CC4">
            <w:pPr>
              <w:spacing w:line="240" w:lineRule="auto"/>
              <w:jc w:val="left"/>
              <w:rPr>
                <w:rFonts w:eastAsia="Times New Roman"/>
                <w:b/>
                <w:color w:val="002060"/>
                <w:sz w:val="22"/>
                <w:szCs w:val="22"/>
                <w:lang w:eastAsia="en-US"/>
              </w:rPr>
            </w:pPr>
            <w:r w:rsidRPr="00761553">
              <w:rPr>
                <w:rFonts w:eastAsia="Times New Roman"/>
                <w:b/>
                <w:color w:val="002060"/>
                <w:sz w:val="22"/>
                <w:szCs w:val="22"/>
                <w:lang w:eastAsia="en-US"/>
              </w:rPr>
              <w:t>Gads</w:t>
            </w:r>
          </w:p>
        </w:tc>
        <w:tc>
          <w:tcPr>
            <w:tcW w:w="1134" w:type="dxa"/>
            <w:vMerge w:val="restart"/>
            <w:shd w:val="clear" w:color="auto" w:fill="B8CCE4" w:themeFill="accent1" w:themeFillTint="66"/>
            <w:noWrap/>
            <w:vAlign w:val="center"/>
            <w:hideMark/>
          </w:tcPr>
          <w:p w:rsidR="00255CC4" w:rsidRPr="00761553" w:rsidRDefault="00255CC4" w:rsidP="00255CC4">
            <w:pPr>
              <w:spacing w:line="240" w:lineRule="auto"/>
              <w:jc w:val="left"/>
              <w:rPr>
                <w:rFonts w:eastAsia="Times New Roman"/>
                <w:b/>
                <w:color w:val="002060"/>
                <w:sz w:val="22"/>
                <w:szCs w:val="22"/>
                <w:lang w:eastAsia="en-US"/>
              </w:rPr>
            </w:pPr>
            <w:r w:rsidRPr="00761553">
              <w:rPr>
                <w:rFonts w:eastAsia="Times New Roman"/>
                <w:b/>
                <w:color w:val="002060"/>
                <w:sz w:val="22"/>
                <w:szCs w:val="22"/>
                <w:lang w:eastAsia="en-US"/>
              </w:rPr>
              <w:t>Tvērums</w:t>
            </w:r>
          </w:p>
        </w:tc>
        <w:tc>
          <w:tcPr>
            <w:tcW w:w="7796" w:type="dxa"/>
            <w:gridSpan w:val="5"/>
            <w:shd w:val="clear" w:color="auto" w:fill="B8CCE4" w:themeFill="accent1" w:themeFillTint="66"/>
            <w:noWrap/>
            <w:vAlign w:val="center"/>
            <w:hideMark/>
          </w:tcPr>
          <w:p w:rsidR="00255CC4" w:rsidRPr="00761553" w:rsidRDefault="00255CC4" w:rsidP="00255CC4">
            <w:pPr>
              <w:spacing w:before="80" w:after="80" w:line="240" w:lineRule="auto"/>
              <w:jc w:val="center"/>
              <w:rPr>
                <w:rFonts w:eastAsia="Times New Roman"/>
                <w:b/>
                <w:color w:val="002060"/>
                <w:sz w:val="22"/>
                <w:szCs w:val="22"/>
                <w:lang w:eastAsia="en-US"/>
              </w:rPr>
            </w:pPr>
            <w:r w:rsidRPr="00761553">
              <w:rPr>
                <w:rFonts w:eastAsia="Times New Roman"/>
                <w:b/>
                <w:color w:val="002060"/>
                <w:sz w:val="22"/>
                <w:szCs w:val="22"/>
                <w:lang w:eastAsia="en-US"/>
              </w:rPr>
              <w:t>Trūcīgas ģimenes (personas) statuss</w:t>
            </w:r>
          </w:p>
        </w:tc>
      </w:tr>
      <w:tr w:rsidR="00255CC4" w:rsidRPr="00FB4440" w:rsidTr="00761553">
        <w:trPr>
          <w:trHeight w:val="300"/>
        </w:trPr>
        <w:tc>
          <w:tcPr>
            <w:tcW w:w="851" w:type="dxa"/>
            <w:vMerge/>
            <w:shd w:val="clear" w:color="auto" w:fill="B8CCE4" w:themeFill="accent1" w:themeFillTint="66"/>
            <w:noWrap/>
            <w:vAlign w:val="center"/>
            <w:hideMark/>
          </w:tcPr>
          <w:p w:rsidR="00255CC4" w:rsidRPr="00FB4440" w:rsidRDefault="00255CC4" w:rsidP="00255CC4">
            <w:pPr>
              <w:spacing w:line="240" w:lineRule="auto"/>
              <w:jc w:val="left"/>
              <w:rPr>
                <w:rFonts w:eastAsia="Times New Roman"/>
                <w:b/>
                <w:color w:val="FFFFFF" w:themeColor="background1"/>
                <w:sz w:val="22"/>
                <w:szCs w:val="22"/>
                <w:lang w:eastAsia="en-US"/>
              </w:rPr>
            </w:pPr>
          </w:p>
        </w:tc>
        <w:tc>
          <w:tcPr>
            <w:tcW w:w="1134" w:type="dxa"/>
            <w:vMerge/>
            <w:shd w:val="clear" w:color="auto" w:fill="B8CCE4" w:themeFill="accent1" w:themeFillTint="66"/>
            <w:noWrap/>
            <w:vAlign w:val="center"/>
            <w:hideMark/>
          </w:tcPr>
          <w:p w:rsidR="00255CC4" w:rsidRPr="00FB4440" w:rsidRDefault="00255CC4" w:rsidP="00255CC4">
            <w:pPr>
              <w:spacing w:line="240" w:lineRule="auto"/>
              <w:jc w:val="left"/>
              <w:rPr>
                <w:rFonts w:eastAsia="Times New Roman"/>
                <w:b/>
                <w:color w:val="FFFFFF" w:themeColor="background1"/>
                <w:sz w:val="22"/>
                <w:szCs w:val="22"/>
                <w:lang w:eastAsia="en-US"/>
              </w:rPr>
            </w:pPr>
          </w:p>
        </w:tc>
        <w:tc>
          <w:tcPr>
            <w:tcW w:w="2877" w:type="dxa"/>
            <w:gridSpan w:val="2"/>
            <w:shd w:val="clear" w:color="auto" w:fill="B8CCE4" w:themeFill="accent1" w:themeFillTint="66"/>
            <w:noWrap/>
            <w:vAlign w:val="center"/>
            <w:hideMark/>
          </w:tcPr>
          <w:p w:rsidR="00255CC4" w:rsidRPr="00761553" w:rsidRDefault="00255CC4" w:rsidP="00255CC4">
            <w:pPr>
              <w:spacing w:line="240" w:lineRule="auto"/>
              <w:jc w:val="center"/>
              <w:rPr>
                <w:rFonts w:eastAsia="Times New Roman"/>
                <w:b/>
                <w:color w:val="002060"/>
                <w:sz w:val="22"/>
                <w:szCs w:val="22"/>
                <w:lang w:eastAsia="en-US"/>
              </w:rPr>
            </w:pPr>
            <w:r w:rsidRPr="00761553">
              <w:rPr>
                <w:rFonts w:eastAsia="Times New Roman"/>
                <w:b/>
                <w:color w:val="002060"/>
                <w:sz w:val="22"/>
                <w:szCs w:val="22"/>
                <w:lang w:eastAsia="en-US"/>
              </w:rPr>
              <w:t>Ienākumi līdz valsts noteiktajam GMI līmenim (ieskaitot to)</w:t>
            </w:r>
          </w:p>
        </w:tc>
        <w:tc>
          <w:tcPr>
            <w:tcW w:w="3131" w:type="dxa"/>
            <w:gridSpan w:val="2"/>
            <w:shd w:val="clear" w:color="auto" w:fill="B8CCE4" w:themeFill="accent1" w:themeFillTint="66"/>
            <w:noWrap/>
            <w:vAlign w:val="center"/>
            <w:hideMark/>
          </w:tcPr>
          <w:p w:rsidR="00255CC4" w:rsidRPr="00761553" w:rsidRDefault="00255CC4" w:rsidP="00255CC4">
            <w:pPr>
              <w:spacing w:line="240" w:lineRule="auto"/>
              <w:jc w:val="center"/>
              <w:rPr>
                <w:rFonts w:eastAsia="Times New Roman"/>
                <w:b/>
                <w:color w:val="002060"/>
                <w:sz w:val="22"/>
                <w:szCs w:val="22"/>
                <w:lang w:eastAsia="en-US"/>
              </w:rPr>
            </w:pPr>
            <w:r w:rsidRPr="00761553">
              <w:rPr>
                <w:rFonts w:eastAsia="Times New Roman"/>
                <w:b/>
                <w:color w:val="002060"/>
                <w:sz w:val="22"/>
                <w:szCs w:val="22"/>
                <w:lang w:eastAsia="en-US"/>
              </w:rPr>
              <w:t>Ienākumi virs valsts noteiktā GMI  līmeņa līdz trūcīgas ģimenes (personas) ienākumu līmenim (ieskaitot to)</w:t>
            </w:r>
          </w:p>
        </w:tc>
        <w:tc>
          <w:tcPr>
            <w:tcW w:w="1788" w:type="dxa"/>
            <w:shd w:val="clear" w:color="auto" w:fill="B8CCE4" w:themeFill="accent1" w:themeFillTint="66"/>
            <w:vAlign w:val="center"/>
          </w:tcPr>
          <w:p w:rsidR="00255CC4" w:rsidRPr="00761553" w:rsidRDefault="00255CC4" w:rsidP="00255CC4">
            <w:pPr>
              <w:spacing w:line="240" w:lineRule="auto"/>
              <w:jc w:val="center"/>
              <w:rPr>
                <w:rFonts w:eastAsia="Times New Roman"/>
                <w:b/>
                <w:color w:val="002060"/>
                <w:sz w:val="22"/>
                <w:szCs w:val="22"/>
                <w:lang w:eastAsia="en-US"/>
              </w:rPr>
            </w:pPr>
            <w:r w:rsidRPr="00761553">
              <w:rPr>
                <w:rFonts w:eastAsia="Times New Roman"/>
                <w:b/>
                <w:color w:val="002060"/>
                <w:sz w:val="22"/>
                <w:szCs w:val="22"/>
                <w:lang w:eastAsia="en-US"/>
              </w:rPr>
              <w:t>Kopā (personu skaits)</w:t>
            </w:r>
          </w:p>
        </w:tc>
      </w:tr>
      <w:tr w:rsidR="00255CC4" w:rsidRPr="00FB4440" w:rsidTr="00255CC4">
        <w:trPr>
          <w:trHeight w:val="300"/>
        </w:trPr>
        <w:tc>
          <w:tcPr>
            <w:tcW w:w="851" w:type="dxa"/>
            <w:vMerge w:val="restart"/>
            <w:shd w:val="clear" w:color="auto" w:fill="auto"/>
            <w:noWrap/>
            <w:vAlign w:val="center"/>
            <w:hideMark/>
          </w:tcPr>
          <w:p w:rsidR="00255CC4" w:rsidRPr="00FB4440" w:rsidRDefault="00255CC4" w:rsidP="00255CC4">
            <w:pPr>
              <w:spacing w:line="240" w:lineRule="auto"/>
              <w:jc w:val="center"/>
              <w:rPr>
                <w:rFonts w:eastAsia="Times New Roman"/>
                <w:b/>
                <w:color w:val="000000"/>
                <w:sz w:val="22"/>
                <w:szCs w:val="22"/>
                <w:lang w:eastAsia="en-US"/>
              </w:rPr>
            </w:pPr>
            <w:r w:rsidRPr="00FB4440">
              <w:rPr>
                <w:rFonts w:eastAsia="Times New Roman"/>
                <w:b/>
                <w:color w:val="000000"/>
                <w:sz w:val="22"/>
                <w:szCs w:val="22"/>
                <w:lang w:eastAsia="en-US"/>
              </w:rPr>
              <w:t>2014</w:t>
            </w:r>
          </w:p>
        </w:tc>
        <w:tc>
          <w:tcPr>
            <w:tcW w:w="1134" w:type="dxa"/>
            <w:shd w:val="clear" w:color="auto" w:fill="auto"/>
            <w:noWrap/>
            <w:vAlign w:val="center"/>
            <w:hideMark/>
          </w:tcPr>
          <w:p w:rsidR="00255CC4" w:rsidRPr="00FB4440" w:rsidRDefault="00255CC4" w:rsidP="00255CC4">
            <w:pPr>
              <w:spacing w:line="240" w:lineRule="auto"/>
              <w:jc w:val="left"/>
              <w:rPr>
                <w:rFonts w:eastAsia="Times New Roman"/>
                <w:b/>
                <w:color w:val="000000"/>
                <w:sz w:val="22"/>
                <w:szCs w:val="22"/>
                <w:lang w:eastAsia="en-US"/>
              </w:rPr>
            </w:pPr>
            <w:r w:rsidRPr="00FB4440">
              <w:rPr>
                <w:rFonts w:eastAsia="Times New Roman"/>
                <w:b/>
                <w:color w:val="000000"/>
                <w:sz w:val="22"/>
                <w:szCs w:val="22"/>
                <w:lang w:eastAsia="en-US"/>
              </w:rPr>
              <w:t>Kopā</w:t>
            </w:r>
          </w:p>
        </w:tc>
        <w:tc>
          <w:tcPr>
            <w:tcW w:w="1417" w:type="dxa"/>
            <w:shd w:val="clear" w:color="auto" w:fill="auto"/>
            <w:noWrap/>
            <w:vAlign w:val="center"/>
            <w:hideMark/>
          </w:tcPr>
          <w:p w:rsidR="00255CC4" w:rsidRPr="00FB4440" w:rsidRDefault="00255CC4" w:rsidP="00255CC4">
            <w:pPr>
              <w:spacing w:line="240" w:lineRule="auto"/>
              <w:jc w:val="center"/>
              <w:rPr>
                <w:rFonts w:eastAsia="Times New Roman"/>
                <w:b/>
                <w:color w:val="000000"/>
                <w:sz w:val="22"/>
                <w:szCs w:val="22"/>
                <w:lang w:eastAsia="en-US"/>
              </w:rPr>
            </w:pPr>
            <w:r w:rsidRPr="00FB4440">
              <w:rPr>
                <w:rFonts w:eastAsia="Times New Roman"/>
                <w:b/>
                <w:color w:val="000000"/>
                <w:sz w:val="22"/>
                <w:szCs w:val="22"/>
                <w:lang w:eastAsia="en-US"/>
              </w:rPr>
              <w:t>34</w:t>
            </w:r>
            <w:r w:rsidR="00685CD2">
              <w:rPr>
                <w:rFonts w:eastAsia="Times New Roman"/>
                <w:b/>
                <w:color w:val="000000"/>
                <w:sz w:val="22"/>
                <w:szCs w:val="22"/>
                <w:lang w:eastAsia="en-US"/>
              </w:rPr>
              <w:t xml:space="preserve"> </w:t>
            </w:r>
            <w:r w:rsidRPr="00FB4440">
              <w:rPr>
                <w:rFonts w:eastAsia="Times New Roman"/>
                <w:b/>
                <w:color w:val="000000"/>
                <w:sz w:val="22"/>
                <w:szCs w:val="22"/>
                <w:lang w:eastAsia="en-US"/>
              </w:rPr>
              <w:t>771</w:t>
            </w:r>
          </w:p>
        </w:tc>
        <w:tc>
          <w:tcPr>
            <w:tcW w:w="1460" w:type="dxa"/>
            <w:shd w:val="clear" w:color="auto" w:fill="auto"/>
            <w:noWrap/>
            <w:vAlign w:val="center"/>
            <w:hideMark/>
          </w:tcPr>
          <w:p w:rsidR="00255CC4" w:rsidRPr="00FB4440" w:rsidRDefault="00255CC4" w:rsidP="00255CC4">
            <w:pPr>
              <w:spacing w:line="240" w:lineRule="auto"/>
              <w:jc w:val="center"/>
              <w:rPr>
                <w:rFonts w:eastAsia="Times New Roman"/>
                <w:b/>
                <w:color w:val="000000"/>
                <w:sz w:val="22"/>
                <w:szCs w:val="22"/>
                <w:lang w:eastAsia="en-US"/>
              </w:rPr>
            </w:pPr>
            <w:r w:rsidRPr="00FB4440">
              <w:rPr>
                <w:rFonts w:eastAsia="Times New Roman"/>
                <w:b/>
                <w:color w:val="000000"/>
                <w:sz w:val="22"/>
                <w:szCs w:val="22"/>
                <w:lang w:eastAsia="en-US"/>
              </w:rPr>
              <w:t>100</w:t>
            </w:r>
          </w:p>
        </w:tc>
        <w:tc>
          <w:tcPr>
            <w:tcW w:w="1824" w:type="dxa"/>
            <w:shd w:val="clear" w:color="auto" w:fill="auto"/>
            <w:noWrap/>
            <w:vAlign w:val="center"/>
            <w:hideMark/>
          </w:tcPr>
          <w:p w:rsidR="00255CC4" w:rsidRPr="00FB4440" w:rsidRDefault="00255CC4" w:rsidP="00255CC4">
            <w:pPr>
              <w:spacing w:line="240" w:lineRule="auto"/>
              <w:jc w:val="center"/>
              <w:rPr>
                <w:rFonts w:eastAsia="Times New Roman"/>
                <w:b/>
                <w:color w:val="000000"/>
                <w:sz w:val="22"/>
                <w:szCs w:val="22"/>
                <w:lang w:eastAsia="en-US"/>
              </w:rPr>
            </w:pPr>
            <w:r w:rsidRPr="00FB4440">
              <w:rPr>
                <w:rFonts w:eastAsia="Times New Roman"/>
                <w:b/>
                <w:color w:val="000000"/>
                <w:sz w:val="22"/>
                <w:szCs w:val="22"/>
                <w:lang w:eastAsia="en-US"/>
              </w:rPr>
              <w:t>69</w:t>
            </w:r>
            <w:r w:rsidR="00685CD2">
              <w:rPr>
                <w:rFonts w:eastAsia="Times New Roman"/>
                <w:b/>
                <w:color w:val="000000"/>
                <w:sz w:val="22"/>
                <w:szCs w:val="22"/>
                <w:lang w:eastAsia="en-US"/>
              </w:rPr>
              <w:t xml:space="preserve"> </w:t>
            </w:r>
            <w:r w:rsidRPr="00FB4440">
              <w:rPr>
                <w:rFonts w:eastAsia="Times New Roman"/>
                <w:b/>
                <w:color w:val="000000"/>
                <w:sz w:val="22"/>
                <w:szCs w:val="22"/>
                <w:lang w:eastAsia="en-US"/>
              </w:rPr>
              <w:t>798</w:t>
            </w:r>
          </w:p>
        </w:tc>
        <w:tc>
          <w:tcPr>
            <w:tcW w:w="1307" w:type="dxa"/>
            <w:shd w:val="clear" w:color="auto" w:fill="auto"/>
            <w:noWrap/>
            <w:vAlign w:val="center"/>
            <w:hideMark/>
          </w:tcPr>
          <w:p w:rsidR="00255CC4" w:rsidRPr="00FB4440" w:rsidRDefault="00255CC4" w:rsidP="00255CC4">
            <w:pPr>
              <w:spacing w:line="240" w:lineRule="auto"/>
              <w:jc w:val="center"/>
              <w:rPr>
                <w:rFonts w:eastAsia="Times New Roman"/>
                <w:b/>
                <w:color w:val="000000"/>
                <w:sz w:val="22"/>
                <w:szCs w:val="22"/>
                <w:lang w:eastAsia="en-US"/>
              </w:rPr>
            </w:pPr>
            <w:r w:rsidRPr="00FB4440">
              <w:rPr>
                <w:rFonts w:eastAsia="Times New Roman"/>
                <w:b/>
                <w:color w:val="000000"/>
                <w:sz w:val="22"/>
                <w:szCs w:val="22"/>
                <w:lang w:eastAsia="en-US"/>
              </w:rPr>
              <w:t>100</w:t>
            </w:r>
          </w:p>
        </w:tc>
        <w:tc>
          <w:tcPr>
            <w:tcW w:w="1788" w:type="dxa"/>
            <w:shd w:val="clear" w:color="auto" w:fill="auto"/>
            <w:noWrap/>
            <w:vAlign w:val="center"/>
            <w:hideMark/>
          </w:tcPr>
          <w:p w:rsidR="00255CC4" w:rsidRPr="00FB4440" w:rsidRDefault="00255CC4" w:rsidP="00255CC4">
            <w:pPr>
              <w:spacing w:line="240" w:lineRule="auto"/>
              <w:jc w:val="center"/>
              <w:rPr>
                <w:rFonts w:eastAsia="Times New Roman"/>
                <w:b/>
                <w:color w:val="000000"/>
                <w:sz w:val="22"/>
                <w:szCs w:val="22"/>
                <w:lang w:eastAsia="en-US"/>
              </w:rPr>
            </w:pPr>
            <w:r w:rsidRPr="00FB4440">
              <w:rPr>
                <w:rFonts w:eastAsia="Times New Roman"/>
                <w:b/>
                <w:color w:val="000000"/>
                <w:sz w:val="22"/>
                <w:szCs w:val="22"/>
                <w:lang w:eastAsia="en-US"/>
              </w:rPr>
              <w:t>104</w:t>
            </w:r>
            <w:r w:rsidR="00685CD2">
              <w:rPr>
                <w:rFonts w:eastAsia="Times New Roman"/>
                <w:b/>
                <w:color w:val="000000"/>
                <w:sz w:val="22"/>
                <w:szCs w:val="22"/>
                <w:lang w:eastAsia="en-US"/>
              </w:rPr>
              <w:t xml:space="preserve"> </w:t>
            </w:r>
            <w:r w:rsidRPr="00FB4440">
              <w:rPr>
                <w:rFonts w:eastAsia="Times New Roman"/>
                <w:b/>
                <w:color w:val="000000"/>
                <w:sz w:val="22"/>
                <w:szCs w:val="22"/>
                <w:lang w:eastAsia="en-US"/>
              </w:rPr>
              <w:t>569</w:t>
            </w:r>
          </w:p>
        </w:tc>
      </w:tr>
      <w:tr w:rsidR="00255CC4" w:rsidRPr="00FB4440" w:rsidTr="00255CC4">
        <w:trPr>
          <w:trHeight w:val="300"/>
        </w:trPr>
        <w:tc>
          <w:tcPr>
            <w:tcW w:w="851" w:type="dxa"/>
            <w:vMerge/>
            <w:shd w:val="clear" w:color="auto" w:fill="auto"/>
            <w:noWrap/>
            <w:vAlign w:val="center"/>
            <w:hideMark/>
          </w:tcPr>
          <w:p w:rsidR="00255CC4" w:rsidRPr="00FB4440" w:rsidRDefault="00255CC4" w:rsidP="00255CC4">
            <w:pPr>
              <w:spacing w:line="240" w:lineRule="auto"/>
              <w:jc w:val="center"/>
              <w:rPr>
                <w:rFonts w:eastAsia="Times New Roman"/>
                <w:b/>
                <w:color w:val="000000"/>
                <w:sz w:val="22"/>
                <w:szCs w:val="22"/>
                <w:lang w:eastAsia="en-US"/>
              </w:rPr>
            </w:pPr>
          </w:p>
        </w:tc>
        <w:tc>
          <w:tcPr>
            <w:tcW w:w="1134" w:type="dxa"/>
            <w:shd w:val="clear" w:color="auto" w:fill="auto"/>
            <w:noWrap/>
            <w:vAlign w:val="center"/>
            <w:hideMark/>
          </w:tcPr>
          <w:p w:rsidR="00255CC4" w:rsidRPr="00FB4440" w:rsidRDefault="00255CC4" w:rsidP="00255CC4">
            <w:pPr>
              <w:spacing w:line="240" w:lineRule="auto"/>
              <w:jc w:val="left"/>
              <w:rPr>
                <w:rFonts w:eastAsia="Times New Roman"/>
                <w:color w:val="000000"/>
                <w:sz w:val="22"/>
                <w:szCs w:val="22"/>
                <w:lang w:eastAsia="en-US"/>
              </w:rPr>
            </w:pPr>
            <w:r w:rsidRPr="00FB4440">
              <w:rPr>
                <w:rFonts w:eastAsia="Times New Roman"/>
                <w:color w:val="000000"/>
                <w:sz w:val="22"/>
                <w:szCs w:val="22"/>
                <w:lang w:eastAsia="en-US"/>
              </w:rPr>
              <w:t>Pilsētās</w:t>
            </w:r>
          </w:p>
        </w:tc>
        <w:tc>
          <w:tcPr>
            <w:tcW w:w="1417" w:type="dxa"/>
            <w:shd w:val="clear" w:color="auto" w:fill="auto"/>
            <w:noWrap/>
            <w:vAlign w:val="center"/>
            <w:hideMark/>
          </w:tcPr>
          <w:p w:rsidR="00255CC4" w:rsidRPr="00FB4440" w:rsidRDefault="00255CC4" w:rsidP="00255CC4">
            <w:pPr>
              <w:spacing w:line="240" w:lineRule="auto"/>
              <w:jc w:val="center"/>
              <w:rPr>
                <w:rFonts w:eastAsia="Times New Roman"/>
                <w:color w:val="000000"/>
                <w:sz w:val="22"/>
                <w:szCs w:val="22"/>
                <w:lang w:eastAsia="en-US"/>
              </w:rPr>
            </w:pPr>
            <w:r w:rsidRPr="00FB4440">
              <w:rPr>
                <w:rFonts w:eastAsia="Times New Roman"/>
                <w:color w:val="000000"/>
                <w:sz w:val="22"/>
                <w:szCs w:val="22"/>
                <w:lang w:eastAsia="en-US"/>
              </w:rPr>
              <w:t>10</w:t>
            </w:r>
            <w:r w:rsidR="00685CD2">
              <w:rPr>
                <w:rFonts w:eastAsia="Times New Roman"/>
                <w:color w:val="000000"/>
                <w:sz w:val="22"/>
                <w:szCs w:val="22"/>
                <w:lang w:eastAsia="en-US"/>
              </w:rPr>
              <w:t xml:space="preserve"> </w:t>
            </w:r>
            <w:r w:rsidRPr="00FB4440">
              <w:rPr>
                <w:rFonts w:eastAsia="Times New Roman"/>
                <w:color w:val="000000"/>
                <w:sz w:val="22"/>
                <w:szCs w:val="22"/>
                <w:lang w:eastAsia="en-US"/>
              </w:rPr>
              <w:t>930</w:t>
            </w:r>
          </w:p>
        </w:tc>
        <w:tc>
          <w:tcPr>
            <w:tcW w:w="1460" w:type="dxa"/>
            <w:shd w:val="clear" w:color="auto" w:fill="auto"/>
            <w:noWrap/>
            <w:vAlign w:val="center"/>
            <w:hideMark/>
          </w:tcPr>
          <w:p w:rsidR="00255CC4" w:rsidRPr="00FB4440" w:rsidRDefault="00255CC4" w:rsidP="00255CC4">
            <w:pPr>
              <w:spacing w:line="240" w:lineRule="auto"/>
              <w:jc w:val="center"/>
              <w:rPr>
                <w:rFonts w:eastAsia="Times New Roman"/>
                <w:color w:val="000000"/>
                <w:sz w:val="22"/>
                <w:szCs w:val="22"/>
                <w:lang w:eastAsia="en-US"/>
              </w:rPr>
            </w:pPr>
            <w:r w:rsidRPr="00FB4440">
              <w:rPr>
                <w:rFonts w:eastAsia="Times New Roman"/>
                <w:color w:val="000000"/>
                <w:sz w:val="22"/>
                <w:szCs w:val="22"/>
                <w:lang w:eastAsia="en-US"/>
              </w:rPr>
              <w:t>31,4</w:t>
            </w:r>
          </w:p>
        </w:tc>
        <w:tc>
          <w:tcPr>
            <w:tcW w:w="1824" w:type="dxa"/>
            <w:shd w:val="clear" w:color="auto" w:fill="auto"/>
            <w:noWrap/>
            <w:vAlign w:val="center"/>
            <w:hideMark/>
          </w:tcPr>
          <w:p w:rsidR="00255CC4" w:rsidRPr="00FB4440" w:rsidRDefault="00255CC4" w:rsidP="00255CC4">
            <w:pPr>
              <w:spacing w:line="240" w:lineRule="auto"/>
              <w:jc w:val="center"/>
              <w:rPr>
                <w:rFonts w:eastAsia="Times New Roman"/>
                <w:color w:val="000000"/>
                <w:sz w:val="22"/>
                <w:szCs w:val="22"/>
                <w:lang w:eastAsia="en-US"/>
              </w:rPr>
            </w:pPr>
            <w:r w:rsidRPr="00FB4440">
              <w:rPr>
                <w:rFonts w:eastAsia="Times New Roman"/>
                <w:color w:val="000000"/>
                <w:sz w:val="22"/>
                <w:szCs w:val="22"/>
                <w:lang w:eastAsia="en-US"/>
              </w:rPr>
              <w:t>24</w:t>
            </w:r>
            <w:r w:rsidR="00685CD2">
              <w:rPr>
                <w:rFonts w:eastAsia="Times New Roman"/>
                <w:color w:val="000000"/>
                <w:sz w:val="22"/>
                <w:szCs w:val="22"/>
                <w:lang w:eastAsia="en-US"/>
              </w:rPr>
              <w:t xml:space="preserve"> </w:t>
            </w:r>
            <w:r w:rsidRPr="00FB4440">
              <w:rPr>
                <w:rFonts w:eastAsia="Times New Roman"/>
                <w:color w:val="000000"/>
                <w:sz w:val="22"/>
                <w:szCs w:val="22"/>
                <w:lang w:eastAsia="en-US"/>
              </w:rPr>
              <w:t>521</w:t>
            </w:r>
          </w:p>
        </w:tc>
        <w:tc>
          <w:tcPr>
            <w:tcW w:w="1307" w:type="dxa"/>
            <w:shd w:val="clear" w:color="auto" w:fill="auto"/>
            <w:noWrap/>
            <w:vAlign w:val="center"/>
            <w:hideMark/>
          </w:tcPr>
          <w:p w:rsidR="00255CC4" w:rsidRPr="00FB4440" w:rsidRDefault="00255CC4" w:rsidP="00255CC4">
            <w:pPr>
              <w:spacing w:line="240" w:lineRule="auto"/>
              <w:jc w:val="center"/>
              <w:rPr>
                <w:rFonts w:eastAsia="Times New Roman"/>
                <w:color w:val="000000"/>
                <w:sz w:val="22"/>
                <w:szCs w:val="22"/>
                <w:lang w:eastAsia="en-US"/>
              </w:rPr>
            </w:pPr>
            <w:r w:rsidRPr="00FB4440">
              <w:rPr>
                <w:rFonts w:eastAsia="Times New Roman"/>
                <w:color w:val="000000"/>
                <w:sz w:val="22"/>
                <w:szCs w:val="22"/>
                <w:lang w:eastAsia="en-US"/>
              </w:rPr>
              <w:t>35,1</w:t>
            </w:r>
          </w:p>
        </w:tc>
        <w:tc>
          <w:tcPr>
            <w:tcW w:w="1788" w:type="dxa"/>
            <w:shd w:val="clear" w:color="auto" w:fill="auto"/>
            <w:noWrap/>
            <w:vAlign w:val="center"/>
            <w:hideMark/>
          </w:tcPr>
          <w:p w:rsidR="00255CC4" w:rsidRPr="00FB4440" w:rsidRDefault="00255CC4" w:rsidP="00255CC4">
            <w:pPr>
              <w:spacing w:line="240" w:lineRule="auto"/>
              <w:jc w:val="center"/>
              <w:rPr>
                <w:rFonts w:eastAsia="Times New Roman"/>
                <w:color w:val="000000"/>
                <w:sz w:val="22"/>
                <w:szCs w:val="22"/>
                <w:lang w:eastAsia="en-US"/>
              </w:rPr>
            </w:pPr>
            <w:r w:rsidRPr="00FB4440">
              <w:rPr>
                <w:rFonts w:eastAsia="Times New Roman"/>
                <w:color w:val="000000"/>
                <w:sz w:val="22"/>
                <w:szCs w:val="22"/>
                <w:lang w:eastAsia="en-US"/>
              </w:rPr>
              <w:t>35</w:t>
            </w:r>
            <w:r w:rsidR="00685CD2">
              <w:rPr>
                <w:rFonts w:eastAsia="Times New Roman"/>
                <w:color w:val="000000"/>
                <w:sz w:val="22"/>
                <w:szCs w:val="22"/>
                <w:lang w:eastAsia="en-US"/>
              </w:rPr>
              <w:t xml:space="preserve"> </w:t>
            </w:r>
            <w:r w:rsidRPr="00FB4440">
              <w:rPr>
                <w:rFonts w:eastAsia="Times New Roman"/>
                <w:color w:val="000000"/>
                <w:sz w:val="22"/>
                <w:szCs w:val="22"/>
                <w:lang w:eastAsia="en-US"/>
              </w:rPr>
              <w:t>451</w:t>
            </w:r>
          </w:p>
        </w:tc>
      </w:tr>
      <w:tr w:rsidR="00255CC4" w:rsidRPr="00FB4440" w:rsidTr="00255CC4">
        <w:trPr>
          <w:trHeight w:val="300"/>
        </w:trPr>
        <w:tc>
          <w:tcPr>
            <w:tcW w:w="851" w:type="dxa"/>
            <w:vMerge/>
            <w:shd w:val="clear" w:color="auto" w:fill="auto"/>
            <w:noWrap/>
            <w:vAlign w:val="center"/>
            <w:hideMark/>
          </w:tcPr>
          <w:p w:rsidR="00255CC4" w:rsidRPr="00FB4440" w:rsidRDefault="00255CC4" w:rsidP="00255CC4">
            <w:pPr>
              <w:spacing w:line="240" w:lineRule="auto"/>
              <w:jc w:val="center"/>
              <w:rPr>
                <w:rFonts w:eastAsia="Times New Roman"/>
                <w:b/>
                <w:color w:val="000000"/>
                <w:sz w:val="22"/>
                <w:szCs w:val="22"/>
                <w:lang w:eastAsia="en-US"/>
              </w:rPr>
            </w:pPr>
          </w:p>
        </w:tc>
        <w:tc>
          <w:tcPr>
            <w:tcW w:w="1134" w:type="dxa"/>
            <w:shd w:val="clear" w:color="auto" w:fill="auto"/>
            <w:noWrap/>
            <w:vAlign w:val="center"/>
            <w:hideMark/>
          </w:tcPr>
          <w:p w:rsidR="00255CC4" w:rsidRPr="00FB4440" w:rsidRDefault="00255CC4" w:rsidP="00255CC4">
            <w:pPr>
              <w:spacing w:line="240" w:lineRule="auto"/>
              <w:jc w:val="left"/>
              <w:rPr>
                <w:rFonts w:eastAsia="Times New Roman"/>
                <w:color w:val="000000"/>
                <w:sz w:val="22"/>
                <w:szCs w:val="22"/>
                <w:lang w:eastAsia="en-US"/>
              </w:rPr>
            </w:pPr>
            <w:r w:rsidRPr="00FB4440">
              <w:rPr>
                <w:rFonts w:eastAsia="Times New Roman"/>
                <w:color w:val="000000"/>
                <w:sz w:val="22"/>
                <w:szCs w:val="22"/>
                <w:lang w:eastAsia="en-US"/>
              </w:rPr>
              <w:t>Novados</w:t>
            </w:r>
          </w:p>
        </w:tc>
        <w:tc>
          <w:tcPr>
            <w:tcW w:w="1417" w:type="dxa"/>
            <w:shd w:val="clear" w:color="auto" w:fill="auto"/>
            <w:noWrap/>
            <w:vAlign w:val="center"/>
            <w:hideMark/>
          </w:tcPr>
          <w:p w:rsidR="00255CC4" w:rsidRPr="00FB4440" w:rsidRDefault="00255CC4" w:rsidP="00255CC4">
            <w:pPr>
              <w:spacing w:line="240" w:lineRule="auto"/>
              <w:jc w:val="center"/>
              <w:rPr>
                <w:rFonts w:eastAsia="Times New Roman"/>
                <w:color w:val="000000"/>
                <w:sz w:val="22"/>
                <w:szCs w:val="22"/>
                <w:lang w:eastAsia="en-US"/>
              </w:rPr>
            </w:pPr>
            <w:r w:rsidRPr="00FB4440">
              <w:rPr>
                <w:rFonts w:eastAsia="Times New Roman"/>
                <w:color w:val="000000"/>
                <w:sz w:val="22"/>
                <w:szCs w:val="22"/>
                <w:lang w:eastAsia="en-US"/>
              </w:rPr>
              <w:t>23</w:t>
            </w:r>
            <w:r w:rsidR="00685CD2">
              <w:rPr>
                <w:rFonts w:eastAsia="Times New Roman"/>
                <w:color w:val="000000"/>
                <w:sz w:val="22"/>
                <w:szCs w:val="22"/>
                <w:lang w:eastAsia="en-US"/>
              </w:rPr>
              <w:t xml:space="preserve"> </w:t>
            </w:r>
            <w:r w:rsidRPr="00FB4440">
              <w:rPr>
                <w:rFonts w:eastAsia="Times New Roman"/>
                <w:color w:val="000000"/>
                <w:sz w:val="22"/>
                <w:szCs w:val="22"/>
                <w:lang w:eastAsia="en-US"/>
              </w:rPr>
              <w:t>841</w:t>
            </w:r>
          </w:p>
        </w:tc>
        <w:tc>
          <w:tcPr>
            <w:tcW w:w="1460" w:type="dxa"/>
            <w:shd w:val="clear" w:color="auto" w:fill="auto"/>
            <w:noWrap/>
            <w:vAlign w:val="center"/>
            <w:hideMark/>
          </w:tcPr>
          <w:p w:rsidR="00255CC4" w:rsidRPr="00FB4440" w:rsidRDefault="00255CC4" w:rsidP="00255CC4">
            <w:pPr>
              <w:spacing w:line="240" w:lineRule="auto"/>
              <w:jc w:val="center"/>
              <w:rPr>
                <w:rFonts w:eastAsia="Times New Roman"/>
                <w:color w:val="000000"/>
                <w:sz w:val="22"/>
                <w:szCs w:val="22"/>
                <w:lang w:eastAsia="en-US"/>
              </w:rPr>
            </w:pPr>
            <w:r w:rsidRPr="00FB4440">
              <w:rPr>
                <w:rFonts w:eastAsia="Times New Roman"/>
                <w:color w:val="000000"/>
                <w:sz w:val="22"/>
                <w:szCs w:val="22"/>
                <w:lang w:eastAsia="en-US"/>
              </w:rPr>
              <w:t>68,6</w:t>
            </w:r>
          </w:p>
        </w:tc>
        <w:tc>
          <w:tcPr>
            <w:tcW w:w="1824" w:type="dxa"/>
            <w:shd w:val="clear" w:color="auto" w:fill="auto"/>
            <w:noWrap/>
            <w:vAlign w:val="center"/>
            <w:hideMark/>
          </w:tcPr>
          <w:p w:rsidR="00255CC4" w:rsidRPr="00FB4440" w:rsidRDefault="00255CC4" w:rsidP="00255CC4">
            <w:pPr>
              <w:spacing w:line="240" w:lineRule="auto"/>
              <w:jc w:val="center"/>
              <w:rPr>
                <w:rFonts w:eastAsia="Times New Roman"/>
                <w:color w:val="000000"/>
                <w:sz w:val="22"/>
                <w:szCs w:val="22"/>
                <w:lang w:eastAsia="en-US"/>
              </w:rPr>
            </w:pPr>
            <w:r w:rsidRPr="00FB4440">
              <w:rPr>
                <w:rFonts w:eastAsia="Times New Roman"/>
                <w:color w:val="000000"/>
                <w:sz w:val="22"/>
                <w:szCs w:val="22"/>
                <w:lang w:eastAsia="en-US"/>
              </w:rPr>
              <w:t>45</w:t>
            </w:r>
            <w:r w:rsidR="00685CD2">
              <w:rPr>
                <w:rFonts w:eastAsia="Times New Roman"/>
                <w:color w:val="000000"/>
                <w:sz w:val="22"/>
                <w:szCs w:val="22"/>
                <w:lang w:eastAsia="en-US"/>
              </w:rPr>
              <w:t xml:space="preserve"> </w:t>
            </w:r>
            <w:r w:rsidRPr="00FB4440">
              <w:rPr>
                <w:rFonts w:eastAsia="Times New Roman"/>
                <w:color w:val="000000"/>
                <w:sz w:val="22"/>
                <w:szCs w:val="22"/>
                <w:lang w:eastAsia="en-US"/>
              </w:rPr>
              <w:t>277</w:t>
            </w:r>
          </w:p>
        </w:tc>
        <w:tc>
          <w:tcPr>
            <w:tcW w:w="1307" w:type="dxa"/>
            <w:shd w:val="clear" w:color="auto" w:fill="auto"/>
            <w:noWrap/>
            <w:vAlign w:val="center"/>
            <w:hideMark/>
          </w:tcPr>
          <w:p w:rsidR="00255CC4" w:rsidRPr="00FB4440" w:rsidRDefault="00255CC4" w:rsidP="00255CC4">
            <w:pPr>
              <w:spacing w:line="240" w:lineRule="auto"/>
              <w:jc w:val="center"/>
              <w:rPr>
                <w:rFonts w:eastAsia="Times New Roman"/>
                <w:color w:val="000000"/>
                <w:sz w:val="22"/>
                <w:szCs w:val="22"/>
                <w:lang w:eastAsia="en-US"/>
              </w:rPr>
            </w:pPr>
            <w:r w:rsidRPr="00FB4440">
              <w:rPr>
                <w:rFonts w:eastAsia="Times New Roman"/>
                <w:color w:val="000000"/>
                <w:sz w:val="22"/>
                <w:szCs w:val="22"/>
                <w:lang w:eastAsia="en-US"/>
              </w:rPr>
              <w:t>64,9</w:t>
            </w:r>
          </w:p>
        </w:tc>
        <w:tc>
          <w:tcPr>
            <w:tcW w:w="1788" w:type="dxa"/>
            <w:shd w:val="clear" w:color="auto" w:fill="auto"/>
            <w:noWrap/>
            <w:vAlign w:val="center"/>
            <w:hideMark/>
          </w:tcPr>
          <w:p w:rsidR="00255CC4" w:rsidRPr="00FB4440" w:rsidRDefault="00255CC4" w:rsidP="00255CC4">
            <w:pPr>
              <w:spacing w:line="240" w:lineRule="auto"/>
              <w:jc w:val="center"/>
              <w:rPr>
                <w:rFonts w:eastAsia="Times New Roman"/>
                <w:color w:val="000000"/>
                <w:sz w:val="22"/>
                <w:szCs w:val="22"/>
                <w:lang w:eastAsia="en-US"/>
              </w:rPr>
            </w:pPr>
            <w:r w:rsidRPr="00FB4440">
              <w:rPr>
                <w:rFonts w:eastAsia="Times New Roman"/>
                <w:color w:val="000000"/>
                <w:sz w:val="22"/>
                <w:szCs w:val="22"/>
                <w:lang w:eastAsia="en-US"/>
              </w:rPr>
              <w:t>69</w:t>
            </w:r>
            <w:r w:rsidR="00685CD2">
              <w:rPr>
                <w:rFonts w:eastAsia="Times New Roman"/>
                <w:color w:val="000000"/>
                <w:sz w:val="22"/>
                <w:szCs w:val="22"/>
                <w:lang w:eastAsia="en-US"/>
              </w:rPr>
              <w:t xml:space="preserve"> </w:t>
            </w:r>
            <w:r w:rsidRPr="00FB4440">
              <w:rPr>
                <w:rFonts w:eastAsia="Times New Roman"/>
                <w:color w:val="000000"/>
                <w:sz w:val="22"/>
                <w:szCs w:val="22"/>
                <w:lang w:eastAsia="en-US"/>
              </w:rPr>
              <w:t>118</w:t>
            </w:r>
          </w:p>
        </w:tc>
      </w:tr>
      <w:tr w:rsidR="00255CC4" w:rsidRPr="00FB4440" w:rsidTr="00255CC4">
        <w:trPr>
          <w:trHeight w:val="300"/>
        </w:trPr>
        <w:tc>
          <w:tcPr>
            <w:tcW w:w="851" w:type="dxa"/>
            <w:vMerge w:val="restart"/>
            <w:shd w:val="clear" w:color="auto" w:fill="auto"/>
            <w:noWrap/>
            <w:vAlign w:val="center"/>
            <w:hideMark/>
          </w:tcPr>
          <w:p w:rsidR="00255CC4" w:rsidRPr="00FB4440" w:rsidRDefault="00255CC4" w:rsidP="00255CC4">
            <w:pPr>
              <w:spacing w:line="240" w:lineRule="auto"/>
              <w:jc w:val="center"/>
              <w:rPr>
                <w:rFonts w:eastAsia="Times New Roman"/>
                <w:b/>
                <w:color w:val="000000"/>
                <w:sz w:val="22"/>
                <w:szCs w:val="22"/>
                <w:lang w:eastAsia="en-US"/>
              </w:rPr>
            </w:pPr>
            <w:r w:rsidRPr="00FB4440">
              <w:rPr>
                <w:rFonts w:eastAsia="Times New Roman"/>
                <w:b/>
                <w:color w:val="000000"/>
                <w:sz w:val="22"/>
                <w:szCs w:val="22"/>
                <w:lang w:eastAsia="en-US"/>
              </w:rPr>
              <w:t>2015</w:t>
            </w:r>
          </w:p>
        </w:tc>
        <w:tc>
          <w:tcPr>
            <w:tcW w:w="1134" w:type="dxa"/>
            <w:shd w:val="clear" w:color="auto" w:fill="auto"/>
            <w:noWrap/>
            <w:vAlign w:val="center"/>
            <w:hideMark/>
          </w:tcPr>
          <w:p w:rsidR="00255CC4" w:rsidRPr="00FB4440" w:rsidRDefault="00255CC4" w:rsidP="00255CC4">
            <w:pPr>
              <w:spacing w:line="240" w:lineRule="auto"/>
              <w:jc w:val="left"/>
              <w:rPr>
                <w:rFonts w:eastAsia="Times New Roman"/>
                <w:b/>
                <w:color w:val="000000"/>
                <w:sz w:val="22"/>
                <w:szCs w:val="22"/>
                <w:lang w:eastAsia="en-US"/>
              </w:rPr>
            </w:pPr>
            <w:r w:rsidRPr="00FB4440">
              <w:rPr>
                <w:rFonts w:eastAsia="Times New Roman"/>
                <w:b/>
                <w:color w:val="000000"/>
                <w:sz w:val="22"/>
                <w:szCs w:val="22"/>
                <w:lang w:eastAsia="en-US"/>
              </w:rPr>
              <w:t>Kopā</w:t>
            </w:r>
          </w:p>
        </w:tc>
        <w:tc>
          <w:tcPr>
            <w:tcW w:w="1417" w:type="dxa"/>
            <w:shd w:val="clear" w:color="auto" w:fill="auto"/>
            <w:noWrap/>
            <w:vAlign w:val="center"/>
            <w:hideMark/>
          </w:tcPr>
          <w:p w:rsidR="00255CC4" w:rsidRPr="00FB4440" w:rsidRDefault="00255CC4" w:rsidP="00255CC4">
            <w:pPr>
              <w:spacing w:line="240" w:lineRule="auto"/>
              <w:jc w:val="center"/>
              <w:rPr>
                <w:rFonts w:eastAsia="Times New Roman"/>
                <w:b/>
                <w:color w:val="000000"/>
                <w:sz w:val="22"/>
                <w:szCs w:val="22"/>
                <w:lang w:eastAsia="en-US"/>
              </w:rPr>
            </w:pPr>
            <w:r w:rsidRPr="00FB4440">
              <w:rPr>
                <w:rFonts w:eastAsia="Times New Roman"/>
                <w:b/>
                <w:color w:val="000000"/>
                <w:sz w:val="22"/>
                <w:szCs w:val="22"/>
                <w:lang w:eastAsia="en-US"/>
              </w:rPr>
              <w:t>25</w:t>
            </w:r>
            <w:r w:rsidR="00685CD2">
              <w:rPr>
                <w:rFonts w:eastAsia="Times New Roman"/>
                <w:b/>
                <w:color w:val="000000"/>
                <w:sz w:val="22"/>
                <w:szCs w:val="22"/>
                <w:lang w:eastAsia="en-US"/>
              </w:rPr>
              <w:t xml:space="preserve"> </w:t>
            </w:r>
            <w:r w:rsidRPr="00FB4440">
              <w:rPr>
                <w:rFonts w:eastAsia="Times New Roman"/>
                <w:b/>
                <w:color w:val="000000"/>
                <w:sz w:val="22"/>
                <w:szCs w:val="22"/>
                <w:lang w:eastAsia="en-US"/>
              </w:rPr>
              <w:t>311</w:t>
            </w:r>
          </w:p>
        </w:tc>
        <w:tc>
          <w:tcPr>
            <w:tcW w:w="1460" w:type="dxa"/>
            <w:shd w:val="clear" w:color="auto" w:fill="auto"/>
            <w:noWrap/>
            <w:vAlign w:val="center"/>
            <w:hideMark/>
          </w:tcPr>
          <w:p w:rsidR="00255CC4" w:rsidRPr="00FB4440" w:rsidRDefault="00255CC4" w:rsidP="00255CC4">
            <w:pPr>
              <w:spacing w:line="240" w:lineRule="auto"/>
              <w:jc w:val="center"/>
              <w:rPr>
                <w:rFonts w:eastAsia="Times New Roman"/>
                <w:b/>
                <w:color w:val="000000"/>
                <w:sz w:val="22"/>
                <w:szCs w:val="22"/>
                <w:lang w:eastAsia="en-US"/>
              </w:rPr>
            </w:pPr>
            <w:r w:rsidRPr="00FB4440">
              <w:rPr>
                <w:rFonts w:eastAsia="Times New Roman"/>
                <w:b/>
                <w:color w:val="000000"/>
                <w:sz w:val="22"/>
                <w:szCs w:val="22"/>
                <w:lang w:eastAsia="en-US"/>
              </w:rPr>
              <w:t>100</w:t>
            </w:r>
          </w:p>
        </w:tc>
        <w:tc>
          <w:tcPr>
            <w:tcW w:w="1824" w:type="dxa"/>
            <w:shd w:val="clear" w:color="auto" w:fill="auto"/>
            <w:noWrap/>
            <w:vAlign w:val="center"/>
            <w:hideMark/>
          </w:tcPr>
          <w:p w:rsidR="00255CC4" w:rsidRPr="00FB4440" w:rsidRDefault="00255CC4" w:rsidP="00255CC4">
            <w:pPr>
              <w:spacing w:line="240" w:lineRule="auto"/>
              <w:jc w:val="center"/>
              <w:rPr>
                <w:rFonts w:eastAsia="Times New Roman"/>
                <w:b/>
                <w:color w:val="000000"/>
                <w:sz w:val="22"/>
                <w:szCs w:val="22"/>
                <w:lang w:eastAsia="en-US"/>
              </w:rPr>
            </w:pPr>
            <w:r w:rsidRPr="00FB4440">
              <w:rPr>
                <w:rFonts w:eastAsia="Times New Roman"/>
                <w:b/>
                <w:color w:val="000000"/>
                <w:sz w:val="22"/>
                <w:szCs w:val="22"/>
                <w:lang w:eastAsia="en-US"/>
              </w:rPr>
              <w:t>56</w:t>
            </w:r>
            <w:r w:rsidR="00685CD2">
              <w:rPr>
                <w:rFonts w:eastAsia="Times New Roman"/>
                <w:b/>
                <w:color w:val="000000"/>
                <w:sz w:val="22"/>
                <w:szCs w:val="22"/>
                <w:lang w:eastAsia="en-US"/>
              </w:rPr>
              <w:t xml:space="preserve"> </w:t>
            </w:r>
            <w:r w:rsidRPr="00FB4440">
              <w:rPr>
                <w:rFonts w:eastAsia="Times New Roman"/>
                <w:b/>
                <w:color w:val="000000"/>
                <w:sz w:val="22"/>
                <w:szCs w:val="22"/>
                <w:lang w:eastAsia="en-US"/>
              </w:rPr>
              <w:t>576</w:t>
            </w:r>
          </w:p>
        </w:tc>
        <w:tc>
          <w:tcPr>
            <w:tcW w:w="1307" w:type="dxa"/>
            <w:shd w:val="clear" w:color="auto" w:fill="auto"/>
            <w:noWrap/>
            <w:vAlign w:val="center"/>
            <w:hideMark/>
          </w:tcPr>
          <w:p w:rsidR="00255CC4" w:rsidRPr="00FB4440" w:rsidRDefault="00255CC4" w:rsidP="00255CC4">
            <w:pPr>
              <w:spacing w:line="240" w:lineRule="auto"/>
              <w:jc w:val="center"/>
              <w:rPr>
                <w:rFonts w:eastAsia="Times New Roman"/>
                <w:b/>
                <w:color w:val="000000"/>
                <w:sz w:val="22"/>
                <w:szCs w:val="22"/>
                <w:lang w:eastAsia="en-US"/>
              </w:rPr>
            </w:pPr>
            <w:r w:rsidRPr="00FB4440">
              <w:rPr>
                <w:rFonts w:eastAsia="Times New Roman"/>
                <w:b/>
                <w:color w:val="000000"/>
                <w:sz w:val="22"/>
                <w:szCs w:val="22"/>
                <w:lang w:eastAsia="en-US"/>
              </w:rPr>
              <w:t>100</w:t>
            </w:r>
          </w:p>
        </w:tc>
        <w:tc>
          <w:tcPr>
            <w:tcW w:w="1788" w:type="dxa"/>
            <w:shd w:val="clear" w:color="auto" w:fill="auto"/>
            <w:noWrap/>
            <w:vAlign w:val="center"/>
            <w:hideMark/>
          </w:tcPr>
          <w:p w:rsidR="00255CC4" w:rsidRPr="00FB4440" w:rsidRDefault="00255CC4" w:rsidP="00255CC4">
            <w:pPr>
              <w:spacing w:line="240" w:lineRule="auto"/>
              <w:jc w:val="center"/>
              <w:rPr>
                <w:rFonts w:eastAsia="Times New Roman"/>
                <w:b/>
                <w:color w:val="000000"/>
                <w:sz w:val="22"/>
                <w:szCs w:val="22"/>
                <w:lang w:eastAsia="en-US"/>
              </w:rPr>
            </w:pPr>
            <w:r w:rsidRPr="00FB4440">
              <w:rPr>
                <w:rFonts w:eastAsia="Times New Roman"/>
                <w:b/>
                <w:color w:val="000000"/>
                <w:sz w:val="22"/>
                <w:szCs w:val="22"/>
                <w:lang w:eastAsia="en-US"/>
              </w:rPr>
              <w:t>81</w:t>
            </w:r>
            <w:r w:rsidR="00685CD2">
              <w:rPr>
                <w:rFonts w:eastAsia="Times New Roman"/>
                <w:b/>
                <w:color w:val="000000"/>
                <w:sz w:val="22"/>
                <w:szCs w:val="22"/>
                <w:lang w:eastAsia="en-US"/>
              </w:rPr>
              <w:t xml:space="preserve"> </w:t>
            </w:r>
            <w:r w:rsidRPr="00FB4440">
              <w:rPr>
                <w:rFonts w:eastAsia="Times New Roman"/>
                <w:b/>
                <w:color w:val="000000"/>
                <w:sz w:val="22"/>
                <w:szCs w:val="22"/>
                <w:lang w:eastAsia="en-US"/>
              </w:rPr>
              <w:t>887</w:t>
            </w:r>
          </w:p>
        </w:tc>
      </w:tr>
      <w:tr w:rsidR="00255CC4" w:rsidRPr="00FB4440" w:rsidTr="00255CC4">
        <w:trPr>
          <w:trHeight w:val="300"/>
        </w:trPr>
        <w:tc>
          <w:tcPr>
            <w:tcW w:w="851" w:type="dxa"/>
            <w:vMerge/>
            <w:shd w:val="clear" w:color="auto" w:fill="auto"/>
            <w:noWrap/>
            <w:vAlign w:val="center"/>
            <w:hideMark/>
          </w:tcPr>
          <w:p w:rsidR="00255CC4" w:rsidRPr="00FB4440" w:rsidRDefault="00255CC4" w:rsidP="00255CC4">
            <w:pPr>
              <w:spacing w:line="240" w:lineRule="auto"/>
              <w:jc w:val="center"/>
              <w:rPr>
                <w:rFonts w:eastAsia="Times New Roman"/>
                <w:b/>
                <w:color w:val="000000"/>
                <w:sz w:val="22"/>
                <w:szCs w:val="22"/>
                <w:lang w:eastAsia="en-US"/>
              </w:rPr>
            </w:pPr>
          </w:p>
        </w:tc>
        <w:tc>
          <w:tcPr>
            <w:tcW w:w="1134" w:type="dxa"/>
            <w:shd w:val="clear" w:color="auto" w:fill="auto"/>
            <w:noWrap/>
            <w:vAlign w:val="center"/>
            <w:hideMark/>
          </w:tcPr>
          <w:p w:rsidR="00255CC4" w:rsidRPr="00FB4440" w:rsidRDefault="00255CC4" w:rsidP="00255CC4">
            <w:pPr>
              <w:spacing w:line="240" w:lineRule="auto"/>
              <w:jc w:val="left"/>
              <w:rPr>
                <w:rFonts w:eastAsia="Times New Roman"/>
                <w:color w:val="000000"/>
                <w:sz w:val="22"/>
                <w:szCs w:val="22"/>
                <w:lang w:eastAsia="en-US"/>
              </w:rPr>
            </w:pPr>
            <w:r w:rsidRPr="00FB4440">
              <w:rPr>
                <w:rFonts w:eastAsia="Times New Roman"/>
                <w:color w:val="000000"/>
                <w:sz w:val="22"/>
                <w:szCs w:val="22"/>
                <w:lang w:eastAsia="en-US"/>
              </w:rPr>
              <w:t>Pilsētās</w:t>
            </w:r>
          </w:p>
        </w:tc>
        <w:tc>
          <w:tcPr>
            <w:tcW w:w="1417" w:type="dxa"/>
            <w:shd w:val="clear" w:color="auto" w:fill="auto"/>
            <w:noWrap/>
            <w:vAlign w:val="center"/>
            <w:hideMark/>
          </w:tcPr>
          <w:p w:rsidR="00255CC4" w:rsidRPr="00FB4440" w:rsidRDefault="00255CC4" w:rsidP="00255CC4">
            <w:pPr>
              <w:spacing w:line="240" w:lineRule="auto"/>
              <w:jc w:val="center"/>
              <w:rPr>
                <w:rFonts w:eastAsia="Times New Roman"/>
                <w:color w:val="000000"/>
                <w:sz w:val="22"/>
                <w:szCs w:val="22"/>
                <w:lang w:eastAsia="en-US"/>
              </w:rPr>
            </w:pPr>
            <w:r w:rsidRPr="00FB4440">
              <w:rPr>
                <w:rFonts w:eastAsia="Times New Roman"/>
                <w:color w:val="000000"/>
                <w:sz w:val="22"/>
                <w:szCs w:val="22"/>
                <w:lang w:eastAsia="en-US"/>
              </w:rPr>
              <w:t>7</w:t>
            </w:r>
            <w:r w:rsidR="00685CD2">
              <w:rPr>
                <w:rFonts w:eastAsia="Times New Roman"/>
                <w:color w:val="000000"/>
                <w:sz w:val="22"/>
                <w:szCs w:val="22"/>
                <w:lang w:eastAsia="en-US"/>
              </w:rPr>
              <w:t xml:space="preserve"> </w:t>
            </w:r>
            <w:r w:rsidRPr="00FB4440">
              <w:rPr>
                <w:rFonts w:eastAsia="Times New Roman"/>
                <w:color w:val="000000"/>
                <w:sz w:val="22"/>
                <w:szCs w:val="22"/>
                <w:lang w:eastAsia="en-US"/>
              </w:rPr>
              <w:t>790</w:t>
            </w:r>
          </w:p>
        </w:tc>
        <w:tc>
          <w:tcPr>
            <w:tcW w:w="1460" w:type="dxa"/>
            <w:shd w:val="clear" w:color="auto" w:fill="auto"/>
            <w:noWrap/>
            <w:vAlign w:val="center"/>
            <w:hideMark/>
          </w:tcPr>
          <w:p w:rsidR="00255CC4" w:rsidRPr="00FB4440" w:rsidRDefault="00255CC4" w:rsidP="00255CC4">
            <w:pPr>
              <w:spacing w:line="240" w:lineRule="auto"/>
              <w:jc w:val="center"/>
              <w:rPr>
                <w:rFonts w:eastAsia="Times New Roman"/>
                <w:color w:val="000000"/>
                <w:sz w:val="22"/>
                <w:szCs w:val="22"/>
                <w:lang w:eastAsia="en-US"/>
              </w:rPr>
            </w:pPr>
            <w:r w:rsidRPr="00FB4440">
              <w:rPr>
                <w:rFonts w:eastAsia="Times New Roman"/>
                <w:color w:val="000000"/>
                <w:sz w:val="22"/>
                <w:szCs w:val="22"/>
                <w:lang w:eastAsia="en-US"/>
              </w:rPr>
              <w:t>30,8</w:t>
            </w:r>
          </w:p>
        </w:tc>
        <w:tc>
          <w:tcPr>
            <w:tcW w:w="1824" w:type="dxa"/>
            <w:shd w:val="clear" w:color="auto" w:fill="auto"/>
            <w:noWrap/>
            <w:vAlign w:val="center"/>
            <w:hideMark/>
          </w:tcPr>
          <w:p w:rsidR="00255CC4" w:rsidRPr="00FB4440" w:rsidRDefault="00255CC4" w:rsidP="00255CC4">
            <w:pPr>
              <w:spacing w:line="240" w:lineRule="auto"/>
              <w:jc w:val="center"/>
              <w:rPr>
                <w:rFonts w:eastAsia="Times New Roman"/>
                <w:color w:val="000000"/>
                <w:sz w:val="22"/>
                <w:szCs w:val="22"/>
                <w:lang w:eastAsia="en-US"/>
              </w:rPr>
            </w:pPr>
            <w:r w:rsidRPr="00FB4440">
              <w:rPr>
                <w:rFonts w:eastAsia="Times New Roman"/>
                <w:color w:val="000000"/>
                <w:sz w:val="22"/>
                <w:szCs w:val="22"/>
                <w:lang w:eastAsia="en-US"/>
              </w:rPr>
              <w:t>20</w:t>
            </w:r>
            <w:r w:rsidR="00685CD2">
              <w:rPr>
                <w:rFonts w:eastAsia="Times New Roman"/>
                <w:color w:val="000000"/>
                <w:sz w:val="22"/>
                <w:szCs w:val="22"/>
                <w:lang w:eastAsia="en-US"/>
              </w:rPr>
              <w:t xml:space="preserve"> </w:t>
            </w:r>
            <w:r w:rsidRPr="00FB4440">
              <w:rPr>
                <w:rFonts w:eastAsia="Times New Roman"/>
                <w:color w:val="000000"/>
                <w:sz w:val="22"/>
                <w:szCs w:val="22"/>
                <w:lang w:eastAsia="en-US"/>
              </w:rPr>
              <w:t>374</w:t>
            </w:r>
          </w:p>
        </w:tc>
        <w:tc>
          <w:tcPr>
            <w:tcW w:w="1307" w:type="dxa"/>
            <w:shd w:val="clear" w:color="auto" w:fill="auto"/>
            <w:noWrap/>
            <w:vAlign w:val="center"/>
            <w:hideMark/>
          </w:tcPr>
          <w:p w:rsidR="00255CC4" w:rsidRPr="00FB4440" w:rsidRDefault="00255CC4" w:rsidP="00255CC4">
            <w:pPr>
              <w:spacing w:line="240" w:lineRule="auto"/>
              <w:jc w:val="center"/>
              <w:rPr>
                <w:rFonts w:eastAsia="Times New Roman"/>
                <w:color w:val="000000"/>
                <w:sz w:val="22"/>
                <w:szCs w:val="22"/>
                <w:lang w:eastAsia="en-US"/>
              </w:rPr>
            </w:pPr>
            <w:r w:rsidRPr="00FB4440">
              <w:rPr>
                <w:rFonts w:eastAsia="Times New Roman"/>
                <w:color w:val="000000"/>
                <w:sz w:val="22"/>
                <w:szCs w:val="22"/>
                <w:lang w:eastAsia="en-US"/>
              </w:rPr>
              <w:t>36</w:t>
            </w:r>
          </w:p>
        </w:tc>
        <w:tc>
          <w:tcPr>
            <w:tcW w:w="1788" w:type="dxa"/>
            <w:shd w:val="clear" w:color="auto" w:fill="auto"/>
            <w:noWrap/>
            <w:vAlign w:val="center"/>
            <w:hideMark/>
          </w:tcPr>
          <w:p w:rsidR="00255CC4" w:rsidRPr="00FB4440" w:rsidRDefault="00255CC4" w:rsidP="00255CC4">
            <w:pPr>
              <w:spacing w:line="240" w:lineRule="auto"/>
              <w:jc w:val="center"/>
              <w:rPr>
                <w:rFonts w:eastAsia="Times New Roman"/>
                <w:color w:val="000000"/>
                <w:sz w:val="22"/>
                <w:szCs w:val="22"/>
                <w:lang w:eastAsia="en-US"/>
              </w:rPr>
            </w:pPr>
            <w:r w:rsidRPr="00FB4440">
              <w:rPr>
                <w:rFonts w:eastAsia="Times New Roman"/>
                <w:color w:val="000000"/>
                <w:sz w:val="22"/>
                <w:szCs w:val="22"/>
                <w:lang w:eastAsia="en-US"/>
              </w:rPr>
              <w:t>28</w:t>
            </w:r>
            <w:r w:rsidR="00685CD2">
              <w:rPr>
                <w:rFonts w:eastAsia="Times New Roman"/>
                <w:color w:val="000000"/>
                <w:sz w:val="22"/>
                <w:szCs w:val="22"/>
                <w:lang w:eastAsia="en-US"/>
              </w:rPr>
              <w:t xml:space="preserve"> </w:t>
            </w:r>
            <w:r w:rsidRPr="00FB4440">
              <w:rPr>
                <w:rFonts w:eastAsia="Times New Roman"/>
                <w:color w:val="000000"/>
                <w:sz w:val="22"/>
                <w:szCs w:val="22"/>
                <w:lang w:eastAsia="en-US"/>
              </w:rPr>
              <w:t>164</w:t>
            </w:r>
          </w:p>
        </w:tc>
      </w:tr>
      <w:tr w:rsidR="00255CC4" w:rsidRPr="00FB4440" w:rsidTr="00255CC4">
        <w:trPr>
          <w:trHeight w:val="300"/>
        </w:trPr>
        <w:tc>
          <w:tcPr>
            <w:tcW w:w="851" w:type="dxa"/>
            <w:vMerge/>
            <w:shd w:val="clear" w:color="auto" w:fill="auto"/>
            <w:noWrap/>
            <w:vAlign w:val="center"/>
            <w:hideMark/>
          </w:tcPr>
          <w:p w:rsidR="00255CC4" w:rsidRPr="00FB4440" w:rsidRDefault="00255CC4" w:rsidP="00255CC4">
            <w:pPr>
              <w:spacing w:line="240" w:lineRule="auto"/>
              <w:jc w:val="center"/>
              <w:rPr>
                <w:rFonts w:eastAsia="Times New Roman"/>
                <w:b/>
                <w:color w:val="000000"/>
                <w:sz w:val="22"/>
                <w:szCs w:val="22"/>
                <w:lang w:eastAsia="en-US"/>
              </w:rPr>
            </w:pPr>
          </w:p>
        </w:tc>
        <w:tc>
          <w:tcPr>
            <w:tcW w:w="1134" w:type="dxa"/>
            <w:shd w:val="clear" w:color="auto" w:fill="auto"/>
            <w:noWrap/>
            <w:vAlign w:val="center"/>
            <w:hideMark/>
          </w:tcPr>
          <w:p w:rsidR="00255CC4" w:rsidRPr="00FB4440" w:rsidRDefault="00255CC4" w:rsidP="00255CC4">
            <w:pPr>
              <w:spacing w:line="240" w:lineRule="auto"/>
              <w:jc w:val="left"/>
              <w:rPr>
                <w:rFonts w:eastAsia="Times New Roman"/>
                <w:color w:val="000000"/>
                <w:sz w:val="22"/>
                <w:szCs w:val="22"/>
                <w:lang w:eastAsia="en-US"/>
              </w:rPr>
            </w:pPr>
            <w:r w:rsidRPr="00FB4440">
              <w:rPr>
                <w:rFonts w:eastAsia="Times New Roman"/>
                <w:color w:val="000000"/>
                <w:sz w:val="22"/>
                <w:szCs w:val="22"/>
                <w:lang w:eastAsia="en-US"/>
              </w:rPr>
              <w:t>Novados</w:t>
            </w:r>
          </w:p>
        </w:tc>
        <w:tc>
          <w:tcPr>
            <w:tcW w:w="1417" w:type="dxa"/>
            <w:shd w:val="clear" w:color="auto" w:fill="auto"/>
            <w:noWrap/>
            <w:vAlign w:val="center"/>
            <w:hideMark/>
          </w:tcPr>
          <w:p w:rsidR="00255CC4" w:rsidRPr="00FB4440" w:rsidRDefault="00255CC4" w:rsidP="00255CC4">
            <w:pPr>
              <w:spacing w:line="240" w:lineRule="auto"/>
              <w:jc w:val="center"/>
              <w:rPr>
                <w:rFonts w:eastAsia="Times New Roman"/>
                <w:color w:val="000000"/>
                <w:sz w:val="22"/>
                <w:szCs w:val="22"/>
                <w:lang w:eastAsia="en-US"/>
              </w:rPr>
            </w:pPr>
            <w:r w:rsidRPr="00FB4440">
              <w:rPr>
                <w:rFonts w:eastAsia="Times New Roman"/>
                <w:color w:val="000000"/>
                <w:sz w:val="22"/>
                <w:szCs w:val="22"/>
                <w:lang w:eastAsia="en-US"/>
              </w:rPr>
              <w:t>17</w:t>
            </w:r>
            <w:r w:rsidR="00685CD2">
              <w:rPr>
                <w:rFonts w:eastAsia="Times New Roman"/>
                <w:color w:val="000000"/>
                <w:sz w:val="22"/>
                <w:szCs w:val="22"/>
                <w:lang w:eastAsia="en-US"/>
              </w:rPr>
              <w:t xml:space="preserve"> </w:t>
            </w:r>
            <w:r w:rsidRPr="00FB4440">
              <w:rPr>
                <w:rFonts w:eastAsia="Times New Roman"/>
                <w:color w:val="000000"/>
                <w:sz w:val="22"/>
                <w:szCs w:val="22"/>
                <w:lang w:eastAsia="en-US"/>
              </w:rPr>
              <w:t>521</w:t>
            </w:r>
          </w:p>
        </w:tc>
        <w:tc>
          <w:tcPr>
            <w:tcW w:w="1460" w:type="dxa"/>
            <w:shd w:val="clear" w:color="auto" w:fill="auto"/>
            <w:noWrap/>
            <w:vAlign w:val="center"/>
            <w:hideMark/>
          </w:tcPr>
          <w:p w:rsidR="00255CC4" w:rsidRPr="00FB4440" w:rsidRDefault="00255CC4" w:rsidP="00255CC4">
            <w:pPr>
              <w:spacing w:line="240" w:lineRule="auto"/>
              <w:jc w:val="center"/>
              <w:rPr>
                <w:rFonts w:eastAsia="Times New Roman"/>
                <w:color w:val="000000"/>
                <w:sz w:val="22"/>
                <w:szCs w:val="22"/>
                <w:lang w:eastAsia="en-US"/>
              </w:rPr>
            </w:pPr>
            <w:r w:rsidRPr="00FB4440">
              <w:rPr>
                <w:rFonts w:eastAsia="Times New Roman"/>
                <w:color w:val="000000"/>
                <w:sz w:val="22"/>
                <w:szCs w:val="22"/>
                <w:lang w:eastAsia="en-US"/>
              </w:rPr>
              <w:t>69,2</w:t>
            </w:r>
          </w:p>
        </w:tc>
        <w:tc>
          <w:tcPr>
            <w:tcW w:w="1824" w:type="dxa"/>
            <w:shd w:val="clear" w:color="auto" w:fill="auto"/>
            <w:noWrap/>
            <w:vAlign w:val="center"/>
            <w:hideMark/>
          </w:tcPr>
          <w:p w:rsidR="00255CC4" w:rsidRPr="00FB4440" w:rsidRDefault="00255CC4" w:rsidP="00255CC4">
            <w:pPr>
              <w:spacing w:line="240" w:lineRule="auto"/>
              <w:jc w:val="center"/>
              <w:rPr>
                <w:rFonts w:eastAsia="Times New Roman"/>
                <w:color w:val="000000"/>
                <w:sz w:val="22"/>
                <w:szCs w:val="22"/>
                <w:lang w:eastAsia="en-US"/>
              </w:rPr>
            </w:pPr>
            <w:r w:rsidRPr="00FB4440">
              <w:rPr>
                <w:rFonts w:eastAsia="Times New Roman"/>
                <w:color w:val="000000"/>
                <w:sz w:val="22"/>
                <w:szCs w:val="22"/>
                <w:lang w:eastAsia="en-US"/>
              </w:rPr>
              <w:t>36</w:t>
            </w:r>
            <w:r w:rsidR="00685CD2">
              <w:rPr>
                <w:rFonts w:eastAsia="Times New Roman"/>
                <w:color w:val="000000"/>
                <w:sz w:val="22"/>
                <w:szCs w:val="22"/>
                <w:lang w:eastAsia="en-US"/>
              </w:rPr>
              <w:t xml:space="preserve"> </w:t>
            </w:r>
            <w:r w:rsidRPr="00FB4440">
              <w:rPr>
                <w:rFonts w:eastAsia="Times New Roman"/>
                <w:color w:val="000000"/>
                <w:sz w:val="22"/>
                <w:szCs w:val="22"/>
                <w:lang w:eastAsia="en-US"/>
              </w:rPr>
              <w:t>202</w:t>
            </w:r>
          </w:p>
        </w:tc>
        <w:tc>
          <w:tcPr>
            <w:tcW w:w="1307" w:type="dxa"/>
            <w:shd w:val="clear" w:color="auto" w:fill="auto"/>
            <w:noWrap/>
            <w:vAlign w:val="center"/>
            <w:hideMark/>
          </w:tcPr>
          <w:p w:rsidR="00255CC4" w:rsidRPr="00FB4440" w:rsidRDefault="00255CC4" w:rsidP="00255CC4">
            <w:pPr>
              <w:spacing w:line="240" w:lineRule="auto"/>
              <w:jc w:val="center"/>
              <w:rPr>
                <w:rFonts w:eastAsia="Times New Roman"/>
                <w:color w:val="000000"/>
                <w:sz w:val="22"/>
                <w:szCs w:val="22"/>
                <w:lang w:eastAsia="en-US"/>
              </w:rPr>
            </w:pPr>
            <w:r w:rsidRPr="00FB4440">
              <w:rPr>
                <w:rFonts w:eastAsia="Times New Roman"/>
                <w:color w:val="000000"/>
                <w:sz w:val="22"/>
                <w:szCs w:val="22"/>
                <w:lang w:eastAsia="en-US"/>
              </w:rPr>
              <w:t>64</w:t>
            </w:r>
          </w:p>
        </w:tc>
        <w:tc>
          <w:tcPr>
            <w:tcW w:w="1788" w:type="dxa"/>
            <w:shd w:val="clear" w:color="auto" w:fill="auto"/>
            <w:noWrap/>
            <w:vAlign w:val="center"/>
            <w:hideMark/>
          </w:tcPr>
          <w:p w:rsidR="00255CC4" w:rsidRPr="00FB4440" w:rsidRDefault="00255CC4" w:rsidP="00255CC4">
            <w:pPr>
              <w:spacing w:line="240" w:lineRule="auto"/>
              <w:jc w:val="center"/>
              <w:rPr>
                <w:rFonts w:eastAsia="Times New Roman"/>
                <w:color w:val="000000"/>
                <w:sz w:val="22"/>
                <w:szCs w:val="22"/>
                <w:lang w:eastAsia="en-US"/>
              </w:rPr>
            </w:pPr>
            <w:r w:rsidRPr="00FB4440">
              <w:rPr>
                <w:rFonts w:eastAsia="Times New Roman"/>
                <w:color w:val="000000"/>
                <w:sz w:val="22"/>
                <w:szCs w:val="22"/>
                <w:lang w:eastAsia="en-US"/>
              </w:rPr>
              <w:t>53</w:t>
            </w:r>
            <w:r w:rsidR="00685CD2">
              <w:rPr>
                <w:rFonts w:eastAsia="Times New Roman"/>
                <w:color w:val="000000"/>
                <w:sz w:val="22"/>
                <w:szCs w:val="22"/>
                <w:lang w:eastAsia="en-US"/>
              </w:rPr>
              <w:t xml:space="preserve"> </w:t>
            </w:r>
            <w:r w:rsidRPr="00FB4440">
              <w:rPr>
                <w:rFonts w:eastAsia="Times New Roman"/>
                <w:color w:val="000000"/>
                <w:sz w:val="22"/>
                <w:szCs w:val="22"/>
                <w:lang w:eastAsia="en-US"/>
              </w:rPr>
              <w:t>723</w:t>
            </w:r>
          </w:p>
        </w:tc>
      </w:tr>
      <w:tr w:rsidR="00255CC4" w:rsidRPr="00FB4440" w:rsidTr="00255CC4">
        <w:trPr>
          <w:trHeight w:val="300"/>
        </w:trPr>
        <w:tc>
          <w:tcPr>
            <w:tcW w:w="851" w:type="dxa"/>
            <w:vMerge w:val="restart"/>
            <w:shd w:val="clear" w:color="auto" w:fill="auto"/>
            <w:noWrap/>
            <w:vAlign w:val="center"/>
            <w:hideMark/>
          </w:tcPr>
          <w:p w:rsidR="00255CC4" w:rsidRPr="00FB4440" w:rsidRDefault="00255CC4" w:rsidP="00255CC4">
            <w:pPr>
              <w:spacing w:line="240" w:lineRule="auto"/>
              <w:jc w:val="center"/>
              <w:rPr>
                <w:rFonts w:eastAsia="Times New Roman"/>
                <w:b/>
                <w:color w:val="000000"/>
                <w:sz w:val="22"/>
                <w:szCs w:val="22"/>
                <w:lang w:eastAsia="en-US"/>
              </w:rPr>
            </w:pPr>
            <w:r w:rsidRPr="00FB4440">
              <w:rPr>
                <w:rFonts w:eastAsia="Times New Roman"/>
                <w:b/>
                <w:color w:val="000000"/>
                <w:sz w:val="22"/>
                <w:szCs w:val="22"/>
                <w:lang w:eastAsia="en-US"/>
              </w:rPr>
              <w:t>2016</w:t>
            </w:r>
          </w:p>
        </w:tc>
        <w:tc>
          <w:tcPr>
            <w:tcW w:w="1134" w:type="dxa"/>
            <w:shd w:val="clear" w:color="auto" w:fill="auto"/>
            <w:noWrap/>
            <w:vAlign w:val="center"/>
            <w:hideMark/>
          </w:tcPr>
          <w:p w:rsidR="00255CC4" w:rsidRPr="00FB4440" w:rsidRDefault="00255CC4" w:rsidP="00255CC4">
            <w:pPr>
              <w:spacing w:line="240" w:lineRule="auto"/>
              <w:jc w:val="left"/>
              <w:rPr>
                <w:rFonts w:eastAsia="Times New Roman"/>
                <w:b/>
                <w:color w:val="000000"/>
                <w:sz w:val="22"/>
                <w:szCs w:val="22"/>
                <w:lang w:eastAsia="en-US"/>
              </w:rPr>
            </w:pPr>
            <w:r w:rsidRPr="00FB4440">
              <w:rPr>
                <w:rFonts w:eastAsia="Times New Roman"/>
                <w:b/>
                <w:color w:val="000000"/>
                <w:sz w:val="22"/>
                <w:szCs w:val="22"/>
                <w:lang w:eastAsia="en-US"/>
              </w:rPr>
              <w:t>Kopā</w:t>
            </w:r>
          </w:p>
        </w:tc>
        <w:tc>
          <w:tcPr>
            <w:tcW w:w="1417" w:type="dxa"/>
            <w:shd w:val="clear" w:color="auto" w:fill="auto"/>
            <w:noWrap/>
            <w:vAlign w:val="center"/>
            <w:hideMark/>
          </w:tcPr>
          <w:p w:rsidR="00255CC4" w:rsidRPr="00FB4440" w:rsidRDefault="00255CC4" w:rsidP="00255CC4">
            <w:pPr>
              <w:spacing w:line="240" w:lineRule="auto"/>
              <w:jc w:val="center"/>
              <w:rPr>
                <w:rFonts w:eastAsia="Times New Roman"/>
                <w:b/>
                <w:color w:val="000000"/>
                <w:sz w:val="22"/>
                <w:szCs w:val="22"/>
                <w:lang w:eastAsia="en-US"/>
              </w:rPr>
            </w:pPr>
            <w:r w:rsidRPr="00FB4440">
              <w:rPr>
                <w:rFonts w:eastAsia="Times New Roman"/>
                <w:b/>
                <w:color w:val="000000"/>
                <w:sz w:val="22"/>
                <w:szCs w:val="22"/>
                <w:lang w:eastAsia="en-US"/>
              </w:rPr>
              <w:t>20</w:t>
            </w:r>
            <w:r w:rsidR="00685CD2">
              <w:rPr>
                <w:rFonts w:eastAsia="Times New Roman"/>
                <w:b/>
                <w:color w:val="000000"/>
                <w:sz w:val="22"/>
                <w:szCs w:val="22"/>
                <w:lang w:eastAsia="en-US"/>
              </w:rPr>
              <w:t xml:space="preserve"> </w:t>
            </w:r>
            <w:r w:rsidRPr="00FB4440">
              <w:rPr>
                <w:rFonts w:eastAsia="Times New Roman"/>
                <w:b/>
                <w:color w:val="000000"/>
                <w:sz w:val="22"/>
                <w:szCs w:val="22"/>
                <w:lang w:eastAsia="en-US"/>
              </w:rPr>
              <w:t>182</w:t>
            </w:r>
          </w:p>
        </w:tc>
        <w:tc>
          <w:tcPr>
            <w:tcW w:w="1460" w:type="dxa"/>
            <w:shd w:val="clear" w:color="auto" w:fill="auto"/>
            <w:noWrap/>
            <w:vAlign w:val="center"/>
            <w:hideMark/>
          </w:tcPr>
          <w:p w:rsidR="00255CC4" w:rsidRPr="00FB4440" w:rsidRDefault="00255CC4" w:rsidP="00255CC4">
            <w:pPr>
              <w:spacing w:line="240" w:lineRule="auto"/>
              <w:jc w:val="center"/>
              <w:rPr>
                <w:rFonts w:eastAsia="Times New Roman"/>
                <w:b/>
                <w:color w:val="000000"/>
                <w:sz w:val="22"/>
                <w:szCs w:val="22"/>
                <w:lang w:eastAsia="en-US"/>
              </w:rPr>
            </w:pPr>
            <w:r w:rsidRPr="00FB4440">
              <w:rPr>
                <w:rFonts w:eastAsia="Times New Roman"/>
                <w:b/>
                <w:color w:val="000000"/>
                <w:sz w:val="22"/>
                <w:szCs w:val="22"/>
                <w:lang w:eastAsia="en-US"/>
              </w:rPr>
              <w:t>100</w:t>
            </w:r>
          </w:p>
        </w:tc>
        <w:tc>
          <w:tcPr>
            <w:tcW w:w="1824" w:type="dxa"/>
            <w:shd w:val="clear" w:color="auto" w:fill="auto"/>
            <w:noWrap/>
            <w:vAlign w:val="center"/>
            <w:hideMark/>
          </w:tcPr>
          <w:p w:rsidR="00255CC4" w:rsidRPr="00FB4440" w:rsidRDefault="00255CC4" w:rsidP="00255CC4">
            <w:pPr>
              <w:spacing w:line="240" w:lineRule="auto"/>
              <w:jc w:val="center"/>
              <w:rPr>
                <w:rFonts w:eastAsia="Times New Roman"/>
                <w:b/>
                <w:color w:val="000000"/>
                <w:sz w:val="22"/>
                <w:szCs w:val="22"/>
                <w:lang w:eastAsia="en-US"/>
              </w:rPr>
            </w:pPr>
            <w:r w:rsidRPr="00FB4440">
              <w:rPr>
                <w:rFonts w:eastAsia="Times New Roman"/>
                <w:b/>
                <w:color w:val="000000"/>
                <w:sz w:val="22"/>
                <w:szCs w:val="22"/>
                <w:lang w:eastAsia="en-US"/>
              </w:rPr>
              <w:t>48</w:t>
            </w:r>
            <w:r w:rsidR="00685CD2">
              <w:rPr>
                <w:rFonts w:eastAsia="Times New Roman"/>
                <w:b/>
                <w:color w:val="000000"/>
                <w:sz w:val="22"/>
                <w:szCs w:val="22"/>
                <w:lang w:eastAsia="en-US"/>
              </w:rPr>
              <w:t xml:space="preserve"> </w:t>
            </w:r>
            <w:r w:rsidRPr="00FB4440">
              <w:rPr>
                <w:rFonts w:eastAsia="Times New Roman"/>
                <w:b/>
                <w:color w:val="000000"/>
                <w:sz w:val="22"/>
                <w:szCs w:val="22"/>
                <w:lang w:eastAsia="en-US"/>
              </w:rPr>
              <w:t>634</w:t>
            </w:r>
          </w:p>
        </w:tc>
        <w:tc>
          <w:tcPr>
            <w:tcW w:w="1307" w:type="dxa"/>
            <w:shd w:val="clear" w:color="auto" w:fill="auto"/>
            <w:noWrap/>
            <w:vAlign w:val="center"/>
            <w:hideMark/>
          </w:tcPr>
          <w:p w:rsidR="00255CC4" w:rsidRPr="00FB4440" w:rsidRDefault="00255CC4" w:rsidP="00255CC4">
            <w:pPr>
              <w:spacing w:line="240" w:lineRule="auto"/>
              <w:jc w:val="center"/>
              <w:rPr>
                <w:rFonts w:eastAsia="Times New Roman"/>
                <w:b/>
                <w:color w:val="000000"/>
                <w:sz w:val="22"/>
                <w:szCs w:val="22"/>
                <w:lang w:eastAsia="en-US"/>
              </w:rPr>
            </w:pPr>
            <w:r w:rsidRPr="00FB4440">
              <w:rPr>
                <w:rFonts w:eastAsia="Times New Roman"/>
                <w:b/>
                <w:color w:val="000000"/>
                <w:sz w:val="22"/>
                <w:szCs w:val="22"/>
                <w:lang w:eastAsia="en-US"/>
              </w:rPr>
              <w:t>100</w:t>
            </w:r>
          </w:p>
        </w:tc>
        <w:tc>
          <w:tcPr>
            <w:tcW w:w="1788" w:type="dxa"/>
            <w:shd w:val="clear" w:color="auto" w:fill="auto"/>
            <w:noWrap/>
            <w:vAlign w:val="center"/>
            <w:hideMark/>
          </w:tcPr>
          <w:p w:rsidR="00255CC4" w:rsidRPr="00FB4440" w:rsidRDefault="00255CC4" w:rsidP="00255CC4">
            <w:pPr>
              <w:spacing w:line="240" w:lineRule="auto"/>
              <w:jc w:val="center"/>
              <w:rPr>
                <w:rFonts w:eastAsia="Times New Roman"/>
                <w:b/>
                <w:color w:val="000000"/>
                <w:sz w:val="22"/>
                <w:szCs w:val="22"/>
                <w:lang w:eastAsia="en-US"/>
              </w:rPr>
            </w:pPr>
            <w:r w:rsidRPr="00FB4440">
              <w:rPr>
                <w:rFonts w:eastAsia="Times New Roman"/>
                <w:b/>
                <w:color w:val="000000"/>
                <w:sz w:val="22"/>
                <w:szCs w:val="22"/>
                <w:lang w:eastAsia="en-US"/>
              </w:rPr>
              <w:t>68</w:t>
            </w:r>
            <w:r w:rsidR="00685CD2">
              <w:rPr>
                <w:rFonts w:eastAsia="Times New Roman"/>
                <w:b/>
                <w:color w:val="000000"/>
                <w:sz w:val="22"/>
                <w:szCs w:val="22"/>
                <w:lang w:eastAsia="en-US"/>
              </w:rPr>
              <w:t xml:space="preserve"> </w:t>
            </w:r>
            <w:r w:rsidRPr="00FB4440">
              <w:rPr>
                <w:rFonts w:eastAsia="Times New Roman"/>
                <w:b/>
                <w:color w:val="000000"/>
                <w:sz w:val="22"/>
                <w:szCs w:val="22"/>
                <w:lang w:eastAsia="en-US"/>
              </w:rPr>
              <w:t>816</w:t>
            </w:r>
          </w:p>
        </w:tc>
      </w:tr>
      <w:tr w:rsidR="00255CC4" w:rsidRPr="00FB4440" w:rsidTr="00255CC4">
        <w:trPr>
          <w:trHeight w:val="300"/>
        </w:trPr>
        <w:tc>
          <w:tcPr>
            <w:tcW w:w="851" w:type="dxa"/>
            <w:vMerge/>
            <w:shd w:val="clear" w:color="auto" w:fill="auto"/>
            <w:noWrap/>
            <w:vAlign w:val="center"/>
            <w:hideMark/>
          </w:tcPr>
          <w:p w:rsidR="00255CC4" w:rsidRPr="00FB4440" w:rsidRDefault="00255CC4" w:rsidP="00255CC4">
            <w:pPr>
              <w:spacing w:line="240" w:lineRule="auto"/>
              <w:jc w:val="right"/>
              <w:rPr>
                <w:rFonts w:eastAsia="Times New Roman"/>
                <w:color w:val="000000"/>
                <w:sz w:val="22"/>
                <w:szCs w:val="22"/>
                <w:lang w:eastAsia="en-US"/>
              </w:rPr>
            </w:pPr>
          </w:p>
        </w:tc>
        <w:tc>
          <w:tcPr>
            <w:tcW w:w="1134" w:type="dxa"/>
            <w:shd w:val="clear" w:color="auto" w:fill="auto"/>
            <w:noWrap/>
            <w:vAlign w:val="center"/>
            <w:hideMark/>
          </w:tcPr>
          <w:p w:rsidR="00255CC4" w:rsidRPr="00FB4440" w:rsidRDefault="00255CC4" w:rsidP="00255CC4">
            <w:pPr>
              <w:spacing w:line="240" w:lineRule="auto"/>
              <w:jc w:val="left"/>
              <w:rPr>
                <w:rFonts w:eastAsia="Times New Roman"/>
                <w:color w:val="000000"/>
                <w:sz w:val="22"/>
                <w:szCs w:val="22"/>
                <w:lang w:eastAsia="en-US"/>
              </w:rPr>
            </w:pPr>
            <w:r w:rsidRPr="00FB4440">
              <w:rPr>
                <w:rFonts w:eastAsia="Times New Roman"/>
                <w:color w:val="000000"/>
                <w:sz w:val="22"/>
                <w:szCs w:val="22"/>
                <w:lang w:eastAsia="en-US"/>
              </w:rPr>
              <w:t>Pilsētās</w:t>
            </w:r>
          </w:p>
        </w:tc>
        <w:tc>
          <w:tcPr>
            <w:tcW w:w="1417" w:type="dxa"/>
            <w:shd w:val="clear" w:color="auto" w:fill="auto"/>
            <w:noWrap/>
            <w:vAlign w:val="center"/>
            <w:hideMark/>
          </w:tcPr>
          <w:p w:rsidR="00255CC4" w:rsidRPr="00FB4440" w:rsidRDefault="00255CC4" w:rsidP="00255CC4">
            <w:pPr>
              <w:spacing w:line="240" w:lineRule="auto"/>
              <w:jc w:val="center"/>
              <w:rPr>
                <w:rFonts w:eastAsia="Times New Roman"/>
                <w:color w:val="000000"/>
                <w:sz w:val="22"/>
                <w:szCs w:val="22"/>
                <w:lang w:eastAsia="en-US"/>
              </w:rPr>
            </w:pPr>
            <w:r w:rsidRPr="00FB4440">
              <w:rPr>
                <w:rFonts w:eastAsia="Times New Roman"/>
                <w:color w:val="000000"/>
                <w:sz w:val="22"/>
                <w:szCs w:val="22"/>
                <w:lang w:eastAsia="en-US"/>
              </w:rPr>
              <w:t>6</w:t>
            </w:r>
            <w:r w:rsidR="00685CD2">
              <w:rPr>
                <w:rFonts w:eastAsia="Times New Roman"/>
                <w:color w:val="000000"/>
                <w:sz w:val="22"/>
                <w:szCs w:val="22"/>
                <w:lang w:eastAsia="en-US"/>
              </w:rPr>
              <w:t xml:space="preserve"> </w:t>
            </w:r>
            <w:r w:rsidRPr="00FB4440">
              <w:rPr>
                <w:rFonts w:eastAsia="Times New Roman"/>
                <w:color w:val="000000"/>
                <w:sz w:val="22"/>
                <w:szCs w:val="22"/>
                <w:lang w:eastAsia="en-US"/>
              </w:rPr>
              <w:t>068</w:t>
            </w:r>
          </w:p>
        </w:tc>
        <w:tc>
          <w:tcPr>
            <w:tcW w:w="1460" w:type="dxa"/>
            <w:shd w:val="clear" w:color="auto" w:fill="auto"/>
            <w:noWrap/>
            <w:vAlign w:val="center"/>
            <w:hideMark/>
          </w:tcPr>
          <w:p w:rsidR="00255CC4" w:rsidRPr="00FB4440" w:rsidRDefault="00255CC4" w:rsidP="00255CC4">
            <w:pPr>
              <w:spacing w:line="240" w:lineRule="auto"/>
              <w:jc w:val="center"/>
              <w:rPr>
                <w:rFonts w:eastAsia="Times New Roman"/>
                <w:color w:val="000000"/>
                <w:sz w:val="22"/>
                <w:szCs w:val="22"/>
                <w:lang w:eastAsia="en-US"/>
              </w:rPr>
            </w:pPr>
            <w:r w:rsidRPr="00FB4440">
              <w:rPr>
                <w:rFonts w:eastAsia="Times New Roman"/>
                <w:color w:val="000000"/>
                <w:sz w:val="22"/>
                <w:szCs w:val="22"/>
                <w:lang w:eastAsia="en-US"/>
              </w:rPr>
              <w:t>30,1</w:t>
            </w:r>
          </w:p>
        </w:tc>
        <w:tc>
          <w:tcPr>
            <w:tcW w:w="1824" w:type="dxa"/>
            <w:shd w:val="clear" w:color="auto" w:fill="auto"/>
            <w:noWrap/>
            <w:vAlign w:val="center"/>
            <w:hideMark/>
          </w:tcPr>
          <w:p w:rsidR="00255CC4" w:rsidRPr="00FB4440" w:rsidRDefault="00255CC4" w:rsidP="00255CC4">
            <w:pPr>
              <w:spacing w:line="240" w:lineRule="auto"/>
              <w:jc w:val="center"/>
              <w:rPr>
                <w:rFonts w:eastAsia="Times New Roman"/>
                <w:color w:val="000000"/>
                <w:sz w:val="22"/>
                <w:szCs w:val="22"/>
                <w:lang w:eastAsia="en-US"/>
              </w:rPr>
            </w:pPr>
            <w:r w:rsidRPr="00FB4440">
              <w:rPr>
                <w:rFonts w:eastAsia="Times New Roman"/>
                <w:color w:val="000000"/>
                <w:sz w:val="22"/>
                <w:szCs w:val="22"/>
                <w:lang w:eastAsia="en-US"/>
              </w:rPr>
              <w:t>17</w:t>
            </w:r>
            <w:r w:rsidR="00685CD2">
              <w:rPr>
                <w:rFonts w:eastAsia="Times New Roman"/>
                <w:color w:val="000000"/>
                <w:sz w:val="22"/>
                <w:szCs w:val="22"/>
                <w:lang w:eastAsia="en-US"/>
              </w:rPr>
              <w:t xml:space="preserve"> </w:t>
            </w:r>
            <w:r w:rsidRPr="00FB4440">
              <w:rPr>
                <w:rFonts w:eastAsia="Times New Roman"/>
                <w:color w:val="000000"/>
                <w:sz w:val="22"/>
                <w:szCs w:val="22"/>
                <w:lang w:eastAsia="en-US"/>
              </w:rPr>
              <w:t>346</w:t>
            </w:r>
          </w:p>
        </w:tc>
        <w:tc>
          <w:tcPr>
            <w:tcW w:w="1307" w:type="dxa"/>
            <w:shd w:val="clear" w:color="auto" w:fill="auto"/>
            <w:noWrap/>
            <w:vAlign w:val="center"/>
            <w:hideMark/>
          </w:tcPr>
          <w:p w:rsidR="00255CC4" w:rsidRPr="00FB4440" w:rsidRDefault="00255CC4" w:rsidP="00255CC4">
            <w:pPr>
              <w:spacing w:line="240" w:lineRule="auto"/>
              <w:jc w:val="center"/>
              <w:rPr>
                <w:rFonts w:eastAsia="Times New Roman"/>
                <w:color w:val="000000"/>
                <w:sz w:val="22"/>
                <w:szCs w:val="22"/>
                <w:lang w:eastAsia="en-US"/>
              </w:rPr>
            </w:pPr>
            <w:r w:rsidRPr="00FB4440">
              <w:rPr>
                <w:rFonts w:eastAsia="Times New Roman"/>
                <w:color w:val="000000"/>
                <w:sz w:val="22"/>
                <w:szCs w:val="22"/>
                <w:lang w:eastAsia="en-US"/>
              </w:rPr>
              <w:t>35,7</w:t>
            </w:r>
          </w:p>
        </w:tc>
        <w:tc>
          <w:tcPr>
            <w:tcW w:w="1788" w:type="dxa"/>
            <w:shd w:val="clear" w:color="auto" w:fill="auto"/>
            <w:noWrap/>
            <w:vAlign w:val="center"/>
            <w:hideMark/>
          </w:tcPr>
          <w:p w:rsidR="00255CC4" w:rsidRPr="00FB4440" w:rsidRDefault="00255CC4" w:rsidP="00255CC4">
            <w:pPr>
              <w:spacing w:line="240" w:lineRule="auto"/>
              <w:jc w:val="center"/>
              <w:rPr>
                <w:rFonts w:eastAsia="Times New Roman"/>
                <w:color w:val="000000"/>
                <w:sz w:val="22"/>
                <w:szCs w:val="22"/>
                <w:lang w:eastAsia="en-US"/>
              </w:rPr>
            </w:pPr>
            <w:r w:rsidRPr="00FB4440">
              <w:rPr>
                <w:rFonts w:eastAsia="Times New Roman"/>
                <w:color w:val="000000"/>
                <w:sz w:val="22"/>
                <w:szCs w:val="22"/>
                <w:lang w:eastAsia="en-US"/>
              </w:rPr>
              <w:t>23</w:t>
            </w:r>
            <w:r w:rsidR="00685CD2">
              <w:rPr>
                <w:rFonts w:eastAsia="Times New Roman"/>
                <w:color w:val="000000"/>
                <w:sz w:val="22"/>
                <w:szCs w:val="22"/>
                <w:lang w:eastAsia="en-US"/>
              </w:rPr>
              <w:t xml:space="preserve"> </w:t>
            </w:r>
            <w:r w:rsidRPr="00FB4440">
              <w:rPr>
                <w:rFonts w:eastAsia="Times New Roman"/>
                <w:color w:val="000000"/>
                <w:sz w:val="22"/>
                <w:szCs w:val="22"/>
                <w:lang w:eastAsia="en-US"/>
              </w:rPr>
              <w:t>414</w:t>
            </w:r>
          </w:p>
        </w:tc>
      </w:tr>
      <w:tr w:rsidR="00255CC4" w:rsidRPr="00FB4440" w:rsidTr="00255CC4">
        <w:trPr>
          <w:trHeight w:val="300"/>
        </w:trPr>
        <w:tc>
          <w:tcPr>
            <w:tcW w:w="851" w:type="dxa"/>
            <w:vMerge/>
            <w:shd w:val="clear" w:color="auto" w:fill="auto"/>
            <w:noWrap/>
            <w:vAlign w:val="center"/>
            <w:hideMark/>
          </w:tcPr>
          <w:p w:rsidR="00255CC4" w:rsidRPr="00FB4440" w:rsidRDefault="00255CC4" w:rsidP="00255CC4">
            <w:pPr>
              <w:spacing w:line="240" w:lineRule="auto"/>
              <w:jc w:val="right"/>
              <w:rPr>
                <w:rFonts w:eastAsia="Times New Roman"/>
                <w:color w:val="000000"/>
                <w:sz w:val="22"/>
                <w:szCs w:val="22"/>
                <w:lang w:eastAsia="en-US"/>
              </w:rPr>
            </w:pPr>
          </w:p>
        </w:tc>
        <w:tc>
          <w:tcPr>
            <w:tcW w:w="1134" w:type="dxa"/>
            <w:shd w:val="clear" w:color="auto" w:fill="auto"/>
            <w:noWrap/>
            <w:vAlign w:val="center"/>
            <w:hideMark/>
          </w:tcPr>
          <w:p w:rsidR="00255CC4" w:rsidRPr="00FB4440" w:rsidRDefault="00255CC4" w:rsidP="00255CC4">
            <w:pPr>
              <w:spacing w:line="240" w:lineRule="auto"/>
              <w:jc w:val="left"/>
              <w:rPr>
                <w:rFonts w:eastAsia="Times New Roman"/>
                <w:color w:val="000000"/>
                <w:sz w:val="22"/>
                <w:szCs w:val="22"/>
                <w:lang w:eastAsia="en-US"/>
              </w:rPr>
            </w:pPr>
            <w:r w:rsidRPr="00FB4440">
              <w:rPr>
                <w:rFonts w:eastAsia="Times New Roman"/>
                <w:color w:val="000000"/>
                <w:sz w:val="22"/>
                <w:szCs w:val="22"/>
                <w:lang w:eastAsia="en-US"/>
              </w:rPr>
              <w:t>Novados</w:t>
            </w:r>
          </w:p>
        </w:tc>
        <w:tc>
          <w:tcPr>
            <w:tcW w:w="1417" w:type="dxa"/>
            <w:shd w:val="clear" w:color="auto" w:fill="auto"/>
            <w:noWrap/>
            <w:vAlign w:val="center"/>
            <w:hideMark/>
          </w:tcPr>
          <w:p w:rsidR="00255CC4" w:rsidRPr="00FB4440" w:rsidRDefault="00255CC4" w:rsidP="00255CC4">
            <w:pPr>
              <w:spacing w:line="240" w:lineRule="auto"/>
              <w:jc w:val="center"/>
              <w:rPr>
                <w:rFonts w:eastAsia="Times New Roman"/>
                <w:color w:val="000000"/>
                <w:sz w:val="22"/>
                <w:szCs w:val="22"/>
                <w:lang w:eastAsia="en-US"/>
              </w:rPr>
            </w:pPr>
            <w:r w:rsidRPr="00FB4440">
              <w:rPr>
                <w:rFonts w:eastAsia="Times New Roman"/>
                <w:color w:val="000000"/>
                <w:sz w:val="22"/>
                <w:szCs w:val="22"/>
                <w:lang w:eastAsia="en-US"/>
              </w:rPr>
              <w:t>14</w:t>
            </w:r>
            <w:r w:rsidR="00685CD2">
              <w:rPr>
                <w:rFonts w:eastAsia="Times New Roman"/>
                <w:color w:val="000000"/>
                <w:sz w:val="22"/>
                <w:szCs w:val="22"/>
                <w:lang w:eastAsia="en-US"/>
              </w:rPr>
              <w:t xml:space="preserve"> </w:t>
            </w:r>
            <w:r w:rsidRPr="00FB4440">
              <w:rPr>
                <w:rFonts w:eastAsia="Times New Roman"/>
                <w:color w:val="000000"/>
                <w:sz w:val="22"/>
                <w:szCs w:val="22"/>
                <w:lang w:eastAsia="en-US"/>
              </w:rPr>
              <w:t>114</w:t>
            </w:r>
          </w:p>
        </w:tc>
        <w:tc>
          <w:tcPr>
            <w:tcW w:w="1460" w:type="dxa"/>
            <w:shd w:val="clear" w:color="auto" w:fill="auto"/>
            <w:noWrap/>
            <w:vAlign w:val="center"/>
            <w:hideMark/>
          </w:tcPr>
          <w:p w:rsidR="00255CC4" w:rsidRPr="00FB4440" w:rsidRDefault="00255CC4" w:rsidP="00255CC4">
            <w:pPr>
              <w:spacing w:line="240" w:lineRule="auto"/>
              <w:jc w:val="center"/>
              <w:rPr>
                <w:rFonts w:eastAsia="Times New Roman"/>
                <w:color w:val="000000"/>
                <w:sz w:val="22"/>
                <w:szCs w:val="22"/>
                <w:lang w:eastAsia="en-US"/>
              </w:rPr>
            </w:pPr>
            <w:r w:rsidRPr="00FB4440">
              <w:rPr>
                <w:rFonts w:eastAsia="Times New Roman"/>
                <w:color w:val="000000"/>
                <w:sz w:val="22"/>
                <w:szCs w:val="22"/>
                <w:lang w:eastAsia="en-US"/>
              </w:rPr>
              <w:t>69,9</w:t>
            </w:r>
          </w:p>
        </w:tc>
        <w:tc>
          <w:tcPr>
            <w:tcW w:w="1824" w:type="dxa"/>
            <w:shd w:val="clear" w:color="auto" w:fill="auto"/>
            <w:noWrap/>
            <w:vAlign w:val="center"/>
            <w:hideMark/>
          </w:tcPr>
          <w:p w:rsidR="00255CC4" w:rsidRPr="00FB4440" w:rsidRDefault="00255CC4" w:rsidP="00255CC4">
            <w:pPr>
              <w:spacing w:line="240" w:lineRule="auto"/>
              <w:jc w:val="center"/>
              <w:rPr>
                <w:rFonts w:eastAsia="Times New Roman"/>
                <w:color w:val="000000"/>
                <w:sz w:val="22"/>
                <w:szCs w:val="22"/>
                <w:lang w:eastAsia="en-US"/>
              </w:rPr>
            </w:pPr>
            <w:r w:rsidRPr="00FB4440">
              <w:rPr>
                <w:rFonts w:eastAsia="Times New Roman"/>
                <w:color w:val="000000"/>
                <w:sz w:val="22"/>
                <w:szCs w:val="22"/>
                <w:lang w:eastAsia="en-US"/>
              </w:rPr>
              <w:t>31</w:t>
            </w:r>
            <w:r w:rsidR="00685CD2">
              <w:rPr>
                <w:rFonts w:eastAsia="Times New Roman"/>
                <w:color w:val="000000"/>
                <w:sz w:val="22"/>
                <w:szCs w:val="22"/>
                <w:lang w:eastAsia="en-US"/>
              </w:rPr>
              <w:t xml:space="preserve"> </w:t>
            </w:r>
            <w:r w:rsidRPr="00FB4440">
              <w:rPr>
                <w:rFonts w:eastAsia="Times New Roman"/>
                <w:color w:val="000000"/>
                <w:sz w:val="22"/>
                <w:szCs w:val="22"/>
                <w:lang w:eastAsia="en-US"/>
              </w:rPr>
              <w:t>288</w:t>
            </w:r>
          </w:p>
        </w:tc>
        <w:tc>
          <w:tcPr>
            <w:tcW w:w="1307" w:type="dxa"/>
            <w:shd w:val="clear" w:color="auto" w:fill="auto"/>
            <w:noWrap/>
            <w:vAlign w:val="center"/>
            <w:hideMark/>
          </w:tcPr>
          <w:p w:rsidR="00255CC4" w:rsidRPr="00FB4440" w:rsidRDefault="00255CC4" w:rsidP="00255CC4">
            <w:pPr>
              <w:spacing w:line="240" w:lineRule="auto"/>
              <w:jc w:val="center"/>
              <w:rPr>
                <w:rFonts w:eastAsia="Times New Roman"/>
                <w:color w:val="000000"/>
                <w:sz w:val="22"/>
                <w:szCs w:val="22"/>
                <w:lang w:eastAsia="en-US"/>
              </w:rPr>
            </w:pPr>
            <w:r w:rsidRPr="00FB4440">
              <w:rPr>
                <w:rFonts w:eastAsia="Times New Roman"/>
                <w:color w:val="000000"/>
                <w:sz w:val="22"/>
                <w:szCs w:val="22"/>
                <w:lang w:eastAsia="en-US"/>
              </w:rPr>
              <w:t>64,3</w:t>
            </w:r>
          </w:p>
        </w:tc>
        <w:tc>
          <w:tcPr>
            <w:tcW w:w="1788" w:type="dxa"/>
            <w:shd w:val="clear" w:color="auto" w:fill="auto"/>
            <w:noWrap/>
            <w:vAlign w:val="center"/>
            <w:hideMark/>
          </w:tcPr>
          <w:p w:rsidR="00255CC4" w:rsidRPr="00FB4440" w:rsidRDefault="00255CC4" w:rsidP="00255CC4">
            <w:pPr>
              <w:spacing w:line="240" w:lineRule="auto"/>
              <w:jc w:val="center"/>
              <w:rPr>
                <w:rFonts w:eastAsia="Times New Roman"/>
                <w:color w:val="000000"/>
                <w:sz w:val="22"/>
                <w:szCs w:val="22"/>
                <w:lang w:eastAsia="en-US"/>
              </w:rPr>
            </w:pPr>
            <w:r w:rsidRPr="00FB4440">
              <w:rPr>
                <w:rFonts w:eastAsia="Times New Roman"/>
                <w:color w:val="000000"/>
                <w:sz w:val="22"/>
                <w:szCs w:val="22"/>
                <w:lang w:eastAsia="en-US"/>
              </w:rPr>
              <w:t>45</w:t>
            </w:r>
            <w:r w:rsidR="00685CD2">
              <w:rPr>
                <w:rFonts w:eastAsia="Times New Roman"/>
                <w:color w:val="000000"/>
                <w:sz w:val="22"/>
                <w:szCs w:val="22"/>
                <w:lang w:eastAsia="en-US"/>
              </w:rPr>
              <w:t xml:space="preserve"> </w:t>
            </w:r>
            <w:r w:rsidRPr="00FB4440">
              <w:rPr>
                <w:rFonts w:eastAsia="Times New Roman"/>
                <w:color w:val="000000"/>
                <w:sz w:val="22"/>
                <w:szCs w:val="22"/>
                <w:lang w:eastAsia="en-US"/>
              </w:rPr>
              <w:t>402</w:t>
            </w:r>
          </w:p>
        </w:tc>
      </w:tr>
    </w:tbl>
    <w:p w:rsidR="00255CC4" w:rsidRDefault="00255CC4" w:rsidP="00255CC4">
      <w:pPr>
        <w:spacing w:line="240" w:lineRule="auto"/>
        <w:rPr>
          <w:rFonts w:eastAsia="Times New Roman"/>
          <w:sz w:val="20"/>
          <w:szCs w:val="20"/>
        </w:rPr>
      </w:pPr>
      <w:r w:rsidRPr="004E69B2">
        <w:rPr>
          <w:sz w:val="20"/>
          <w:szCs w:val="20"/>
        </w:rPr>
        <w:t xml:space="preserve">Avots: LM, </w:t>
      </w:r>
      <w:r w:rsidRPr="004E69B2">
        <w:rPr>
          <w:bCs/>
          <w:sz w:val="20"/>
          <w:szCs w:val="20"/>
        </w:rPr>
        <w:t xml:space="preserve">Oficiālā statistika sociālo pakalpojumu un sociālās palīdzības jomā. </w:t>
      </w:r>
      <w:r w:rsidRPr="004E69B2">
        <w:rPr>
          <w:rFonts w:eastAsia="Times New Roman"/>
          <w:sz w:val="20"/>
          <w:szCs w:val="20"/>
        </w:rPr>
        <w:t> Ienākumu testēto pašvaldības sociālās palīdzības pabalstu saņēmēju raksturojums pēc ienākumu līmeņa uz vienu ģimenes locekli mēnesī</w:t>
      </w:r>
      <w:r>
        <w:rPr>
          <w:rFonts w:eastAsia="Times New Roman"/>
          <w:sz w:val="20"/>
          <w:szCs w:val="20"/>
        </w:rPr>
        <w:t xml:space="preserve">. </w:t>
      </w:r>
    </w:p>
    <w:p w:rsidR="00255CC4" w:rsidRDefault="00255CC4" w:rsidP="00255CC4">
      <w:pPr>
        <w:rPr>
          <w:rFonts w:eastAsia="Times New Roman"/>
        </w:rPr>
      </w:pPr>
    </w:p>
    <w:p w:rsidR="008C60A0" w:rsidRDefault="008C60A0" w:rsidP="008C60A0">
      <w:pPr>
        <w:rPr>
          <w:rFonts w:eastAsia="Times New Roman"/>
        </w:rPr>
      </w:pPr>
      <w:r>
        <w:rPr>
          <w:rFonts w:eastAsia="Times New Roman"/>
        </w:rPr>
        <w:t>Vidējais GMI pabalsta saņemšanas ilgums mēnešos ir samērā stabils – 5,05 mēneši 2014. gadā, 5,15 – 2015. gadā un 5,03 mēneši 2016. gadā. Novadu pašvaldībās tas ir nedaudz mazāks nekā pilsētās, attiecīgi 2014.gadā GMI pabalsts vidēji tika izmaksāts 5 mēnešu periodā, 2015. gadā – 5,11 mēnešus, 2016. gadā – 4,96 mēnešus. Pilsētu pašvaldībās šis rādītājs ir attiecīgi 5,63, 5,58 un 5,88 mēneši.</w:t>
      </w:r>
    </w:p>
    <w:p w:rsidR="00761553" w:rsidRDefault="00761553" w:rsidP="008C60A0">
      <w:pPr>
        <w:rPr>
          <w:rFonts w:eastAsia="Times New Roman"/>
        </w:rPr>
      </w:pPr>
    </w:p>
    <w:p w:rsidR="00255CC4" w:rsidRDefault="00A02780" w:rsidP="00255CC4">
      <w:pPr>
        <w:rPr>
          <w:rFonts w:eastAsia="Times New Roman"/>
        </w:rPr>
      </w:pPr>
      <w:r>
        <w:rPr>
          <w:rFonts w:eastAsia="Times New Roman"/>
        </w:rPr>
        <w:t>1.3</w:t>
      </w:r>
      <w:r w:rsidR="00761553">
        <w:rPr>
          <w:rFonts w:eastAsia="Times New Roman"/>
        </w:rPr>
        <w:t>5</w:t>
      </w:r>
      <w:r w:rsidR="00255CC4">
        <w:rPr>
          <w:rFonts w:eastAsia="Times New Roman"/>
        </w:rPr>
        <w:t>. tabulā un</w:t>
      </w:r>
      <w:r w:rsidR="008C6B83">
        <w:rPr>
          <w:rFonts w:eastAsia="Times New Roman"/>
        </w:rPr>
        <w:t xml:space="preserve"> </w:t>
      </w:r>
      <w:r>
        <w:rPr>
          <w:rFonts w:eastAsia="Times New Roman"/>
        </w:rPr>
        <w:t>1.1</w:t>
      </w:r>
      <w:r w:rsidR="00082335">
        <w:rPr>
          <w:rFonts w:eastAsia="Times New Roman"/>
        </w:rPr>
        <w:t>9</w:t>
      </w:r>
      <w:r w:rsidR="00255CC4">
        <w:rPr>
          <w:rFonts w:eastAsia="Times New Roman"/>
        </w:rPr>
        <w:t xml:space="preserve">. attēlā ir apkopoti dati par trūcīgo personu skaitu sadalījumā divās grupās – personas, kuru ienākumi ir līdz valsts noteiktajam GMI līmenim, un personas, kuru ienākumi ir virs valsts noteiktā GMI līmeņa līdz trūcīgās personas statusam. </w:t>
      </w:r>
    </w:p>
    <w:p w:rsidR="00255CC4" w:rsidRPr="00876861" w:rsidRDefault="00D32767" w:rsidP="002809B6">
      <w:pPr>
        <w:spacing w:before="240" w:after="120"/>
        <w:jc w:val="left"/>
        <w:rPr>
          <w:b/>
          <w:color w:val="002060"/>
        </w:rPr>
      </w:pPr>
      <w:bookmarkStart w:id="280" w:name="_Toc6855772"/>
      <w:r>
        <w:rPr>
          <w:b/>
          <w:color w:val="002060"/>
        </w:rPr>
        <w:lastRenderedPageBreak/>
        <w:t xml:space="preserve">1.19. attēls. </w:t>
      </w:r>
      <w:r w:rsidR="00255CC4" w:rsidRPr="00876861">
        <w:rPr>
          <w:b/>
          <w:color w:val="002060"/>
        </w:rPr>
        <w:t>Ienākumu testēto pašvaldības sociālās palīdzības pabalstu saņēmēju raksturojums pēc ienākumu līmeņa uz vienu ģimenes locekli mēnesī (2014-2016, %)</w:t>
      </w:r>
      <w:bookmarkEnd w:id="280"/>
    </w:p>
    <w:p w:rsidR="00255CC4" w:rsidRPr="00E83AF4" w:rsidRDefault="00255CC4" w:rsidP="00255CC4">
      <w:pPr>
        <w:rPr>
          <w:rFonts w:eastAsia="Times New Roman"/>
        </w:rPr>
      </w:pPr>
      <w:r w:rsidRPr="00000E34">
        <w:rPr>
          <w:noProof/>
        </w:rPr>
        <w:drawing>
          <wp:inline distT="0" distB="0" distL="0" distR="0">
            <wp:extent cx="6188710" cy="3633817"/>
            <wp:effectExtent l="19050" t="0" r="2540" b="0"/>
            <wp:docPr id="10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srcRect/>
                    <a:stretch>
                      <a:fillRect/>
                    </a:stretch>
                  </pic:blipFill>
                  <pic:spPr bwMode="auto">
                    <a:xfrm>
                      <a:off x="0" y="0"/>
                      <a:ext cx="6188710" cy="3633817"/>
                    </a:xfrm>
                    <a:prstGeom prst="rect">
                      <a:avLst/>
                    </a:prstGeom>
                    <a:noFill/>
                    <a:ln w="9525">
                      <a:noFill/>
                      <a:miter lim="800000"/>
                      <a:headEnd/>
                      <a:tailEnd/>
                    </a:ln>
                  </pic:spPr>
                </pic:pic>
              </a:graphicData>
            </a:graphic>
          </wp:inline>
        </w:drawing>
      </w:r>
    </w:p>
    <w:p w:rsidR="00255CC4" w:rsidRDefault="00255CC4" w:rsidP="00255CC4">
      <w:pPr>
        <w:spacing w:line="240" w:lineRule="auto"/>
        <w:rPr>
          <w:rFonts w:eastAsia="Times New Roman"/>
          <w:sz w:val="20"/>
          <w:szCs w:val="20"/>
        </w:rPr>
      </w:pPr>
      <w:r w:rsidRPr="004E69B2">
        <w:rPr>
          <w:sz w:val="20"/>
          <w:szCs w:val="20"/>
        </w:rPr>
        <w:t xml:space="preserve">Avots: LM, </w:t>
      </w:r>
      <w:r w:rsidRPr="004E69B2">
        <w:rPr>
          <w:bCs/>
          <w:sz w:val="20"/>
          <w:szCs w:val="20"/>
        </w:rPr>
        <w:t xml:space="preserve">Oficiālā statistika sociālo pakalpojumu un sociālās palīdzības jomā. </w:t>
      </w:r>
      <w:r w:rsidRPr="004E69B2">
        <w:rPr>
          <w:rFonts w:eastAsia="Times New Roman"/>
          <w:sz w:val="20"/>
          <w:szCs w:val="20"/>
        </w:rPr>
        <w:t> Ienākumu testēto pašvaldības sociālās palīdzības pabalstu saņēmēju raksturojums pēc ienākumu līmeņa uz vienu ģimenes locekli mēnesī</w:t>
      </w:r>
      <w:r>
        <w:rPr>
          <w:rFonts w:eastAsia="Times New Roman"/>
          <w:sz w:val="20"/>
          <w:szCs w:val="20"/>
        </w:rPr>
        <w:t xml:space="preserve">. </w:t>
      </w:r>
    </w:p>
    <w:p w:rsidR="00255CC4" w:rsidRDefault="00255CC4" w:rsidP="00255CC4">
      <w:pPr>
        <w:rPr>
          <w:rFonts w:eastAsia="Times New Roman"/>
          <w:sz w:val="20"/>
          <w:szCs w:val="20"/>
        </w:rPr>
      </w:pPr>
    </w:p>
    <w:p w:rsidR="00764353" w:rsidRDefault="00255CC4" w:rsidP="00255CC4">
      <w:r w:rsidRPr="004F56CB">
        <w:t>Kopējā tendence ir samērā stabila – apmēram viena</w:t>
      </w:r>
      <w:r w:rsidR="00045450">
        <w:t>i</w:t>
      </w:r>
      <w:r w:rsidRPr="004F56CB">
        <w:t xml:space="preserve"> trešā</w:t>
      </w:r>
      <w:r w:rsidR="00045450">
        <w:t>i</w:t>
      </w:r>
      <w:r w:rsidRPr="004F56CB">
        <w:t xml:space="preserve"> daļa</w:t>
      </w:r>
      <w:r w:rsidR="00045450">
        <w:t>i</w:t>
      </w:r>
      <w:r w:rsidRPr="004F56CB">
        <w:t xml:space="preserve"> trūcīgo personu ienākumi ir līdz GMI līmenim, bet divām trešdaļām tie ir virs GMI līmeņa, nepārsniedzot trūcīgas personas ienākumu līmeni. Nozīmīgas atšķirības starp šīm abām grupām nav novērojamas </w:t>
      </w:r>
      <w:r w:rsidR="00685CD2">
        <w:t xml:space="preserve">lielo </w:t>
      </w:r>
      <w:r w:rsidRPr="004F56CB">
        <w:t xml:space="preserve">pilsētu un novadu pašvaldību starpā, lai gan pilsētu pašvaldībās pakāpeniski sarūk trūcīgo personu īpatsvars, kuru ienākumi ir līdz valsts noteiktajam GMI līmenim, kas izvērtējuma periodā ir 49,80 EUR. Samazinājuma tendence šajā rādītājā ir arī novadu pašvaldībās, attiecīgi pieaugot to trūcīgo personu īpatsvaram, kuru ienākumi ir robežās no 49,80 EUR līdz 128,06 EUR pirms sociālo transfertu </w:t>
      </w:r>
      <w:r w:rsidR="00764353">
        <w:t>(sk. jēdzienu u</w:t>
      </w:r>
      <w:r w:rsidR="00685CD2">
        <w:t xml:space="preserve">n terminu skaidrojumu) </w:t>
      </w:r>
      <w:r w:rsidRPr="004F56CB">
        <w:t>saņemšanas, kas netiek iekļauti personas ienākuma līmeņa noteikšanas aprēķinos.</w:t>
      </w:r>
    </w:p>
    <w:p w:rsidR="00764353" w:rsidRDefault="00764353" w:rsidP="00255CC4"/>
    <w:p w:rsidR="00255CC4" w:rsidRDefault="00764353" w:rsidP="00255CC4">
      <w:r>
        <w:t xml:space="preserve">GMI līmeņa paaugstināšana ir viens no aspektiem, kuram politikas veidotājiem būtu jāpievērš uzmanība. Saskaņā ar </w:t>
      </w:r>
      <w:r w:rsidR="003D0FFA" w:rsidRPr="00A33088">
        <w:t>Koncepcij</w:t>
      </w:r>
      <w:r w:rsidR="003D0FFA">
        <w:t>u</w:t>
      </w:r>
      <w:r w:rsidR="003D0FFA" w:rsidRPr="00A33088">
        <w:t xml:space="preserve"> „Par minimālā ienākuma līmeņa</w:t>
      </w:r>
      <w:r w:rsidR="003D0FFA">
        <w:t xml:space="preserve"> noteikšanu” tika plānots ar 2019. gada 1. janvāri paaugstināt GMI pabalsta </w:t>
      </w:r>
      <w:r w:rsidR="003D0FFA" w:rsidRPr="003D0FFA">
        <w:t xml:space="preserve">līmeni no 50 </w:t>
      </w:r>
      <w:r w:rsidR="00C548CE">
        <w:t>EUR</w:t>
      </w:r>
      <w:r w:rsidR="003D0FFA" w:rsidRPr="003D0FFA">
        <w:t xml:space="preserve"> līdz 129 </w:t>
      </w:r>
      <w:r w:rsidR="00C548CE">
        <w:t>EUR</w:t>
      </w:r>
      <w:r w:rsidR="003D0FFA" w:rsidRPr="003D0FFA">
        <w:t xml:space="preserve"> pirmajai personai mājsaimniecībā un pārējiem piemērojot attiecīgās ekvivalences skalas</w:t>
      </w:r>
      <w:r w:rsidR="003D0FFA">
        <w:rPr>
          <w:rStyle w:val="FootnoteReference"/>
        </w:rPr>
        <w:footnoteReference w:id="114"/>
      </w:r>
      <w:r w:rsidR="003D0FFA">
        <w:t>. Kā liecina A.P</w:t>
      </w:r>
      <w:r w:rsidR="00E8603F">
        <w:t>ļ</w:t>
      </w:r>
      <w:r w:rsidR="003D0FFA">
        <w:t xml:space="preserve">utas un A.Zasovas veiktie provizoriskie aprēķini, izmantojot mikrosimulācijas modeli EUROMOD un EU-SILC 2015 datus, GMI līmeņa paaugstināšana ir labi mērķēts politikas pasākums visnabadzīgāko mājsaimniecību situācijas uzlabošanai, turklāt tam ir sagaidāms labvēlīgs efekts uz ienākumu nevienlīdzības samazināšanos – īstenojot šo reformu 2019. gadā, sagaidāms, ka Džini koeficients </w:t>
      </w:r>
      <w:r w:rsidR="00C548CE">
        <w:lastRenderedPageBreak/>
        <w:t>būtu par 0,14 procent</w:t>
      </w:r>
      <w:r w:rsidR="003D0FFA">
        <w:t>pun</w:t>
      </w:r>
      <w:r w:rsidR="00C548CE">
        <w:t>k</w:t>
      </w:r>
      <w:r w:rsidR="003D0FFA">
        <w:t>tiem zemāks nekā gadījumā, ja reforma netiktu īstenota</w:t>
      </w:r>
      <w:r w:rsidR="003D0FFA">
        <w:rPr>
          <w:rStyle w:val="FootnoteReference"/>
        </w:rPr>
        <w:footnoteReference w:id="115"/>
      </w:r>
      <w:r w:rsidR="00DC4E76">
        <w:t>, kas ir viens no lielākajiem sagaidāmajiem efektiem, attiecīgās simulācijas ietvaros izvērtējot pēdējos gados plānotās/ īstenotās politikas iniciatīvas nabadzības un sociālās atstumtības, un ienākumu nevienlīdzības jomā.</w:t>
      </w:r>
    </w:p>
    <w:p w:rsidR="00255CC4" w:rsidRDefault="00255CC4" w:rsidP="00C33A64">
      <w:pPr>
        <w:pStyle w:val="virsrakstslvl4"/>
      </w:pPr>
      <w:bookmarkStart w:id="281" w:name="_Toc6841548"/>
      <w:r>
        <w:t>Dzīvokļa pabalsta saņēmēji</w:t>
      </w:r>
      <w:bookmarkEnd w:id="281"/>
    </w:p>
    <w:p w:rsidR="00255CC4" w:rsidRDefault="00255CC4" w:rsidP="00255CC4">
      <w:pPr>
        <w:pStyle w:val="virsrakstslvl4"/>
        <w:spacing w:before="0" w:after="0"/>
        <w:rPr>
          <w:rFonts w:ascii="Times New Roman" w:eastAsia="Calibri" w:hAnsi="Times New Roman" w:cs="Times New Roman"/>
          <w:b w:val="0"/>
          <w:bCs w:val="0"/>
          <w:i w:val="0"/>
          <w:iCs w:val="0"/>
          <w:color w:val="auto"/>
        </w:rPr>
      </w:pPr>
      <w:r>
        <w:rPr>
          <w:rFonts w:ascii="Times New Roman" w:eastAsia="Calibri" w:hAnsi="Times New Roman" w:cs="Times New Roman"/>
          <w:b w:val="0"/>
          <w:bCs w:val="0"/>
          <w:i w:val="0"/>
          <w:iCs w:val="0"/>
          <w:color w:val="auto"/>
        </w:rPr>
        <w:t xml:space="preserve">Dzīvokļa pabalstu ir tiesīgas saņemt trūcīgas vai maznodrošinātas personas. Tā apmērs un piešķiršanas kritēriji ir ļoti atšķirīgi pašvaldībās (izvērstu analīzi par pašvaldību palīdzību dzīvokļa jautājumos sk. 3.2.3. sadaļā). </w:t>
      </w:r>
      <w:r w:rsidRPr="00077066">
        <w:rPr>
          <w:rFonts w:ascii="Times New Roman" w:eastAsia="Calibri" w:hAnsi="Times New Roman" w:cs="Times New Roman"/>
          <w:b w:val="0"/>
          <w:bCs w:val="0"/>
          <w:i w:val="0"/>
          <w:iCs w:val="0"/>
          <w:color w:val="auto"/>
        </w:rPr>
        <w:t xml:space="preserve">Izvērtējuma </w:t>
      </w:r>
      <w:r>
        <w:rPr>
          <w:rFonts w:ascii="Times New Roman" w:eastAsia="Calibri" w:hAnsi="Times New Roman" w:cs="Times New Roman"/>
          <w:b w:val="0"/>
          <w:bCs w:val="0"/>
          <w:i w:val="0"/>
          <w:iCs w:val="0"/>
          <w:color w:val="auto"/>
        </w:rPr>
        <w:t xml:space="preserve">periodā dzīvokļa pabalstu saņēmēju skaits ir sarucis no 133 864 personām 2014. gadā (6,7% no kopējā iedzīvotāju skaita), 113 018 personām 2015. gadā (5,7% no kopējā iedzīvotāju skaita) līdz 100 779 personām 2016. gadā (5,1% no kopējā iedzīvotāju skaita). Kopumā </w:t>
      </w:r>
      <w:r w:rsidRPr="00094816">
        <w:rPr>
          <w:rFonts w:ascii="Times New Roman" w:eastAsia="Calibri" w:hAnsi="Times New Roman" w:cs="Times New Roman"/>
          <w:bCs w:val="0"/>
          <w:i w:val="0"/>
          <w:iCs w:val="0"/>
          <w:color w:val="auto"/>
        </w:rPr>
        <w:t>dzīvokļa pabalsta saņēmēju skaits ir sarucis par 24,7%</w:t>
      </w:r>
      <w:r w:rsidRPr="00094816">
        <w:rPr>
          <w:rFonts w:ascii="Times New Roman" w:eastAsia="Calibri" w:hAnsi="Times New Roman" w:cs="Times New Roman"/>
          <w:b w:val="0"/>
          <w:bCs w:val="0"/>
          <w:i w:val="0"/>
          <w:iCs w:val="0"/>
          <w:color w:val="auto"/>
        </w:rPr>
        <w:t>.</w:t>
      </w:r>
      <w:r>
        <w:rPr>
          <w:rFonts w:ascii="Times New Roman" w:eastAsia="Calibri" w:hAnsi="Times New Roman" w:cs="Times New Roman"/>
          <w:b w:val="0"/>
          <w:bCs w:val="0"/>
          <w:i w:val="0"/>
          <w:iCs w:val="0"/>
          <w:color w:val="auto"/>
        </w:rPr>
        <w:t xml:space="preserve"> </w:t>
      </w:r>
    </w:p>
    <w:p w:rsidR="00255CC4" w:rsidRPr="002809B6" w:rsidRDefault="00AD3EDD" w:rsidP="002809B6">
      <w:pPr>
        <w:spacing w:before="240" w:after="120"/>
        <w:jc w:val="left"/>
        <w:rPr>
          <w:b/>
          <w:color w:val="002060"/>
        </w:rPr>
      </w:pPr>
      <w:r w:rsidRPr="002809B6">
        <w:rPr>
          <w:b/>
          <w:color w:val="002060"/>
        </w:rPr>
        <w:fldChar w:fldCharType="begin"/>
      </w:r>
      <w:r w:rsidR="000F1524" w:rsidRPr="002809B6">
        <w:rPr>
          <w:b/>
          <w:color w:val="002060"/>
        </w:rPr>
        <w:instrText xml:space="preserve"> STYLEREF 1 \s </w:instrText>
      </w:r>
      <w:r w:rsidRPr="002809B6">
        <w:rPr>
          <w:b/>
          <w:color w:val="002060"/>
        </w:rPr>
        <w:fldChar w:fldCharType="separate"/>
      </w:r>
      <w:bookmarkStart w:id="282" w:name="_Toc6855773"/>
      <w:r w:rsidR="00224B50">
        <w:rPr>
          <w:b/>
          <w:noProof/>
          <w:color w:val="002060"/>
        </w:rPr>
        <w:t>1</w:t>
      </w:r>
      <w:r w:rsidRPr="002809B6">
        <w:rPr>
          <w:b/>
          <w:color w:val="002060"/>
        </w:rPr>
        <w:fldChar w:fldCharType="end"/>
      </w:r>
      <w:r w:rsidR="006B5456" w:rsidRPr="002809B6">
        <w:rPr>
          <w:b/>
          <w:color w:val="002060"/>
        </w:rPr>
        <w:t>.</w:t>
      </w:r>
      <w:r w:rsidR="00092F53" w:rsidRPr="002809B6">
        <w:rPr>
          <w:b/>
          <w:color w:val="002060"/>
        </w:rPr>
        <w:t>20</w:t>
      </w:r>
      <w:r w:rsidR="00E57A86">
        <w:rPr>
          <w:b/>
          <w:color w:val="002060"/>
        </w:rPr>
        <w:t xml:space="preserve">. attēls. </w:t>
      </w:r>
      <w:r w:rsidR="00255CC4" w:rsidRPr="002809B6">
        <w:rPr>
          <w:b/>
          <w:color w:val="002060"/>
        </w:rPr>
        <w:t>Ienākumu testētā dzīvokļa pabalsta saņēmēji sadalījumā pa sociāli demogrāfiskajām grupām (2014-2016, skaits)</w:t>
      </w:r>
      <w:bookmarkEnd w:id="282"/>
    </w:p>
    <w:p w:rsidR="00255CC4" w:rsidRDefault="00255CC4" w:rsidP="00255CC4">
      <w:pPr>
        <w:jc w:val="left"/>
        <w:rPr>
          <w:b/>
          <w:bCs/>
          <w:color w:val="244061" w:themeColor="accent1" w:themeShade="80"/>
          <w:szCs w:val="18"/>
        </w:rPr>
      </w:pPr>
      <w:r w:rsidRPr="007B5A50">
        <w:rPr>
          <w:noProof/>
          <w:szCs w:val="18"/>
        </w:rPr>
        <w:drawing>
          <wp:inline distT="0" distB="0" distL="0" distR="0">
            <wp:extent cx="5457825" cy="4276725"/>
            <wp:effectExtent l="19050" t="0" r="9525" b="0"/>
            <wp:docPr id="1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5457825" cy="4276725"/>
                    </a:xfrm>
                    <a:prstGeom prst="rect">
                      <a:avLst/>
                    </a:prstGeom>
                    <a:noFill/>
                    <a:ln w="9525">
                      <a:noFill/>
                      <a:miter lim="800000"/>
                      <a:headEnd/>
                      <a:tailEnd/>
                    </a:ln>
                  </pic:spPr>
                </pic:pic>
              </a:graphicData>
            </a:graphic>
          </wp:inline>
        </w:drawing>
      </w:r>
    </w:p>
    <w:p w:rsidR="00255CC4" w:rsidRPr="00AB7A9E" w:rsidRDefault="00255CC4" w:rsidP="00917E78">
      <w:pPr>
        <w:pStyle w:val="avotiemft10"/>
        <w:rPr>
          <w:rFonts w:eastAsia="Times New Roman"/>
        </w:rPr>
      </w:pPr>
      <w:bookmarkStart w:id="283" w:name="_Toc6841549"/>
      <w:r w:rsidRPr="00AB7A9E">
        <w:t xml:space="preserve">Avots: LM, Oficiālā statistika sociālo pakalpojumu un sociālās palīdzības jomā. </w:t>
      </w:r>
      <w:r w:rsidRPr="00AB7A9E">
        <w:rPr>
          <w:rFonts w:eastAsia="Times New Roman"/>
        </w:rPr>
        <w:t> Dzīvokļa pabalsts.</w:t>
      </w:r>
      <w:bookmarkEnd w:id="283"/>
      <w:r w:rsidRPr="00AB7A9E">
        <w:rPr>
          <w:rFonts w:eastAsia="Times New Roman"/>
        </w:rPr>
        <w:t xml:space="preserve"> </w:t>
      </w:r>
    </w:p>
    <w:p w:rsidR="00A77025" w:rsidRDefault="00A77025" w:rsidP="00255CC4"/>
    <w:p w:rsidR="00255CC4" w:rsidRDefault="007F32AE" w:rsidP="00255CC4">
      <w:r>
        <w:t>1.20</w:t>
      </w:r>
      <w:r w:rsidR="008C60A0" w:rsidRPr="00094816">
        <w:t xml:space="preserve">. attēlā </w:t>
      </w:r>
      <w:r w:rsidR="008C60A0">
        <w:t xml:space="preserve">ir redzams, kā sadalās dzīvokļa pabalsta saņēmēji apakšgrupās absolūtajos skaitļos, savukārt 1.21. attēlā ir redzamas šo grupu īpatsvara izmaiņas dinamikā periodā no 2014. gada līdz </w:t>
      </w:r>
      <w:r w:rsidR="008C60A0">
        <w:lastRenderedPageBreak/>
        <w:t xml:space="preserve">2016. gadam. </w:t>
      </w:r>
      <w:r w:rsidR="00255CC4" w:rsidRPr="00E57921">
        <w:rPr>
          <w:b/>
        </w:rPr>
        <w:t>Lielāko dzīvokļa pabalst</w:t>
      </w:r>
      <w:r w:rsidR="00255CC4">
        <w:rPr>
          <w:b/>
        </w:rPr>
        <w:t>a</w:t>
      </w:r>
      <w:r w:rsidR="00255CC4" w:rsidRPr="00E57921">
        <w:rPr>
          <w:b/>
        </w:rPr>
        <w:t xml:space="preserve"> saņēmēju daļu veido pensijas vecuma personas</w:t>
      </w:r>
      <w:r w:rsidR="00255CC4">
        <w:t xml:space="preserve">, turklāt ar tendenci šim rādītājam palielināties (2014. gadā no visiem dzīvokļa pabalsta saņēmējiem 32,3% bija pensijas vecuma cilvēki, 2016.gadā šīs mērķa grupas īpatsvars pieaug par 5 procentpunktiem, sasniedzot 37,5%). </w:t>
      </w:r>
      <w:r w:rsidR="00255CC4" w:rsidRPr="00E57921">
        <w:rPr>
          <w:b/>
        </w:rPr>
        <w:t>Otra lielākā grupa ir bērni</w:t>
      </w:r>
      <w:r w:rsidR="00255CC4">
        <w:t xml:space="preserve"> – 2014. gadā 23,4%, 2015. gadā – 21,6%, 2016.gadā – 20,1%, kas liecina par kopējo tendenci samazināties šīs mērķa grupas īpatsvaram dzīvokļa pabalsta saņēmēju kopskaitā. </w:t>
      </w:r>
      <w:r w:rsidR="00685CD2">
        <w:t xml:space="preserve">Jāņem vērā, ka bērni ir piesaistīti pieaugušajiem mājsaimniecības locekļiem. </w:t>
      </w:r>
      <w:r w:rsidR="00255CC4">
        <w:t xml:space="preserve">Samazinājums ir vērojams arī bērnu ar invaliditāti grupā. Savukārt pieaugušo personu ar invaliditāti mērķa grupā ir pieaugums par 1,9 procentpunktiem. </w:t>
      </w:r>
      <w:r w:rsidR="00255CC4" w:rsidRPr="00E57921">
        <w:rPr>
          <w:b/>
        </w:rPr>
        <w:t>Trešā lielākā dzīvokļa pabalsta saņēmēju grupa ir nestrādājošas personas darbspējīgā vecumā</w:t>
      </w:r>
      <w:r w:rsidR="009604D5">
        <w:t>, kuras īpatsvars I</w:t>
      </w:r>
      <w:r w:rsidR="00255CC4">
        <w:t xml:space="preserve">zvērtējuma periodā saglabājas nemainīgs – 16,7% no visiem dzīvokļa pabalsta saņēmējiem. </w:t>
      </w:r>
    </w:p>
    <w:p w:rsidR="00255CC4" w:rsidRDefault="00AD3EDD" w:rsidP="008C6B83">
      <w:pPr>
        <w:pStyle w:val="Caption"/>
      </w:pPr>
      <w:r>
        <w:fldChar w:fldCharType="begin"/>
      </w:r>
      <w:r w:rsidR="000F1524">
        <w:instrText xml:space="preserve"> STYLEREF 1 \s </w:instrText>
      </w:r>
      <w:r>
        <w:fldChar w:fldCharType="separate"/>
      </w:r>
      <w:bookmarkStart w:id="284" w:name="_Toc6855774"/>
      <w:r w:rsidR="00224B50">
        <w:rPr>
          <w:noProof/>
        </w:rPr>
        <w:t>1</w:t>
      </w:r>
      <w:r>
        <w:rPr>
          <w:noProof/>
        </w:rPr>
        <w:fldChar w:fldCharType="end"/>
      </w:r>
      <w:r w:rsidR="006B5456">
        <w:t>.</w:t>
      </w:r>
      <w:r w:rsidR="00A12435">
        <w:t>21</w:t>
      </w:r>
      <w:r w:rsidR="00E57A86">
        <w:t xml:space="preserve">. attēls. </w:t>
      </w:r>
      <w:r w:rsidR="00255CC4">
        <w:t>Ienākumu testētā dzīvokļa pabalsta saņēmēji sadalījumā pa mērķa grupām (2014-2016, īpatsvars</w:t>
      </w:r>
      <w:r w:rsidR="000E0C1D">
        <w:t xml:space="preserve"> %</w:t>
      </w:r>
      <w:r w:rsidR="00255CC4">
        <w:t xml:space="preserve"> no kopējā skaita)</w:t>
      </w:r>
      <w:bookmarkEnd w:id="284"/>
    </w:p>
    <w:p w:rsidR="00255CC4" w:rsidRDefault="00255CC4" w:rsidP="00255CC4">
      <w:pPr>
        <w:jc w:val="left"/>
        <w:rPr>
          <w:b/>
          <w:bCs/>
          <w:color w:val="244061" w:themeColor="accent1" w:themeShade="80"/>
          <w:szCs w:val="18"/>
        </w:rPr>
      </w:pPr>
      <w:r w:rsidRPr="007B5A50">
        <w:rPr>
          <w:noProof/>
          <w:szCs w:val="18"/>
        </w:rPr>
        <w:drawing>
          <wp:inline distT="0" distB="0" distL="0" distR="0">
            <wp:extent cx="5067300" cy="4171950"/>
            <wp:effectExtent l="19050" t="0" r="0" b="0"/>
            <wp:docPr id="1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5067300" cy="4171950"/>
                    </a:xfrm>
                    <a:prstGeom prst="rect">
                      <a:avLst/>
                    </a:prstGeom>
                    <a:noFill/>
                    <a:ln w="9525">
                      <a:noFill/>
                      <a:miter lim="800000"/>
                      <a:headEnd/>
                      <a:tailEnd/>
                    </a:ln>
                  </pic:spPr>
                </pic:pic>
              </a:graphicData>
            </a:graphic>
          </wp:inline>
        </w:drawing>
      </w:r>
    </w:p>
    <w:p w:rsidR="00255CC4" w:rsidRPr="00AB7A9E" w:rsidRDefault="00255CC4" w:rsidP="00C33A64">
      <w:pPr>
        <w:pStyle w:val="avotiemft10"/>
        <w:rPr>
          <w:rFonts w:eastAsia="Times New Roman"/>
        </w:rPr>
      </w:pPr>
      <w:bookmarkStart w:id="285" w:name="_Toc6841550"/>
      <w:r w:rsidRPr="00AB7A9E">
        <w:t xml:space="preserve">Avots: LM, Oficiālā statistika sociālo pakalpojumu un sociālās palīdzības jomā. </w:t>
      </w:r>
      <w:r w:rsidRPr="00AB7A9E">
        <w:rPr>
          <w:rFonts w:eastAsia="Times New Roman"/>
        </w:rPr>
        <w:t> Dzīvokļa pabalsts.</w:t>
      </w:r>
      <w:bookmarkEnd w:id="285"/>
      <w:r w:rsidRPr="00AB7A9E">
        <w:rPr>
          <w:rFonts w:eastAsia="Times New Roman"/>
        </w:rPr>
        <w:t xml:space="preserve"> </w:t>
      </w:r>
    </w:p>
    <w:p w:rsidR="00255CC4" w:rsidRDefault="00255CC4" w:rsidP="00255CC4">
      <w:pPr>
        <w:spacing w:line="240" w:lineRule="auto"/>
        <w:jc w:val="left"/>
        <w:rPr>
          <w:b/>
          <w:bCs/>
          <w:color w:val="244061" w:themeColor="accent1" w:themeShade="80"/>
          <w:szCs w:val="18"/>
        </w:rPr>
      </w:pPr>
    </w:p>
    <w:p w:rsidR="009604D5" w:rsidRDefault="00A02780" w:rsidP="009604D5">
      <w:r>
        <w:t>1.22</w:t>
      </w:r>
      <w:r w:rsidR="00255CC4" w:rsidRPr="00384A62">
        <w:t>. attēlā ir apkopoti dati absolūtajos skaitļos par dzīvokļa pabalsta</w:t>
      </w:r>
      <w:r w:rsidR="00255CC4">
        <w:t>m</w:t>
      </w:r>
      <w:r w:rsidR="00255CC4" w:rsidRPr="00384A62">
        <w:t xml:space="preserve"> izlietotajiem līdzekļiem</w:t>
      </w:r>
      <w:r w:rsidR="00255CC4">
        <w:t>, kā arī to sadalījums</w:t>
      </w:r>
      <w:r w:rsidR="00255CC4" w:rsidRPr="00384A62">
        <w:t xml:space="preserve"> trūcīgām un maznodrošinātām personām. </w:t>
      </w:r>
      <w:r w:rsidR="00255CC4">
        <w:t xml:space="preserve">Kopējie dzīvokļa pabalstam izlietotie līdzekļi periodā no 2014. gada līdz 2016. gadam ir samazinājušies par 18,6%. Jāņem vērā, ka būtiski ir samazinājies arī kopējais dzīvokļa pabalsta saņēmēju skaits – par 24,7%. </w:t>
      </w:r>
    </w:p>
    <w:p w:rsidR="009604D5" w:rsidRDefault="009604D5" w:rsidP="009604D5"/>
    <w:p w:rsidR="00255CC4" w:rsidRPr="009604D5" w:rsidRDefault="00255CC4" w:rsidP="009604D5">
      <w:r w:rsidRPr="009604D5">
        <w:t xml:space="preserve">Kopējā tendence rāda, ka </w:t>
      </w:r>
      <w:r w:rsidRPr="009604D5">
        <w:rPr>
          <w:b/>
        </w:rPr>
        <w:t>samazinās trūcīgām personām izlietoto līdzekļu apmērs dzīvokļa pabalstam</w:t>
      </w:r>
      <w:r w:rsidRPr="009604D5">
        <w:t xml:space="preserve"> (2012. gadā trūcīgām personām tika izlietoti 60,6% no kopējiem izlietotajiem līdzekļiem, 2015. gadā – 56,7%, 2016. gadā – 54,6%; kopējais samazinājums ir par 6 procentpunktiem) un </w:t>
      </w:r>
      <w:r w:rsidRPr="009604D5">
        <w:rPr>
          <w:b/>
        </w:rPr>
        <w:lastRenderedPageBreak/>
        <w:t>palielinās maznodrošinātām personām</w:t>
      </w:r>
      <w:r w:rsidRPr="009604D5">
        <w:t xml:space="preserve"> (2014. gadā -  23,8%, 2015. gadā – 32,7%, 2016. gadā – 39,6%; kopējais pieaugums ir par 15,8 procentpunktiem). Iespējams, tas ir skaidrojams ar to, ka trūcīgo personu kopējā skaita samazinājums ir lielāks (2014.g.-2016.g. par 34,2%) nekā maznodrošināto personu skaita samazinājums (2014.g.-2016.g. par 19,5%). Proti, izlietoto līdzekļu daudzumu ietekmē dzīvokļa pabalstu pretendentu grupu apmēri. Samazinājies ir izlietoto līdzekļu apjoms dzīvokļa pabalstam citām mērķa grupām (no 15,6% 2014. gadā līdz 5,8% 2016. gadā). </w:t>
      </w:r>
    </w:p>
    <w:p w:rsidR="00255CC4" w:rsidRDefault="00AD3EDD" w:rsidP="008C6B83">
      <w:pPr>
        <w:pStyle w:val="Caption"/>
      </w:pPr>
      <w:r>
        <w:fldChar w:fldCharType="begin"/>
      </w:r>
      <w:r w:rsidR="000F1524">
        <w:instrText xml:space="preserve"> STYLEREF 1 \s </w:instrText>
      </w:r>
      <w:r>
        <w:fldChar w:fldCharType="separate"/>
      </w:r>
      <w:bookmarkStart w:id="286" w:name="_Toc6855775"/>
      <w:r w:rsidR="00224B50">
        <w:rPr>
          <w:noProof/>
        </w:rPr>
        <w:t>1</w:t>
      </w:r>
      <w:r>
        <w:rPr>
          <w:noProof/>
        </w:rPr>
        <w:fldChar w:fldCharType="end"/>
      </w:r>
      <w:r w:rsidR="006B5456">
        <w:t>.</w:t>
      </w:r>
      <w:r w:rsidR="00A77025">
        <w:t>22</w:t>
      </w:r>
      <w:r w:rsidR="00E57A86">
        <w:t xml:space="preserve">. attēls. </w:t>
      </w:r>
      <w:r w:rsidR="00FE52D6" w:rsidRPr="00D97C54">
        <w:t xml:space="preserve">Trūcīgo un maznodrošināto personu skaits, kurām izmaksāts ienākumu testētais dzīvokļa pabalsts  </w:t>
      </w:r>
      <w:r w:rsidR="00255CC4" w:rsidRPr="00D97C54">
        <w:t xml:space="preserve">(2014-2016, </w:t>
      </w:r>
      <w:r w:rsidR="00FE52D6" w:rsidRPr="00D97C54">
        <w:t>skaits</w:t>
      </w:r>
      <w:r w:rsidR="00255CC4" w:rsidRPr="00D97C54">
        <w:t>)</w:t>
      </w:r>
      <w:bookmarkEnd w:id="286"/>
    </w:p>
    <w:p w:rsidR="00255CC4" w:rsidRDefault="00FE52D6" w:rsidP="00255CC4">
      <w:pPr>
        <w:pStyle w:val="virsrakstslvl4"/>
        <w:rPr>
          <w:rFonts w:ascii="Times New Roman" w:eastAsia="Calibri" w:hAnsi="Times New Roman" w:cs="Times New Roman"/>
          <w:b w:val="0"/>
          <w:bCs w:val="0"/>
          <w:i w:val="0"/>
          <w:iCs w:val="0"/>
          <w:color w:val="auto"/>
        </w:rPr>
      </w:pPr>
      <w:r w:rsidRPr="00FE52D6">
        <w:rPr>
          <w:noProof/>
        </w:rPr>
        <w:drawing>
          <wp:inline distT="0" distB="0" distL="0" distR="0">
            <wp:extent cx="5524500" cy="4286250"/>
            <wp:effectExtent l="19050" t="0" r="0" b="0"/>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srcRect/>
                    <a:stretch>
                      <a:fillRect/>
                    </a:stretch>
                  </pic:blipFill>
                  <pic:spPr bwMode="auto">
                    <a:xfrm>
                      <a:off x="0" y="0"/>
                      <a:ext cx="5524500" cy="4286250"/>
                    </a:xfrm>
                    <a:prstGeom prst="rect">
                      <a:avLst/>
                    </a:prstGeom>
                    <a:noFill/>
                    <a:ln w="9525">
                      <a:noFill/>
                      <a:miter lim="800000"/>
                      <a:headEnd/>
                      <a:tailEnd/>
                    </a:ln>
                  </pic:spPr>
                </pic:pic>
              </a:graphicData>
            </a:graphic>
          </wp:inline>
        </w:drawing>
      </w:r>
    </w:p>
    <w:p w:rsidR="00255CC4" w:rsidRDefault="00255CC4" w:rsidP="00255CC4">
      <w:pPr>
        <w:spacing w:line="240" w:lineRule="auto"/>
        <w:rPr>
          <w:rFonts w:eastAsia="Times New Roman"/>
          <w:sz w:val="20"/>
          <w:szCs w:val="20"/>
        </w:rPr>
      </w:pPr>
      <w:r w:rsidRPr="004E69B2">
        <w:rPr>
          <w:sz w:val="20"/>
          <w:szCs w:val="20"/>
        </w:rPr>
        <w:t xml:space="preserve">Avots: LM, </w:t>
      </w:r>
      <w:r w:rsidRPr="004E69B2">
        <w:rPr>
          <w:bCs/>
          <w:sz w:val="20"/>
          <w:szCs w:val="20"/>
        </w:rPr>
        <w:t xml:space="preserve">Oficiālā statistika sociālo pakalpojumu un sociālās palīdzības jomā. </w:t>
      </w:r>
      <w:r w:rsidRPr="004E69B2">
        <w:rPr>
          <w:rFonts w:eastAsia="Times New Roman"/>
          <w:sz w:val="20"/>
          <w:szCs w:val="20"/>
        </w:rPr>
        <w:t> </w:t>
      </w:r>
      <w:r>
        <w:rPr>
          <w:rFonts w:eastAsia="Times New Roman"/>
          <w:sz w:val="20"/>
          <w:szCs w:val="20"/>
        </w:rPr>
        <w:t xml:space="preserve">Dzīvokļa pabalsts. </w:t>
      </w:r>
    </w:p>
    <w:p w:rsidR="00255CC4" w:rsidRPr="00877B9F" w:rsidRDefault="00AD3EDD" w:rsidP="008C6B83">
      <w:pPr>
        <w:pStyle w:val="Caption"/>
        <w:rPr>
          <w:rFonts w:eastAsia="Times New Roman"/>
          <w:lang w:eastAsia="en-US"/>
        </w:rPr>
      </w:pPr>
      <w:r>
        <w:fldChar w:fldCharType="begin"/>
      </w:r>
      <w:r w:rsidR="000F1524">
        <w:instrText xml:space="preserve"> STYLEREF 1 \s </w:instrText>
      </w:r>
      <w:r>
        <w:fldChar w:fldCharType="separate"/>
      </w:r>
      <w:bookmarkStart w:id="287" w:name="_Toc6857669"/>
      <w:r w:rsidR="00224B50">
        <w:rPr>
          <w:noProof/>
        </w:rPr>
        <w:t>1</w:t>
      </w:r>
      <w:r>
        <w:rPr>
          <w:noProof/>
        </w:rPr>
        <w:fldChar w:fldCharType="end"/>
      </w:r>
      <w:r w:rsidR="00A46B54">
        <w:t>.</w:t>
      </w:r>
      <w:r w:rsidR="00E21C32">
        <w:t>3</w:t>
      </w:r>
      <w:r w:rsidR="00761553">
        <w:t>6</w:t>
      </w:r>
      <w:r w:rsidR="00255CC4" w:rsidRPr="00877B9F">
        <w:t xml:space="preserve">. </w:t>
      </w:r>
      <w:r w:rsidR="00255CC4">
        <w:t>tabula</w:t>
      </w:r>
      <w:r w:rsidR="00246848">
        <w:t xml:space="preserve">. </w:t>
      </w:r>
      <w:r w:rsidR="00255CC4">
        <w:t>Ienākumu testētam dzīvokļa pabalstam izlietotie līdzekļi naudā un natūrā (2014-2016)</w:t>
      </w:r>
      <w:bookmarkEnd w:id="287"/>
    </w:p>
    <w:tbl>
      <w:tblPr>
        <w:tblW w:w="9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276"/>
        <w:gridCol w:w="851"/>
        <w:gridCol w:w="1275"/>
        <w:gridCol w:w="851"/>
        <w:gridCol w:w="1417"/>
        <w:gridCol w:w="782"/>
      </w:tblGrid>
      <w:tr w:rsidR="00255CC4" w:rsidRPr="00BC22F8" w:rsidTr="00BC22F8">
        <w:trPr>
          <w:trHeight w:val="300"/>
        </w:trPr>
        <w:tc>
          <w:tcPr>
            <w:tcW w:w="3402" w:type="dxa"/>
            <w:shd w:val="clear" w:color="auto" w:fill="B8CCE4" w:themeFill="accent1" w:themeFillTint="66"/>
            <w:noWrap/>
            <w:vAlign w:val="bottom"/>
            <w:hideMark/>
          </w:tcPr>
          <w:p w:rsidR="00255CC4" w:rsidRPr="00BC22F8" w:rsidRDefault="00255CC4" w:rsidP="00255CC4">
            <w:pPr>
              <w:spacing w:before="80" w:after="80" w:line="240" w:lineRule="auto"/>
              <w:jc w:val="left"/>
              <w:rPr>
                <w:rFonts w:eastAsia="Times New Roman"/>
                <w:b/>
                <w:color w:val="002060"/>
                <w:sz w:val="22"/>
                <w:szCs w:val="22"/>
                <w:lang w:eastAsia="en-US"/>
              </w:rPr>
            </w:pPr>
            <w:r w:rsidRPr="00BC22F8">
              <w:rPr>
                <w:rFonts w:eastAsia="Times New Roman"/>
                <w:b/>
                <w:color w:val="002060"/>
                <w:sz w:val="22"/>
                <w:szCs w:val="22"/>
                <w:lang w:eastAsia="en-US"/>
              </w:rPr>
              <w:t>Rādītājs</w:t>
            </w:r>
          </w:p>
        </w:tc>
        <w:tc>
          <w:tcPr>
            <w:tcW w:w="2127" w:type="dxa"/>
            <w:gridSpan w:val="2"/>
            <w:shd w:val="clear" w:color="auto" w:fill="B8CCE4" w:themeFill="accent1" w:themeFillTint="66"/>
            <w:noWrap/>
            <w:vAlign w:val="bottom"/>
            <w:hideMark/>
          </w:tcPr>
          <w:p w:rsidR="00255CC4" w:rsidRPr="00BC22F8" w:rsidRDefault="00255CC4" w:rsidP="00255CC4">
            <w:pPr>
              <w:spacing w:before="80" w:after="80" w:line="240" w:lineRule="auto"/>
              <w:jc w:val="center"/>
              <w:rPr>
                <w:rFonts w:eastAsia="Times New Roman"/>
                <w:b/>
                <w:bCs/>
                <w:color w:val="002060"/>
                <w:sz w:val="22"/>
                <w:szCs w:val="22"/>
                <w:lang w:eastAsia="en-US"/>
              </w:rPr>
            </w:pPr>
            <w:r w:rsidRPr="00BC22F8">
              <w:rPr>
                <w:rFonts w:eastAsia="Times New Roman"/>
                <w:b/>
                <w:bCs/>
                <w:color w:val="002060"/>
                <w:sz w:val="22"/>
                <w:szCs w:val="22"/>
                <w:lang w:eastAsia="en-US"/>
              </w:rPr>
              <w:t>2014</w:t>
            </w:r>
          </w:p>
        </w:tc>
        <w:tc>
          <w:tcPr>
            <w:tcW w:w="2126" w:type="dxa"/>
            <w:gridSpan w:val="2"/>
            <w:shd w:val="clear" w:color="auto" w:fill="B8CCE4" w:themeFill="accent1" w:themeFillTint="66"/>
            <w:noWrap/>
            <w:vAlign w:val="bottom"/>
            <w:hideMark/>
          </w:tcPr>
          <w:p w:rsidR="00255CC4" w:rsidRPr="00BC22F8" w:rsidRDefault="00255CC4" w:rsidP="00255CC4">
            <w:pPr>
              <w:spacing w:before="80" w:after="80" w:line="240" w:lineRule="auto"/>
              <w:jc w:val="center"/>
              <w:rPr>
                <w:rFonts w:eastAsia="Times New Roman"/>
                <w:b/>
                <w:bCs/>
                <w:color w:val="002060"/>
                <w:sz w:val="22"/>
                <w:szCs w:val="22"/>
                <w:lang w:eastAsia="en-US"/>
              </w:rPr>
            </w:pPr>
            <w:r w:rsidRPr="00BC22F8">
              <w:rPr>
                <w:rFonts w:eastAsia="Times New Roman"/>
                <w:b/>
                <w:bCs/>
                <w:color w:val="002060"/>
                <w:sz w:val="22"/>
                <w:szCs w:val="22"/>
                <w:lang w:eastAsia="en-US"/>
              </w:rPr>
              <w:t>2015</w:t>
            </w:r>
          </w:p>
        </w:tc>
        <w:tc>
          <w:tcPr>
            <w:tcW w:w="2199" w:type="dxa"/>
            <w:gridSpan w:val="2"/>
            <w:shd w:val="clear" w:color="auto" w:fill="B8CCE4" w:themeFill="accent1" w:themeFillTint="66"/>
            <w:noWrap/>
            <w:vAlign w:val="bottom"/>
            <w:hideMark/>
          </w:tcPr>
          <w:p w:rsidR="00255CC4" w:rsidRPr="00BC22F8" w:rsidRDefault="00255CC4" w:rsidP="00255CC4">
            <w:pPr>
              <w:spacing w:before="80" w:after="80" w:line="240" w:lineRule="auto"/>
              <w:jc w:val="center"/>
              <w:rPr>
                <w:rFonts w:eastAsia="Times New Roman"/>
                <w:b/>
                <w:bCs/>
                <w:color w:val="002060"/>
                <w:sz w:val="22"/>
                <w:szCs w:val="22"/>
                <w:lang w:eastAsia="en-US"/>
              </w:rPr>
            </w:pPr>
            <w:r w:rsidRPr="00BC22F8">
              <w:rPr>
                <w:rFonts w:eastAsia="Times New Roman"/>
                <w:b/>
                <w:bCs/>
                <w:color w:val="002060"/>
                <w:sz w:val="22"/>
                <w:szCs w:val="22"/>
                <w:lang w:eastAsia="en-US"/>
              </w:rPr>
              <w:t>2016</w:t>
            </w:r>
          </w:p>
        </w:tc>
      </w:tr>
      <w:tr w:rsidR="00255CC4" w:rsidRPr="001E1A5B" w:rsidTr="00255CC4">
        <w:trPr>
          <w:trHeight w:val="300"/>
        </w:trPr>
        <w:tc>
          <w:tcPr>
            <w:tcW w:w="3402" w:type="dxa"/>
            <w:shd w:val="clear" w:color="auto" w:fill="auto"/>
            <w:noWrap/>
            <w:vAlign w:val="bottom"/>
            <w:hideMark/>
          </w:tcPr>
          <w:p w:rsidR="00255CC4" w:rsidRPr="001E1A5B" w:rsidRDefault="00255CC4" w:rsidP="00255CC4">
            <w:pPr>
              <w:spacing w:line="240" w:lineRule="auto"/>
              <w:jc w:val="left"/>
              <w:rPr>
                <w:rFonts w:eastAsia="Times New Roman"/>
                <w:color w:val="000000"/>
                <w:sz w:val="22"/>
                <w:szCs w:val="22"/>
                <w:lang w:eastAsia="en-US"/>
              </w:rPr>
            </w:pPr>
            <w:r w:rsidRPr="001E1A5B">
              <w:rPr>
                <w:rFonts w:eastAsia="Times New Roman"/>
                <w:color w:val="000000"/>
                <w:sz w:val="22"/>
                <w:szCs w:val="22"/>
                <w:lang w:eastAsia="en-US"/>
              </w:rPr>
              <w:t>Izlietotie līdzekļi dzīvokļa pabalsta izmaksai kopā, EUR</w:t>
            </w:r>
          </w:p>
        </w:tc>
        <w:tc>
          <w:tcPr>
            <w:tcW w:w="1276" w:type="dxa"/>
            <w:shd w:val="clear" w:color="auto" w:fill="auto"/>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sidRPr="001E1A5B">
              <w:rPr>
                <w:rFonts w:eastAsia="Times New Roman"/>
                <w:color w:val="000000"/>
                <w:sz w:val="22"/>
                <w:szCs w:val="22"/>
                <w:lang w:eastAsia="en-US"/>
              </w:rPr>
              <w:t>20 472 701</w:t>
            </w:r>
          </w:p>
        </w:tc>
        <w:tc>
          <w:tcPr>
            <w:tcW w:w="851" w:type="dxa"/>
            <w:vAlign w:val="center"/>
          </w:tcPr>
          <w:p w:rsidR="00255CC4" w:rsidRPr="001E1A5B"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100%</w:t>
            </w:r>
          </w:p>
        </w:tc>
        <w:tc>
          <w:tcPr>
            <w:tcW w:w="1275" w:type="dxa"/>
            <w:shd w:val="clear" w:color="auto" w:fill="auto"/>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sidRPr="001E1A5B">
              <w:rPr>
                <w:rFonts w:eastAsia="Times New Roman"/>
                <w:color w:val="000000"/>
                <w:sz w:val="22"/>
                <w:szCs w:val="22"/>
                <w:lang w:eastAsia="en-US"/>
              </w:rPr>
              <w:t>18 390 069</w:t>
            </w:r>
          </w:p>
        </w:tc>
        <w:tc>
          <w:tcPr>
            <w:tcW w:w="851" w:type="dxa"/>
            <w:vAlign w:val="center"/>
          </w:tcPr>
          <w:p w:rsidR="00255CC4" w:rsidRPr="001E1A5B"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100%</w:t>
            </w:r>
          </w:p>
        </w:tc>
        <w:tc>
          <w:tcPr>
            <w:tcW w:w="1417" w:type="dxa"/>
            <w:shd w:val="clear" w:color="auto" w:fill="auto"/>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sidRPr="001E1A5B">
              <w:rPr>
                <w:rFonts w:eastAsia="Times New Roman"/>
                <w:color w:val="000000"/>
                <w:sz w:val="22"/>
                <w:szCs w:val="22"/>
                <w:lang w:eastAsia="en-US"/>
              </w:rPr>
              <w:t>16 656 819</w:t>
            </w:r>
          </w:p>
        </w:tc>
        <w:tc>
          <w:tcPr>
            <w:tcW w:w="782" w:type="dxa"/>
            <w:vAlign w:val="center"/>
          </w:tcPr>
          <w:p w:rsidR="00255CC4" w:rsidRPr="001E1A5B"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100%</w:t>
            </w:r>
          </w:p>
        </w:tc>
      </w:tr>
      <w:tr w:rsidR="00255CC4" w:rsidRPr="001E1A5B" w:rsidTr="00255CC4">
        <w:trPr>
          <w:trHeight w:val="300"/>
        </w:trPr>
        <w:tc>
          <w:tcPr>
            <w:tcW w:w="3402" w:type="dxa"/>
            <w:shd w:val="clear" w:color="auto" w:fill="auto"/>
            <w:noWrap/>
            <w:vAlign w:val="bottom"/>
            <w:hideMark/>
          </w:tcPr>
          <w:p w:rsidR="00255CC4" w:rsidRPr="001E1A5B" w:rsidRDefault="00255CC4" w:rsidP="00255CC4">
            <w:pPr>
              <w:spacing w:line="240" w:lineRule="auto"/>
              <w:jc w:val="left"/>
              <w:rPr>
                <w:rFonts w:eastAsia="Times New Roman"/>
                <w:sz w:val="22"/>
                <w:szCs w:val="22"/>
                <w:lang w:eastAsia="en-US"/>
              </w:rPr>
            </w:pPr>
            <w:r w:rsidRPr="001E1A5B">
              <w:rPr>
                <w:rFonts w:eastAsia="Times New Roman"/>
                <w:sz w:val="22"/>
                <w:szCs w:val="22"/>
                <w:lang w:eastAsia="en-US"/>
              </w:rPr>
              <w:t>Izlietotie līdzekļi naudā, EUR</w:t>
            </w:r>
          </w:p>
        </w:tc>
        <w:tc>
          <w:tcPr>
            <w:tcW w:w="1276" w:type="dxa"/>
            <w:shd w:val="clear" w:color="auto" w:fill="auto"/>
            <w:noWrap/>
            <w:vAlign w:val="center"/>
            <w:hideMark/>
          </w:tcPr>
          <w:p w:rsidR="00255CC4" w:rsidRPr="00E8015D" w:rsidRDefault="00255CC4" w:rsidP="00255CC4">
            <w:pPr>
              <w:spacing w:line="240" w:lineRule="auto"/>
              <w:jc w:val="center"/>
              <w:rPr>
                <w:rFonts w:eastAsia="Times New Roman"/>
                <w:sz w:val="22"/>
                <w:szCs w:val="22"/>
                <w:lang w:eastAsia="en-US"/>
              </w:rPr>
            </w:pPr>
            <w:r w:rsidRPr="00E8015D">
              <w:rPr>
                <w:rFonts w:eastAsia="Times New Roman"/>
                <w:sz w:val="22"/>
                <w:szCs w:val="22"/>
                <w:lang w:eastAsia="en-US"/>
              </w:rPr>
              <w:t>7 795 004</w:t>
            </w:r>
          </w:p>
        </w:tc>
        <w:tc>
          <w:tcPr>
            <w:tcW w:w="851" w:type="dxa"/>
            <w:vAlign w:val="center"/>
          </w:tcPr>
          <w:p w:rsidR="00255CC4" w:rsidRPr="00E8015D" w:rsidRDefault="00255CC4" w:rsidP="00255CC4">
            <w:pPr>
              <w:spacing w:line="240" w:lineRule="auto"/>
              <w:jc w:val="center"/>
              <w:rPr>
                <w:rFonts w:eastAsia="Times New Roman"/>
                <w:sz w:val="22"/>
                <w:szCs w:val="22"/>
                <w:lang w:eastAsia="en-US"/>
              </w:rPr>
            </w:pPr>
            <w:r>
              <w:rPr>
                <w:rFonts w:eastAsia="Times New Roman"/>
                <w:sz w:val="22"/>
                <w:szCs w:val="22"/>
                <w:lang w:eastAsia="en-US"/>
              </w:rPr>
              <w:t>38%</w:t>
            </w:r>
          </w:p>
        </w:tc>
        <w:tc>
          <w:tcPr>
            <w:tcW w:w="1275" w:type="dxa"/>
            <w:shd w:val="clear" w:color="auto" w:fill="auto"/>
            <w:noWrap/>
            <w:vAlign w:val="center"/>
            <w:hideMark/>
          </w:tcPr>
          <w:p w:rsidR="00255CC4" w:rsidRPr="00E8015D" w:rsidRDefault="00255CC4" w:rsidP="00255CC4">
            <w:pPr>
              <w:spacing w:line="240" w:lineRule="auto"/>
              <w:jc w:val="center"/>
              <w:rPr>
                <w:rFonts w:eastAsia="Times New Roman"/>
                <w:sz w:val="22"/>
                <w:szCs w:val="22"/>
                <w:lang w:eastAsia="en-US"/>
              </w:rPr>
            </w:pPr>
            <w:r w:rsidRPr="00E8015D">
              <w:rPr>
                <w:rFonts w:eastAsia="Times New Roman"/>
                <w:sz w:val="22"/>
                <w:szCs w:val="22"/>
                <w:lang w:eastAsia="en-US"/>
              </w:rPr>
              <w:t>7 781 845</w:t>
            </w:r>
          </w:p>
        </w:tc>
        <w:tc>
          <w:tcPr>
            <w:tcW w:w="851" w:type="dxa"/>
            <w:vAlign w:val="center"/>
          </w:tcPr>
          <w:p w:rsidR="00255CC4" w:rsidRPr="00E8015D" w:rsidRDefault="00255CC4" w:rsidP="00255CC4">
            <w:pPr>
              <w:spacing w:line="240" w:lineRule="auto"/>
              <w:jc w:val="center"/>
              <w:rPr>
                <w:rFonts w:eastAsia="Times New Roman"/>
                <w:sz w:val="22"/>
                <w:szCs w:val="22"/>
                <w:lang w:eastAsia="en-US"/>
              </w:rPr>
            </w:pPr>
            <w:r>
              <w:rPr>
                <w:rFonts w:eastAsia="Times New Roman"/>
                <w:sz w:val="22"/>
                <w:szCs w:val="22"/>
                <w:lang w:eastAsia="en-US"/>
              </w:rPr>
              <w:t>42%</w:t>
            </w:r>
          </w:p>
        </w:tc>
        <w:tc>
          <w:tcPr>
            <w:tcW w:w="1417" w:type="dxa"/>
            <w:shd w:val="clear" w:color="auto" w:fill="auto"/>
            <w:noWrap/>
            <w:vAlign w:val="center"/>
            <w:hideMark/>
          </w:tcPr>
          <w:p w:rsidR="00255CC4" w:rsidRPr="00E8015D" w:rsidRDefault="00255CC4" w:rsidP="00255CC4">
            <w:pPr>
              <w:spacing w:line="240" w:lineRule="auto"/>
              <w:jc w:val="center"/>
              <w:rPr>
                <w:rFonts w:eastAsia="Times New Roman"/>
                <w:sz w:val="22"/>
                <w:szCs w:val="22"/>
                <w:lang w:eastAsia="en-US"/>
              </w:rPr>
            </w:pPr>
            <w:r w:rsidRPr="00E8015D">
              <w:rPr>
                <w:rFonts w:eastAsia="Times New Roman"/>
                <w:sz w:val="22"/>
                <w:szCs w:val="22"/>
                <w:lang w:eastAsia="en-US"/>
              </w:rPr>
              <w:t>6 275 156</w:t>
            </w:r>
          </w:p>
        </w:tc>
        <w:tc>
          <w:tcPr>
            <w:tcW w:w="782" w:type="dxa"/>
            <w:vAlign w:val="center"/>
          </w:tcPr>
          <w:p w:rsidR="00255CC4" w:rsidRPr="00E8015D" w:rsidRDefault="00255CC4" w:rsidP="00255CC4">
            <w:pPr>
              <w:spacing w:line="240" w:lineRule="auto"/>
              <w:jc w:val="center"/>
              <w:rPr>
                <w:rFonts w:eastAsia="Times New Roman"/>
                <w:sz w:val="22"/>
                <w:szCs w:val="22"/>
                <w:lang w:eastAsia="en-US"/>
              </w:rPr>
            </w:pPr>
            <w:r>
              <w:rPr>
                <w:rFonts w:eastAsia="Times New Roman"/>
                <w:sz w:val="22"/>
                <w:szCs w:val="22"/>
                <w:lang w:eastAsia="en-US"/>
              </w:rPr>
              <w:t>38%</w:t>
            </w:r>
          </w:p>
        </w:tc>
      </w:tr>
      <w:tr w:rsidR="00255CC4" w:rsidRPr="001E1A5B" w:rsidTr="00255CC4">
        <w:trPr>
          <w:trHeight w:val="300"/>
        </w:trPr>
        <w:tc>
          <w:tcPr>
            <w:tcW w:w="3402" w:type="dxa"/>
            <w:shd w:val="clear" w:color="auto" w:fill="auto"/>
            <w:noWrap/>
            <w:vAlign w:val="bottom"/>
            <w:hideMark/>
          </w:tcPr>
          <w:p w:rsidR="00255CC4" w:rsidRPr="001E1A5B" w:rsidRDefault="00255CC4" w:rsidP="00255CC4">
            <w:pPr>
              <w:spacing w:line="240" w:lineRule="auto"/>
              <w:jc w:val="left"/>
              <w:rPr>
                <w:rFonts w:eastAsia="Times New Roman"/>
                <w:sz w:val="22"/>
                <w:szCs w:val="22"/>
                <w:lang w:eastAsia="en-US"/>
              </w:rPr>
            </w:pPr>
            <w:r w:rsidRPr="001E1A5B">
              <w:rPr>
                <w:rFonts w:eastAsia="Times New Roman"/>
                <w:sz w:val="22"/>
                <w:szCs w:val="22"/>
                <w:lang w:eastAsia="en-US"/>
              </w:rPr>
              <w:t xml:space="preserve">Izlietotie līdzekļi </w:t>
            </w:r>
            <w:r>
              <w:rPr>
                <w:rFonts w:eastAsia="Times New Roman"/>
                <w:sz w:val="22"/>
                <w:szCs w:val="22"/>
                <w:lang w:eastAsia="en-US"/>
              </w:rPr>
              <w:t>natūrā</w:t>
            </w:r>
            <w:r w:rsidRPr="001E1A5B">
              <w:rPr>
                <w:rFonts w:eastAsia="Times New Roman"/>
                <w:sz w:val="22"/>
                <w:szCs w:val="22"/>
                <w:lang w:eastAsia="en-US"/>
              </w:rPr>
              <w:t>, EUR</w:t>
            </w:r>
          </w:p>
        </w:tc>
        <w:tc>
          <w:tcPr>
            <w:tcW w:w="1276" w:type="dxa"/>
            <w:shd w:val="clear" w:color="auto" w:fill="auto"/>
            <w:noWrap/>
            <w:vAlign w:val="center"/>
            <w:hideMark/>
          </w:tcPr>
          <w:p w:rsidR="00255CC4" w:rsidRPr="00E8015D" w:rsidRDefault="00255CC4" w:rsidP="00255CC4">
            <w:pPr>
              <w:spacing w:line="240" w:lineRule="auto"/>
              <w:jc w:val="center"/>
              <w:rPr>
                <w:rFonts w:eastAsia="Times New Roman"/>
                <w:sz w:val="22"/>
                <w:szCs w:val="22"/>
                <w:lang w:eastAsia="en-US"/>
              </w:rPr>
            </w:pPr>
            <w:r w:rsidRPr="00E8015D">
              <w:rPr>
                <w:rFonts w:eastAsia="Times New Roman"/>
                <w:sz w:val="22"/>
                <w:szCs w:val="22"/>
                <w:lang w:eastAsia="en-US"/>
              </w:rPr>
              <w:t>12 677 697</w:t>
            </w:r>
          </w:p>
        </w:tc>
        <w:tc>
          <w:tcPr>
            <w:tcW w:w="851" w:type="dxa"/>
            <w:vAlign w:val="center"/>
          </w:tcPr>
          <w:p w:rsidR="00255CC4" w:rsidRPr="00E8015D" w:rsidRDefault="00255CC4" w:rsidP="00255CC4">
            <w:pPr>
              <w:spacing w:line="240" w:lineRule="auto"/>
              <w:jc w:val="center"/>
              <w:rPr>
                <w:rFonts w:eastAsia="Times New Roman"/>
                <w:sz w:val="22"/>
                <w:szCs w:val="22"/>
                <w:lang w:eastAsia="en-US"/>
              </w:rPr>
            </w:pPr>
            <w:r>
              <w:rPr>
                <w:rFonts w:eastAsia="Times New Roman"/>
                <w:sz w:val="22"/>
                <w:szCs w:val="22"/>
                <w:lang w:eastAsia="en-US"/>
              </w:rPr>
              <w:t>62%</w:t>
            </w:r>
          </w:p>
        </w:tc>
        <w:tc>
          <w:tcPr>
            <w:tcW w:w="1275" w:type="dxa"/>
            <w:shd w:val="clear" w:color="auto" w:fill="auto"/>
            <w:noWrap/>
            <w:vAlign w:val="center"/>
            <w:hideMark/>
          </w:tcPr>
          <w:p w:rsidR="00255CC4" w:rsidRPr="00E8015D" w:rsidRDefault="00255CC4" w:rsidP="00255CC4">
            <w:pPr>
              <w:spacing w:line="240" w:lineRule="auto"/>
              <w:jc w:val="center"/>
              <w:rPr>
                <w:rFonts w:eastAsia="Times New Roman"/>
                <w:sz w:val="22"/>
                <w:szCs w:val="22"/>
                <w:lang w:eastAsia="en-US"/>
              </w:rPr>
            </w:pPr>
            <w:r w:rsidRPr="00E8015D">
              <w:rPr>
                <w:rFonts w:eastAsia="Times New Roman"/>
                <w:sz w:val="22"/>
                <w:szCs w:val="22"/>
                <w:lang w:eastAsia="en-US"/>
              </w:rPr>
              <w:t>68 060</w:t>
            </w:r>
          </w:p>
        </w:tc>
        <w:tc>
          <w:tcPr>
            <w:tcW w:w="851" w:type="dxa"/>
            <w:vAlign w:val="center"/>
          </w:tcPr>
          <w:p w:rsidR="00255CC4" w:rsidRPr="00E8015D" w:rsidRDefault="00255CC4" w:rsidP="00255CC4">
            <w:pPr>
              <w:spacing w:line="240" w:lineRule="auto"/>
              <w:jc w:val="center"/>
              <w:rPr>
                <w:rFonts w:eastAsia="Times New Roman"/>
                <w:sz w:val="22"/>
                <w:szCs w:val="22"/>
                <w:lang w:eastAsia="en-US"/>
              </w:rPr>
            </w:pPr>
            <w:r>
              <w:rPr>
                <w:rFonts w:eastAsia="Times New Roman"/>
                <w:sz w:val="22"/>
                <w:szCs w:val="22"/>
                <w:lang w:eastAsia="en-US"/>
              </w:rPr>
              <w:t>58%</w:t>
            </w:r>
          </w:p>
        </w:tc>
        <w:tc>
          <w:tcPr>
            <w:tcW w:w="1417" w:type="dxa"/>
            <w:shd w:val="clear" w:color="auto" w:fill="auto"/>
            <w:noWrap/>
            <w:vAlign w:val="center"/>
            <w:hideMark/>
          </w:tcPr>
          <w:p w:rsidR="00255CC4" w:rsidRPr="00E8015D" w:rsidRDefault="00255CC4" w:rsidP="00255CC4">
            <w:pPr>
              <w:spacing w:line="240" w:lineRule="auto"/>
              <w:jc w:val="center"/>
              <w:rPr>
                <w:rFonts w:eastAsia="Times New Roman"/>
                <w:sz w:val="22"/>
                <w:szCs w:val="22"/>
                <w:lang w:eastAsia="en-US"/>
              </w:rPr>
            </w:pPr>
            <w:r w:rsidRPr="00E8015D">
              <w:rPr>
                <w:rFonts w:eastAsia="Times New Roman"/>
                <w:sz w:val="22"/>
                <w:szCs w:val="22"/>
                <w:lang w:eastAsia="en-US"/>
              </w:rPr>
              <w:t>10 381 663</w:t>
            </w:r>
          </w:p>
        </w:tc>
        <w:tc>
          <w:tcPr>
            <w:tcW w:w="782" w:type="dxa"/>
            <w:vAlign w:val="center"/>
          </w:tcPr>
          <w:p w:rsidR="00255CC4" w:rsidRPr="00E8015D" w:rsidRDefault="00255CC4" w:rsidP="00255CC4">
            <w:pPr>
              <w:spacing w:line="240" w:lineRule="auto"/>
              <w:jc w:val="center"/>
              <w:rPr>
                <w:rFonts w:eastAsia="Times New Roman"/>
                <w:sz w:val="22"/>
                <w:szCs w:val="22"/>
                <w:lang w:eastAsia="en-US"/>
              </w:rPr>
            </w:pPr>
            <w:r>
              <w:rPr>
                <w:rFonts w:eastAsia="Times New Roman"/>
                <w:sz w:val="22"/>
                <w:szCs w:val="22"/>
                <w:lang w:eastAsia="en-US"/>
              </w:rPr>
              <w:t>62%</w:t>
            </w:r>
          </w:p>
        </w:tc>
      </w:tr>
    </w:tbl>
    <w:p w:rsidR="00255CC4" w:rsidRDefault="00255CC4" w:rsidP="00255CC4">
      <w:pPr>
        <w:rPr>
          <w:rFonts w:eastAsia="Times New Roman"/>
          <w:sz w:val="20"/>
          <w:szCs w:val="20"/>
        </w:rPr>
      </w:pPr>
      <w:r w:rsidRPr="004E69B2">
        <w:rPr>
          <w:sz w:val="20"/>
          <w:szCs w:val="20"/>
        </w:rPr>
        <w:t xml:space="preserve">Avots: LM, </w:t>
      </w:r>
      <w:r w:rsidRPr="004E69B2">
        <w:rPr>
          <w:bCs/>
          <w:sz w:val="20"/>
          <w:szCs w:val="20"/>
        </w:rPr>
        <w:t xml:space="preserve">Oficiālā statistika sociālo pakalpojumu un sociālās palīdzības jomā. </w:t>
      </w:r>
      <w:r w:rsidRPr="004E69B2">
        <w:rPr>
          <w:rFonts w:eastAsia="Times New Roman"/>
          <w:sz w:val="20"/>
          <w:szCs w:val="20"/>
        </w:rPr>
        <w:t> </w:t>
      </w:r>
      <w:r>
        <w:rPr>
          <w:rFonts w:eastAsia="Times New Roman"/>
          <w:sz w:val="20"/>
          <w:szCs w:val="20"/>
        </w:rPr>
        <w:t xml:space="preserve">Dzīvokļa pabalsts. </w:t>
      </w:r>
    </w:p>
    <w:p w:rsidR="00255CC4" w:rsidRDefault="00255CC4" w:rsidP="00255CC4"/>
    <w:p w:rsidR="00255CC4" w:rsidRDefault="00255CC4" w:rsidP="00255CC4">
      <w:r w:rsidRPr="009B1F30">
        <w:t xml:space="preserve">Dzīvokļa pabalstam atvēlētie līdzekļi tiek dalīti divās kategorijās – naudā un natūrā izlietotie līdzekļi. </w:t>
      </w:r>
      <w:r>
        <w:t xml:space="preserve">Lielāka līdzekļu daļa ir izlietota tieši natūrā, turklāt sadalījums starp līdzekļu izlietojumu naudā un </w:t>
      </w:r>
      <w:r>
        <w:lastRenderedPageBreak/>
        <w:t>natūrā saglabājas proporcionāli vienmērīgs – apmēram divas trešdaļas līdzekļu tiek izlietoti natūrā un viena trešdaļa – naudā (sk.</w:t>
      </w:r>
      <w:r w:rsidR="008C6B83">
        <w:t xml:space="preserve"> </w:t>
      </w:r>
      <w:r w:rsidR="00A02780">
        <w:t>1.3</w:t>
      </w:r>
      <w:r w:rsidR="00761553">
        <w:t>6</w:t>
      </w:r>
      <w:r>
        <w:t>. tabulu). Naudā izlietoto līdzekļu īpatsvars periodā no 2014. gada līdz 2016. gadam ir sarucis par 19,5%, natūrā to samazinājums ir par 18,1%.</w:t>
      </w:r>
    </w:p>
    <w:p w:rsidR="00255CC4" w:rsidRDefault="00255CC4" w:rsidP="00255CC4"/>
    <w:p w:rsidR="00255CC4" w:rsidRDefault="00255CC4" w:rsidP="00255CC4">
      <w:r>
        <w:t>Kopējais dzīvokļa pabalsta saņēmēju skaits lielākā apmērā ir samazinājies pilsētu pašvaldībās (par 27%) salīdzinājumā ar novadu pašvaldībām, kurās samazinājums ir par 22,7% (sk.</w:t>
      </w:r>
      <w:r w:rsidR="008C6B83">
        <w:t xml:space="preserve"> </w:t>
      </w:r>
      <w:r w:rsidR="00A02780">
        <w:t>1.3</w:t>
      </w:r>
      <w:r w:rsidR="00761553">
        <w:t>7</w:t>
      </w:r>
      <w:r>
        <w:t>. tabulu). Būtiskākas atšķirības ir attiecībā uz izlietoto līdzekļu samazinājumu – ja pilsētu pašvaldībās tas samazinājies par 23,6%, tad novadu pašvaldībās par 5,2%. Vidējais dzīvokļa pabalsta apmērs vienai personai 2014. gadā bija 152,9 EUR, pakāpeniski pieaugot līdz 165,3 EUR 2016.gadā. Salīdzinot pilsētu un novadu pašvaldības pēc šī rādītāja, secināms, ka pilsētās dzīvokļa pabalsts, piemēram, 2016. gadā, ir 2,6 reizes augstāks nekā novadu pašvaldībās. 1.33. tabulā apkopotie rādītāji atklāj pieaugum</w:t>
      </w:r>
      <w:r w:rsidR="00685CD2">
        <w:t>u</w:t>
      </w:r>
      <w:r>
        <w:t xml:space="preserve"> gan absolūtajos skaitļos, gan </w:t>
      </w:r>
      <w:r w:rsidR="007F071E">
        <w:t>īpatsvara izmaiņas</w:t>
      </w:r>
      <w:r>
        <w:t>. Redzams, ka lielāks dzīvokļa pabalsta pieaugums bijis novadu pašvaldībās – aplūkotajā periodā tas pieaudzis par 22,7%, kamēr pilsētu pašvaldībās šis pieaugums ir tikai par 4,7%.</w:t>
      </w:r>
    </w:p>
    <w:p w:rsidR="00255CC4" w:rsidRDefault="00AD3EDD" w:rsidP="008C6B83">
      <w:pPr>
        <w:pStyle w:val="Caption"/>
      </w:pPr>
      <w:r>
        <w:fldChar w:fldCharType="begin"/>
      </w:r>
      <w:r w:rsidR="000F1524">
        <w:instrText xml:space="preserve"> STYLEREF 1 \s </w:instrText>
      </w:r>
      <w:r>
        <w:fldChar w:fldCharType="separate"/>
      </w:r>
      <w:bookmarkStart w:id="288" w:name="_Toc6857670"/>
      <w:r w:rsidR="00224B50">
        <w:rPr>
          <w:noProof/>
        </w:rPr>
        <w:t>1</w:t>
      </w:r>
      <w:r>
        <w:rPr>
          <w:noProof/>
        </w:rPr>
        <w:fldChar w:fldCharType="end"/>
      </w:r>
      <w:r w:rsidR="00A46B54">
        <w:t>.</w:t>
      </w:r>
      <w:r w:rsidR="00E21C32">
        <w:t>3</w:t>
      </w:r>
      <w:r w:rsidR="00761553">
        <w:t>7</w:t>
      </w:r>
      <w:r w:rsidR="00255CC4" w:rsidRPr="00877B9F">
        <w:t xml:space="preserve">. </w:t>
      </w:r>
      <w:r w:rsidR="00255CC4">
        <w:t>tabula. Ienākumu testētā dzīvokļa pabalsta (naudā un natūrā) salīdzinājums starp lielo pilsētu un novadu pašvaldībām 2014.g.-2016.g. periodā</w:t>
      </w:r>
      <w:bookmarkEnd w:id="288"/>
    </w:p>
    <w:tbl>
      <w:tblPr>
        <w:tblW w:w="96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1417"/>
        <w:gridCol w:w="1418"/>
        <w:gridCol w:w="1286"/>
      </w:tblGrid>
      <w:tr w:rsidR="00255CC4" w:rsidRPr="00BC22F8" w:rsidTr="00BC22F8">
        <w:trPr>
          <w:trHeight w:val="300"/>
        </w:trPr>
        <w:tc>
          <w:tcPr>
            <w:tcW w:w="5529" w:type="dxa"/>
            <w:shd w:val="clear" w:color="auto" w:fill="B8CCE4" w:themeFill="accent1" w:themeFillTint="66"/>
            <w:noWrap/>
            <w:vAlign w:val="bottom"/>
            <w:hideMark/>
          </w:tcPr>
          <w:p w:rsidR="00255CC4" w:rsidRPr="00BC22F8" w:rsidRDefault="00255CC4" w:rsidP="00255CC4">
            <w:pPr>
              <w:spacing w:before="80" w:after="80" w:line="240" w:lineRule="auto"/>
              <w:jc w:val="left"/>
              <w:rPr>
                <w:rFonts w:eastAsia="Times New Roman"/>
                <w:b/>
                <w:color w:val="002060"/>
                <w:sz w:val="22"/>
                <w:szCs w:val="22"/>
                <w:lang w:eastAsia="en-US"/>
              </w:rPr>
            </w:pPr>
            <w:r w:rsidRPr="00BC22F8">
              <w:rPr>
                <w:rFonts w:eastAsia="Times New Roman"/>
                <w:b/>
                <w:color w:val="002060"/>
                <w:sz w:val="22"/>
                <w:szCs w:val="22"/>
                <w:lang w:eastAsia="en-US"/>
              </w:rPr>
              <w:t>Rādītājs</w:t>
            </w:r>
          </w:p>
        </w:tc>
        <w:tc>
          <w:tcPr>
            <w:tcW w:w="1417" w:type="dxa"/>
            <w:shd w:val="clear" w:color="auto" w:fill="B8CCE4" w:themeFill="accent1" w:themeFillTint="66"/>
            <w:vAlign w:val="center"/>
            <w:hideMark/>
          </w:tcPr>
          <w:p w:rsidR="00255CC4" w:rsidRPr="00BC22F8" w:rsidRDefault="00255CC4" w:rsidP="00255CC4">
            <w:pPr>
              <w:spacing w:before="80" w:after="80" w:line="240" w:lineRule="auto"/>
              <w:jc w:val="center"/>
              <w:rPr>
                <w:rFonts w:eastAsia="Times New Roman"/>
                <w:b/>
                <w:color w:val="002060"/>
                <w:sz w:val="22"/>
                <w:szCs w:val="22"/>
                <w:lang w:eastAsia="en-US"/>
              </w:rPr>
            </w:pPr>
            <w:r w:rsidRPr="00BC22F8">
              <w:rPr>
                <w:rFonts w:eastAsia="Times New Roman"/>
                <w:b/>
                <w:color w:val="002060"/>
                <w:sz w:val="22"/>
                <w:szCs w:val="22"/>
                <w:lang w:eastAsia="en-US"/>
              </w:rPr>
              <w:t>Valstī kopā</w:t>
            </w:r>
          </w:p>
        </w:tc>
        <w:tc>
          <w:tcPr>
            <w:tcW w:w="1418" w:type="dxa"/>
            <w:shd w:val="clear" w:color="auto" w:fill="B8CCE4" w:themeFill="accent1" w:themeFillTint="66"/>
            <w:vAlign w:val="center"/>
            <w:hideMark/>
          </w:tcPr>
          <w:p w:rsidR="00255CC4" w:rsidRPr="00BC22F8" w:rsidRDefault="00255CC4" w:rsidP="00255CC4">
            <w:pPr>
              <w:spacing w:before="80" w:after="80" w:line="240" w:lineRule="auto"/>
              <w:jc w:val="center"/>
              <w:rPr>
                <w:rFonts w:eastAsia="Times New Roman"/>
                <w:b/>
                <w:color w:val="002060"/>
                <w:sz w:val="22"/>
                <w:szCs w:val="22"/>
                <w:lang w:eastAsia="en-US"/>
              </w:rPr>
            </w:pPr>
            <w:r w:rsidRPr="00BC22F8">
              <w:rPr>
                <w:rFonts w:eastAsia="Times New Roman"/>
                <w:b/>
                <w:color w:val="002060"/>
                <w:sz w:val="22"/>
                <w:szCs w:val="22"/>
                <w:lang w:eastAsia="en-US"/>
              </w:rPr>
              <w:t>Pilsētās</w:t>
            </w:r>
          </w:p>
        </w:tc>
        <w:tc>
          <w:tcPr>
            <w:tcW w:w="1286" w:type="dxa"/>
            <w:shd w:val="clear" w:color="auto" w:fill="B8CCE4" w:themeFill="accent1" w:themeFillTint="66"/>
            <w:vAlign w:val="center"/>
            <w:hideMark/>
          </w:tcPr>
          <w:p w:rsidR="00255CC4" w:rsidRPr="00BC22F8" w:rsidRDefault="00255CC4" w:rsidP="00255CC4">
            <w:pPr>
              <w:spacing w:before="80" w:after="80" w:line="240" w:lineRule="auto"/>
              <w:jc w:val="center"/>
              <w:rPr>
                <w:rFonts w:eastAsia="Times New Roman"/>
                <w:b/>
                <w:color w:val="002060"/>
                <w:sz w:val="22"/>
                <w:szCs w:val="22"/>
                <w:lang w:eastAsia="en-US"/>
              </w:rPr>
            </w:pPr>
            <w:r w:rsidRPr="00BC22F8">
              <w:rPr>
                <w:rFonts w:eastAsia="Times New Roman"/>
                <w:b/>
                <w:color w:val="002060"/>
                <w:sz w:val="22"/>
                <w:szCs w:val="22"/>
                <w:lang w:eastAsia="en-US"/>
              </w:rPr>
              <w:t>Novados</w:t>
            </w:r>
          </w:p>
        </w:tc>
      </w:tr>
      <w:tr w:rsidR="00255CC4" w:rsidRPr="001E1A5B" w:rsidTr="00255CC4">
        <w:trPr>
          <w:trHeight w:val="300"/>
        </w:trPr>
        <w:tc>
          <w:tcPr>
            <w:tcW w:w="5529" w:type="dxa"/>
            <w:shd w:val="clear" w:color="auto" w:fill="auto"/>
            <w:noWrap/>
            <w:vAlign w:val="bottom"/>
            <w:hideMark/>
          </w:tcPr>
          <w:p w:rsidR="00255CC4" w:rsidRPr="001E1A5B" w:rsidRDefault="00255CC4" w:rsidP="00255CC4">
            <w:pPr>
              <w:spacing w:line="240" w:lineRule="auto"/>
              <w:jc w:val="left"/>
              <w:rPr>
                <w:rFonts w:eastAsia="Times New Roman"/>
                <w:color w:val="000000"/>
                <w:sz w:val="22"/>
                <w:szCs w:val="22"/>
                <w:lang w:eastAsia="en-US"/>
              </w:rPr>
            </w:pPr>
            <w:r w:rsidRPr="001E1A5B">
              <w:rPr>
                <w:rFonts w:eastAsia="Times New Roman"/>
                <w:color w:val="000000"/>
                <w:sz w:val="22"/>
                <w:szCs w:val="22"/>
                <w:lang w:eastAsia="en-US"/>
              </w:rPr>
              <w:t>Izlietotie līdzekļi (izmaiņas 2014.g.-2016.g., %)</w:t>
            </w:r>
          </w:p>
        </w:tc>
        <w:tc>
          <w:tcPr>
            <w:tcW w:w="1417" w:type="dxa"/>
            <w:shd w:val="clear" w:color="auto" w:fill="auto"/>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1E1A5B">
              <w:rPr>
                <w:rFonts w:eastAsia="Times New Roman"/>
                <w:color w:val="000000"/>
                <w:sz w:val="22"/>
                <w:szCs w:val="22"/>
                <w:lang w:eastAsia="en-US"/>
              </w:rPr>
              <w:t>18,6</w:t>
            </w:r>
          </w:p>
        </w:tc>
        <w:tc>
          <w:tcPr>
            <w:tcW w:w="1418" w:type="dxa"/>
            <w:shd w:val="clear" w:color="auto" w:fill="auto"/>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1E1A5B">
              <w:rPr>
                <w:rFonts w:eastAsia="Times New Roman"/>
                <w:color w:val="000000"/>
                <w:sz w:val="22"/>
                <w:szCs w:val="22"/>
                <w:lang w:eastAsia="en-US"/>
              </w:rPr>
              <w:t>23,6</w:t>
            </w:r>
          </w:p>
        </w:tc>
        <w:tc>
          <w:tcPr>
            <w:tcW w:w="1286" w:type="dxa"/>
            <w:shd w:val="clear" w:color="auto" w:fill="auto"/>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1E1A5B">
              <w:rPr>
                <w:rFonts w:eastAsia="Times New Roman"/>
                <w:color w:val="000000"/>
                <w:sz w:val="22"/>
                <w:szCs w:val="22"/>
                <w:lang w:eastAsia="en-US"/>
              </w:rPr>
              <w:t>5,2</w:t>
            </w:r>
          </w:p>
        </w:tc>
      </w:tr>
      <w:tr w:rsidR="00255CC4" w:rsidRPr="001E1A5B" w:rsidTr="00255CC4">
        <w:trPr>
          <w:trHeight w:val="300"/>
        </w:trPr>
        <w:tc>
          <w:tcPr>
            <w:tcW w:w="5529" w:type="dxa"/>
            <w:shd w:val="clear" w:color="auto" w:fill="auto"/>
            <w:noWrap/>
            <w:vAlign w:val="bottom"/>
            <w:hideMark/>
          </w:tcPr>
          <w:p w:rsidR="00255CC4" w:rsidRPr="001E1A5B" w:rsidRDefault="00255CC4" w:rsidP="00255CC4">
            <w:pPr>
              <w:spacing w:line="240" w:lineRule="auto"/>
              <w:jc w:val="left"/>
              <w:rPr>
                <w:rFonts w:eastAsia="Times New Roman"/>
                <w:color w:val="000000"/>
                <w:sz w:val="22"/>
                <w:szCs w:val="22"/>
                <w:lang w:eastAsia="en-US"/>
              </w:rPr>
            </w:pPr>
            <w:r w:rsidRPr="001E1A5B">
              <w:rPr>
                <w:rFonts w:eastAsia="Times New Roman"/>
                <w:color w:val="000000"/>
                <w:sz w:val="22"/>
                <w:szCs w:val="22"/>
                <w:lang w:eastAsia="en-US"/>
              </w:rPr>
              <w:t>Personu skaits (izmaiņas 2014.-2016.g., %)</w:t>
            </w:r>
          </w:p>
        </w:tc>
        <w:tc>
          <w:tcPr>
            <w:tcW w:w="1417" w:type="dxa"/>
            <w:shd w:val="clear" w:color="auto" w:fill="auto"/>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1E1A5B">
              <w:rPr>
                <w:rFonts w:eastAsia="Times New Roman"/>
                <w:color w:val="000000"/>
                <w:sz w:val="22"/>
                <w:szCs w:val="22"/>
                <w:lang w:eastAsia="en-US"/>
              </w:rPr>
              <w:t>24,7</w:t>
            </w:r>
          </w:p>
        </w:tc>
        <w:tc>
          <w:tcPr>
            <w:tcW w:w="1418" w:type="dxa"/>
            <w:shd w:val="clear" w:color="auto" w:fill="auto"/>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1E1A5B">
              <w:rPr>
                <w:rFonts w:eastAsia="Times New Roman"/>
                <w:color w:val="000000"/>
                <w:sz w:val="22"/>
                <w:szCs w:val="22"/>
                <w:lang w:eastAsia="en-US"/>
              </w:rPr>
              <w:t>27</w:t>
            </w:r>
            <w:r>
              <w:rPr>
                <w:rFonts w:eastAsia="Times New Roman"/>
                <w:color w:val="000000"/>
                <w:sz w:val="22"/>
                <w:szCs w:val="22"/>
                <w:lang w:eastAsia="en-US"/>
              </w:rPr>
              <w:t>,0</w:t>
            </w:r>
          </w:p>
        </w:tc>
        <w:tc>
          <w:tcPr>
            <w:tcW w:w="1286" w:type="dxa"/>
            <w:shd w:val="clear" w:color="auto" w:fill="auto"/>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1E1A5B">
              <w:rPr>
                <w:rFonts w:eastAsia="Times New Roman"/>
                <w:color w:val="000000"/>
                <w:sz w:val="22"/>
                <w:szCs w:val="22"/>
                <w:lang w:eastAsia="en-US"/>
              </w:rPr>
              <w:t>22,7</w:t>
            </w:r>
          </w:p>
        </w:tc>
      </w:tr>
      <w:tr w:rsidR="00255CC4" w:rsidRPr="001E1A5B" w:rsidTr="00426ECC">
        <w:trPr>
          <w:trHeight w:val="300"/>
        </w:trPr>
        <w:tc>
          <w:tcPr>
            <w:tcW w:w="5529" w:type="dxa"/>
            <w:shd w:val="clear" w:color="auto" w:fill="D9D9D9" w:themeFill="background1" w:themeFillShade="D9"/>
            <w:noWrap/>
            <w:vAlign w:val="bottom"/>
            <w:hideMark/>
          </w:tcPr>
          <w:p w:rsidR="00255CC4" w:rsidRPr="001E1A5B" w:rsidRDefault="00255CC4" w:rsidP="00255CC4">
            <w:pPr>
              <w:spacing w:line="240" w:lineRule="auto"/>
              <w:jc w:val="left"/>
              <w:rPr>
                <w:rFonts w:eastAsia="Times New Roman"/>
                <w:color w:val="000000"/>
                <w:sz w:val="22"/>
                <w:szCs w:val="22"/>
                <w:lang w:eastAsia="en-US"/>
              </w:rPr>
            </w:pPr>
            <w:r w:rsidRPr="001E1A5B">
              <w:rPr>
                <w:rFonts w:eastAsia="Times New Roman"/>
                <w:color w:val="000000"/>
                <w:sz w:val="22"/>
                <w:szCs w:val="22"/>
                <w:lang w:eastAsia="en-US"/>
              </w:rPr>
              <w:t>Vidējais dzīvokļa pabalsts vienai personai 2014.g., EUR</w:t>
            </w:r>
          </w:p>
        </w:tc>
        <w:tc>
          <w:tcPr>
            <w:tcW w:w="1417" w:type="dxa"/>
            <w:shd w:val="clear" w:color="auto" w:fill="D9D9D9" w:themeFill="background1" w:themeFillShade="D9"/>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sidRPr="001E1A5B">
              <w:rPr>
                <w:rFonts w:eastAsia="Times New Roman"/>
                <w:color w:val="000000"/>
                <w:sz w:val="22"/>
                <w:szCs w:val="22"/>
                <w:lang w:eastAsia="en-US"/>
              </w:rPr>
              <w:t>152,9</w:t>
            </w:r>
          </w:p>
        </w:tc>
        <w:tc>
          <w:tcPr>
            <w:tcW w:w="1418" w:type="dxa"/>
            <w:shd w:val="clear" w:color="auto" w:fill="D9D9D9" w:themeFill="background1" w:themeFillShade="D9"/>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sidRPr="001E1A5B">
              <w:rPr>
                <w:rFonts w:eastAsia="Times New Roman"/>
                <w:color w:val="000000"/>
                <w:sz w:val="22"/>
                <w:szCs w:val="22"/>
                <w:lang w:eastAsia="en-US"/>
              </w:rPr>
              <w:t>240,6</w:t>
            </w:r>
          </w:p>
        </w:tc>
        <w:tc>
          <w:tcPr>
            <w:tcW w:w="1286" w:type="dxa"/>
            <w:shd w:val="clear" w:color="auto" w:fill="D9D9D9" w:themeFill="background1" w:themeFillShade="D9"/>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sidRPr="001E1A5B">
              <w:rPr>
                <w:rFonts w:eastAsia="Times New Roman"/>
                <w:color w:val="000000"/>
                <w:sz w:val="22"/>
                <w:szCs w:val="22"/>
                <w:lang w:eastAsia="en-US"/>
              </w:rPr>
              <w:t>77</w:t>
            </w:r>
            <w:r>
              <w:rPr>
                <w:rFonts w:eastAsia="Times New Roman"/>
                <w:color w:val="000000"/>
                <w:sz w:val="22"/>
                <w:szCs w:val="22"/>
                <w:lang w:eastAsia="en-US"/>
              </w:rPr>
              <w:t>,0</w:t>
            </w:r>
          </w:p>
        </w:tc>
      </w:tr>
      <w:tr w:rsidR="00255CC4" w:rsidRPr="001E1A5B" w:rsidTr="00426ECC">
        <w:trPr>
          <w:trHeight w:val="300"/>
        </w:trPr>
        <w:tc>
          <w:tcPr>
            <w:tcW w:w="5529" w:type="dxa"/>
            <w:shd w:val="clear" w:color="auto" w:fill="D9D9D9" w:themeFill="background1" w:themeFillShade="D9"/>
            <w:noWrap/>
            <w:vAlign w:val="bottom"/>
            <w:hideMark/>
          </w:tcPr>
          <w:p w:rsidR="00255CC4" w:rsidRPr="001E1A5B" w:rsidRDefault="00255CC4" w:rsidP="00255CC4">
            <w:pPr>
              <w:spacing w:line="240" w:lineRule="auto"/>
              <w:jc w:val="left"/>
              <w:rPr>
                <w:rFonts w:eastAsia="Times New Roman"/>
                <w:color w:val="000000"/>
                <w:sz w:val="22"/>
                <w:szCs w:val="22"/>
                <w:lang w:eastAsia="en-US"/>
              </w:rPr>
            </w:pPr>
            <w:r w:rsidRPr="001E1A5B">
              <w:rPr>
                <w:rFonts w:eastAsia="Times New Roman"/>
                <w:color w:val="000000"/>
                <w:sz w:val="22"/>
                <w:szCs w:val="22"/>
                <w:lang w:eastAsia="en-US"/>
              </w:rPr>
              <w:t>Vidējais dzīvokļa pabalsts vienai personai 2015.g., EUR</w:t>
            </w:r>
          </w:p>
        </w:tc>
        <w:tc>
          <w:tcPr>
            <w:tcW w:w="1417" w:type="dxa"/>
            <w:shd w:val="clear" w:color="auto" w:fill="D9D9D9" w:themeFill="background1" w:themeFillShade="D9"/>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sidRPr="001E1A5B">
              <w:rPr>
                <w:rFonts w:eastAsia="Times New Roman"/>
                <w:color w:val="000000"/>
                <w:sz w:val="22"/>
                <w:szCs w:val="22"/>
                <w:lang w:eastAsia="en-US"/>
              </w:rPr>
              <w:t>162,7</w:t>
            </w:r>
          </w:p>
        </w:tc>
        <w:tc>
          <w:tcPr>
            <w:tcW w:w="1418" w:type="dxa"/>
            <w:shd w:val="clear" w:color="auto" w:fill="D9D9D9" w:themeFill="background1" w:themeFillShade="D9"/>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sidRPr="001E1A5B">
              <w:rPr>
                <w:rFonts w:eastAsia="Times New Roman"/>
                <w:color w:val="000000"/>
                <w:sz w:val="22"/>
                <w:szCs w:val="22"/>
                <w:lang w:eastAsia="en-US"/>
              </w:rPr>
              <w:t>250,4</w:t>
            </w:r>
          </w:p>
        </w:tc>
        <w:tc>
          <w:tcPr>
            <w:tcW w:w="1286" w:type="dxa"/>
            <w:shd w:val="clear" w:color="auto" w:fill="D9D9D9" w:themeFill="background1" w:themeFillShade="D9"/>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sidRPr="001E1A5B">
              <w:rPr>
                <w:rFonts w:eastAsia="Times New Roman"/>
                <w:color w:val="000000"/>
                <w:sz w:val="22"/>
                <w:szCs w:val="22"/>
                <w:lang w:eastAsia="en-US"/>
              </w:rPr>
              <w:t>88,2</w:t>
            </w:r>
          </w:p>
        </w:tc>
      </w:tr>
      <w:tr w:rsidR="00255CC4" w:rsidRPr="001E1A5B" w:rsidTr="00426ECC">
        <w:trPr>
          <w:trHeight w:val="300"/>
        </w:trPr>
        <w:tc>
          <w:tcPr>
            <w:tcW w:w="5529" w:type="dxa"/>
            <w:shd w:val="clear" w:color="auto" w:fill="D9D9D9" w:themeFill="background1" w:themeFillShade="D9"/>
            <w:noWrap/>
            <w:vAlign w:val="bottom"/>
            <w:hideMark/>
          </w:tcPr>
          <w:p w:rsidR="00255CC4" w:rsidRPr="001E1A5B" w:rsidRDefault="00255CC4" w:rsidP="00255CC4">
            <w:pPr>
              <w:spacing w:line="240" w:lineRule="auto"/>
              <w:jc w:val="left"/>
              <w:rPr>
                <w:rFonts w:eastAsia="Times New Roman"/>
                <w:color w:val="000000"/>
                <w:sz w:val="22"/>
                <w:szCs w:val="22"/>
                <w:lang w:eastAsia="en-US"/>
              </w:rPr>
            </w:pPr>
            <w:r w:rsidRPr="001E1A5B">
              <w:rPr>
                <w:rFonts w:eastAsia="Times New Roman"/>
                <w:color w:val="000000"/>
                <w:sz w:val="22"/>
                <w:szCs w:val="22"/>
                <w:lang w:eastAsia="en-US"/>
              </w:rPr>
              <w:t>Vidējais dzīvokļa pabalsts vienai personai 2016.g., EUR</w:t>
            </w:r>
          </w:p>
        </w:tc>
        <w:tc>
          <w:tcPr>
            <w:tcW w:w="1417" w:type="dxa"/>
            <w:shd w:val="clear" w:color="auto" w:fill="D9D9D9" w:themeFill="background1" w:themeFillShade="D9"/>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sidRPr="001E1A5B">
              <w:rPr>
                <w:rFonts w:eastAsia="Times New Roman"/>
                <w:color w:val="000000"/>
                <w:sz w:val="22"/>
                <w:szCs w:val="22"/>
                <w:lang w:eastAsia="en-US"/>
              </w:rPr>
              <w:t>165,3</w:t>
            </w:r>
          </w:p>
        </w:tc>
        <w:tc>
          <w:tcPr>
            <w:tcW w:w="1418" w:type="dxa"/>
            <w:shd w:val="clear" w:color="auto" w:fill="D9D9D9" w:themeFill="background1" w:themeFillShade="D9"/>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sidRPr="001E1A5B">
              <w:rPr>
                <w:rFonts w:eastAsia="Times New Roman"/>
                <w:color w:val="000000"/>
                <w:sz w:val="22"/>
                <w:szCs w:val="22"/>
                <w:lang w:eastAsia="en-US"/>
              </w:rPr>
              <w:t>251,8</w:t>
            </w:r>
          </w:p>
        </w:tc>
        <w:tc>
          <w:tcPr>
            <w:tcW w:w="1286" w:type="dxa"/>
            <w:shd w:val="clear" w:color="auto" w:fill="D9D9D9" w:themeFill="background1" w:themeFillShade="D9"/>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sidRPr="001E1A5B">
              <w:rPr>
                <w:rFonts w:eastAsia="Times New Roman"/>
                <w:color w:val="000000"/>
                <w:sz w:val="22"/>
                <w:szCs w:val="22"/>
                <w:lang w:eastAsia="en-US"/>
              </w:rPr>
              <w:t>94,5</w:t>
            </w:r>
          </w:p>
        </w:tc>
      </w:tr>
      <w:tr w:rsidR="00255CC4" w:rsidRPr="001E1A5B" w:rsidTr="00255CC4">
        <w:trPr>
          <w:trHeight w:val="300"/>
        </w:trPr>
        <w:tc>
          <w:tcPr>
            <w:tcW w:w="5529" w:type="dxa"/>
            <w:shd w:val="clear" w:color="auto" w:fill="auto"/>
            <w:noWrap/>
            <w:vAlign w:val="bottom"/>
            <w:hideMark/>
          </w:tcPr>
          <w:p w:rsidR="00255CC4" w:rsidRPr="001E1A5B" w:rsidRDefault="00255CC4" w:rsidP="00255CC4">
            <w:pPr>
              <w:spacing w:line="240" w:lineRule="auto"/>
              <w:jc w:val="left"/>
              <w:rPr>
                <w:rFonts w:eastAsia="Times New Roman"/>
                <w:color w:val="000000"/>
                <w:sz w:val="22"/>
                <w:szCs w:val="22"/>
                <w:lang w:eastAsia="en-US"/>
              </w:rPr>
            </w:pPr>
            <w:r w:rsidRPr="001E1A5B">
              <w:rPr>
                <w:rFonts w:eastAsia="Times New Roman"/>
                <w:color w:val="000000"/>
                <w:sz w:val="22"/>
                <w:szCs w:val="22"/>
                <w:lang w:eastAsia="en-US"/>
              </w:rPr>
              <w:t>Vidējā dzīvokļa pabalsta lieluma vienai personai izmaiņas 2014.g.-2016.g., %</w:t>
            </w:r>
          </w:p>
        </w:tc>
        <w:tc>
          <w:tcPr>
            <w:tcW w:w="1417" w:type="dxa"/>
            <w:shd w:val="clear" w:color="auto" w:fill="auto"/>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1E1A5B">
              <w:rPr>
                <w:rFonts w:eastAsia="Times New Roman"/>
                <w:color w:val="000000"/>
                <w:sz w:val="22"/>
                <w:szCs w:val="22"/>
                <w:lang w:eastAsia="en-US"/>
              </w:rPr>
              <w:t>8,1</w:t>
            </w:r>
          </w:p>
        </w:tc>
        <w:tc>
          <w:tcPr>
            <w:tcW w:w="1418" w:type="dxa"/>
            <w:shd w:val="clear" w:color="auto" w:fill="auto"/>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1E1A5B">
              <w:rPr>
                <w:rFonts w:eastAsia="Times New Roman"/>
                <w:color w:val="000000"/>
                <w:sz w:val="22"/>
                <w:szCs w:val="22"/>
                <w:lang w:eastAsia="en-US"/>
              </w:rPr>
              <w:t>4,7</w:t>
            </w:r>
          </w:p>
        </w:tc>
        <w:tc>
          <w:tcPr>
            <w:tcW w:w="1286" w:type="dxa"/>
            <w:shd w:val="clear" w:color="auto" w:fill="auto"/>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1E1A5B">
              <w:rPr>
                <w:rFonts w:eastAsia="Times New Roman"/>
                <w:color w:val="000000"/>
                <w:sz w:val="22"/>
                <w:szCs w:val="22"/>
                <w:lang w:eastAsia="en-US"/>
              </w:rPr>
              <w:t>22,7</w:t>
            </w:r>
          </w:p>
        </w:tc>
      </w:tr>
      <w:tr w:rsidR="00255CC4" w:rsidRPr="001E1A5B" w:rsidTr="00255CC4">
        <w:trPr>
          <w:trHeight w:val="300"/>
        </w:trPr>
        <w:tc>
          <w:tcPr>
            <w:tcW w:w="5529" w:type="dxa"/>
            <w:shd w:val="clear" w:color="auto" w:fill="auto"/>
            <w:noWrap/>
            <w:vAlign w:val="bottom"/>
            <w:hideMark/>
          </w:tcPr>
          <w:p w:rsidR="00255CC4" w:rsidRPr="001E1A5B" w:rsidRDefault="00255CC4" w:rsidP="00255CC4">
            <w:pPr>
              <w:spacing w:line="240" w:lineRule="auto"/>
              <w:jc w:val="left"/>
              <w:rPr>
                <w:rFonts w:eastAsia="Times New Roman"/>
                <w:color w:val="000000"/>
                <w:sz w:val="22"/>
                <w:szCs w:val="22"/>
                <w:lang w:eastAsia="en-US"/>
              </w:rPr>
            </w:pPr>
            <w:r w:rsidRPr="001E1A5B">
              <w:rPr>
                <w:rFonts w:eastAsia="Times New Roman"/>
                <w:color w:val="000000"/>
                <w:sz w:val="22"/>
                <w:szCs w:val="22"/>
                <w:lang w:eastAsia="en-US"/>
              </w:rPr>
              <w:t>Vidējā dzīvokļa pabalsta lieluma vienai personai izmaiņas 2014.g.-2016.g., EUR</w:t>
            </w:r>
          </w:p>
        </w:tc>
        <w:tc>
          <w:tcPr>
            <w:tcW w:w="1417" w:type="dxa"/>
            <w:shd w:val="clear" w:color="auto" w:fill="auto"/>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1E1A5B">
              <w:rPr>
                <w:rFonts w:eastAsia="Times New Roman"/>
                <w:color w:val="000000"/>
                <w:sz w:val="22"/>
                <w:szCs w:val="22"/>
                <w:lang w:eastAsia="en-US"/>
              </w:rPr>
              <w:t>12,4</w:t>
            </w:r>
          </w:p>
        </w:tc>
        <w:tc>
          <w:tcPr>
            <w:tcW w:w="1418" w:type="dxa"/>
            <w:shd w:val="clear" w:color="auto" w:fill="auto"/>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1E1A5B">
              <w:rPr>
                <w:rFonts w:eastAsia="Times New Roman"/>
                <w:color w:val="000000"/>
                <w:sz w:val="22"/>
                <w:szCs w:val="22"/>
                <w:lang w:eastAsia="en-US"/>
              </w:rPr>
              <w:t>11,2</w:t>
            </w:r>
          </w:p>
        </w:tc>
        <w:tc>
          <w:tcPr>
            <w:tcW w:w="1286" w:type="dxa"/>
            <w:shd w:val="clear" w:color="auto" w:fill="auto"/>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Pr>
                <w:rFonts w:eastAsia="Times New Roman"/>
                <w:color w:val="000000"/>
                <w:sz w:val="22"/>
                <w:szCs w:val="22"/>
                <w:lang w:eastAsia="en-US"/>
              </w:rPr>
              <w:t xml:space="preserve">↑ </w:t>
            </w:r>
            <w:r w:rsidRPr="001E1A5B">
              <w:rPr>
                <w:rFonts w:eastAsia="Times New Roman"/>
                <w:color w:val="000000"/>
                <w:sz w:val="22"/>
                <w:szCs w:val="22"/>
                <w:lang w:eastAsia="en-US"/>
              </w:rPr>
              <w:t>17,5</w:t>
            </w:r>
          </w:p>
        </w:tc>
      </w:tr>
    </w:tbl>
    <w:p w:rsidR="00255CC4" w:rsidRDefault="00255CC4" w:rsidP="00255CC4">
      <w:pPr>
        <w:rPr>
          <w:rFonts w:eastAsia="Times New Roman"/>
          <w:sz w:val="20"/>
          <w:szCs w:val="20"/>
        </w:rPr>
      </w:pPr>
      <w:r w:rsidRPr="004E69B2">
        <w:rPr>
          <w:sz w:val="20"/>
          <w:szCs w:val="20"/>
        </w:rPr>
        <w:t xml:space="preserve">Avots: LM, </w:t>
      </w:r>
      <w:r w:rsidRPr="004E69B2">
        <w:rPr>
          <w:bCs/>
          <w:sz w:val="20"/>
          <w:szCs w:val="20"/>
        </w:rPr>
        <w:t xml:space="preserve">Oficiālā statistika sociālo pakalpojumu un sociālās palīdzības jomā. </w:t>
      </w:r>
      <w:r w:rsidRPr="004E69B2">
        <w:rPr>
          <w:rFonts w:eastAsia="Times New Roman"/>
          <w:sz w:val="20"/>
          <w:szCs w:val="20"/>
        </w:rPr>
        <w:t> </w:t>
      </w:r>
      <w:r>
        <w:rPr>
          <w:rFonts w:eastAsia="Times New Roman"/>
          <w:sz w:val="20"/>
          <w:szCs w:val="20"/>
        </w:rPr>
        <w:t xml:space="preserve">Dzīvokļa pabalsts. </w:t>
      </w:r>
    </w:p>
    <w:p w:rsidR="00255CC4" w:rsidRPr="00877B9F" w:rsidRDefault="00AD3EDD" w:rsidP="008C6B83">
      <w:pPr>
        <w:pStyle w:val="Caption"/>
        <w:rPr>
          <w:rFonts w:eastAsia="Times New Roman"/>
          <w:lang w:eastAsia="en-US"/>
        </w:rPr>
      </w:pPr>
      <w:r>
        <w:fldChar w:fldCharType="begin"/>
      </w:r>
      <w:r w:rsidR="000F1524">
        <w:instrText xml:space="preserve"> STYLEREF 1 \s </w:instrText>
      </w:r>
      <w:r>
        <w:fldChar w:fldCharType="separate"/>
      </w:r>
      <w:bookmarkStart w:id="289" w:name="_Toc6857671"/>
      <w:r w:rsidR="00224B50">
        <w:rPr>
          <w:noProof/>
        </w:rPr>
        <w:t>1</w:t>
      </w:r>
      <w:r>
        <w:rPr>
          <w:noProof/>
        </w:rPr>
        <w:fldChar w:fldCharType="end"/>
      </w:r>
      <w:r w:rsidR="00A46B54">
        <w:t>.</w:t>
      </w:r>
      <w:r w:rsidR="00E21C32">
        <w:t>3</w:t>
      </w:r>
      <w:r w:rsidR="00761553">
        <w:t>8</w:t>
      </w:r>
      <w:r w:rsidR="00255CC4" w:rsidRPr="00877B9F">
        <w:t xml:space="preserve">. </w:t>
      </w:r>
      <w:r w:rsidR="00255CC4">
        <w:t>tabula. Ienākumu testētam dzīvokļa pabalstam atvēlēto līdzekļu sadalījums pēc izdevumu mērķa (2014-2016)</w:t>
      </w:r>
      <w:bookmarkEnd w:id="289"/>
    </w:p>
    <w:tbl>
      <w:tblPr>
        <w:tblW w:w="96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1418"/>
        <w:gridCol w:w="992"/>
        <w:gridCol w:w="1276"/>
        <w:gridCol w:w="1134"/>
        <w:gridCol w:w="1526"/>
        <w:gridCol w:w="999"/>
      </w:tblGrid>
      <w:tr w:rsidR="00255CC4" w:rsidRPr="00BC22F8" w:rsidTr="00BC22F8">
        <w:trPr>
          <w:trHeight w:val="300"/>
        </w:trPr>
        <w:tc>
          <w:tcPr>
            <w:tcW w:w="2268" w:type="dxa"/>
            <w:shd w:val="clear" w:color="auto" w:fill="B8CCE4" w:themeFill="accent1" w:themeFillTint="66"/>
            <w:noWrap/>
            <w:vAlign w:val="bottom"/>
            <w:hideMark/>
          </w:tcPr>
          <w:p w:rsidR="00255CC4" w:rsidRPr="00BC22F8" w:rsidRDefault="00255CC4" w:rsidP="00255CC4">
            <w:pPr>
              <w:spacing w:before="80" w:after="80" w:line="240" w:lineRule="auto"/>
              <w:jc w:val="left"/>
              <w:rPr>
                <w:rFonts w:eastAsia="Times New Roman"/>
                <w:b/>
                <w:color w:val="002060"/>
                <w:sz w:val="22"/>
                <w:szCs w:val="22"/>
                <w:lang w:eastAsia="en-US"/>
              </w:rPr>
            </w:pPr>
            <w:r w:rsidRPr="00BC22F8">
              <w:rPr>
                <w:rFonts w:eastAsia="Times New Roman"/>
                <w:b/>
                <w:color w:val="002060"/>
                <w:sz w:val="22"/>
                <w:szCs w:val="22"/>
                <w:lang w:eastAsia="en-US"/>
              </w:rPr>
              <w:t>Rādītājs</w:t>
            </w:r>
          </w:p>
        </w:tc>
        <w:tc>
          <w:tcPr>
            <w:tcW w:w="2410" w:type="dxa"/>
            <w:gridSpan w:val="2"/>
            <w:shd w:val="clear" w:color="auto" w:fill="B8CCE4" w:themeFill="accent1" w:themeFillTint="66"/>
            <w:noWrap/>
            <w:vAlign w:val="bottom"/>
            <w:hideMark/>
          </w:tcPr>
          <w:p w:rsidR="00255CC4" w:rsidRPr="00BC22F8" w:rsidRDefault="00255CC4" w:rsidP="00255CC4">
            <w:pPr>
              <w:spacing w:before="80" w:after="80" w:line="240" w:lineRule="auto"/>
              <w:jc w:val="center"/>
              <w:rPr>
                <w:rFonts w:eastAsia="Times New Roman"/>
                <w:b/>
                <w:color w:val="002060"/>
                <w:sz w:val="22"/>
                <w:szCs w:val="22"/>
                <w:lang w:eastAsia="en-US"/>
              </w:rPr>
            </w:pPr>
            <w:r w:rsidRPr="00BC22F8">
              <w:rPr>
                <w:rFonts w:eastAsia="Times New Roman"/>
                <w:b/>
                <w:color w:val="002060"/>
                <w:sz w:val="22"/>
                <w:szCs w:val="22"/>
                <w:lang w:eastAsia="en-US"/>
              </w:rPr>
              <w:t>2014</w:t>
            </w:r>
          </w:p>
        </w:tc>
        <w:tc>
          <w:tcPr>
            <w:tcW w:w="2410" w:type="dxa"/>
            <w:gridSpan w:val="2"/>
            <w:shd w:val="clear" w:color="auto" w:fill="B8CCE4" w:themeFill="accent1" w:themeFillTint="66"/>
            <w:noWrap/>
            <w:vAlign w:val="bottom"/>
            <w:hideMark/>
          </w:tcPr>
          <w:p w:rsidR="00255CC4" w:rsidRPr="00BC22F8" w:rsidRDefault="00255CC4" w:rsidP="00255CC4">
            <w:pPr>
              <w:spacing w:before="80" w:after="80" w:line="240" w:lineRule="auto"/>
              <w:jc w:val="center"/>
              <w:rPr>
                <w:rFonts w:eastAsia="Times New Roman"/>
                <w:b/>
                <w:color w:val="002060"/>
                <w:sz w:val="22"/>
                <w:szCs w:val="22"/>
                <w:lang w:eastAsia="en-US"/>
              </w:rPr>
            </w:pPr>
            <w:r w:rsidRPr="00BC22F8">
              <w:rPr>
                <w:rFonts w:eastAsia="Times New Roman"/>
                <w:b/>
                <w:color w:val="002060"/>
                <w:sz w:val="22"/>
                <w:szCs w:val="22"/>
                <w:lang w:eastAsia="en-US"/>
              </w:rPr>
              <w:t>2015</w:t>
            </w:r>
          </w:p>
        </w:tc>
        <w:tc>
          <w:tcPr>
            <w:tcW w:w="2525" w:type="dxa"/>
            <w:gridSpan w:val="2"/>
            <w:shd w:val="clear" w:color="auto" w:fill="B8CCE4" w:themeFill="accent1" w:themeFillTint="66"/>
            <w:noWrap/>
            <w:vAlign w:val="bottom"/>
            <w:hideMark/>
          </w:tcPr>
          <w:p w:rsidR="00255CC4" w:rsidRPr="00BC22F8" w:rsidRDefault="00255CC4" w:rsidP="00255CC4">
            <w:pPr>
              <w:spacing w:before="80" w:after="80" w:line="240" w:lineRule="auto"/>
              <w:jc w:val="center"/>
              <w:rPr>
                <w:rFonts w:eastAsia="Times New Roman"/>
                <w:b/>
                <w:color w:val="002060"/>
                <w:sz w:val="22"/>
                <w:szCs w:val="22"/>
                <w:lang w:eastAsia="en-US"/>
              </w:rPr>
            </w:pPr>
            <w:r w:rsidRPr="00BC22F8">
              <w:rPr>
                <w:rFonts w:eastAsia="Times New Roman"/>
                <w:b/>
                <w:color w:val="002060"/>
                <w:sz w:val="22"/>
                <w:szCs w:val="22"/>
                <w:lang w:eastAsia="en-US"/>
              </w:rPr>
              <w:t>2016</w:t>
            </w:r>
          </w:p>
        </w:tc>
      </w:tr>
      <w:tr w:rsidR="00255CC4" w:rsidRPr="001E1A5B" w:rsidTr="00255CC4">
        <w:trPr>
          <w:trHeight w:val="300"/>
        </w:trPr>
        <w:tc>
          <w:tcPr>
            <w:tcW w:w="2268" w:type="dxa"/>
            <w:shd w:val="clear" w:color="auto" w:fill="DBE5F1" w:themeFill="accent1" w:themeFillTint="33"/>
            <w:noWrap/>
            <w:vAlign w:val="bottom"/>
            <w:hideMark/>
          </w:tcPr>
          <w:p w:rsidR="00255CC4" w:rsidRPr="001E1A5B" w:rsidRDefault="00255CC4" w:rsidP="00255CC4">
            <w:pPr>
              <w:spacing w:line="240" w:lineRule="auto"/>
              <w:jc w:val="left"/>
              <w:rPr>
                <w:rFonts w:eastAsia="Times New Roman"/>
                <w:b/>
                <w:sz w:val="22"/>
                <w:szCs w:val="22"/>
                <w:lang w:eastAsia="en-US"/>
              </w:rPr>
            </w:pPr>
            <w:r w:rsidRPr="001E1A5B">
              <w:rPr>
                <w:rFonts w:eastAsia="Times New Roman"/>
                <w:b/>
                <w:sz w:val="22"/>
                <w:szCs w:val="22"/>
                <w:lang w:eastAsia="en-US"/>
              </w:rPr>
              <w:t>Mērvienība</w:t>
            </w:r>
          </w:p>
        </w:tc>
        <w:tc>
          <w:tcPr>
            <w:tcW w:w="1418" w:type="dxa"/>
            <w:shd w:val="clear" w:color="auto" w:fill="DBE5F1" w:themeFill="accent1" w:themeFillTint="33"/>
            <w:noWrap/>
            <w:vAlign w:val="center"/>
            <w:hideMark/>
          </w:tcPr>
          <w:p w:rsidR="00255CC4" w:rsidRPr="001E1A5B" w:rsidRDefault="00255CC4" w:rsidP="00255CC4">
            <w:pPr>
              <w:spacing w:line="240" w:lineRule="auto"/>
              <w:jc w:val="center"/>
              <w:rPr>
                <w:rFonts w:eastAsia="Times New Roman"/>
                <w:b/>
                <w:sz w:val="22"/>
                <w:szCs w:val="22"/>
                <w:lang w:eastAsia="en-US"/>
              </w:rPr>
            </w:pPr>
            <w:r w:rsidRPr="001E1A5B">
              <w:rPr>
                <w:rFonts w:eastAsia="Times New Roman"/>
                <w:b/>
                <w:sz w:val="22"/>
                <w:szCs w:val="22"/>
                <w:lang w:eastAsia="en-US"/>
              </w:rPr>
              <w:t>EUR</w:t>
            </w:r>
          </w:p>
        </w:tc>
        <w:tc>
          <w:tcPr>
            <w:tcW w:w="992" w:type="dxa"/>
            <w:shd w:val="clear" w:color="auto" w:fill="DBE5F1" w:themeFill="accent1" w:themeFillTint="33"/>
            <w:noWrap/>
            <w:vAlign w:val="center"/>
            <w:hideMark/>
          </w:tcPr>
          <w:p w:rsidR="00255CC4" w:rsidRPr="001E1A5B" w:rsidRDefault="00255CC4" w:rsidP="00255CC4">
            <w:pPr>
              <w:spacing w:line="240" w:lineRule="auto"/>
              <w:jc w:val="center"/>
              <w:rPr>
                <w:rFonts w:eastAsia="Times New Roman"/>
                <w:b/>
                <w:sz w:val="22"/>
                <w:szCs w:val="22"/>
                <w:lang w:eastAsia="en-US"/>
              </w:rPr>
            </w:pPr>
            <w:r>
              <w:rPr>
                <w:rFonts w:eastAsia="Times New Roman"/>
                <w:b/>
                <w:sz w:val="22"/>
                <w:szCs w:val="22"/>
                <w:lang w:eastAsia="en-US"/>
              </w:rPr>
              <w:t>%</w:t>
            </w:r>
          </w:p>
        </w:tc>
        <w:tc>
          <w:tcPr>
            <w:tcW w:w="1276" w:type="dxa"/>
            <w:shd w:val="clear" w:color="auto" w:fill="DBE5F1" w:themeFill="accent1" w:themeFillTint="33"/>
            <w:noWrap/>
            <w:vAlign w:val="center"/>
            <w:hideMark/>
          </w:tcPr>
          <w:p w:rsidR="00255CC4" w:rsidRPr="001E1A5B" w:rsidRDefault="00255CC4" w:rsidP="00255CC4">
            <w:pPr>
              <w:spacing w:line="240" w:lineRule="auto"/>
              <w:jc w:val="center"/>
              <w:rPr>
                <w:rFonts w:eastAsia="Times New Roman"/>
                <w:b/>
                <w:sz w:val="22"/>
                <w:szCs w:val="22"/>
                <w:lang w:eastAsia="en-US"/>
              </w:rPr>
            </w:pPr>
            <w:r w:rsidRPr="001E1A5B">
              <w:rPr>
                <w:rFonts w:eastAsia="Times New Roman"/>
                <w:b/>
                <w:sz w:val="22"/>
                <w:szCs w:val="22"/>
                <w:lang w:eastAsia="en-US"/>
              </w:rPr>
              <w:t>EUR</w:t>
            </w:r>
          </w:p>
        </w:tc>
        <w:tc>
          <w:tcPr>
            <w:tcW w:w="1134" w:type="dxa"/>
            <w:shd w:val="clear" w:color="auto" w:fill="DBE5F1" w:themeFill="accent1" w:themeFillTint="33"/>
            <w:noWrap/>
            <w:vAlign w:val="center"/>
            <w:hideMark/>
          </w:tcPr>
          <w:p w:rsidR="00255CC4" w:rsidRPr="001E1A5B" w:rsidRDefault="00255CC4" w:rsidP="00255CC4">
            <w:pPr>
              <w:spacing w:line="240" w:lineRule="auto"/>
              <w:jc w:val="center"/>
              <w:rPr>
                <w:rFonts w:eastAsia="Times New Roman"/>
                <w:b/>
                <w:sz w:val="22"/>
                <w:szCs w:val="22"/>
                <w:lang w:eastAsia="en-US"/>
              </w:rPr>
            </w:pPr>
            <w:r>
              <w:rPr>
                <w:rFonts w:eastAsia="Times New Roman"/>
                <w:b/>
                <w:sz w:val="22"/>
                <w:szCs w:val="22"/>
                <w:lang w:eastAsia="en-US"/>
              </w:rPr>
              <w:t>%</w:t>
            </w:r>
          </w:p>
        </w:tc>
        <w:tc>
          <w:tcPr>
            <w:tcW w:w="1526" w:type="dxa"/>
            <w:shd w:val="clear" w:color="auto" w:fill="DBE5F1" w:themeFill="accent1" w:themeFillTint="33"/>
            <w:noWrap/>
            <w:vAlign w:val="center"/>
            <w:hideMark/>
          </w:tcPr>
          <w:p w:rsidR="00255CC4" w:rsidRPr="001E1A5B" w:rsidRDefault="00255CC4" w:rsidP="00255CC4">
            <w:pPr>
              <w:spacing w:line="240" w:lineRule="auto"/>
              <w:jc w:val="center"/>
              <w:rPr>
                <w:rFonts w:eastAsia="Times New Roman"/>
                <w:b/>
                <w:sz w:val="22"/>
                <w:szCs w:val="22"/>
                <w:lang w:eastAsia="en-US"/>
              </w:rPr>
            </w:pPr>
            <w:r w:rsidRPr="001E1A5B">
              <w:rPr>
                <w:rFonts w:eastAsia="Times New Roman"/>
                <w:b/>
                <w:sz w:val="22"/>
                <w:szCs w:val="22"/>
                <w:lang w:eastAsia="en-US"/>
              </w:rPr>
              <w:t>EUR</w:t>
            </w:r>
          </w:p>
        </w:tc>
        <w:tc>
          <w:tcPr>
            <w:tcW w:w="999" w:type="dxa"/>
            <w:shd w:val="clear" w:color="auto" w:fill="DBE5F1" w:themeFill="accent1" w:themeFillTint="33"/>
            <w:noWrap/>
            <w:vAlign w:val="center"/>
            <w:hideMark/>
          </w:tcPr>
          <w:p w:rsidR="00255CC4" w:rsidRPr="001E1A5B" w:rsidRDefault="00255CC4" w:rsidP="00255CC4">
            <w:pPr>
              <w:spacing w:line="240" w:lineRule="auto"/>
              <w:jc w:val="center"/>
              <w:rPr>
                <w:rFonts w:eastAsia="Times New Roman"/>
                <w:b/>
                <w:sz w:val="22"/>
                <w:szCs w:val="22"/>
                <w:lang w:eastAsia="en-US"/>
              </w:rPr>
            </w:pPr>
            <w:r>
              <w:rPr>
                <w:rFonts w:eastAsia="Times New Roman"/>
                <w:b/>
                <w:sz w:val="22"/>
                <w:szCs w:val="22"/>
                <w:lang w:eastAsia="en-US"/>
              </w:rPr>
              <w:t>%</w:t>
            </w:r>
          </w:p>
        </w:tc>
      </w:tr>
      <w:tr w:rsidR="00255CC4" w:rsidRPr="001E1A5B" w:rsidTr="00255CC4">
        <w:trPr>
          <w:trHeight w:val="300"/>
        </w:trPr>
        <w:tc>
          <w:tcPr>
            <w:tcW w:w="2268" w:type="dxa"/>
            <w:shd w:val="clear" w:color="auto" w:fill="auto"/>
            <w:noWrap/>
            <w:vAlign w:val="bottom"/>
            <w:hideMark/>
          </w:tcPr>
          <w:p w:rsidR="00255CC4" w:rsidRPr="001E1A5B" w:rsidRDefault="00255CC4" w:rsidP="00255CC4">
            <w:pPr>
              <w:spacing w:line="240" w:lineRule="auto"/>
              <w:jc w:val="left"/>
              <w:rPr>
                <w:rFonts w:eastAsia="Times New Roman"/>
                <w:color w:val="000000"/>
                <w:sz w:val="22"/>
                <w:szCs w:val="22"/>
                <w:lang w:eastAsia="en-US"/>
              </w:rPr>
            </w:pPr>
            <w:r w:rsidRPr="001E1A5B">
              <w:rPr>
                <w:rFonts w:eastAsia="Times New Roman"/>
                <w:color w:val="000000"/>
                <w:sz w:val="22"/>
                <w:szCs w:val="22"/>
                <w:lang w:eastAsia="en-US"/>
              </w:rPr>
              <w:t>Īres un komunālajiem maksājumiem</w:t>
            </w:r>
          </w:p>
        </w:tc>
        <w:tc>
          <w:tcPr>
            <w:tcW w:w="1418" w:type="dxa"/>
            <w:shd w:val="clear" w:color="auto" w:fill="auto"/>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sidRPr="001E1A5B">
              <w:rPr>
                <w:rFonts w:eastAsia="Times New Roman"/>
                <w:color w:val="000000"/>
                <w:sz w:val="22"/>
                <w:szCs w:val="22"/>
                <w:lang w:eastAsia="en-US"/>
              </w:rPr>
              <w:t>14</w:t>
            </w:r>
            <w:r>
              <w:rPr>
                <w:rFonts w:eastAsia="Times New Roman"/>
                <w:color w:val="000000"/>
                <w:sz w:val="22"/>
                <w:szCs w:val="22"/>
                <w:lang w:eastAsia="en-US"/>
              </w:rPr>
              <w:t xml:space="preserve"> </w:t>
            </w:r>
            <w:r w:rsidRPr="001E1A5B">
              <w:rPr>
                <w:rFonts w:eastAsia="Times New Roman"/>
                <w:color w:val="000000"/>
                <w:sz w:val="22"/>
                <w:szCs w:val="22"/>
                <w:lang w:eastAsia="en-US"/>
              </w:rPr>
              <w:t>874</w:t>
            </w:r>
            <w:r>
              <w:rPr>
                <w:rFonts w:eastAsia="Times New Roman"/>
                <w:color w:val="000000"/>
                <w:sz w:val="22"/>
                <w:szCs w:val="22"/>
                <w:lang w:eastAsia="en-US"/>
              </w:rPr>
              <w:t xml:space="preserve"> </w:t>
            </w:r>
            <w:r w:rsidRPr="001E1A5B">
              <w:rPr>
                <w:rFonts w:eastAsia="Times New Roman"/>
                <w:color w:val="000000"/>
                <w:sz w:val="22"/>
                <w:szCs w:val="22"/>
                <w:lang w:eastAsia="en-US"/>
              </w:rPr>
              <w:t>990</w:t>
            </w:r>
          </w:p>
        </w:tc>
        <w:tc>
          <w:tcPr>
            <w:tcW w:w="992" w:type="dxa"/>
            <w:shd w:val="clear" w:color="auto" w:fill="auto"/>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sidRPr="001E1A5B">
              <w:rPr>
                <w:rFonts w:eastAsia="Times New Roman"/>
                <w:color w:val="000000"/>
                <w:sz w:val="22"/>
                <w:szCs w:val="22"/>
                <w:lang w:eastAsia="en-US"/>
              </w:rPr>
              <w:t>72,7</w:t>
            </w:r>
          </w:p>
        </w:tc>
        <w:tc>
          <w:tcPr>
            <w:tcW w:w="1276" w:type="dxa"/>
            <w:shd w:val="clear" w:color="auto" w:fill="auto"/>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sidRPr="001E1A5B">
              <w:rPr>
                <w:rFonts w:eastAsia="Times New Roman"/>
                <w:color w:val="000000"/>
                <w:sz w:val="22"/>
                <w:szCs w:val="22"/>
                <w:lang w:eastAsia="en-US"/>
              </w:rPr>
              <w:t>13613480</w:t>
            </w:r>
          </w:p>
        </w:tc>
        <w:tc>
          <w:tcPr>
            <w:tcW w:w="1134" w:type="dxa"/>
            <w:shd w:val="clear" w:color="auto" w:fill="auto"/>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sidRPr="001E1A5B">
              <w:rPr>
                <w:rFonts w:eastAsia="Times New Roman"/>
                <w:color w:val="000000"/>
                <w:sz w:val="22"/>
                <w:szCs w:val="22"/>
                <w:lang w:eastAsia="en-US"/>
              </w:rPr>
              <w:t>74,0</w:t>
            </w:r>
          </w:p>
        </w:tc>
        <w:tc>
          <w:tcPr>
            <w:tcW w:w="1526" w:type="dxa"/>
            <w:shd w:val="clear" w:color="auto" w:fill="auto"/>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sidRPr="001E1A5B">
              <w:rPr>
                <w:rFonts w:eastAsia="Times New Roman"/>
                <w:color w:val="000000"/>
                <w:sz w:val="22"/>
                <w:szCs w:val="22"/>
                <w:lang w:eastAsia="en-US"/>
              </w:rPr>
              <w:t>12</w:t>
            </w:r>
            <w:r>
              <w:rPr>
                <w:rFonts w:eastAsia="Times New Roman"/>
                <w:color w:val="000000"/>
                <w:sz w:val="22"/>
                <w:szCs w:val="22"/>
                <w:lang w:eastAsia="en-US"/>
              </w:rPr>
              <w:t xml:space="preserve"> </w:t>
            </w:r>
            <w:r w:rsidRPr="001E1A5B">
              <w:rPr>
                <w:rFonts w:eastAsia="Times New Roman"/>
                <w:color w:val="000000"/>
                <w:sz w:val="22"/>
                <w:szCs w:val="22"/>
                <w:lang w:eastAsia="en-US"/>
              </w:rPr>
              <w:t>398</w:t>
            </w:r>
            <w:r>
              <w:rPr>
                <w:rFonts w:eastAsia="Times New Roman"/>
                <w:color w:val="000000"/>
                <w:sz w:val="22"/>
                <w:szCs w:val="22"/>
                <w:lang w:eastAsia="en-US"/>
              </w:rPr>
              <w:t xml:space="preserve"> </w:t>
            </w:r>
            <w:r w:rsidRPr="001E1A5B">
              <w:rPr>
                <w:rFonts w:eastAsia="Times New Roman"/>
                <w:color w:val="000000"/>
                <w:sz w:val="22"/>
                <w:szCs w:val="22"/>
                <w:lang w:eastAsia="en-US"/>
              </w:rPr>
              <w:t>271</w:t>
            </w:r>
          </w:p>
        </w:tc>
        <w:tc>
          <w:tcPr>
            <w:tcW w:w="999" w:type="dxa"/>
            <w:shd w:val="clear" w:color="auto" w:fill="auto"/>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sidRPr="001E1A5B">
              <w:rPr>
                <w:rFonts w:eastAsia="Times New Roman"/>
                <w:color w:val="000000"/>
                <w:sz w:val="22"/>
                <w:szCs w:val="22"/>
                <w:lang w:eastAsia="en-US"/>
              </w:rPr>
              <w:t>74,4</w:t>
            </w:r>
          </w:p>
        </w:tc>
      </w:tr>
      <w:tr w:rsidR="00255CC4" w:rsidRPr="001E1A5B" w:rsidTr="00255CC4">
        <w:trPr>
          <w:trHeight w:val="300"/>
        </w:trPr>
        <w:tc>
          <w:tcPr>
            <w:tcW w:w="2268" w:type="dxa"/>
            <w:shd w:val="clear" w:color="auto" w:fill="auto"/>
            <w:noWrap/>
            <w:vAlign w:val="bottom"/>
            <w:hideMark/>
          </w:tcPr>
          <w:p w:rsidR="00255CC4" w:rsidRPr="001E1A5B" w:rsidRDefault="00255CC4" w:rsidP="00255CC4">
            <w:pPr>
              <w:spacing w:line="240" w:lineRule="auto"/>
              <w:jc w:val="left"/>
              <w:rPr>
                <w:rFonts w:eastAsia="Times New Roman"/>
                <w:color w:val="000000"/>
                <w:sz w:val="22"/>
                <w:szCs w:val="22"/>
                <w:lang w:eastAsia="en-US"/>
              </w:rPr>
            </w:pPr>
            <w:r w:rsidRPr="001E1A5B">
              <w:rPr>
                <w:rFonts w:eastAsia="Times New Roman"/>
                <w:color w:val="000000"/>
                <w:sz w:val="22"/>
                <w:szCs w:val="22"/>
                <w:lang w:eastAsia="en-US"/>
              </w:rPr>
              <w:t>Kurināmā iegādei</w:t>
            </w:r>
          </w:p>
        </w:tc>
        <w:tc>
          <w:tcPr>
            <w:tcW w:w="1418" w:type="dxa"/>
            <w:shd w:val="clear" w:color="auto" w:fill="auto"/>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sidRPr="001E1A5B">
              <w:rPr>
                <w:rFonts w:eastAsia="Times New Roman"/>
                <w:color w:val="000000"/>
                <w:sz w:val="22"/>
                <w:szCs w:val="22"/>
                <w:lang w:eastAsia="en-US"/>
              </w:rPr>
              <w:t>4</w:t>
            </w:r>
            <w:r>
              <w:rPr>
                <w:rFonts w:eastAsia="Times New Roman"/>
                <w:color w:val="000000"/>
                <w:sz w:val="22"/>
                <w:szCs w:val="22"/>
                <w:lang w:eastAsia="en-US"/>
              </w:rPr>
              <w:t xml:space="preserve"> </w:t>
            </w:r>
            <w:r w:rsidRPr="001E1A5B">
              <w:rPr>
                <w:rFonts w:eastAsia="Times New Roman"/>
                <w:color w:val="000000"/>
                <w:sz w:val="22"/>
                <w:szCs w:val="22"/>
                <w:lang w:eastAsia="en-US"/>
              </w:rPr>
              <w:t>784</w:t>
            </w:r>
            <w:r>
              <w:rPr>
                <w:rFonts w:eastAsia="Times New Roman"/>
                <w:color w:val="000000"/>
                <w:sz w:val="22"/>
                <w:szCs w:val="22"/>
                <w:lang w:eastAsia="en-US"/>
              </w:rPr>
              <w:t xml:space="preserve"> </w:t>
            </w:r>
            <w:r w:rsidRPr="001E1A5B">
              <w:rPr>
                <w:rFonts w:eastAsia="Times New Roman"/>
                <w:color w:val="000000"/>
                <w:sz w:val="22"/>
                <w:szCs w:val="22"/>
                <w:lang w:eastAsia="en-US"/>
              </w:rPr>
              <w:t>682</w:t>
            </w:r>
          </w:p>
        </w:tc>
        <w:tc>
          <w:tcPr>
            <w:tcW w:w="992" w:type="dxa"/>
            <w:shd w:val="clear" w:color="auto" w:fill="auto"/>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sidRPr="001E1A5B">
              <w:rPr>
                <w:rFonts w:eastAsia="Times New Roman"/>
                <w:color w:val="000000"/>
                <w:sz w:val="22"/>
                <w:szCs w:val="22"/>
                <w:lang w:eastAsia="en-US"/>
              </w:rPr>
              <w:t>23,4</w:t>
            </w:r>
          </w:p>
        </w:tc>
        <w:tc>
          <w:tcPr>
            <w:tcW w:w="1276" w:type="dxa"/>
            <w:shd w:val="clear" w:color="auto" w:fill="auto"/>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sidRPr="001E1A5B">
              <w:rPr>
                <w:rFonts w:eastAsia="Times New Roman"/>
                <w:color w:val="000000"/>
                <w:sz w:val="22"/>
                <w:szCs w:val="22"/>
                <w:lang w:eastAsia="en-US"/>
              </w:rPr>
              <w:t>4701644</w:t>
            </w:r>
          </w:p>
        </w:tc>
        <w:tc>
          <w:tcPr>
            <w:tcW w:w="1134" w:type="dxa"/>
            <w:shd w:val="clear" w:color="auto" w:fill="auto"/>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sidRPr="001E1A5B">
              <w:rPr>
                <w:rFonts w:eastAsia="Times New Roman"/>
                <w:color w:val="000000"/>
                <w:sz w:val="22"/>
                <w:szCs w:val="22"/>
                <w:lang w:eastAsia="en-US"/>
              </w:rPr>
              <w:t>25,6</w:t>
            </w:r>
          </w:p>
        </w:tc>
        <w:tc>
          <w:tcPr>
            <w:tcW w:w="1526" w:type="dxa"/>
            <w:shd w:val="clear" w:color="auto" w:fill="auto"/>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sidRPr="001E1A5B">
              <w:rPr>
                <w:rFonts w:eastAsia="Times New Roman"/>
                <w:color w:val="000000"/>
                <w:sz w:val="22"/>
                <w:szCs w:val="22"/>
                <w:lang w:eastAsia="en-US"/>
              </w:rPr>
              <w:t>4</w:t>
            </w:r>
            <w:r>
              <w:rPr>
                <w:rFonts w:eastAsia="Times New Roman"/>
                <w:color w:val="000000"/>
                <w:sz w:val="22"/>
                <w:szCs w:val="22"/>
                <w:lang w:eastAsia="en-US"/>
              </w:rPr>
              <w:t xml:space="preserve"> </w:t>
            </w:r>
            <w:r w:rsidRPr="001E1A5B">
              <w:rPr>
                <w:rFonts w:eastAsia="Times New Roman"/>
                <w:color w:val="000000"/>
                <w:sz w:val="22"/>
                <w:szCs w:val="22"/>
                <w:lang w:eastAsia="en-US"/>
              </w:rPr>
              <w:t>168</w:t>
            </w:r>
            <w:r>
              <w:rPr>
                <w:rFonts w:eastAsia="Times New Roman"/>
                <w:color w:val="000000"/>
                <w:sz w:val="22"/>
                <w:szCs w:val="22"/>
                <w:lang w:eastAsia="en-US"/>
              </w:rPr>
              <w:t xml:space="preserve"> </w:t>
            </w:r>
            <w:r w:rsidRPr="001E1A5B">
              <w:rPr>
                <w:rFonts w:eastAsia="Times New Roman"/>
                <w:color w:val="000000"/>
                <w:sz w:val="22"/>
                <w:szCs w:val="22"/>
                <w:lang w:eastAsia="en-US"/>
              </w:rPr>
              <w:t>503</w:t>
            </w:r>
          </w:p>
        </w:tc>
        <w:tc>
          <w:tcPr>
            <w:tcW w:w="999" w:type="dxa"/>
            <w:shd w:val="clear" w:color="auto" w:fill="auto"/>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sidRPr="001E1A5B">
              <w:rPr>
                <w:rFonts w:eastAsia="Times New Roman"/>
                <w:color w:val="000000"/>
                <w:sz w:val="22"/>
                <w:szCs w:val="22"/>
                <w:lang w:eastAsia="en-US"/>
              </w:rPr>
              <w:t>25,0</w:t>
            </w:r>
          </w:p>
        </w:tc>
      </w:tr>
      <w:tr w:rsidR="00255CC4" w:rsidRPr="001E1A5B" w:rsidTr="00255CC4">
        <w:trPr>
          <w:trHeight w:val="300"/>
        </w:trPr>
        <w:tc>
          <w:tcPr>
            <w:tcW w:w="2268" w:type="dxa"/>
            <w:shd w:val="clear" w:color="auto" w:fill="auto"/>
            <w:noWrap/>
            <w:vAlign w:val="bottom"/>
            <w:hideMark/>
          </w:tcPr>
          <w:p w:rsidR="00255CC4" w:rsidRPr="001E1A5B" w:rsidRDefault="00255CC4" w:rsidP="00255CC4">
            <w:pPr>
              <w:spacing w:line="240" w:lineRule="auto"/>
              <w:jc w:val="left"/>
              <w:rPr>
                <w:rFonts w:eastAsia="Times New Roman"/>
                <w:color w:val="000000"/>
                <w:sz w:val="22"/>
                <w:szCs w:val="22"/>
                <w:lang w:eastAsia="en-US"/>
              </w:rPr>
            </w:pPr>
            <w:r w:rsidRPr="001E1A5B">
              <w:rPr>
                <w:rFonts w:eastAsia="Times New Roman"/>
                <w:color w:val="000000"/>
                <w:sz w:val="22"/>
                <w:szCs w:val="22"/>
                <w:lang w:eastAsia="en-US"/>
              </w:rPr>
              <w:t>Citi izdevumi</w:t>
            </w:r>
          </w:p>
        </w:tc>
        <w:tc>
          <w:tcPr>
            <w:tcW w:w="1418" w:type="dxa"/>
            <w:shd w:val="clear" w:color="auto" w:fill="auto"/>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sidRPr="001E1A5B">
              <w:rPr>
                <w:rFonts w:eastAsia="Times New Roman"/>
                <w:color w:val="000000"/>
                <w:sz w:val="22"/>
                <w:szCs w:val="22"/>
                <w:lang w:eastAsia="en-US"/>
              </w:rPr>
              <w:t>813</w:t>
            </w:r>
            <w:r>
              <w:rPr>
                <w:rFonts w:eastAsia="Times New Roman"/>
                <w:color w:val="000000"/>
                <w:sz w:val="22"/>
                <w:szCs w:val="22"/>
                <w:lang w:eastAsia="en-US"/>
              </w:rPr>
              <w:t xml:space="preserve"> </w:t>
            </w:r>
            <w:r w:rsidRPr="001E1A5B">
              <w:rPr>
                <w:rFonts w:eastAsia="Times New Roman"/>
                <w:color w:val="000000"/>
                <w:sz w:val="22"/>
                <w:szCs w:val="22"/>
                <w:lang w:eastAsia="en-US"/>
              </w:rPr>
              <w:t>030</w:t>
            </w:r>
          </w:p>
        </w:tc>
        <w:tc>
          <w:tcPr>
            <w:tcW w:w="992" w:type="dxa"/>
            <w:shd w:val="clear" w:color="auto" w:fill="auto"/>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sidRPr="001E1A5B">
              <w:rPr>
                <w:rFonts w:eastAsia="Times New Roman"/>
                <w:color w:val="000000"/>
                <w:sz w:val="22"/>
                <w:szCs w:val="22"/>
                <w:lang w:eastAsia="en-US"/>
              </w:rPr>
              <w:t>4,0</w:t>
            </w:r>
          </w:p>
        </w:tc>
        <w:tc>
          <w:tcPr>
            <w:tcW w:w="1276" w:type="dxa"/>
            <w:shd w:val="clear" w:color="auto" w:fill="auto"/>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sidRPr="001E1A5B">
              <w:rPr>
                <w:rFonts w:eastAsia="Times New Roman"/>
                <w:color w:val="000000"/>
                <w:sz w:val="22"/>
                <w:szCs w:val="22"/>
                <w:lang w:eastAsia="en-US"/>
              </w:rPr>
              <w:t>74945</w:t>
            </w:r>
          </w:p>
        </w:tc>
        <w:tc>
          <w:tcPr>
            <w:tcW w:w="1134" w:type="dxa"/>
            <w:shd w:val="clear" w:color="auto" w:fill="auto"/>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sidRPr="001E1A5B">
              <w:rPr>
                <w:rFonts w:eastAsia="Times New Roman"/>
                <w:color w:val="000000"/>
                <w:sz w:val="22"/>
                <w:szCs w:val="22"/>
                <w:lang w:eastAsia="en-US"/>
              </w:rPr>
              <w:t>0,4</w:t>
            </w:r>
          </w:p>
        </w:tc>
        <w:tc>
          <w:tcPr>
            <w:tcW w:w="1526" w:type="dxa"/>
            <w:shd w:val="clear" w:color="auto" w:fill="auto"/>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sidRPr="001E1A5B">
              <w:rPr>
                <w:rFonts w:eastAsia="Times New Roman"/>
                <w:color w:val="000000"/>
                <w:sz w:val="22"/>
                <w:szCs w:val="22"/>
                <w:lang w:eastAsia="en-US"/>
              </w:rPr>
              <w:t>90</w:t>
            </w:r>
            <w:r>
              <w:rPr>
                <w:rFonts w:eastAsia="Times New Roman"/>
                <w:color w:val="000000"/>
                <w:sz w:val="22"/>
                <w:szCs w:val="22"/>
                <w:lang w:eastAsia="en-US"/>
              </w:rPr>
              <w:t xml:space="preserve"> </w:t>
            </w:r>
            <w:r w:rsidRPr="001E1A5B">
              <w:rPr>
                <w:rFonts w:eastAsia="Times New Roman"/>
                <w:color w:val="000000"/>
                <w:sz w:val="22"/>
                <w:szCs w:val="22"/>
                <w:lang w:eastAsia="en-US"/>
              </w:rPr>
              <w:t>045</w:t>
            </w:r>
          </w:p>
        </w:tc>
        <w:tc>
          <w:tcPr>
            <w:tcW w:w="999" w:type="dxa"/>
            <w:shd w:val="clear" w:color="auto" w:fill="auto"/>
            <w:noWrap/>
            <w:vAlign w:val="center"/>
            <w:hideMark/>
          </w:tcPr>
          <w:p w:rsidR="00255CC4" w:rsidRPr="001E1A5B" w:rsidRDefault="00255CC4" w:rsidP="00255CC4">
            <w:pPr>
              <w:spacing w:line="240" w:lineRule="auto"/>
              <w:jc w:val="center"/>
              <w:rPr>
                <w:rFonts w:eastAsia="Times New Roman"/>
                <w:color w:val="000000"/>
                <w:sz w:val="22"/>
                <w:szCs w:val="22"/>
                <w:lang w:eastAsia="en-US"/>
              </w:rPr>
            </w:pPr>
            <w:r w:rsidRPr="001E1A5B">
              <w:rPr>
                <w:rFonts w:eastAsia="Times New Roman"/>
                <w:color w:val="000000"/>
                <w:sz w:val="22"/>
                <w:szCs w:val="22"/>
                <w:lang w:eastAsia="en-US"/>
              </w:rPr>
              <w:t>0,5</w:t>
            </w:r>
          </w:p>
        </w:tc>
      </w:tr>
      <w:tr w:rsidR="00255CC4" w:rsidRPr="001E1A5B" w:rsidTr="00255CC4">
        <w:trPr>
          <w:trHeight w:val="300"/>
        </w:trPr>
        <w:tc>
          <w:tcPr>
            <w:tcW w:w="2268" w:type="dxa"/>
            <w:shd w:val="clear" w:color="auto" w:fill="auto"/>
            <w:noWrap/>
            <w:vAlign w:val="bottom"/>
            <w:hideMark/>
          </w:tcPr>
          <w:p w:rsidR="00255CC4" w:rsidRPr="001E1A5B" w:rsidRDefault="00255CC4" w:rsidP="00255CC4">
            <w:pPr>
              <w:spacing w:line="240" w:lineRule="auto"/>
              <w:jc w:val="left"/>
              <w:rPr>
                <w:rFonts w:eastAsia="Times New Roman"/>
                <w:b/>
                <w:bCs/>
                <w:color w:val="000000"/>
                <w:sz w:val="22"/>
                <w:szCs w:val="22"/>
                <w:lang w:eastAsia="en-US"/>
              </w:rPr>
            </w:pPr>
            <w:r w:rsidRPr="001E1A5B">
              <w:rPr>
                <w:rFonts w:eastAsia="Times New Roman"/>
                <w:b/>
                <w:bCs/>
                <w:color w:val="000000"/>
                <w:sz w:val="22"/>
                <w:szCs w:val="22"/>
                <w:lang w:eastAsia="en-US"/>
              </w:rPr>
              <w:t>Kopā</w:t>
            </w:r>
          </w:p>
        </w:tc>
        <w:tc>
          <w:tcPr>
            <w:tcW w:w="1418" w:type="dxa"/>
            <w:shd w:val="clear" w:color="auto" w:fill="auto"/>
            <w:noWrap/>
            <w:vAlign w:val="center"/>
            <w:hideMark/>
          </w:tcPr>
          <w:p w:rsidR="00255CC4" w:rsidRPr="001E1A5B" w:rsidRDefault="00255CC4" w:rsidP="00255CC4">
            <w:pPr>
              <w:spacing w:line="240" w:lineRule="auto"/>
              <w:jc w:val="center"/>
              <w:rPr>
                <w:rFonts w:eastAsia="Times New Roman"/>
                <w:b/>
                <w:color w:val="000000"/>
                <w:sz w:val="22"/>
                <w:szCs w:val="22"/>
                <w:lang w:eastAsia="en-US"/>
              </w:rPr>
            </w:pPr>
            <w:r w:rsidRPr="001E1A5B">
              <w:rPr>
                <w:rFonts w:eastAsia="Times New Roman"/>
                <w:b/>
                <w:color w:val="000000"/>
                <w:sz w:val="22"/>
                <w:szCs w:val="22"/>
                <w:lang w:eastAsia="en-US"/>
              </w:rPr>
              <w:t>20</w:t>
            </w:r>
            <w:r>
              <w:rPr>
                <w:rFonts w:eastAsia="Times New Roman"/>
                <w:b/>
                <w:color w:val="000000"/>
                <w:sz w:val="22"/>
                <w:szCs w:val="22"/>
                <w:lang w:eastAsia="en-US"/>
              </w:rPr>
              <w:t xml:space="preserve"> </w:t>
            </w:r>
            <w:r w:rsidRPr="001E1A5B">
              <w:rPr>
                <w:rFonts w:eastAsia="Times New Roman"/>
                <w:b/>
                <w:color w:val="000000"/>
                <w:sz w:val="22"/>
                <w:szCs w:val="22"/>
                <w:lang w:eastAsia="en-US"/>
              </w:rPr>
              <w:t>472</w:t>
            </w:r>
            <w:r>
              <w:rPr>
                <w:rFonts w:eastAsia="Times New Roman"/>
                <w:b/>
                <w:color w:val="000000"/>
                <w:sz w:val="22"/>
                <w:szCs w:val="22"/>
                <w:lang w:eastAsia="en-US"/>
              </w:rPr>
              <w:t xml:space="preserve"> </w:t>
            </w:r>
            <w:r w:rsidRPr="001E1A5B">
              <w:rPr>
                <w:rFonts w:eastAsia="Times New Roman"/>
                <w:b/>
                <w:color w:val="000000"/>
                <w:sz w:val="22"/>
                <w:szCs w:val="22"/>
                <w:lang w:eastAsia="en-US"/>
              </w:rPr>
              <w:t>702</w:t>
            </w:r>
          </w:p>
        </w:tc>
        <w:tc>
          <w:tcPr>
            <w:tcW w:w="992" w:type="dxa"/>
            <w:shd w:val="clear" w:color="auto" w:fill="auto"/>
            <w:noWrap/>
            <w:vAlign w:val="center"/>
            <w:hideMark/>
          </w:tcPr>
          <w:p w:rsidR="00255CC4" w:rsidRPr="001E1A5B" w:rsidRDefault="00255CC4" w:rsidP="00255CC4">
            <w:pPr>
              <w:spacing w:line="240" w:lineRule="auto"/>
              <w:jc w:val="center"/>
              <w:rPr>
                <w:rFonts w:eastAsia="Times New Roman"/>
                <w:b/>
                <w:color w:val="000000"/>
                <w:sz w:val="22"/>
                <w:szCs w:val="22"/>
                <w:lang w:eastAsia="en-US"/>
              </w:rPr>
            </w:pPr>
            <w:r w:rsidRPr="001E1A5B">
              <w:rPr>
                <w:rFonts w:eastAsia="Times New Roman"/>
                <w:b/>
                <w:color w:val="000000"/>
                <w:sz w:val="22"/>
                <w:szCs w:val="22"/>
                <w:lang w:eastAsia="en-US"/>
              </w:rPr>
              <w:t>100</w:t>
            </w:r>
          </w:p>
        </w:tc>
        <w:tc>
          <w:tcPr>
            <w:tcW w:w="1276" w:type="dxa"/>
            <w:shd w:val="clear" w:color="auto" w:fill="auto"/>
            <w:noWrap/>
            <w:vAlign w:val="center"/>
            <w:hideMark/>
          </w:tcPr>
          <w:p w:rsidR="00255CC4" w:rsidRPr="001E1A5B" w:rsidRDefault="00255CC4" w:rsidP="00255CC4">
            <w:pPr>
              <w:spacing w:line="240" w:lineRule="auto"/>
              <w:jc w:val="center"/>
              <w:rPr>
                <w:rFonts w:eastAsia="Times New Roman"/>
                <w:b/>
                <w:color w:val="000000"/>
                <w:sz w:val="22"/>
                <w:szCs w:val="22"/>
                <w:lang w:eastAsia="en-US"/>
              </w:rPr>
            </w:pPr>
            <w:r w:rsidRPr="001E1A5B">
              <w:rPr>
                <w:rFonts w:eastAsia="Times New Roman"/>
                <w:b/>
                <w:color w:val="000000"/>
                <w:sz w:val="22"/>
                <w:szCs w:val="22"/>
                <w:lang w:eastAsia="en-US"/>
              </w:rPr>
              <w:t>18</w:t>
            </w:r>
            <w:r>
              <w:rPr>
                <w:rFonts w:eastAsia="Times New Roman"/>
                <w:b/>
                <w:color w:val="000000"/>
                <w:sz w:val="22"/>
                <w:szCs w:val="22"/>
                <w:lang w:eastAsia="en-US"/>
              </w:rPr>
              <w:t> </w:t>
            </w:r>
            <w:r w:rsidRPr="001E1A5B">
              <w:rPr>
                <w:rFonts w:eastAsia="Times New Roman"/>
                <w:b/>
                <w:color w:val="000000"/>
                <w:sz w:val="22"/>
                <w:szCs w:val="22"/>
                <w:lang w:eastAsia="en-US"/>
              </w:rPr>
              <w:t>390</w:t>
            </w:r>
            <w:r>
              <w:rPr>
                <w:rFonts w:eastAsia="Times New Roman"/>
                <w:b/>
                <w:color w:val="000000"/>
                <w:sz w:val="22"/>
                <w:szCs w:val="22"/>
                <w:lang w:eastAsia="en-US"/>
              </w:rPr>
              <w:t xml:space="preserve"> </w:t>
            </w:r>
            <w:r w:rsidRPr="001E1A5B">
              <w:rPr>
                <w:rFonts w:eastAsia="Times New Roman"/>
                <w:b/>
                <w:color w:val="000000"/>
                <w:sz w:val="22"/>
                <w:szCs w:val="22"/>
                <w:lang w:eastAsia="en-US"/>
              </w:rPr>
              <w:t>069</w:t>
            </w:r>
          </w:p>
        </w:tc>
        <w:tc>
          <w:tcPr>
            <w:tcW w:w="1134" w:type="dxa"/>
            <w:shd w:val="clear" w:color="auto" w:fill="auto"/>
            <w:noWrap/>
            <w:vAlign w:val="center"/>
            <w:hideMark/>
          </w:tcPr>
          <w:p w:rsidR="00255CC4" w:rsidRPr="001E1A5B" w:rsidRDefault="00255CC4" w:rsidP="00255CC4">
            <w:pPr>
              <w:spacing w:line="240" w:lineRule="auto"/>
              <w:jc w:val="center"/>
              <w:rPr>
                <w:rFonts w:eastAsia="Times New Roman"/>
                <w:b/>
                <w:color w:val="000000"/>
                <w:sz w:val="22"/>
                <w:szCs w:val="22"/>
                <w:lang w:eastAsia="en-US"/>
              </w:rPr>
            </w:pPr>
            <w:r w:rsidRPr="001E1A5B">
              <w:rPr>
                <w:rFonts w:eastAsia="Times New Roman"/>
                <w:b/>
                <w:color w:val="000000"/>
                <w:sz w:val="22"/>
                <w:szCs w:val="22"/>
                <w:lang w:eastAsia="en-US"/>
              </w:rPr>
              <w:t>100</w:t>
            </w:r>
          </w:p>
        </w:tc>
        <w:tc>
          <w:tcPr>
            <w:tcW w:w="1526" w:type="dxa"/>
            <w:shd w:val="clear" w:color="auto" w:fill="auto"/>
            <w:noWrap/>
            <w:vAlign w:val="center"/>
            <w:hideMark/>
          </w:tcPr>
          <w:p w:rsidR="00255CC4" w:rsidRPr="001E1A5B" w:rsidRDefault="00255CC4" w:rsidP="00255CC4">
            <w:pPr>
              <w:spacing w:line="240" w:lineRule="auto"/>
              <w:jc w:val="center"/>
              <w:rPr>
                <w:rFonts w:eastAsia="Times New Roman"/>
                <w:b/>
                <w:color w:val="000000"/>
                <w:sz w:val="22"/>
                <w:szCs w:val="22"/>
                <w:lang w:eastAsia="en-US"/>
              </w:rPr>
            </w:pPr>
            <w:r w:rsidRPr="001E1A5B">
              <w:rPr>
                <w:rFonts w:eastAsia="Times New Roman"/>
                <w:b/>
                <w:color w:val="000000"/>
                <w:sz w:val="22"/>
                <w:szCs w:val="22"/>
                <w:lang w:eastAsia="en-US"/>
              </w:rPr>
              <w:t>16</w:t>
            </w:r>
            <w:r>
              <w:rPr>
                <w:rFonts w:eastAsia="Times New Roman"/>
                <w:b/>
                <w:color w:val="000000"/>
                <w:sz w:val="22"/>
                <w:szCs w:val="22"/>
                <w:lang w:eastAsia="en-US"/>
              </w:rPr>
              <w:t> </w:t>
            </w:r>
            <w:r w:rsidRPr="001E1A5B">
              <w:rPr>
                <w:rFonts w:eastAsia="Times New Roman"/>
                <w:b/>
                <w:color w:val="000000"/>
                <w:sz w:val="22"/>
                <w:szCs w:val="22"/>
                <w:lang w:eastAsia="en-US"/>
              </w:rPr>
              <w:t>656</w:t>
            </w:r>
            <w:r>
              <w:rPr>
                <w:rFonts w:eastAsia="Times New Roman"/>
                <w:b/>
                <w:color w:val="000000"/>
                <w:sz w:val="22"/>
                <w:szCs w:val="22"/>
                <w:lang w:eastAsia="en-US"/>
              </w:rPr>
              <w:t xml:space="preserve"> </w:t>
            </w:r>
            <w:r w:rsidRPr="001E1A5B">
              <w:rPr>
                <w:rFonts w:eastAsia="Times New Roman"/>
                <w:b/>
                <w:color w:val="000000"/>
                <w:sz w:val="22"/>
                <w:szCs w:val="22"/>
                <w:lang w:eastAsia="en-US"/>
              </w:rPr>
              <w:t>819</w:t>
            </w:r>
          </w:p>
        </w:tc>
        <w:tc>
          <w:tcPr>
            <w:tcW w:w="999" w:type="dxa"/>
            <w:shd w:val="clear" w:color="auto" w:fill="auto"/>
            <w:noWrap/>
            <w:vAlign w:val="center"/>
            <w:hideMark/>
          </w:tcPr>
          <w:p w:rsidR="00255CC4" w:rsidRPr="001E1A5B" w:rsidRDefault="00255CC4" w:rsidP="00255CC4">
            <w:pPr>
              <w:spacing w:line="240" w:lineRule="auto"/>
              <w:jc w:val="center"/>
              <w:rPr>
                <w:rFonts w:eastAsia="Times New Roman"/>
                <w:b/>
                <w:color w:val="000000"/>
                <w:sz w:val="22"/>
                <w:szCs w:val="22"/>
                <w:lang w:eastAsia="en-US"/>
              </w:rPr>
            </w:pPr>
            <w:r w:rsidRPr="001E1A5B">
              <w:rPr>
                <w:rFonts w:eastAsia="Times New Roman"/>
                <w:b/>
                <w:color w:val="000000"/>
                <w:sz w:val="22"/>
                <w:szCs w:val="22"/>
                <w:lang w:eastAsia="en-US"/>
              </w:rPr>
              <w:t>100</w:t>
            </w:r>
          </w:p>
        </w:tc>
      </w:tr>
    </w:tbl>
    <w:p w:rsidR="00255CC4" w:rsidRDefault="00255CC4" w:rsidP="00255CC4">
      <w:pPr>
        <w:rPr>
          <w:rFonts w:eastAsia="Times New Roman"/>
          <w:sz w:val="20"/>
          <w:szCs w:val="20"/>
        </w:rPr>
      </w:pPr>
      <w:r w:rsidRPr="004E69B2">
        <w:rPr>
          <w:sz w:val="20"/>
          <w:szCs w:val="20"/>
        </w:rPr>
        <w:t xml:space="preserve">Avots: LM, </w:t>
      </w:r>
      <w:r w:rsidRPr="004E69B2">
        <w:rPr>
          <w:bCs/>
          <w:sz w:val="20"/>
          <w:szCs w:val="20"/>
        </w:rPr>
        <w:t xml:space="preserve">Oficiālā statistika sociālo pakalpojumu un sociālās palīdzības jomā. </w:t>
      </w:r>
      <w:r w:rsidRPr="004E69B2">
        <w:rPr>
          <w:rFonts w:eastAsia="Times New Roman"/>
          <w:sz w:val="20"/>
          <w:szCs w:val="20"/>
        </w:rPr>
        <w:t> </w:t>
      </w:r>
      <w:r>
        <w:rPr>
          <w:rFonts w:eastAsia="Times New Roman"/>
          <w:sz w:val="20"/>
          <w:szCs w:val="20"/>
        </w:rPr>
        <w:t xml:space="preserve">Dzīvokļa pabalsts. </w:t>
      </w:r>
    </w:p>
    <w:p w:rsidR="00255CC4" w:rsidRDefault="00255CC4" w:rsidP="00255CC4"/>
    <w:p w:rsidR="00255CC4" w:rsidRPr="000371C0" w:rsidRDefault="00255CC4" w:rsidP="00255CC4">
      <w:r>
        <w:t xml:space="preserve">Lielākā daļa dzīvokļa pabalsta līdzekļu tiek iztērēti </w:t>
      </w:r>
      <w:r w:rsidRPr="009A62E8">
        <w:rPr>
          <w:b/>
        </w:rPr>
        <w:t>īres un komunālo maksājumu segšanai</w:t>
      </w:r>
      <w:r>
        <w:t xml:space="preserve"> – 2014. gadā 72,7%, 2015. gadā – 74%, 2016. gadā – 74,4% (sk. 1.</w:t>
      </w:r>
      <w:r w:rsidR="00A02780">
        <w:t>3</w:t>
      </w:r>
      <w:r w:rsidR="00761553">
        <w:t>8</w:t>
      </w:r>
      <w:r>
        <w:t>. tabulu). Kurināmā iegādei Izvērtējuma periodā no dzīvokļa pabalstam atvēlētajiem līdzekļiem izlietoti vidēji 24,6%. Tā kā vidēji divas trešdaļas līdzekļu ir izlietoti natūrā (sk.</w:t>
      </w:r>
      <w:r w:rsidR="008C6B83">
        <w:t xml:space="preserve"> </w:t>
      </w:r>
      <w:r w:rsidR="00A02780">
        <w:t>1.3</w:t>
      </w:r>
      <w:r w:rsidR="00E21C32">
        <w:t>6</w:t>
      </w:r>
      <w:r>
        <w:t xml:space="preserve">. tabulu), bet vienlaikus īres un komunālajiem </w:t>
      </w:r>
      <w:r>
        <w:lastRenderedPageBreak/>
        <w:t>maksājumiem piešķirto dzīvokļa pabalst</w:t>
      </w:r>
      <w:r w:rsidR="00835A59">
        <w:t>u</w:t>
      </w:r>
      <w:r>
        <w:t xml:space="preserve"> apmērs ir virs 70% no kopējā izlietoto līdzekļu apmēra, jādomā, ka daļa šo maksājumu tiek attiecināti uz palīdzības sniegšanu natūrā. </w:t>
      </w:r>
    </w:p>
    <w:p w:rsidR="00255CC4" w:rsidRPr="00960397" w:rsidRDefault="00255CC4" w:rsidP="00F23726">
      <w:pPr>
        <w:pStyle w:val="Heading3"/>
      </w:pPr>
      <w:bookmarkStart w:id="290" w:name="_Toc6841551"/>
      <w:r w:rsidRPr="00960397">
        <w:t>Sociālo atstumtību raksturojošie rādītāji</w:t>
      </w:r>
      <w:bookmarkEnd w:id="247"/>
      <w:bookmarkEnd w:id="290"/>
    </w:p>
    <w:p w:rsidR="00255CC4" w:rsidRDefault="00255CC4" w:rsidP="00255CC4">
      <w:r>
        <w:t>Sociālās atstumtības raksturošanai izmantoti divi CSP apkopotie rādītāji – materiālās nenodrošinātības rādī</w:t>
      </w:r>
      <w:r w:rsidR="007F071E">
        <w:t>t</w:t>
      </w:r>
      <w:r>
        <w:t>ā</w:t>
      </w:r>
      <w:r w:rsidR="007F071E">
        <w:t>j</w:t>
      </w:r>
      <w:r>
        <w:t>s un ekonomiskās spriedzes rādītājs, kuri aplūkoti 1.2</w:t>
      </w:r>
      <w:r w:rsidR="007F071E">
        <w:t>.</w:t>
      </w:r>
      <w:r>
        <w:t xml:space="preserve">5. sadaļā. </w:t>
      </w:r>
    </w:p>
    <w:p w:rsidR="00255CC4" w:rsidRPr="00315872" w:rsidRDefault="00255CC4" w:rsidP="00C33A64">
      <w:pPr>
        <w:pStyle w:val="virsrakstslvl4"/>
      </w:pPr>
      <w:bookmarkStart w:id="291" w:name="_Toc6220112"/>
      <w:bookmarkStart w:id="292" w:name="_Toc6841552"/>
      <w:bookmarkStart w:id="293" w:name="_Toc2761058"/>
      <w:bookmarkStart w:id="294" w:name="_Toc2848157"/>
      <w:r w:rsidRPr="00315872">
        <w:t>Materiālā nenodrošinātība</w:t>
      </w:r>
      <w:bookmarkEnd w:id="291"/>
      <w:bookmarkEnd w:id="292"/>
      <w:r w:rsidRPr="00315872">
        <w:t xml:space="preserve"> </w:t>
      </w:r>
      <w:bookmarkEnd w:id="293"/>
      <w:bookmarkEnd w:id="294"/>
    </w:p>
    <w:p w:rsidR="00255CC4" w:rsidRPr="00EA0927" w:rsidRDefault="00255CC4" w:rsidP="00255CC4">
      <w:r w:rsidRPr="003374E3">
        <w:t>Materiālās nenodrošinātības</w:t>
      </w:r>
      <w:r>
        <w:t xml:space="preserve"> rādītājs raksturo </w:t>
      </w:r>
      <w:r w:rsidRPr="00EA0927">
        <w:t>iemeslu kopum</w:t>
      </w:r>
      <w:r>
        <w:t>u</w:t>
      </w:r>
      <w:r w:rsidRPr="00EA0927">
        <w:t xml:space="preserve">, kas mājsaimniecībai liedz pieeju noteiktiem materiāliem labumiem. Šie iemesli ir naudas trūkums, neapmierinoši mājokļa apstākļi un piespiedu atteikšanās izmantot ilglietošanas sadzīves priekšmetus. Dati tiek vākti, lai papildus monetārajiem un ienākumu nevienlīdzības indikatoriem varētu vispusīgāk un plašāk novērtēt nabadzību un sociālo atstumtību. Materiālās nenodrošinātības rādītājus var aplūkot kā mājsaimniecību, tā arī tajās dzīvojošo personu līmenī. Lai uzlabotu datu salīdzināmību ar citām </w:t>
      </w:r>
      <w:r>
        <w:t>ES</w:t>
      </w:r>
      <w:r w:rsidRPr="00EA0927">
        <w:t xml:space="preserve"> dalībvalstīm un </w:t>
      </w:r>
      <w:r>
        <w:t>ES</w:t>
      </w:r>
      <w:r w:rsidRPr="00EA0927">
        <w:t xml:space="preserve"> Statistikas biroja (</w:t>
      </w:r>
      <w:r>
        <w:rPr>
          <w:i/>
        </w:rPr>
        <w:t>Eurostat</w:t>
      </w:r>
      <w:r w:rsidRPr="00EA0927">
        <w:t xml:space="preserve">) publicētajiem datiem, dati tiek publicēti arī personu līmenī atbilstoši </w:t>
      </w:r>
      <w:r>
        <w:rPr>
          <w:i/>
        </w:rPr>
        <w:t>Eurostat</w:t>
      </w:r>
      <w:r w:rsidRPr="00EA0927">
        <w:t xml:space="preserve"> metodoloģijai. Materiālās nenodrošinātības dati</w:t>
      </w:r>
      <w:r>
        <w:t>, tāpat kā lielākā daļa nabadzības un ienākumu līmeņa rādītāji,</w:t>
      </w:r>
      <w:r w:rsidRPr="00EA0927">
        <w:t xml:space="preserve"> tiek iegūti </w:t>
      </w:r>
      <w:r>
        <w:t xml:space="preserve">EU-SILC </w:t>
      </w:r>
      <w:r w:rsidRPr="00EA0927">
        <w:t>apsekojumā</w:t>
      </w:r>
      <w:r>
        <w:t xml:space="preserve">. No šī rādītāja, savukārt, ir aprēķināts </w:t>
      </w:r>
      <w:r w:rsidRPr="0079325E">
        <w:rPr>
          <w:b/>
        </w:rPr>
        <w:t>materiālās nenodrošinātības indekss</w:t>
      </w:r>
      <w:r>
        <w:t xml:space="preserve">, kas </w:t>
      </w:r>
      <w:r w:rsidRPr="00EA0927">
        <w:t>raksturo personu īpatsvaru, kurām piemīt vismaz trīs no šādām mate</w:t>
      </w:r>
      <w:r>
        <w:t>riālās nenodrošinātības pazīmēm, proti,</w:t>
      </w:r>
      <w:r w:rsidRPr="00EA0927">
        <w:t xml:space="preserve"> finansiālu iespēju trūkums</w:t>
      </w:r>
      <w:r>
        <w:t>:</w:t>
      </w:r>
    </w:p>
    <w:p w:rsidR="00255CC4" w:rsidRPr="00EA0927" w:rsidRDefault="00255CC4" w:rsidP="003F469F">
      <w:pPr>
        <w:pStyle w:val="ListParagraph"/>
        <w:numPr>
          <w:ilvl w:val="0"/>
          <w:numId w:val="161"/>
        </w:numPr>
        <w:spacing w:line="276" w:lineRule="auto"/>
      </w:pPr>
      <w:r w:rsidRPr="00EA0927">
        <w:t>segt komunālos maksājumus, īri vai atmaksāt kredītu;</w:t>
      </w:r>
    </w:p>
    <w:p w:rsidR="00255CC4" w:rsidRPr="00EA0927" w:rsidRDefault="00255CC4" w:rsidP="003F469F">
      <w:pPr>
        <w:pStyle w:val="ListParagraph"/>
        <w:numPr>
          <w:ilvl w:val="0"/>
          <w:numId w:val="161"/>
        </w:numPr>
        <w:spacing w:line="276" w:lineRule="auto"/>
      </w:pPr>
      <w:r w:rsidRPr="00EA0927">
        <w:t>finansiāli atļauties uzturēt mājokli siltu;</w:t>
      </w:r>
    </w:p>
    <w:p w:rsidR="00255CC4" w:rsidRPr="008B1D13" w:rsidRDefault="00255CC4" w:rsidP="003F469F">
      <w:pPr>
        <w:pStyle w:val="ListParagraph"/>
        <w:numPr>
          <w:ilvl w:val="0"/>
          <w:numId w:val="161"/>
        </w:numPr>
        <w:spacing w:line="276" w:lineRule="auto"/>
        <w:jc w:val="both"/>
      </w:pPr>
      <w:r w:rsidRPr="008B1D13">
        <w:t>segt pēkšņus, neparedzētus izdevumus no pašu līdzekļiem (2015. gadā to apmērs tika noteikts 235 EUR, 2016.</w:t>
      </w:r>
      <w:r w:rsidR="007600DA">
        <w:t xml:space="preserve"> </w:t>
      </w:r>
      <w:r w:rsidRPr="008B1D13">
        <w:t>gadā – 260 EUR);</w:t>
      </w:r>
    </w:p>
    <w:p w:rsidR="00255CC4" w:rsidRPr="00EA0927" w:rsidRDefault="00255CC4" w:rsidP="003F469F">
      <w:pPr>
        <w:pStyle w:val="ListParagraph"/>
        <w:numPr>
          <w:ilvl w:val="0"/>
          <w:numId w:val="161"/>
        </w:numPr>
        <w:spacing w:line="276" w:lineRule="auto"/>
      </w:pPr>
      <w:r w:rsidRPr="00EA0927">
        <w:t>ēst gaļu, putnu gaļu vai zivis katru otro dienu;</w:t>
      </w:r>
    </w:p>
    <w:p w:rsidR="00255CC4" w:rsidRPr="00EA0927" w:rsidRDefault="00255CC4" w:rsidP="003F469F">
      <w:pPr>
        <w:pStyle w:val="ListParagraph"/>
        <w:numPr>
          <w:ilvl w:val="0"/>
          <w:numId w:val="161"/>
        </w:numPr>
        <w:spacing w:line="276" w:lineRule="auto"/>
      </w:pPr>
      <w:r w:rsidRPr="00EA0927">
        <w:t>katru gadu vienu nedēļu doties brīvdienās ārpus mājām;</w:t>
      </w:r>
    </w:p>
    <w:p w:rsidR="00255CC4" w:rsidRPr="00EA0927" w:rsidRDefault="00255CC4" w:rsidP="003F469F">
      <w:pPr>
        <w:pStyle w:val="ListParagraph"/>
        <w:numPr>
          <w:ilvl w:val="0"/>
          <w:numId w:val="161"/>
        </w:numPr>
        <w:spacing w:line="276" w:lineRule="auto"/>
      </w:pPr>
      <w:r w:rsidRPr="00EA0927">
        <w:t>lietot savām vajadzībām vieglo auto;</w:t>
      </w:r>
    </w:p>
    <w:p w:rsidR="00255CC4" w:rsidRPr="00EA0927" w:rsidRDefault="00255CC4" w:rsidP="003F469F">
      <w:pPr>
        <w:pStyle w:val="ListParagraph"/>
        <w:numPr>
          <w:ilvl w:val="0"/>
          <w:numId w:val="161"/>
        </w:numPr>
        <w:spacing w:line="276" w:lineRule="auto"/>
      </w:pPr>
      <w:r w:rsidRPr="00EA0927">
        <w:t>veļas mazgājamo mašīnu;</w:t>
      </w:r>
    </w:p>
    <w:p w:rsidR="00255CC4" w:rsidRPr="00EA0927" w:rsidRDefault="00255CC4" w:rsidP="003F469F">
      <w:pPr>
        <w:pStyle w:val="ListParagraph"/>
        <w:numPr>
          <w:ilvl w:val="0"/>
          <w:numId w:val="161"/>
        </w:numPr>
        <w:spacing w:line="276" w:lineRule="auto"/>
      </w:pPr>
      <w:r w:rsidRPr="00EA0927">
        <w:t>krāsu televizoru;</w:t>
      </w:r>
    </w:p>
    <w:p w:rsidR="00255CC4" w:rsidRPr="00EA0927" w:rsidRDefault="00255CC4" w:rsidP="003F469F">
      <w:pPr>
        <w:pStyle w:val="ListParagraph"/>
        <w:numPr>
          <w:ilvl w:val="0"/>
          <w:numId w:val="161"/>
        </w:numPr>
        <w:spacing w:line="276" w:lineRule="auto"/>
      </w:pPr>
      <w:r w:rsidRPr="00EA0927">
        <w:t>telefonu.</w:t>
      </w:r>
      <w:r>
        <w:rPr>
          <w:rStyle w:val="FootnoteReference"/>
          <w:rFonts w:eastAsiaTheme="majorEastAsia"/>
        </w:rPr>
        <w:footnoteReference w:id="116"/>
      </w:r>
    </w:p>
    <w:p w:rsidR="00D85EA1" w:rsidRDefault="00D85EA1" w:rsidP="00D85EA1">
      <w:bookmarkStart w:id="295" w:name="_Ref872901"/>
    </w:p>
    <w:p w:rsidR="00D85EA1" w:rsidRDefault="00D85EA1" w:rsidP="00D85EA1">
      <w:r w:rsidRPr="00061666">
        <w:t>Sociālās atstumtības rādītājiem ir vērojama tendence samazināties, tas ir redzams</w:t>
      </w:r>
      <w:r>
        <w:t>,</w:t>
      </w:r>
      <w:r w:rsidRPr="00061666">
        <w:t xml:space="preserve"> skatoti</w:t>
      </w:r>
      <w:r>
        <w:t>es datus par dažādiem indeksiem</w:t>
      </w:r>
      <w:r w:rsidRPr="00061666">
        <w:t xml:space="preserve"> dažādos griezumos.</w:t>
      </w:r>
      <w:r>
        <w:t xml:space="preserve"> </w:t>
      </w:r>
      <w:r w:rsidR="00F8585F">
        <w:t>Kopumā materiālai nenodrošinātībai 2014. gadā bija pakļauti 34,6%, 2015. gadā – 29,7% un 2016. gadā – 26,4% Latvijas iedzīvotāju</w:t>
      </w:r>
      <w:r w:rsidR="00F8585F">
        <w:rPr>
          <w:rStyle w:val="FootnoteReference"/>
        </w:rPr>
        <w:footnoteReference w:id="117"/>
      </w:r>
      <w:r w:rsidR="00F8585F">
        <w:t>. Analizējot datus sadalījumā pa ienākumu kvintiļu grupām, secināms, ka i</w:t>
      </w:r>
      <w:r w:rsidRPr="00061666">
        <w:t xml:space="preserve">edzīvotāju </w:t>
      </w:r>
      <w:r w:rsidRPr="00D85EA1">
        <w:rPr>
          <w:b/>
        </w:rPr>
        <w:t>materiālās nenodrošinātības indekss ir samazinājies visās ienākumu kvintiļu grupās</w:t>
      </w:r>
      <w:r>
        <w:t xml:space="preserve"> (sk.</w:t>
      </w:r>
      <w:r w:rsidR="008C6B83">
        <w:t xml:space="preserve"> </w:t>
      </w:r>
      <w:r w:rsidR="00A02780">
        <w:t>1.23</w:t>
      </w:r>
      <w:r>
        <w:t>. attēlu)</w:t>
      </w:r>
      <w:r w:rsidRPr="00061666">
        <w:t>. Stra</w:t>
      </w:r>
      <w:r>
        <w:t xml:space="preserve">ujākais samazinājums noticis 2. </w:t>
      </w:r>
      <w:r w:rsidRPr="00061666">
        <w:t>kvintiļu grupā, kur tas laika posmā n</w:t>
      </w:r>
      <w:r>
        <w:t>o</w:t>
      </w:r>
      <w:r w:rsidRPr="00061666">
        <w:t xml:space="preserve"> 2014.</w:t>
      </w:r>
      <w:r>
        <w:t xml:space="preserve"> gada līdz 2017. </w:t>
      </w:r>
      <w:r w:rsidRPr="00061666">
        <w:t>gadam samazinājies par 14,9</w:t>
      </w:r>
      <w:r>
        <w:t xml:space="preserve"> procentpunktiem</w:t>
      </w:r>
      <w:r w:rsidRPr="00061666">
        <w:t>. Neskatoties uz to, tas vē</w:t>
      </w:r>
      <w:r>
        <w:t xml:space="preserve">l joprojām saglabājas augsts 1. </w:t>
      </w:r>
      <w:r w:rsidRPr="00061666">
        <w:t>kvintiļu grupā, kur 2017.</w:t>
      </w:r>
      <w:r>
        <w:t xml:space="preserve"> </w:t>
      </w:r>
      <w:r w:rsidRPr="00061666">
        <w:t>gadā sasniedz</w:t>
      </w:r>
      <w:r>
        <w:t>a</w:t>
      </w:r>
      <w:r w:rsidRPr="00061666">
        <w:t xml:space="preserve"> 44,8</w:t>
      </w:r>
      <w:r>
        <w:t>%</w:t>
      </w:r>
      <w:r w:rsidRPr="00061666">
        <w:t>.</w:t>
      </w:r>
    </w:p>
    <w:p w:rsidR="00F7446E" w:rsidRDefault="00F7446E" w:rsidP="00D85EA1"/>
    <w:p w:rsidR="00D85EA1" w:rsidRDefault="00D85EA1" w:rsidP="00D85EA1">
      <w:r w:rsidRPr="008C5887">
        <w:t xml:space="preserve">Augstākais materiālās nenodrošinātības indekss vērojams </w:t>
      </w:r>
      <w:r w:rsidRPr="001D687B">
        <w:rPr>
          <w:b/>
        </w:rPr>
        <w:t>lauku reģionos</w:t>
      </w:r>
      <w:r w:rsidRPr="008C5887">
        <w:t xml:space="preserve">, kur </w:t>
      </w:r>
      <w:r>
        <w:t xml:space="preserve">2016. gadā </w:t>
      </w:r>
      <w:r w:rsidRPr="008C5887">
        <w:t xml:space="preserve">tas </w:t>
      </w:r>
      <w:r>
        <w:t>bija</w:t>
      </w:r>
      <w:r w:rsidRPr="008C5887">
        <w:t xml:space="preserve"> </w:t>
      </w:r>
      <w:r>
        <w:t>31,2%</w:t>
      </w:r>
      <w:r w:rsidRPr="008C5887">
        <w:t xml:space="preserve">, savukārt pilsētās tas </w:t>
      </w:r>
      <w:r>
        <w:t>bija</w:t>
      </w:r>
      <w:r w:rsidRPr="008C5887">
        <w:t xml:space="preserve"> par </w:t>
      </w:r>
      <w:r>
        <w:t>7 procentpunktiem</w:t>
      </w:r>
      <w:r w:rsidRPr="008C5887">
        <w:t xml:space="preserve"> zemāks – </w:t>
      </w:r>
      <w:r>
        <w:t xml:space="preserve">24,2% (sk. </w:t>
      </w:r>
      <w:r w:rsidR="00A02780">
        <w:t>1.24</w:t>
      </w:r>
      <w:r>
        <w:t>. attēlu)</w:t>
      </w:r>
      <w:r w:rsidRPr="008C5887">
        <w:t xml:space="preserve">. Līdzīgi kā </w:t>
      </w:r>
      <w:r>
        <w:lastRenderedPageBreak/>
        <w:t xml:space="preserve">ienākumu </w:t>
      </w:r>
      <w:r w:rsidRPr="008C5887">
        <w:t>kvintiļu grupās arī šajā griezumā vērojams indeksa kritums</w:t>
      </w:r>
      <w:r>
        <w:t xml:space="preserve"> visā Izvērtējuma periodā, tam turpinoties arī 2017. gadā.</w:t>
      </w:r>
      <w:r w:rsidRPr="008C5887">
        <w:t xml:space="preserve"> </w:t>
      </w:r>
      <w:r>
        <w:t>L</w:t>
      </w:r>
      <w:r w:rsidRPr="008C5887">
        <w:t xml:space="preserve">aukos </w:t>
      </w:r>
      <w:r>
        <w:t>materiālās nenodrošinātības indekss</w:t>
      </w:r>
      <w:r w:rsidRPr="008C5887">
        <w:t xml:space="preserve"> no 2014.</w:t>
      </w:r>
      <w:r>
        <w:t xml:space="preserve"> gada </w:t>
      </w:r>
      <w:r w:rsidRPr="008C5887">
        <w:t>līdz 201</w:t>
      </w:r>
      <w:r>
        <w:t>6</w:t>
      </w:r>
      <w:r w:rsidRPr="008C5887">
        <w:t xml:space="preserve">. gadam krities par </w:t>
      </w:r>
      <w:r>
        <w:t>5,8 procentpunktiem</w:t>
      </w:r>
      <w:r w:rsidRPr="008C5887">
        <w:t xml:space="preserve">, bet pilsētās </w:t>
      </w:r>
      <w:r>
        <w:t xml:space="preserve">vēl straujāk - </w:t>
      </w:r>
      <w:r w:rsidRPr="008C5887">
        <w:t xml:space="preserve">par </w:t>
      </w:r>
      <w:r>
        <w:t>9,3 procentpunktiem</w:t>
      </w:r>
      <w:r w:rsidRPr="008C5887">
        <w:t>.</w:t>
      </w:r>
    </w:p>
    <w:bookmarkStart w:id="296" w:name="_Toc6220113"/>
    <w:bookmarkStart w:id="297" w:name="_Toc2761059"/>
    <w:bookmarkStart w:id="298" w:name="_Toc2848158"/>
    <w:bookmarkEnd w:id="295"/>
    <w:p w:rsidR="00255CC4" w:rsidRPr="00082031" w:rsidRDefault="00AD3EDD" w:rsidP="00082031">
      <w:pPr>
        <w:spacing w:before="240" w:after="120"/>
        <w:jc w:val="left"/>
        <w:rPr>
          <w:b/>
          <w:color w:val="002060"/>
        </w:rPr>
      </w:pPr>
      <w:r w:rsidRPr="00082031">
        <w:rPr>
          <w:b/>
          <w:color w:val="002060"/>
        </w:rPr>
        <w:fldChar w:fldCharType="begin"/>
      </w:r>
      <w:r w:rsidR="006B5456" w:rsidRPr="00082031">
        <w:rPr>
          <w:b/>
          <w:color w:val="002060"/>
        </w:rPr>
        <w:instrText xml:space="preserve"> STYLEREF 1 \s </w:instrText>
      </w:r>
      <w:r w:rsidRPr="00082031">
        <w:rPr>
          <w:b/>
          <w:color w:val="002060"/>
        </w:rPr>
        <w:fldChar w:fldCharType="separate"/>
      </w:r>
      <w:bookmarkStart w:id="299" w:name="_Toc6855776"/>
      <w:r w:rsidR="00224B50">
        <w:rPr>
          <w:b/>
          <w:noProof/>
          <w:color w:val="002060"/>
        </w:rPr>
        <w:t>1</w:t>
      </w:r>
      <w:r w:rsidRPr="00082031">
        <w:rPr>
          <w:b/>
          <w:color w:val="002060"/>
        </w:rPr>
        <w:fldChar w:fldCharType="end"/>
      </w:r>
      <w:r w:rsidR="006B5456" w:rsidRPr="00082031">
        <w:rPr>
          <w:b/>
          <w:color w:val="002060"/>
        </w:rPr>
        <w:t>.</w:t>
      </w:r>
      <w:r w:rsidR="00D97C54" w:rsidRPr="00082031">
        <w:rPr>
          <w:b/>
          <w:color w:val="002060"/>
        </w:rPr>
        <w:t>23</w:t>
      </w:r>
      <w:r w:rsidR="00255CC4" w:rsidRPr="00082031">
        <w:rPr>
          <w:b/>
          <w:color w:val="002060"/>
        </w:rPr>
        <w:t>. attēls. Iedzīvotāju materiālās nenodrošinātības indekss kvintiļu grupās (2014-2017, %)</w:t>
      </w:r>
      <w:bookmarkEnd w:id="296"/>
      <w:bookmarkEnd w:id="299"/>
      <w:r w:rsidR="00255CC4" w:rsidRPr="00082031">
        <w:rPr>
          <w:b/>
          <w:color w:val="002060"/>
        </w:rPr>
        <w:t xml:space="preserve"> </w:t>
      </w:r>
      <w:bookmarkEnd w:id="297"/>
      <w:bookmarkEnd w:id="298"/>
    </w:p>
    <w:p w:rsidR="00255CC4" w:rsidRPr="001E142B" w:rsidRDefault="00255CC4" w:rsidP="00255CC4">
      <w:r w:rsidRPr="00647F64">
        <w:rPr>
          <w:noProof/>
        </w:rPr>
        <w:drawing>
          <wp:inline distT="0" distB="0" distL="0" distR="0">
            <wp:extent cx="6105525" cy="2476500"/>
            <wp:effectExtent l="0" t="0" r="0" b="0"/>
            <wp:docPr id="12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5525" cy="2476500"/>
                    </a:xfrm>
                    <a:prstGeom prst="rect">
                      <a:avLst/>
                    </a:prstGeom>
                    <a:noFill/>
                    <a:ln>
                      <a:noFill/>
                    </a:ln>
                  </pic:spPr>
                </pic:pic>
              </a:graphicData>
            </a:graphic>
          </wp:inline>
        </w:drawing>
      </w:r>
    </w:p>
    <w:p w:rsidR="00255CC4" w:rsidRPr="00D8300F" w:rsidRDefault="00255CC4" w:rsidP="00255CC4">
      <w:pPr>
        <w:rPr>
          <w:sz w:val="20"/>
          <w:szCs w:val="20"/>
        </w:rPr>
      </w:pPr>
      <w:r w:rsidRPr="00D8300F">
        <w:rPr>
          <w:sz w:val="20"/>
          <w:szCs w:val="20"/>
        </w:rPr>
        <w:t>Avots: CSP, “MNG130. Iedzīvotāju materiālās nenodrošinātības indekss (%)”.</w:t>
      </w:r>
    </w:p>
    <w:bookmarkStart w:id="300" w:name="_Toc2761060"/>
    <w:bookmarkStart w:id="301" w:name="_Toc2848159"/>
    <w:bookmarkStart w:id="302" w:name="_Toc6220114"/>
    <w:p w:rsidR="00255CC4" w:rsidRPr="00082031" w:rsidRDefault="00AD3EDD" w:rsidP="00082031">
      <w:pPr>
        <w:spacing w:before="240" w:after="120"/>
        <w:jc w:val="left"/>
        <w:rPr>
          <w:b/>
          <w:color w:val="002060"/>
        </w:rPr>
      </w:pPr>
      <w:r w:rsidRPr="00082031">
        <w:rPr>
          <w:b/>
          <w:color w:val="002060"/>
        </w:rPr>
        <w:fldChar w:fldCharType="begin"/>
      </w:r>
      <w:r w:rsidR="006B5456" w:rsidRPr="00082031">
        <w:rPr>
          <w:b/>
          <w:color w:val="002060"/>
        </w:rPr>
        <w:instrText xml:space="preserve"> STYLEREF 1 \s </w:instrText>
      </w:r>
      <w:r w:rsidRPr="00082031">
        <w:rPr>
          <w:b/>
          <w:color w:val="002060"/>
        </w:rPr>
        <w:fldChar w:fldCharType="separate"/>
      </w:r>
      <w:bookmarkStart w:id="303" w:name="_Toc6855777"/>
      <w:r w:rsidR="00224B50">
        <w:rPr>
          <w:b/>
          <w:noProof/>
          <w:color w:val="002060"/>
        </w:rPr>
        <w:t>1</w:t>
      </w:r>
      <w:r w:rsidRPr="00082031">
        <w:rPr>
          <w:b/>
          <w:color w:val="002060"/>
        </w:rPr>
        <w:fldChar w:fldCharType="end"/>
      </w:r>
      <w:r w:rsidR="006B5456" w:rsidRPr="00082031">
        <w:rPr>
          <w:b/>
          <w:color w:val="002060"/>
        </w:rPr>
        <w:t>.</w:t>
      </w:r>
      <w:r w:rsidR="00876861" w:rsidRPr="00082031">
        <w:rPr>
          <w:b/>
          <w:color w:val="002060"/>
        </w:rPr>
        <w:t>24</w:t>
      </w:r>
      <w:r w:rsidR="00255CC4" w:rsidRPr="00082031">
        <w:rPr>
          <w:b/>
          <w:color w:val="002060"/>
        </w:rPr>
        <w:t>. attēls. Iedzīvotāju materiālās nenodrošinātības indekss laukos un pilsētās (2014-2017, %)</w:t>
      </w:r>
      <w:bookmarkEnd w:id="300"/>
      <w:bookmarkEnd w:id="301"/>
      <w:bookmarkEnd w:id="302"/>
      <w:bookmarkEnd w:id="303"/>
    </w:p>
    <w:p w:rsidR="00255CC4" w:rsidRPr="00EA0927" w:rsidRDefault="00255CC4" w:rsidP="00255CC4">
      <w:pPr>
        <w:rPr>
          <w:u w:val="single"/>
        </w:rPr>
      </w:pPr>
      <w:r w:rsidRPr="00D8300F">
        <w:rPr>
          <w:noProof/>
        </w:rPr>
        <w:drawing>
          <wp:inline distT="0" distB="0" distL="0" distR="0">
            <wp:extent cx="4867275" cy="2562225"/>
            <wp:effectExtent l="0" t="0" r="0" b="0"/>
            <wp:docPr id="1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7275" cy="2562225"/>
                    </a:xfrm>
                    <a:prstGeom prst="rect">
                      <a:avLst/>
                    </a:prstGeom>
                    <a:noFill/>
                    <a:ln>
                      <a:noFill/>
                    </a:ln>
                  </pic:spPr>
                </pic:pic>
              </a:graphicData>
            </a:graphic>
          </wp:inline>
        </w:drawing>
      </w:r>
    </w:p>
    <w:p w:rsidR="00255CC4" w:rsidRPr="00AB7A9E" w:rsidRDefault="00255CC4" w:rsidP="00C33A64">
      <w:pPr>
        <w:pStyle w:val="avotiemft10"/>
      </w:pPr>
      <w:bookmarkStart w:id="304" w:name="_Toc6841553"/>
      <w:r w:rsidRPr="00AB7A9E">
        <w:t>Avots: CSP, “MNG130. Iedzīvotāju materiālās nenodrošinātības indekss (%)”.</w:t>
      </w:r>
      <w:bookmarkEnd w:id="304"/>
    </w:p>
    <w:p w:rsidR="00255CC4" w:rsidRDefault="00255CC4" w:rsidP="00255CC4"/>
    <w:p w:rsidR="00876861" w:rsidRDefault="00255CC4" w:rsidP="00255CC4">
      <w:r w:rsidRPr="008C5887">
        <w:t xml:space="preserve">Reģionu griezumā redzams, ka </w:t>
      </w:r>
      <w:r w:rsidRPr="001D687B">
        <w:rPr>
          <w:b/>
        </w:rPr>
        <w:t>augstākais materiālās nenodrošinātības indekss ir Latgales reģionā</w:t>
      </w:r>
      <w:r w:rsidRPr="008C5887">
        <w:t>, kur tas ir 32,7</w:t>
      </w:r>
      <w:r>
        <w:t>%</w:t>
      </w:r>
      <w:r w:rsidRPr="008C5887">
        <w:t>, savukārt zemākais vērojams Rīgā – 18,5</w:t>
      </w:r>
      <w:r>
        <w:t>% (sk.</w:t>
      </w:r>
      <w:r w:rsidR="008C6B83">
        <w:t xml:space="preserve"> </w:t>
      </w:r>
      <w:r w:rsidR="00A02780">
        <w:t>1.25</w:t>
      </w:r>
      <w:r>
        <w:t>. attēlu)</w:t>
      </w:r>
      <w:r w:rsidRPr="008C5887">
        <w:t>. Straujākais materiālās nenodrošinātības indeksa kritums no 2014.</w:t>
      </w:r>
      <w:r>
        <w:t xml:space="preserve"> gada līdz 2017. </w:t>
      </w:r>
      <w:r w:rsidRPr="008C5887">
        <w:t xml:space="preserve">gadam </w:t>
      </w:r>
      <w:r>
        <w:t>novērots</w:t>
      </w:r>
      <w:r w:rsidRPr="008C5887">
        <w:t xml:space="preserve"> Zemgalē – 17,4</w:t>
      </w:r>
      <w:r>
        <w:t xml:space="preserve"> procentpunkti</w:t>
      </w:r>
      <w:r w:rsidRPr="008C5887">
        <w:t>, savukārt lēnākais kritums vēr</w:t>
      </w:r>
      <w:r>
        <w:t>o</w:t>
      </w:r>
      <w:r w:rsidRPr="008C5887">
        <w:t>jams Latgalē, kur tas ir 3,1</w:t>
      </w:r>
      <w:r>
        <w:t xml:space="preserve"> procentpunkti</w:t>
      </w:r>
      <w:r w:rsidRPr="008C5887">
        <w:t xml:space="preserve">. Indekss ievērojami krities arī Pierīgā – </w:t>
      </w:r>
      <w:r>
        <w:t xml:space="preserve">par </w:t>
      </w:r>
      <w:r w:rsidRPr="008C5887">
        <w:t>16,5</w:t>
      </w:r>
      <w:r>
        <w:t xml:space="preserve"> procentpunktiem</w:t>
      </w:r>
      <w:r w:rsidRPr="008C5887">
        <w:t xml:space="preserve"> un Rīgas reģionā </w:t>
      </w:r>
      <w:r>
        <w:t xml:space="preserve">– par </w:t>
      </w:r>
      <w:r w:rsidRPr="008C5887">
        <w:t>11,8</w:t>
      </w:r>
      <w:r>
        <w:t xml:space="preserve"> procentpunktiem</w:t>
      </w:r>
      <w:r w:rsidRPr="008C5887">
        <w:t>.</w:t>
      </w:r>
    </w:p>
    <w:p w:rsidR="00876861" w:rsidRDefault="00876861">
      <w:pPr>
        <w:spacing w:line="240" w:lineRule="auto"/>
        <w:jc w:val="left"/>
      </w:pPr>
      <w:r>
        <w:br w:type="page"/>
      </w:r>
    </w:p>
    <w:bookmarkStart w:id="305" w:name="_Toc6220115"/>
    <w:bookmarkStart w:id="306" w:name="_Toc2761061"/>
    <w:bookmarkStart w:id="307" w:name="_Toc2848160"/>
    <w:p w:rsidR="00255CC4" w:rsidRPr="00082031" w:rsidRDefault="00AD3EDD" w:rsidP="00082031">
      <w:pPr>
        <w:spacing w:before="240" w:after="120"/>
        <w:rPr>
          <w:b/>
          <w:color w:val="002060"/>
        </w:rPr>
      </w:pPr>
      <w:r w:rsidRPr="00082031">
        <w:rPr>
          <w:b/>
          <w:color w:val="002060"/>
        </w:rPr>
        <w:lastRenderedPageBreak/>
        <w:fldChar w:fldCharType="begin"/>
      </w:r>
      <w:r w:rsidR="006B5456" w:rsidRPr="00082031">
        <w:rPr>
          <w:b/>
          <w:color w:val="002060"/>
        </w:rPr>
        <w:instrText xml:space="preserve"> STYLEREF 1 \s </w:instrText>
      </w:r>
      <w:r w:rsidRPr="00082031">
        <w:rPr>
          <w:b/>
          <w:color w:val="002060"/>
        </w:rPr>
        <w:fldChar w:fldCharType="separate"/>
      </w:r>
      <w:bookmarkStart w:id="308" w:name="_Toc6855778"/>
      <w:r w:rsidR="00224B50">
        <w:rPr>
          <w:b/>
          <w:noProof/>
          <w:color w:val="002060"/>
        </w:rPr>
        <w:t>1</w:t>
      </w:r>
      <w:r w:rsidRPr="00082031">
        <w:rPr>
          <w:b/>
          <w:color w:val="002060"/>
        </w:rPr>
        <w:fldChar w:fldCharType="end"/>
      </w:r>
      <w:r w:rsidR="006B5456" w:rsidRPr="00082031">
        <w:rPr>
          <w:b/>
          <w:color w:val="002060"/>
        </w:rPr>
        <w:t>.</w:t>
      </w:r>
      <w:r w:rsidR="00D62BB4" w:rsidRPr="00082031">
        <w:rPr>
          <w:b/>
          <w:color w:val="002060"/>
        </w:rPr>
        <w:t>25</w:t>
      </w:r>
      <w:r w:rsidR="00255CC4" w:rsidRPr="00082031">
        <w:rPr>
          <w:b/>
          <w:color w:val="002060"/>
        </w:rPr>
        <w:t>. attēls. Iedzīvotāju materiālās nenodrošinātības indekss reģionos (2014-2017, %)</w:t>
      </w:r>
      <w:bookmarkEnd w:id="305"/>
      <w:bookmarkEnd w:id="308"/>
      <w:r w:rsidR="00255CC4" w:rsidRPr="00082031">
        <w:rPr>
          <w:b/>
          <w:color w:val="002060"/>
        </w:rPr>
        <w:t xml:space="preserve"> </w:t>
      </w:r>
      <w:bookmarkEnd w:id="306"/>
      <w:bookmarkEnd w:id="307"/>
    </w:p>
    <w:p w:rsidR="00255CC4" w:rsidRDefault="00255CC4" w:rsidP="00255CC4">
      <w:pPr>
        <w:rPr>
          <w:u w:val="single"/>
        </w:rPr>
      </w:pPr>
      <w:r w:rsidRPr="000F1D79">
        <w:rPr>
          <w:noProof/>
        </w:rPr>
        <w:drawing>
          <wp:inline distT="0" distB="0" distL="0" distR="0">
            <wp:extent cx="6115050" cy="4010025"/>
            <wp:effectExtent l="0" t="0" r="0" b="0"/>
            <wp:docPr id="12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010025"/>
                    </a:xfrm>
                    <a:prstGeom prst="rect">
                      <a:avLst/>
                    </a:prstGeom>
                    <a:noFill/>
                    <a:ln>
                      <a:noFill/>
                    </a:ln>
                  </pic:spPr>
                </pic:pic>
              </a:graphicData>
            </a:graphic>
          </wp:inline>
        </w:drawing>
      </w:r>
    </w:p>
    <w:p w:rsidR="00255CC4" w:rsidRPr="00D8300F" w:rsidRDefault="00255CC4" w:rsidP="00C33A64">
      <w:pPr>
        <w:pStyle w:val="avotiemft10"/>
      </w:pPr>
      <w:bookmarkStart w:id="309" w:name="_Toc6841554"/>
      <w:r w:rsidRPr="00D8300F">
        <w:t>Avots: CSP, “MNG130. Iedzīvotāju materiālās nenodrošinātības indekss (%)”.</w:t>
      </w:r>
      <w:bookmarkEnd w:id="309"/>
    </w:p>
    <w:p w:rsidR="00255CC4" w:rsidRDefault="00255CC4" w:rsidP="00255CC4"/>
    <w:p w:rsidR="00255CC4" w:rsidRDefault="00255CC4" w:rsidP="00255CC4">
      <w:r w:rsidRPr="002F358A">
        <w:rPr>
          <w:b/>
        </w:rPr>
        <w:t>Mājsaimniecību</w:t>
      </w:r>
      <w:r w:rsidRPr="00EA0927">
        <w:t xml:space="preserve"> griezumā </w:t>
      </w:r>
      <w:r>
        <w:t>(sk.</w:t>
      </w:r>
      <w:r w:rsidR="008C6B83">
        <w:t xml:space="preserve"> </w:t>
      </w:r>
      <w:r w:rsidR="00A02780">
        <w:t>1.26</w:t>
      </w:r>
      <w:r>
        <w:t xml:space="preserve">. attēlu) </w:t>
      </w:r>
      <w:r w:rsidRPr="003374E3">
        <w:rPr>
          <w:b/>
        </w:rPr>
        <w:t xml:space="preserve">augstākās materiālās nenodrošinātības indeksa vērtības ir mājsaimniecībām, kurās dzīvo viens cilvēks vecumā virs 65 gadiem, daudzbērnu ģimenēm un viena </w:t>
      </w:r>
      <w:r w:rsidR="00BA1727" w:rsidRPr="00BA1727">
        <w:rPr>
          <w:b/>
        </w:rPr>
        <w:t>vecāka mājsaimniecībām</w:t>
      </w:r>
      <w:r>
        <w:rPr>
          <w:b/>
        </w:rPr>
        <w:t xml:space="preserve">. </w:t>
      </w:r>
      <w:r w:rsidRPr="00DB4CD5">
        <w:t>Ši</w:t>
      </w:r>
      <w:r>
        <w:t>s</w:t>
      </w:r>
      <w:r w:rsidRPr="00EA0927">
        <w:t xml:space="preserve"> rādītāj</w:t>
      </w:r>
      <w:r>
        <w:t>s</w:t>
      </w:r>
      <w:r w:rsidRPr="00EA0927">
        <w:t xml:space="preserve"> katrā no </w:t>
      </w:r>
      <w:r>
        <w:t>mājsaimniecību</w:t>
      </w:r>
      <w:r w:rsidRPr="00EA0927">
        <w:t xml:space="preserve"> tipiem </w:t>
      </w:r>
      <w:r>
        <w:t>2016. gadā bija</w:t>
      </w:r>
      <w:r w:rsidRPr="00EA0927">
        <w:t xml:space="preserve"> attiecīgi </w:t>
      </w:r>
      <w:r>
        <w:t>42,8%,</w:t>
      </w:r>
      <w:r w:rsidRPr="00EA0927">
        <w:t xml:space="preserve"> </w:t>
      </w:r>
      <w:r>
        <w:t>32,8%</w:t>
      </w:r>
      <w:r w:rsidRPr="00EA0927">
        <w:t xml:space="preserve"> un </w:t>
      </w:r>
      <w:r>
        <w:t xml:space="preserve">40,5%. Materiālās nenodrošinātības indekss ir zemāks </w:t>
      </w:r>
      <w:r w:rsidRPr="00EA0927">
        <w:t>mājsaimniecībā</w:t>
      </w:r>
      <w:r>
        <w:t xml:space="preserve">m bez bērniem un mājsaimniecībām ar vienu līdz diviem bērniem. </w:t>
      </w:r>
      <w:r w:rsidRPr="00EA0927">
        <w:t>Straujākais materiālās nenodrošinātības indeksa kritums vērojams mājsaimniecībās, kurās ir viens pieaugušais ar bērniem</w:t>
      </w:r>
      <w:r>
        <w:t xml:space="preserve"> - </w:t>
      </w:r>
      <w:r w:rsidRPr="00EA0927">
        <w:t>laika posmā no 2014.</w:t>
      </w:r>
      <w:r>
        <w:t xml:space="preserve"> gada līdz 2017. </w:t>
      </w:r>
      <w:r w:rsidRPr="00EA0927">
        <w:t xml:space="preserve">gadam </w:t>
      </w:r>
      <w:r>
        <w:t>tas ir</w:t>
      </w:r>
      <w:r w:rsidRPr="00EA0927">
        <w:t xml:space="preserve"> krities par 18,2</w:t>
      </w:r>
      <w:r>
        <w:t xml:space="preserve"> procentpunktiem</w:t>
      </w:r>
      <w:r w:rsidRPr="00EA0927">
        <w:t>.</w:t>
      </w:r>
    </w:p>
    <w:p w:rsidR="00255CC4" w:rsidRDefault="00255CC4" w:rsidP="00255CC4"/>
    <w:p w:rsidR="00255CC4" w:rsidRDefault="00255CC4" w:rsidP="00255CC4">
      <w:r>
        <w:t xml:space="preserve">Analizējot materiālās nenodrošinātības rādītāju pēc </w:t>
      </w:r>
      <w:r w:rsidRPr="002735EC">
        <w:rPr>
          <w:b/>
        </w:rPr>
        <w:t>izglītības</w:t>
      </w:r>
      <w:r>
        <w:rPr>
          <w:b/>
        </w:rPr>
        <w:t xml:space="preserve"> līmeņa </w:t>
      </w:r>
      <w:r>
        <w:t xml:space="preserve">pazīmes, var konstatēt, ka </w:t>
      </w:r>
      <w:r w:rsidRPr="002F358A">
        <w:rPr>
          <w:b/>
        </w:rPr>
        <w:t>vairāk materiālajai nenodrošinātībai ir pakļautas personas ar pamatskolas izglītību, kuras ir vecāki bērniem jaunākiem par 17 gadiem</w:t>
      </w:r>
      <w:r>
        <w:t>. Šajā grupā materiālās nenodrošinātības indekss 2014. gadā bija 70,6%, kas tajā gadā bija augstākais un, lai gan indekss 2016. gadā samazinājās par 7,6 procentpunktiem, tas saglabāja augstāko vērtību salīdzinājumā ar citu izglītības līmeni ieguvušo personu grupām, sasniedzot 44,6%.</w:t>
      </w:r>
    </w:p>
    <w:p w:rsidR="00255CC4" w:rsidRDefault="00255CC4" w:rsidP="00255CC4"/>
    <w:p w:rsidR="00255CC4" w:rsidRPr="00D87A1C" w:rsidRDefault="00255CC4" w:rsidP="00255CC4">
      <w:r>
        <w:t xml:space="preserve">Kopš 2014. gada </w:t>
      </w:r>
      <w:r w:rsidRPr="002F358A">
        <w:rPr>
          <w:b/>
        </w:rPr>
        <w:t>ievērojami samazinājies materiālās nenodrošinātības indekss personām, kurām ir vidējā izglītība un ir arī bērni jaunāki par 17 gadiem</w:t>
      </w:r>
      <w:r>
        <w:t xml:space="preserve">. Šajā iedzīvotāju grupā aplūkotais indekss kopš 2014. gada ir samazinājies par 4,5 procentpunktiem periodā līdz 2016. gadam (35,8%), un tālāk turpināja kristies arī 2017. gadā (26,7%), veidojot kopējo samazinājumu jau par 13,6 procentpunktiem. </w:t>
      </w:r>
    </w:p>
    <w:bookmarkStart w:id="310" w:name="_Toc6220116"/>
    <w:bookmarkStart w:id="311" w:name="_Toc2761062"/>
    <w:bookmarkStart w:id="312" w:name="_Toc2848161"/>
    <w:p w:rsidR="00255CC4" w:rsidRPr="00876861" w:rsidRDefault="00AD3EDD" w:rsidP="00082031">
      <w:pPr>
        <w:spacing w:before="240" w:after="120"/>
        <w:jc w:val="left"/>
        <w:rPr>
          <w:b/>
          <w:color w:val="002060"/>
        </w:rPr>
      </w:pPr>
      <w:r w:rsidRPr="00876861">
        <w:rPr>
          <w:b/>
          <w:color w:val="002060"/>
        </w:rPr>
        <w:lastRenderedPageBreak/>
        <w:fldChar w:fldCharType="begin"/>
      </w:r>
      <w:r w:rsidR="006B5456" w:rsidRPr="00876861">
        <w:rPr>
          <w:b/>
          <w:color w:val="002060"/>
        </w:rPr>
        <w:instrText xml:space="preserve"> STYLEREF 1 \s </w:instrText>
      </w:r>
      <w:r w:rsidRPr="00876861">
        <w:rPr>
          <w:b/>
          <w:color w:val="002060"/>
        </w:rPr>
        <w:fldChar w:fldCharType="separate"/>
      </w:r>
      <w:bookmarkStart w:id="313" w:name="_Toc6855779"/>
      <w:r w:rsidR="00224B50">
        <w:rPr>
          <w:b/>
          <w:noProof/>
          <w:color w:val="002060"/>
        </w:rPr>
        <w:t>1</w:t>
      </w:r>
      <w:r w:rsidRPr="00876861">
        <w:rPr>
          <w:b/>
          <w:color w:val="002060"/>
        </w:rPr>
        <w:fldChar w:fldCharType="end"/>
      </w:r>
      <w:r w:rsidR="006B5456" w:rsidRPr="00876861">
        <w:rPr>
          <w:b/>
          <w:color w:val="002060"/>
        </w:rPr>
        <w:t>.</w:t>
      </w:r>
      <w:r w:rsidR="003A0D84">
        <w:rPr>
          <w:b/>
          <w:color w:val="002060"/>
        </w:rPr>
        <w:t>26</w:t>
      </w:r>
      <w:r w:rsidR="00255CC4" w:rsidRPr="00876861">
        <w:rPr>
          <w:b/>
          <w:color w:val="002060"/>
        </w:rPr>
        <w:t>. attēls. Iedzīvotāju (mājsaimniecību) materiālās nenodrošinātības indekss mājsaimniecību tipu griezumā (%)</w:t>
      </w:r>
      <w:bookmarkEnd w:id="310"/>
      <w:bookmarkEnd w:id="313"/>
      <w:r w:rsidR="00255CC4" w:rsidRPr="00876861">
        <w:rPr>
          <w:b/>
          <w:color w:val="002060"/>
        </w:rPr>
        <w:t xml:space="preserve"> </w:t>
      </w:r>
      <w:bookmarkEnd w:id="311"/>
      <w:bookmarkEnd w:id="312"/>
    </w:p>
    <w:p w:rsidR="00255CC4" w:rsidRPr="003D030B" w:rsidRDefault="00E13D1A" w:rsidP="00255CC4">
      <w:pPr>
        <w:ind w:left="-142"/>
        <w:rPr>
          <w:sz w:val="20"/>
          <w:szCs w:val="20"/>
        </w:rPr>
      </w:pPr>
      <w:r w:rsidRPr="00E13D1A">
        <w:rPr>
          <w:sz w:val="20"/>
          <w:szCs w:val="20"/>
        </w:rPr>
        <w:object w:dxaOrig="11018" w:dyaOrig="6258">
          <v:shape id="_x0000_i1026" type="#_x0000_t75" style="width:507.75pt;height:313.5pt" o:ole="">
            <v:imagedata r:id="rId44" o:title=""/>
          </v:shape>
          <o:OLEObject Type="Embed" ProgID="Excel.Sheet.12" ShapeID="_x0000_i1026" DrawAspect="Content" ObjectID="_1622535255" r:id="rId45"/>
        </w:object>
      </w:r>
      <w:r w:rsidR="00255CC4">
        <w:rPr>
          <w:sz w:val="20"/>
          <w:szCs w:val="20"/>
        </w:rPr>
        <w:t xml:space="preserve">  </w:t>
      </w:r>
      <w:r w:rsidR="00255CC4" w:rsidRPr="003D030B">
        <w:rPr>
          <w:sz w:val="20"/>
          <w:szCs w:val="20"/>
        </w:rPr>
        <w:t>Avots: CSP, “MNG130. Iedzīvotāju materiālās nenodrošinātības indekss (%)”.</w:t>
      </w:r>
    </w:p>
    <w:p w:rsidR="00255CC4" w:rsidRDefault="00255CC4" w:rsidP="00255CC4"/>
    <w:p w:rsidR="00E83854" w:rsidRDefault="00E83854" w:rsidP="00255CC4">
      <w:r>
        <w:t>Kā iepriekš minēts</w:t>
      </w:r>
      <w:r w:rsidR="008C3D80">
        <w:t>,</w:t>
      </w:r>
      <w:r>
        <w:t xml:space="preserve"> LU </w:t>
      </w:r>
      <w:r w:rsidRPr="00E83854">
        <w:t>Sociālo un politisko pētījumu institūta pētnieks</w:t>
      </w:r>
      <w:r>
        <w:t xml:space="preserve"> M. Niklass norāda, ka materiālās nenodrošinātības indekss ir v</w:t>
      </w:r>
      <w:r w:rsidR="00E0268C">
        <w:t>eiksmīgāks mērījums nekā nabadzības riska indekss, vienlaikus autors kritiski vērtē tā šī brīža aprēķina metodiku. Autors norāda, ka vairākas preces, kas izmantotas mērījumā (sk. iepriekš deviņas preču grupas)</w:t>
      </w:r>
      <w:r w:rsidR="008C3D80">
        <w:t>,</w:t>
      </w:r>
      <w:r w:rsidR="00E0268C">
        <w:t xml:space="preserve"> nav uzskatāmas par būtisku nenodrošinātības rādītāju mūsdienu IKT un pakalpojumu attīstības laikmetā (piemēram, krāsu televizora vietā mājsaimniecībā izmanto datoru), savukārt citi nozīmīgu un finansiāli ietilpīgi pakalpojumi, piemēram, par veselību un izglītību, apsekojumā nav ietverti. </w:t>
      </w:r>
      <w:r w:rsidR="00D86714">
        <w:t>Autors norāda, ka Latvijā pacientu tiešmaksājumu īpatsvars veselības aprūpes izdevumu struktūrā, atšķirībā no citām ES dalībvalstīm, ir augsts, tāpēc tieši Latvijas kontekstā š</w:t>
      </w:r>
      <w:r w:rsidR="008C3D80">
        <w:t>o</w:t>
      </w:r>
      <w:r w:rsidR="00D86714">
        <w:t xml:space="preserve"> izdevumu pozīcij</w:t>
      </w:r>
      <w:r w:rsidR="008C3D80">
        <w:t>u</w:t>
      </w:r>
      <w:r w:rsidR="00D86714">
        <w:t xml:space="preserve"> iekļaušana materiālās nenodrošinātības indeksa aprēķināšanā ir nozīmīga. </w:t>
      </w:r>
      <w:r w:rsidR="008C3D80">
        <w:t>Izteiktā</w:t>
      </w:r>
      <w:r w:rsidR="00D86714">
        <w:t xml:space="preserve"> pieņēmuma pamatošanai M.Niklass izmanto </w:t>
      </w:r>
      <w:r w:rsidR="008C3D80">
        <w:t xml:space="preserve">šim nolūkam </w:t>
      </w:r>
      <w:r w:rsidR="00F376B5">
        <w:t xml:space="preserve">SUSTINNO projekta ietvaros </w:t>
      </w:r>
      <w:r w:rsidR="00D86714">
        <w:t>2015. gadā veiktas iedzīvotāju a</w:t>
      </w:r>
      <w:r w:rsidR="00835A59">
        <w:t>ptaujas datus, kurā materiālā ne</w:t>
      </w:r>
      <w:r w:rsidR="00D86714">
        <w:t>nodrošinātība tika mērīta gan pēc EU-SILC lietotās metodoloģijas, gan pievienojot Latvijas situācijā iespējami nozīmīgus indikatorus. Autors pierāda, ka, piemēram, strādājošo iedzīvotāju 15 – 64 gadu vecumā</w:t>
      </w:r>
      <w:r w:rsidR="00AA121C">
        <w:t xml:space="preserve"> materiālās nenodrošinātības indeksa vērtība pieaug par 3,8 procentpunktiem, salīdzinot divus mērījumus – pēc </w:t>
      </w:r>
      <w:r w:rsidR="00AA121C" w:rsidRPr="008475E4">
        <w:rPr>
          <w:i/>
        </w:rPr>
        <w:t>Eurostat</w:t>
      </w:r>
      <w:r w:rsidR="00AA121C">
        <w:t xml:space="preserve"> metodikas aprēķināto indeksu un rādītāja vērtību, pievienojot divas veselības aprūpes pakalpojumu grupas (spēja samaksāt par ārsta nozīmētajiem izmeklējumiem un nespēja apmeklēt zobārstu vai zobu higiēnistu pakalpojuma </w:t>
      </w:r>
      <w:r w:rsidR="00AA121C">
        <w:lastRenderedPageBreak/>
        <w:t>dārdzības dēļ)</w:t>
      </w:r>
      <w:r w:rsidR="00E0268C">
        <w:t>.</w:t>
      </w:r>
      <w:r w:rsidR="00E0268C">
        <w:rPr>
          <w:rStyle w:val="FootnoteReference"/>
        </w:rPr>
        <w:footnoteReference w:id="118"/>
      </w:r>
      <w:r w:rsidR="00E0268C">
        <w:t xml:space="preserve"> </w:t>
      </w:r>
      <w:r w:rsidR="001D0C71">
        <w:t>Šie rezultāti ir pamats pieņēmumam, ka citās iedzīvotāju sociāli demogrāfiskajās grupās, it sevišķi tajās, kurās šobrīd materiālās nenodrošinātības indeksa vērtība ir augsta</w:t>
      </w:r>
      <w:r w:rsidR="00397DCF">
        <w:t xml:space="preserve"> un kurām vienlaikus ir nepieciešams biežāk izmantot veselības aprūpes pakalpojumus</w:t>
      </w:r>
      <w:r w:rsidR="001D0C71">
        <w:t>, tā varētu pieaugt vēl vairāk.</w:t>
      </w:r>
    </w:p>
    <w:p w:rsidR="00255CC4" w:rsidRPr="00D3739C" w:rsidRDefault="00255CC4" w:rsidP="00C33A64">
      <w:pPr>
        <w:pStyle w:val="virsrakstslvl4"/>
      </w:pPr>
      <w:bookmarkStart w:id="314" w:name="_Toc6220117"/>
      <w:bookmarkStart w:id="315" w:name="_Toc6841555"/>
      <w:r w:rsidRPr="00D3739C">
        <w:t>Dziļa materiālā nenodrošinātība</w:t>
      </w:r>
      <w:bookmarkEnd w:id="314"/>
      <w:bookmarkEnd w:id="315"/>
      <w:r w:rsidRPr="00D3739C">
        <w:t xml:space="preserve"> </w:t>
      </w:r>
    </w:p>
    <w:p w:rsidR="00255CC4" w:rsidRPr="00A62916" w:rsidRDefault="00255CC4" w:rsidP="00255CC4">
      <w:pPr>
        <w:shd w:val="clear" w:color="auto" w:fill="FFFFFF"/>
        <w:rPr>
          <w:rFonts w:eastAsia="Times New Roman"/>
          <w:color w:val="000000"/>
          <w:lang w:eastAsia="en-US"/>
        </w:rPr>
      </w:pPr>
      <w:r w:rsidRPr="00A62916">
        <w:rPr>
          <w:rFonts w:eastAsia="Times New Roman"/>
          <w:color w:val="000000"/>
          <w:lang w:eastAsia="en-US"/>
        </w:rPr>
        <w:t>Dziļa materiālā nenodrošinātība raksturo personas, kurām piemīt vismaz četras no šādām mate</w:t>
      </w:r>
      <w:r w:rsidR="008C3D80">
        <w:rPr>
          <w:rFonts w:eastAsia="Times New Roman"/>
          <w:color w:val="000000"/>
          <w:lang w:eastAsia="en-US"/>
        </w:rPr>
        <w:t>riālās nenodrošinātības pazīmēm, proti,</w:t>
      </w:r>
      <w:r w:rsidRPr="00A62916">
        <w:rPr>
          <w:rFonts w:eastAsia="Times New Roman"/>
          <w:color w:val="000000"/>
          <w:lang w:eastAsia="en-US"/>
        </w:rPr>
        <w:t xml:space="preserve"> finansiālu iespēju trūkums</w:t>
      </w:r>
      <w:r>
        <w:rPr>
          <w:rFonts w:eastAsia="Times New Roman"/>
          <w:color w:val="000000"/>
          <w:lang w:eastAsia="en-US"/>
        </w:rPr>
        <w:t>:</w:t>
      </w:r>
    </w:p>
    <w:p w:rsidR="00255CC4" w:rsidRPr="00A62916" w:rsidRDefault="00255CC4" w:rsidP="003F469F">
      <w:pPr>
        <w:numPr>
          <w:ilvl w:val="0"/>
          <w:numId w:val="166"/>
        </w:numPr>
        <w:shd w:val="clear" w:color="auto" w:fill="FFFFFF"/>
        <w:jc w:val="left"/>
        <w:rPr>
          <w:rFonts w:eastAsia="Times New Roman"/>
          <w:color w:val="000000"/>
          <w:lang w:eastAsia="en-US"/>
        </w:rPr>
      </w:pPr>
      <w:r w:rsidRPr="00A62916">
        <w:rPr>
          <w:rFonts w:eastAsia="Times New Roman"/>
          <w:color w:val="000000"/>
          <w:lang w:eastAsia="en-US"/>
        </w:rPr>
        <w:t>segt komunālos maksājumus, īri vai atmaksāt kredītu;</w:t>
      </w:r>
    </w:p>
    <w:p w:rsidR="00255CC4" w:rsidRPr="00A62916" w:rsidRDefault="00255CC4" w:rsidP="003F469F">
      <w:pPr>
        <w:numPr>
          <w:ilvl w:val="0"/>
          <w:numId w:val="166"/>
        </w:numPr>
        <w:shd w:val="clear" w:color="auto" w:fill="FFFFFF"/>
        <w:jc w:val="left"/>
        <w:rPr>
          <w:rFonts w:eastAsia="Times New Roman"/>
          <w:color w:val="000000"/>
          <w:lang w:eastAsia="en-US"/>
        </w:rPr>
      </w:pPr>
      <w:r w:rsidRPr="00A62916">
        <w:rPr>
          <w:rFonts w:eastAsia="Times New Roman"/>
          <w:color w:val="000000"/>
          <w:lang w:eastAsia="en-US"/>
        </w:rPr>
        <w:t>finansiāli atļauties uzturēt mājokli siltu;</w:t>
      </w:r>
    </w:p>
    <w:p w:rsidR="00255CC4" w:rsidRPr="00A62916" w:rsidRDefault="00255CC4" w:rsidP="003F469F">
      <w:pPr>
        <w:numPr>
          <w:ilvl w:val="0"/>
          <w:numId w:val="166"/>
        </w:numPr>
        <w:shd w:val="clear" w:color="auto" w:fill="FFFFFF"/>
        <w:jc w:val="left"/>
        <w:rPr>
          <w:rFonts w:eastAsia="Times New Roman"/>
          <w:color w:val="000000"/>
          <w:lang w:eastAsia="en-US"/>
        </w:rPr>
      </w:pPr>
      <w:r w:rsidRPr="00A62916">
        <w:rPr>
          <w:rFonts w:eastAsia="Times New Roman"/>
          <w:color w:val="000000"/>
          <w:lang w:eastAsia="en-US"/>
        </w:rPr>
        <w:t>segt pēkšņus, neparedzētus izdevumus no pašu līdzekļiem;</w:t>
      </w:r>
    </w:p>
    <w:p w:rsidR="00255CC4" w:rsidRPr="00A62916" w:rsidRDefault="00255CC4" w:rsidP="003F469F">
      <w:pPr>
        <w:numPr>
          <w:ilvl w:val="0"/>
          <w:numId w:val="166"/>
        </w:numPr>
        <w:shd w:val="clear" w:color="auto" w:fill="FFFFFF"/>
        <w:jc w:val="left"/>
        <w:rPr>
          <w:rFonts w:eastAsia="Times New Roman"/>
          <w:color w:val="000000"/>
          <w:lang w:eastAsia="en-US"/>
        </w:rPr>
      </w:pPr>
      <w:r w:rsidRPr="00A62916">
        <w:rPr>
          <w:rFonts w:eastAsia="Times New Roman"/>
          <w:color w:val="000000"/>
          <w:lang w:eastAsia="en-US"/>
        </w:rPr>
        <w:t>ēst gaļu, putnu gaļu vai zivis katru otro dienu;</w:t>
      </w:r>
    </w:p>
    <w:p w:rsidR="00255CC4" w:rsidRPr="00A62916" w:rsidRDefault="00255CC4" w:rsidP="003F469F">
      <w:pPr>
        <w:numPr>
          <w:ilvl w:val="0"/>
          <w:numId w:val="166"/>
        </w:numPr>
        <w:shd w:val="clear" w:color="auto" w:fill="FFFFFF"/>
        <w:jc w:val="left"/>
        <w:rPr>
          <w:rFonts w:eastAsia="Times New Roman"/>
          <w:color w:val="000000"/>
          <w:lang w:eastAsia="en-US"/>
        </w:rPr>
      </w:pPr>
      <w:r w:rsidRPr="00A62916">
        <w:rPr>
          <w:rFonts w:eastAsia="Times New Roman"/>
          <w:color w:val="000000"/>
          <w:lang w:eastAsia="en-US"/>
        </w:rPr>
        <w:t>katru gadu vienu nedēļ</w:t>
      </w:r>
      <w:r w:rsidR="00C548CE">
        <w:rPr>
          <w:rFonts w:eastAsia="Times New Roman"/>
          <w:color w:val="000000"/>
          <w:lang w:eastAsia="en-US"/>
        </w:rPr>
        <w:t>u doties brīvdienās ārpus mājām;</w:t>
      </w:r>
    </w:p>
    <w:p w:rsidR="00255CC4" w:rsidRPr="00A62916" w:rsidRDefault="00255CC4" w:rsidP="003F469F">
      <w:pPr>
        <w:numPr>
          <w:ilvl w:val="0"/>
          <w:numId w:val="166"/>
        </w:numPr>
        <w:shd w:val="clear" w:color="auto" w:fill="FFFFFF"/>
        <w:jc w:val="left"/>
        <w:rPr>
          <w:rFonts w:eastAsia="Times New Roman"/>
          <w:color w:val="000000"/>
          <w:lang w:eastAsia="en-US"/>
        </w:rPr>
      </w:pPr>
      <w:r w:rsidRPr="00A62916">
        <w:rPr>
          <w:rFonts w:eastAsia="Times New Roman"/>
          <w:color w:val="000000"/>
          <w:lang w:eastAsia="en-US"/>
        </w:rPr>
        <w:t>lietot savām vajadzībām vieglo auto;</w:t>
      </w:r>
    </w:p>
    <w:p w:rsidR="00255CC4" w:rsidRPr="00A62916" w:rsidRDefault="00255CC4" w:rsidP="003F469F">
      <w:pPr>
        <w:numPr>
          <w:ilvl w:val="0"/>
          <w:numId w:val="166"/>
        </w:numPr>
        <w:shd w:val="clear" w:color="auto" w:fill="FFFFFF"/>
        <w:jc w:val="left"/>
        <w:rPr>
          <w:rFonts w:eastAsia="Times New Roman"/>
          <w:color w:val="000000"/>
          <w:lang w:eastAsia="en-US"/>
        </w:rPr>
      </w:pPr>
      <w:r w:rsidRPr="00A62916">
        <w:rPr>
          <w:rFonts w:eastAsia="Times New Roman"/>
          <w:color w:val="000000"/>
          <w:lang w:eastAsia="en-US"/>
        </w:rPr>
        <w:t>veļas mazgājamo mašīnu;</w:t>
      </w:r>
    </w:p>
    <w:p w:rsidR="00255CC4" w:rsidRPr="00A62916" w:rsidRDefault="00255CC4" w:rsidP="003F469F">
      <w:pPr>
        <w:numPr>
          <w:ilvl w:val="0"/>
          <w:numId w:val="166"/>
        </w:numPr>
        <w:shd w:val="clear" w:color="auto" w:fill="FFFFFF"/>
        <w:jc w:val="left"/>
        <w:rPr>
          <w:rFonts w:eastAsia="Times New Roman"/>
          <w:color w:val="000000"/>
          <w:lang w:eastAsia="en-US"/>
        </w:rPr>
      </w:pPr>
      <w:r w:rsidRPr="00A62916">
        <w:rPr>
          <w:rFonts w:eastAsia="Times New Roman"/>
          <w:color w:val="000000"/>
          <w:lang w:eastAsia="en-US"/>
        </w:rPr>
        <w:t>krāsu televizoru;</w:t>
      </w:r>
    </w:p>
    <w:p w:rsidR="00255CC4" w:rsidRPr="00A62916" w:rsidRDefault="00255CC4" w:rsidP="003F469F">
      <w:pPr>
        <w:numPr>
          <w:ilvl w:val="0"/>
          <w:numId w:val="166"/>
        </w:numPr>
        <w:shd w:val="clear" w:color="auto" w:fill="FFFFFF"/>
        <w:jc w:val="left"/>
        <w:rPr>
          <w:rFonts w:eastAsia="Times New Roman"/>
          <w:color w:val="000000"/>
          <w:lang w:eastAsia="en-US"/>
        </w:rPr>
      </w:pPr>
      <w:r w:rsidRPr="00A62916">
        <w:rPr>
          <w:rFonts w:eastAsia="Times New Roman"/>
          <w:color w:val="000000"/>
          <w:lang w:eastAsia="en-US"/>
        </w:rPr>
        <w:t>telefonu.</w:t>
      </w:r>
      <w:r>
        <w:rPr>
          <w:rStyle w:val="FootnoteReference"/>
          <w:rFonts w:eastAsia="Times New Roman"/>
          <w:color w:val="000000"/>
          <w:lang w:eastAsia="en-US"/>
        </w:rPr>
        <w:footnoteReference w:id="119"/>
      </w:r>
    </w:p>
    <w:p w:rsidR="00255CC4" w:rsidRDefault="00255CC4" w:rsidP="00255CC4"/>
    <w:p w:rsidR="00255CC4" w:rsidRDefault="00255CC4" w:rsidP="00255CC4">
      <w:r>
        <w:t xml:space="preserve">Dziļai materiālai nenodrošinātībai 2014. gadā bija pakļauti 19,2% Latvijas iedzīvotāju, 2015. gadā – 16,4% un 2016. gadā tas bija nokrities līdz 12,8%. Kopējais rādītāja samazinājums Izvērtējuma periodā ir 6,4 procentpunkti. Sadalījumā starp pilsētām un laukiem, salīdzinot 2014. gadu un 2015. gadu, redzama tendence izlīdzināties iedzīvotāju īpatsvaram, kuri pakļauti dziļai materiālai nenodrošinātībai pēc dzīves vietas atrašanās pazīmes. Proti, 2014. gadā pilsētās šis rādītājs bija 18,3%, laukos - 21,1% (starpība ir 2,7 procentpunkti), savukārt 2015. gadā attiecīgi 15,9% un 17,6% (starpība saruka līdz 1,7 procentpunktiem). Taču pēc tam 2016. gadā lielāks rādītāja kritums bija pilsētās, sasniedzot 11,5%, kamēr laukos mazāks, paliekot 15,4% līmenī 2016. gadā, kopējai starpībai starp pilsētām un laukiem pieaugot par 3,7 procentpunktiem. </w:t>
      </w:r>
    </w:p>
    <w:p w:rsidR="00876861" w:rsidRDefault="00876861">
      <w:pPr>
        <w:spacing w:line="240" w:lineRule="auto"/>
        <w:jc w:val="left"/>
        <w:rPr>
          <w:b/>
          <w:color w:val="002060"/>
        </w:rPr>
      </w:pPr>
      <w:bookmarkStart w:id="316" w:name="_Toc6220118"/>
      <w:r>
        <w:rPr>
          <w:b/>
          <w:color w:val="002060"/>
        </w:rPr>
        <w:br w:type="page"/>
      </w:r>
    </w:p>
    <w:p w:rsidR="00255CC4" w:rsidRPr="00876861" w:rsidRDefault="00AD3EDD" w:rsidP="00876861">
      <w:pPr>
        <w:spacing w:before="240" w:after="120"/>
        <w:rPr>
          <w:b/>
          <w:color w:val="002060"/>
        </w:rPr>
      </w:pPr>
      <w:r w:rsidRPr="00876861">
        <w:rPr>
          <w:b/>
          <w:color w:val="002060"/>
        </w:rPr>
        <w:lastRenderedPageBreak/>
        <w:fldChar w:fldCharType="begin"/>
      </w:r>
      <w:r w:rsidR="006B5456" w:rsidRPr="00876861">
        <w:rPr>
          <w:b/>
          <w:color w:val="002060"/>
        </w:rPr>
        <w:instrText xml:space="preserve"> STYLEREF 1 \s </w:instrText>
      </w:r>
      <w:r w:rsidRPr="00876861">
        <w:rPr>
          <w:b/>
          <w:color w:val="002060"/>
        </w:rPr>
        <w:fldChar w:fldCharType="separate"/>
      </w:r>
      <w:bookmarkStart w:id="317" w:name="_Toc6855780"/>
      <w:r w:rsidR="00224B50">
        <w:rPr>
          <w:b/>
          <w:noProof/>
          <w:color w:val="002060"/>
        </w:rPr>
        <w:t>1</w:t>
      </w:r>
      <w:r w:rsidRPr="00876861">
        <w:rPr>
          <w:b/>
          <w:color w:val="002060"/>
        </w:rPr>
        <w:fldChar w:fldCharType="end"/>
      </w:r>
      <w:r w:rsidR="006B5456" w:rsidRPr="00876861">
        <w:rPr>
          <w:b/>
          <w:color w:val="002060"/>
        </w:rPr>
        <w:t>.</w:t>
      </w:r>
      <w:r w:rsidR="007F32AE">
        <w:rPr>
          <w:b/>
          <w:color w:val="002060"/>
        </w:rPr>
        <w:t>27</w:t>
      </w:r>
      <w:r w:rsidR="00255CC4" w:rsidRPr="00876861">
        <w:rPr>
          <w:b/>
          <w:color w:val="002060"/>
        </w:rPr>
        <w:t>. attēls. Iedzīvotāju dziļas materiālās nenodrošinātības indekss reģionu griezumā (%)</w:t>
      </w:r>
      <w:bookmarkEnd w:id="316"/>
      <w:bookmarkEnd w:id="317"/>
    </w:p>
    <w:bookmarkStart w:id="318" w:name="_MON_1616780090"/>
    <w:bookmarkEnd w:id="318"/>
    <w:p w:rsidR="00255CC4" w:rsidRDefault="00E13D1A" w:rsidP="00255CC4">
      <w:r>
        <w:object w:dxaOrig="10514" w:dyaOrig="5950">
          <v:shape id="_x0000_i1027" type="#_x0000_t75" style="width:453.75pt;height:256.5pt" o:ole="">
            <v:imagedata r:id="rId46" o:title=""/>
          </v:shape>
          <o:OLEObject Type="Embed" ProgID="Excel.Sheet.12" ShapeID="_x0000_i1027" DrawAspect="Content" ObjectID="_1622535256" r:id="rId47"/>
        </w:object>
      </w:r>
    </w:p>
    <w:p w:rsidR="00255CC4" w:rsidRPr="007B6655" w:rsidRDefault="00255CC4" w:rsidP="00C33A64">
      <w:pPr>
        <w:pStyle w:val="avotiemft10"/>
      </w:pPr>
      <w:bookmarkStart w:id="319" w:name="_Toc6841556"/>
      <w:r w:rsidRPr="007B6655">
        <w:t xml:space="preserve">Avots: </w:t>
      </w:r>
      <w:r>
        <w:t xml:space="preserve">CSP, </w:t>
      </w:r>
      <w:r w:rsidRPr="007B6655">
        <w:t>MNG140. Iedzīvotāju dziļa materiālā nenodrošinātība (%)</w:t>
      </w:r>
      <w:bookmarkEnd w:id="319"/>
    </w:p>
    <w:p w:rsidR="00255CC4" w:rsidRDefault="00255CC4" w:rsidP="00255CC4"/>
    <w:p w:rsidR="00255CC4" w:rsidRPr="005F2CE2" w:rsidRDefault="00255CC4" w:rsidP="00255CC4">
      <w:r>
        <w:rPr>
          <w:b/>
        </w:rPr>
        <w:t>Reģionu griezumā</w:t>
      </w:r>
      <w:r>
        <w:t xml:space="preserve"> perioda sākumā – 2014. gadā – reģionu izvietojums pēc šī rādītāja bija atšķirīgs – visaugstākais tas bija Zemgalē (28,2%), kuram ir bijis arī visbūtiskākais samazinājums līdz 2016. gadam (12,1 procentpunkts), otrs augstākais indekss 2014. gadā bija Vidzemes reģionā (20,9%), trešais augstākais – Latgales reģionā (20%). Turpmākajos gados kopumā ir vērojama stabila tendence samazināties iedzīvotāju īpatsvaram, kas ir pakļauti dziļai materiālai nenodrošinātībai, izņemot Latgali, kur rādītājs ir samazinājies, taču minimālā apmērā – tikai par 1,7 procentpunktiem (sk. </w:t>
      </w:r>
      <w:r w:rsidR="00A02780">
        <w:t>1.27</w:t>
      </w:r>
      <w:r>
        <w:t xml:space="preserve">. attēlu). Samazinājuma apmērs ir diezgan vienmērīgs visos pārējos reģionos, izņemto Zemgali, kuras tas bijis ievērojami straujāks. Zemgales reģionā Izvērtējuma periodā būtiskāk nekā citos reģionos samazinājušies arī citi ienākumu nevienlīdzības rādītāji, piemēram, </w:t>
      </w:r>
      <w:r w:rsidRPr="00EA0927">
        <w:t>S80/S20 ienākumu kvintiļu attiecīb</w:t>
      </w:r>
      <w:r>
        <w:t>u</w:t>
      </w:r>
      <w:r w:rsidRPr="00EA0927">
        <w:t xml:space="preserve"> indeks</w:t>
      </w:r>
      <w:r>
        <w:t xml:space="preserve">s. Viszemākais dziļas materiālās nenodrošinātības indekss Izvērtējuma periodā ir konstatēts Rīgas reģionā, kur 2016. gadā tas ir nokrities zem 10% (8,1%), savukārt visaugstākais tas saglabājās Latgales reģionā – 18,3%. </w:t>
      </w:r>
    </w:p>
    <w:p w:rsidR="00255CC4" w:rsidRDefault="00255CC4" w:rsidP="00255CC4">
      <w:pPr>
        <w:spacing w:line="240" w:lineRule="auto"/>
        <w:jc w:val="left"/>
        <w:rPr>
          <w:b/>
          <w:bCs/>
          <w:noProof/>
          <w:color w:val="244061" w:themeColor="accent1" w:themeShade="80"/>
          <w:szCs w:val="18"/>
        </w:rPr>
      </w:pPr>
      <w:r>
        <w:rPr>
          <w:noProof/>
        </w:rPr>
        <w:br w:type="page"/>
      </w:r>
    </w:p>
    <w:p w:rsidR="00255CC4" w:rsidRPr="00876861" w:rsidRDefault="00793600" w:rsidP="00876861">
      <w:pPr>
        <w:jc w:val="left"/>
        <w:rPr>
          <w:b/>
          <w:color w:val="002060"/>
        </w:rPr>
      </w:pPr>
      <w:bookmarkStart w:id="320" w:name="_Toc6220119"/>
      <w:bookmarkStart w:id="321" w:name="_Toc6855781"/>
      <w:r>
        <w:rPr>
          <w:b/>
          <w:color w:val="002060"/>
        </w:rPr>
        <w:lastRenderedPageBreak/>
        <w:t>1.28</w:t>
      </w:r>
      <w:r w:rsidR="00255CC4" w:rsidRPr="00876861">
        <w:rPr>
          <w:b/>
          <w:color w:val="002060"/>
        </w:rPr>
        <w:t>. attēls. Iedzīvotāju dziļas materiālās nenodrošinātības indekss sadalījumā pa vecuma grupām (%)</w:t>
      </w:r>
      <w:bookmarkEnd w:id="320"/>
      <w:bookmarkEnd w:id="321"/>
    </w:p>
    <w:p w:rsidR="00255CC4" w:rsidRDefault="00E13D1A" w:rsidP="00255CC4">
      <w:r>
        <w:object w:dxaOrig="7394" w:dyaOrig="3991">
          <v:shape id="_x0000_i1028" type="#_x0000_t75" style="width:386.25pt;height:207pt" o:ole="">
            <v:imagedata r:id="rId48" o:title=""/>
          </v:shape>
          <o:OLEObject Type="Embed" ProgID="Excel.Sheet.12" ShapeID="_x0000_i1028" DrawAspect="Content" ObjectID="_1622535257" r:id="rId49"/>
        </w:object>
      </w:r>
    </w:p>
    <w:p w:rsidR="00255CC4" w:rsidRDefault="00255CC4" w:rsidP="00C33A64">
      <w:pPr>
        <w:pStyle w:val="avotiemft10"/>
      </w:pPr>
      <w:bookmarkStart w:id="322" w:name="_Toc6841557"/>
      <w:r w:rsidRPr="007B6655">
        <w:t xml:space="preserve">Avots: </w:t>
      </w:r>
      <w:r>
        <w:t xml:space="preserve">CSP, </w:t>
      </w:r>
      <w:r w:rsidRPr="007B6655">
        <w:t>MNG140. Iedzīvotāju dziļa materiālā nenodrošinātība (%)</w:t>
      </w:r>
      <w:bookmarkEnd w:id="322"/>
    </w:p>
    <w:p w:rsidR="00255CC4" w:rsidRDefault="00255CC4" w:rsidP="00255CC4"/>
    <w:p w:rsidR="00255CC4" w:rsidRDefault="00255CC4" w:rsidP="00255CC4">
      <w:r>
        <w:t xml:space="preserve">Dziļas materiālās nenodrošinātības indeksa analīze sadalījumā pa </w:t>
      </w:r>
      <w:r w:rsidRPr="00A20995">
        <w:rPr>
          <w:b/>
        </w:rPr>
        <w:t>vecuma grupām</w:t>
      </w:r>
      <w:r>
        <w:t xml:space="preserve"> atklāj, ka konstanti viszemākais tas ir vecuma grupā no 25 līdz 49 gadiem (sk. </w:t>
      </w:r>
      <w:r w:rsidR="00A02780">
        <w:t>1.28</w:t>
      </w:r>
      <w:r>
        <w:t xml:space="preserve">. attēlu). Izvērtējuma periodā (2014.g.-2016.g.) visās vecuma grupās ir vērojams indeksa samazinājums – vislielākais – par 8 procentpunktiem - tas bija bērnu un jauniešu vecuma grupā (līdz 17 gadiem). Otrs lielākais indeksa samazinājums bija vecuma grupā virs 65 gadiem (par 7,1 procentpunktu). Kopējā aina rāda, ka zemākas šī rādītāja vērtības 2016. gadā ir divās vecuma grupās – 0 līdz 17 gadi un 25 līdz 49 gadi. </w:t>
      </w:r>
      <w:r w:rsidR="00DD45EA">
        <w:t xml:space="preserve">Attiecīgi augstākas tās ir vecuma grupās virs 50 gadiem, kā arī vecuma grupā no 18 līdz 24 gadiem. </w:t>
      </w:r>
    </w:p>
    <w:p w:rsidR="00255CC4" w:rsidRPr="00F8630C" w:rsidRDefault="00D32767" w:rsidP="00F8630C">
      <w:pPr>
        <w:spacing w:before="240" w:after="120"/>
        <w:jc w:val="left"/>
        <w:rPr>
          <w:b/>
          <w:color w:val="002060"/>
        </w:rPr>
      </w:pPr>
      <w:bookmarkStart w:id="323" w:name="_Toc6220120"/>
      <w:bookmarkStart w:id="324" w:name="_Toc6855782"/>
      <w:r>
        <w:rPr>
          <w:b/>
          <w:color w:val="002060"/>
        </w:rPr>
        <w:t xml:space="preserve">1.29. attēls. </w:t>
      </w:r>
      <w:r w:rsidR="00255CC4" w:rsidRPr="00F8630C">
        <w:rPr>
          <w:b/>
          <w:color w:val="002060"/>
        </w:rPr>
        <w:t>Iedzīvotāju dziļas materiālās nenodrošinātības indekss sadalījumā pa mājsaimniecību tipiem (%)</w:t>
      </w:r>
      <w:bookmarkEnd w:id="323"/>
      <w:bookmarkEnd w:id="324"/>
    </w:p>
    <w:p w:rsidR="00255CC4" w:rsidRDefault="00255CC4" w:rsidP="00255CC4">
      <w:r w:rsidRPr="00D82145">
        <w:rPr>
          <w:noProof/>
        </w:rPr>
        <w:drawing>
          <wp:inline distT="0" distB="0" distL="0" distR="0">
            <wp:extent cx="5562600" cy="3175775"/>
            <wp:effectExtent l="19050" t="0" r="0" b="0"/>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7247" cy="3178428"/>
                    </a:xfrm>
                    <a:prstGeom prst="rect">
                      <a:avLst/>
                    </a:prstGeom>
                    <a:noFill/>
                    <a:ln>
                      <a:noFill/>
                    </a:ln>
                  </pic:spPr>
                </pic:pic>
              </a:graphicData>
            </a:graphic>
          </wp:inline>
        </w:drawing>
      </w:r>
    </w:p>
    <w:p w:rsidR="00255CC4" w:rsidRDefault="00255CC4" w:rsidP="00255CC4">
      <w:pPr>
        <w:rPr>
          <w:sz w:val="20"/>
          <w:szCs w:val="20"/>
        </w:rPr>
      </w:pPr>
      <w:r w:rsidRPr="007B6655">
        <w:rPr>
          <w:sz w:val="20"/>
          <w:szCs w:val="20"/>
        </w:rPr>
        <w:t xml:space="preserve">Avots: </w:t>
      </w:r>
      <w:r>
        <w:rPr>
          <w:sz w:val="20"/>
          <w:szCs w:val="20"/>
        </w:rPr>
        <w:t xml:space="preserve">CSP, </w:t>
      </w:r>
      <w:r w:rsidRPr="007B6655">
        <w:rPr>
          <w:sz w:val="20"/>
          <w:szCs w:val="20"/>
        </w:rPr>
        <w:t>MNG140. Iedzīvotāju dziļa materiālā nenodrošinātība (%)</w:t>
      </w:r>
    </w:p>
    <w:p w:rsidR="00255CC4" w:rsidRDefault="00255CC4" w:rsidP="00255CC4">
      <w:r>
        <w:lastRenderedPageBreak/>
        <w:t xml:space="preserve">Trīs </w:t>
      </w:r>
      <w:r w:rsidRPr="00FE19F6">
        <w:rPr>
          <w:b/>
        </w:rPr>
        <w:t>mājsaimniecību grupas</w:t>
      </w:r>
      <w:r>
        <w:t xml:space="preserve">, kuras ir vislielākā mērā pakļautas dziļai materiālai nenodrošinātībai, ir </w:t>
      </w:r>
      <w:r w:rsidRPr="00014877">
        <w:rPr>
          <w:b/>
        </w:rPr>
        <w:t>vienas personas mājsaimniecības vecumā no 16 līdz 64 gadiem</w:t>
      </w:r>
      <w:r>
        <w:t xml:space="preserve"> (2016. gadā – 22,2%), </w:t>
      </w:r>
      <w:r w:rsidR="001E77B5" w:rsidRPr="001E77B5">
        <w:rPr>
          <w:b/>
        </w:rPr>
        <w:t xml:space="preserve">viena </w:t>
      </w:r>
      <w:r w:rsidR="00BA1727" w:rsidRPr="00BA1727">
        <w:rPr>
          <w:b/>
        </w:rPr>
        <w:t>vecāka mājsaimniecības</w:t>
      </w:r>
      <w:r w:rsidR="00BA1727">
        <w:t xml:space="preserve"> </w:t>
      </w:r>
      <w:r>
        <w:t xml:space="preserve">(2016. gadā – 21,9%) un </w:t>
      </w:r>
      <w:r w:rsidRPr="00014877">
        <w:rPr>
          <w:b/>
        </w:rPr>
        <w:t>atsevišķi dzīvojoši seniori vecumā virs 65 gadiem</w:t>
      </w:r>
      <w:r>
        <w:t xml:space="preserve"> (2016. gadā – 20,7%) (sk.</w:t>
      </w:r>
      <w:r w:rsidR="008C6B83">
        <w:t xml:space="preserve"> </w:t>
      </w:r>
      <w:r w:rsidR="00A02780">
        <w:t>1.29</w:t>
      </w:r>
      <w:r>
        <w:t xml:space="preserve">. attēlu). Pēdējām divām grupām raksturīgi, ka arī citu nabadzības, ienākumu nevienlīdzības un sociālās atstumtības rādītāju vērtības ir augstākas salīdzinājumā ar pārējām mājsaimniecību grupām. Vienas personas mājsaimniecības parādās arī kā tās, kurām ir pieaudzis nabadzības riska indeksa rādītājs. Nabadzības riska indeksa datu analīze vecuma grupu griezumā atklāja, ka būtiski augstāks tas ir vecumā no 50 līdz 64 gadiem, nekā no 18 līdz 50 gadiem, tāpēc, visdrīzāk arī dziļai materiālai nenodrošinātībai lielākā mērā ir pakļautas tieši šīs vecuma apakšgrupas atsevišķi dzīvojošās personas. Raugoties uz ģimenēm ar bērniem, </w:t>
      </w:r>
      <w:r w:rsidRPr="008663E6">
        <w:rPr>
          <w:b/>
        </w:rPr>
        <w:t>negatīvā nozīmē ļoti izceļas nepilno ģimeņu situācija</w:t>
      </w:r>
      <w:r>
        <w:t xml:space="preserve">. Viszemākās dziļas materiālās nenodrošinātības indeksa vērtības ir ģimenēs ar vienu un diviem bērniem  (2016. gadā attiecīgi 8,4% un 4,9%), salīdzinoši zemāks tas ir arī daudzbērnu ģimenēm (2016. gadā – 13,7%). </w:t>
      </w:r>
    </w:p>
    <w:p w:rsidR="00255CC4" w:rsidRDefault="00255CC4" w:rsidP="00255CC4"/>
    <w:p w:rsidR="00255CC4" w:rsidRDefault="00255CC4" w:rsidP="00255CC4">
      <w:r>
        <w:t xml:space="preserve">Turpinot analizēt ģimeņu ar bērniem situāciju un to ietekmējošos faktorus, </w:t>
      </w:r>
      <w:r w:rsidR="00A02780">
        <w:t>1.30</w:t>
      </w:r>
      <w:r>
        <w:t xml:space="preserve">. attēlā redzams, ka vērā ņemama nozīme uz ģimenes labklājību ir vecāku </w:t>
      </w:r>
      <w:r w:rsidRPr="008663E6">
        <w:rPr>
          <w:b/>
        </w:rPr>
        <w:t>izglītībai</w:t>
      </w:r>
      <w:r>
        <w:t xml:space="preserve">. Ģimenēm, kurās vecāku izglītības līmenis ir zemāks, ir augstākas dziļas materiālās nenodrošinātības indeksa vērtības. Piemēram, 2016. gadā iedzīvotājiem, kuriem ir bērni vecumā līdz 17 gadiem, ar pamatizglītību šis rādītājs bija 37,7%, ar vidējo izglītību – 15,5% un ar augstāko izglītību vairs tikai 3,5%. Izglītības līmeņa ietekmi uzskatāmi parāda arī dziļas materiālās nenodrošinātības indeksa vērtības sadalījumā pēc izglītības līmeņa – jo augstāks izglītības līmenis, jo zemāks indekss. </w:t>
      </w:r>
    </w:p>
    <w:p w:rsidR="00255CC4" w:rsidRPr="00876861" w:rsidRDefault="003A7EEB" w:rsidP="00876861">
      <w:pPr>
        <w:spacing w:before="240" w:after="120"/>
        <w:jc w:val="left"/>
        <w:rPr>
          <w:b/>
          <w:color w:val="002060"/>
        </w:rPr>
      </w:pPr>
      <w:bookmarkStart w:id="325" w:name="_Toc6220121"/>
      <w:bookmarkStart w:id="326" w:name="_Toc6855783"/>
      <w:r>
        <w:rPr>
          <w:b/>
          <w:color w:val="002060"/>
        </w:rPr>
        <w:t>1.</w:t>
      </w:r>
      <w:r w:rsidR="00092F53" w:rsidRPr="00876861">
        <w:rPr>
          <w:b/>
          <w:color w:val="002060"/>
        </w:rPr>
        <w:t>30</w:t>
      </w:r>
      <w:r w:rsidR="00255CC4" w:rsidRPr="00876861">
        <w:rPr>
          <w:b/>
          <w:color w:val="002060"/>
        </w:rPr>
        <w:t>. attēls. Iedzīvotāju dziļas materiālās nenodrošinātības indekss sadalījumā pēc izglītības līmeņa un bērnu vecuma ģimenē (%)</w:t>
      </w:r>
      <w:bookmarkEnd w:id="325"/>
      <w:bookmarkEnd w:id="326"/>
    </w:p>
    <w:p w:rsidR="00255CC4" w:rsidRDefault="00255CC4" w:rsidP="00255CC4">
      <w:r w:rsidRPr="00E13D1A">
        <w:rPr>
          <w:noProof/>
        </w:rPr>
        <w:drawing>
          <wp:inline distT="0" distB="0" distL="0" distR="0">
            <wp:extent cx="5705475" cy="3701948"/>
            <wp:effectExtent l="19050" t="0" r="9525" b="0"/>
            <wp:docPr id="1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705" cy="3708585"/>
                    </a:xfrm>
                    <a:prstGeom prst="rect">
                      <a:avLst/>
                    </a:prstGeom>
                    <a:noFill/>
                    <a:ln>
                      <a:noFill/>
                    </a:ln>
                  </pic:spPr>
                </pic:pic>
              </a:graphicData>
            </a:graphic>
          </wp:inline>
        </w:drawing>
      </w:r>
    </w:p>
    <w:p w:rsidR="00255CC4" w:rsidRPr="007B6655" w:rsidRDefault="00255CC4" w:rsidP="00255CC4">
      <w:pPr>
        <w:rPr>
          <w:sz w:val="20"/>
          <w:szCs w:val="20"/>
        </w:rPr>
      </w:pPr>
      <w:bookmarkStart w:id="327" w:name="_Toc2761065"/>
      <w:bookmarkStart w:id="328" w:name="_Toc2848164"/>
      <w:r w:rsidRPr="007B6655">
        <w:rPr>
          <w:sz w:val="20"/>
          <w:szCs w:val="20"/>
        </w:rPr>
        <w:t xml:space="preserve">Avots: </w:t>
      </w:r>
      <w:r>
        <w:rPr>
          <w:sz w:val="20"/>
          <w:szCs w:val="20"/>
        </w:rPr>
        <w:t xml:space="preserve">CSP, </w:t>
      </w:r>
      <w:r w:rsidRPr="007B6655">
        <w:rPr>
          <w:sz w:val="20"/>
          <w:szCs w:val="20"/>
        </w:rPr>
        <w:t>MNG140. Iedzīvotāju dziļa materiālā nenodrošinātība (%)</w:t>
      </w:r>
    </w:p>
    <w:p w:rsidR="00255CC4" w:rsidRPr="00D3739C" w:rsidRDefault="00255CC4" w:rsidP="00C33A64">
      <w:pPr>
        <w:pStyle w:val="virsrakstslvl4"/>
      </w:pPr>
      <w:bookmarkStart w:id="329" w:name="_Toc6220122"/>
      <w:bookmarkStart w:id="330" w:name="_Toc6841558"/>
      <w:r w:rsidRPr="00D3739C">
        <w:lastRenderedPageBreak/>
        <w:t>Ekonomiskā spriedze</w:t>
      </w:r>
      <w:bookmarkEnd w:id="329"/>
      <w:bookmarkEnd w:id="330"/>
      <w:r w:rsidRPr="00D3739C">
        <w:t xml:space="preserve"> </w:t>
      </w:r>
      <w:bookmarkEnd w:id="327"/>
      <w:bookmarkEnd w:id="328"/>
    </w:p>
    <w:p w:rsidR="00255CC4" w:rsidRPr="006C12FB" w:rsidRDefault="00255CC4" w:rsidP="00255CC4">
      <w:r>
        <w:t xml:space="preserve">Otrs sociālās atstumtības rādītājs ir </w:t>
      </w:r>
      <w:r w:rsidRPr="0079325E">
        <w:rPr>
          <w:b/>
        </w:rPr>
        <w:t>ekonomiskā spriedze</w:t>
      </w:r>
      <w:r>
        <w:t xml:space="preserve">, kas tiek aprēķināts, izmantojot vairākus jautājumus, kuros </w:t>
      </w:r>
      <w:r w:rsidRPr="006C12FB">
        <w:t>respondentiem jānovērtē mājsaimniecības spēja segt šādas izmaksas:</w:t>
      </w:r>
    </w:p>
    <w:p w:rsidR="00255CC4" w:rsidRPr="006C12FB" w:rsidRDefault="00255CC4" w:rsidP="003F469F">
      <w:pPr>
        <w:pStyle w:val="ListParagraph"/>
        <w:numPr>
          <w:ilvl w:val="0"/>
          <w:numId w:val="162"/>
        </w:numPr>
        <w:spacing w:line="276" w:lineRule="auto"/>
      </w:pPr>
      <w:r w:rsidRPr="006C12FB">
        <w:t>segt komunālos maksājumus, īri un kredītu (t. sk. līzinga maksājumus par pirkumiem uz kredīta);</w:t>
      </w:r>
    </w:p>
    <w:p w:rsidR="00255CC4" w:rsidRPr="006C12FB" w:rsidRDefault="00255CC4" w:rsidP="003F469F">
      <w:pPr>
        <w:pStyle w:val="ListParagraph"/>
        <w:numPr>
          <w:ilvl w:val="0"/>
          <w:numId w:val="162"/>
        </w:numPr>
        <w:spacing w:line="276" w:lineRule="auto"/>
      </w:pPr>
      <w:r w:rsidRPr="006C12FB">
        <w:t>uzturēt mājokli siltu;</w:t>
      </w:r>
    </w:p>
    <w:p w:rsidR="00255CC4" w:rsidRPr="006C12FB" w:rsidRDefault="00255CC4" w:rsidP="003F469F">
      <w:pPr>
        <w:pStyle w:val="ListParagraph"/>
        <w:numPr>
          <w:ilvl w:val="0"/>
          <w:numId w:val="162"/>
        </w:numPr>
        <w:spacing w:line="276" w:lineRule="auto"/>
      </w:pPr>
      <w:r w:rsidRPr="006C12FB">
        <w:t>atļauties segt neparedzētus izdevumus no pašu līdzekļiem;</w:t>
      </w:r>
    </w:p>
    <w:p w:rsidR="00255CC4" w:rsidRPr="006C12FB" w:rsidRDefault="00255CC4" w:rsidP="003F469F">
      <w:pPr>
        <w:pStyle w:val="ListParagraph"/>
        <w:numPr>
          <w:ilvl w:val="0"/>
          <w:numId w:val="162"/>
        </w:numPr>
        <w:spacing w:line="276" w:lineRule="auto"/>
      </w:pPr>
      <w:r w:rsidRPr="006C12FB">
        <w:t>ēst gaļu, putnu gaļu vai zivis, vai līdzvērtīgu veģetāro maltīti katru otro dienu;</w:t>
      </w:r>
    </w:p>
    <w:p w:rsidR="00255CC4" w:rsidRPr="006C12FB" w:rsidRDefault="00255CC4" w:rsidP="003F469F">
      <w:pPr>
        <w:pStyle w:val="ListParagraph"/>
        <w:numPr>
          <w:ilvl w:val="0"/>
          <w:numId w:val="162"/>
        </w:numPr>
        <w:spacing w:line="276" w:lineRule="auto"/>
      </w:pPr>
      <w:r w:rsidRPr="006C12FB">
        <w:t>katru gadu vienu nedēļu doties brīvdienās ārpus mājām.</w:t>
      </w:r>
    </w:p>
    <w:p w:rsidR="00255CC4" w:rsidRDefault="00255CC4" w:rsidP="00255CC4">
      <w:pPr>
        <w:rPr>
          <w:rStyle w:val="apple-converted-space"/>
          <w:rFonts w:ascii="Open Sans" w:hAnsi="Open Sans"/>
          <w:color w:val="000000"/>
          <w:sz w:val="23"/>
          <w:szCs w:val="23"/>
        </w:rPr>
      </w:pPr>
      <w:r w:rsidRPr="006C12FB">
        <w:t xml:space="preserve">Mājsaimniecības, kuras vismaz </w:t>
      </w:r>
      <w:r>
        <w:t>par</w:t>
      </w:r>
      <w:r w:rsidRPr="006C12FB">
        <w:t xml:space="preserve"> diviem </w:t>
      </w:r>
      <w:r>
        <w:t>aspektiem</w:t>
      </w:r>
      <w:r w:rsidRPr="006C12FB">
        <w:t xml:space="preserve"> sniedz noraidošu atbildi, tiek uzskatītas par pakļautām ekonomiskajai spriedzei.</w:t>
      </w:r>
      <w:r>
        <w:rPr>
          <w:rStyle w:val="FootnoteReference"/>
        </w:rPr>
        <w:footnoteReference w:id="120"/>
      </w:r>
      <w:r>
        <w:rPr>
          <w:rStyle w:val="apple-converted-space"/>
          <w:rFonts w:ascii="Open Sans" w:hAnsi="Open Sans"/>
          <w:color w:val="000000"/>
          <w:sz w:val="23"/>
          <w:szCs w:val="23"/>
        </w:rPr>
        <w:t> </w:t>
      </w:r>
    </w:p>
    <w:p w:rsidR="00255CC4" w:rsidRDefault="00255CC4" w:rsidP="00255CC4">
      <w:pPr>
        <w:rPr>
          <w:rStyle w:val="apple-converted-space"/>
          <w:rFonts w:ascii="Open Sans" w:hAnsi="Open Sans"/>
          <w:color w:val="000000"/>
          <w:sz w:val="23"/>
          <w:szCs w:val="23"/>
        </w:rPr>
      </w:pPr>
    </w:p>
    <w:p w:rsidR="00255CC4" w:rsidRDefault="00255CC4" w:rsidP="00255CC4">
      <w:r w:rsidRPr="0053585E">
        <w:t>Ekonomiskās spriedzes situācija ar kāpumiem un kritumiem nav tik viennozīmīga kā rādītājos par materiālo nenodrošinātību</w:t>
      </w:r>
      <w:r>
        <w:t xml:space="preserve"> (sk. </w:t>
      </w:r>
      <w:r w:rsidR="00A02780">
        <w:t>1.31</w:t>
      </w:r>
      <w:r>
        <w:t>. attēlu)</w:t>
      </w:r>
      <w:r w:rsidRPr="0053585E">
        <w:t>.</w:t>
      </w:r>
      <w:r>
        <w:t xml:space="preserve"> </w:t>
      </w:r>
      <w:r w:rsidRPr="0053585E">
        <w:t>Tā</w:t>
      </w:r>
      <w:r>
        <w:t>,</w:t>
      </w:r>
      <w:r w:rsidRPr="0053585E">
        <w:t xml:space="preserve"> skatoties griezumu kvintilēs</w:t>
      </w:r>
      <w:r>
        <w:t>,</w:t>
      </w:r>
      <w:r w:rsidRPr="0053585E">
        <w:t xml:space="preserve"> redzams, ka visās piecās kvintilēs redzams </w:t>
      </w:r>
      <w:r>
        <w:t xml:space="preserve">ekonomiskās spriedzes </w:t>
      </w:r>
      <w:r w:rsidRPr="0053585E">
        <w:t>kritums, ja salīdzina ar 2014. gadu, taču 2. un 3. kvintiļu grupās redzams kāpums</w:t>
      </w:r>
      <w:r>
        <w:t xml:space="preserve">, salīdzinot </w:t>
      </w:r>
      <w:r w:rsidRPr="0053585E">
        <w:t>2016. un 2017. gadu. Augstākais ekonomiskās spriedzes rādītājs ir 1. kvi</w:t>
      </w:r>
      <w:r>
        <w:t>n</w:t>
      </w:r>
      <w:r w:rsidRPr="0053585E">
        <w:t>ti</w:t>
      </w:r>
      <w:r>
        <w:t>les</w:t>
      </w:r>
      <w:r w:rsidRPr="0053585E">
        <w:t xml:space="preserve"> grupā, kur 63,6%</w:t>
      </w:r>
      <w:r>
        <w:t xml:space="preserve"> mājsaimniecību izjutuši ekonomisko spriedzi</w:t>
      </w:r>
      <w:r w:rsidRPr="0053585E">
        <w:t>, savukārt zemākais ir 5. kvinti</w:t>
      </w:r>
      <w:r>
        <w:t>les</w:t>
      </w:r>
      <w:r w:rsidRPr="0053585E">
        <w:t xml:space="preserve"> grupā, kur tas ir 10,5%. Skatoties laika posmu no 2014. </w:t>
      </w:r>
      <w:r>
        <w:t xml:space="preserve">gada </w:t>
      </w:r>
      <w:r w:rsidRPr="0053585E">
        <w:t xml:space="preserve">līdz 2017. </w:t>
      </w:r>
      <w:r>
        <w:t>g</w:t>
      </w:r>
      <w:r w:rsidRPr="0053585E">
        <w:t>adam</w:t>
      </w:r>
      <w:r>
        <w:t>,</w:t>
      </w:r>
      <w:r w:rsidRPr="0053585E">
        <w:t xml:space="preserve"> straujākais kritums bijis 3. kvinti</w:t>
      </w:r>
      <w:r>
        <w:t>les</w:t>
      </w:r>
      <w:r w:rsidRPr="0053585E">
        <w:t xml:space="preserve"> grup</w:t>
      </w:r>
      <w:r>
        <w:t>ā</w:t>
      </w:r>
      <w:r w:rsidRPr="0053585E">
        <w:t>, kurā gan pēdējā gada laikā redzams kāpums, taču</w:t>
      </w:r>
      <w:r>
        <w:t>,</w:t>
      </w:r>
      <w:r w:rsidRPr="0053585E">
        <w:t xml:space="preserve"> </w:t>
      </w:r>
      <w:r>
        <w:t>Izvērtējuma periodā kopumā redzams kritums par 12,8 procentpunktiem.</w:t>
      </w:r>
    </w:p>
    <w:p w:rsidR="00255CC4" w:rsidRPr="00082031" w:rsidRDefault="003A7EEB" w:rsidP="00082031">
      <w:pPr>
        <w:spacing w:before="240" w:after="120"/>
        <w:jc w:val="left"/>
        <w:rPr>
          <w:b/>
          <w:color w:val="002060"/>
        </w:rPr>
      </w:pPr>
      <w:bookmarkStart w:id="331" w:name="_Toc6220123"/>
      <w:bookmarkStart w:id="332" w:name="_Toc6855784"/>
      <w:bookmarkStart w:id="333" w:name="_Toc2761066"/>
      <w:bookmarkStart w:id="334" w:name="_Toc2848165"/>
      <w:r>
        <w:rPr>
          <w:b/>
          <w:color w:val="002060"/>
        </w:rPr>
        <w:t>1.</w:t>
      </w:r>
      <w:r w:rsidR="00A12435" w:rsidRPr="00082031">
        <w:rPr>
          <w:b/>
          <w:color w:val="002060"/>
        </w:rPr>
        <w:t>31</w:t>
      </w:r>
      <w:r w:rsidR="00255CC4" w:rsidRPr="00082031">
        <w:rPr>
          <w:b/>
          <w:color w:val="002060"/>
        </w:rPr>
        <w:t>. attēls. Ekonomiskā spriedze sadalījumā pa ienākumu kvintiļu grupām (2014-2017) (%)</w:t>
      </w:r>
      <w:bookmarkEnd w:id="331"/>
      <w:bookmarkEnd w:id="332"/>
      <w:r w:rsidR="00255CC4" w:rsidRPr="00082031">
        <w:rPr>
          <w:b/>
          <w:color w:val="002060"/>
        </w:rPr>
        <w:t xml:space="preserve"> </w:t>
      </w:r>
      <w:bookmarkEnd w:id="333"/>
      <w:bookmarkEnd w:id="334"/>
    </w:p>
    <w:p w:rsidR="00255CC4" w:rsidRPr="00EA0927" w:rsidRDefault="00255CC4" w:rsidP="00255CC4">
      <w:r w:rsidRPr="00DC7D8F">
        <w:rPr>
          <w:noProof/>
        </w:rPr>
        <w:drawing>
          <wp:inline distT="0" distB="0" distL="0" distR="0">
            <wp:extent cx="6076950" cy="2847975"/>
            <wp:effectExtent l="0" t="0" r="0" b="0"/>
            <wp:docPr id="12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6950" cy="2847975"/>
                    </a:xfrm>
                    <a:prstGeom prst="rect">
                      <a:avLst/>
                    </a:prstGeom>
                    <a:noFill/>
                    <a:ln>
                      <a:noFill/>
                    </a:ln>
                  </pic:spPr>
                </pic:pic>
              </a:graphicData>
            </a:graphic>
          </wp:inline>
        </w:drawing>
      </w:r>
    </w:p>
    <w:p w:rsidR="00255CC4" w:rsidRPr="003D030B" w:rsidRDefault="00255CC4" w:rsidP="00255CC4">
      <w:pPr>
        <w:rPr>
          <w:sz w:val="20"/>
          <w:szCs w:val="20"/>
        </w:rPr>
      </w:pPr>
      <w:r w:rsidRPr="003D030B">
        <w:rPr>
          <w:sz w:val="20"/>
          <w:szCs w:val="20"/>
        </w:rPr>
        <w:t>Avots: CSP, “MNG040. Iedzīvotāju ekonomiskā spriedze (%)”.</w:t>
      </w:r>
    </w:p>
    <w:p w:rsidR="00105105" w:rsidRDefault="00105105" w:rsidP="00105105">
      <w:pPr>
        <w:spacing w:before="240" w:after="120"/>
        <w:rPr>
          <w:b/>
          <w:color w:val="002060"/>
        </w:rPr>
      </w:pPr>
      <w:bookmarkStart w:id="335" w:name="_Toc6220124"/>
      <w:bookmarkStart w:id="336" w:name="_Toc2761067"/>
      <w:bookmarkStart w:id="337" w:name="_Toc2848166"/>
    </w:p>
    <w:p w:rsidR="00105105" w:rsidRDefault="00105105" w:rsidP="00105105">
      <w:pPr>
        <w:spacing w:before="240" w:after="120"/>
        <w:rPr>
          <w:b/>
          <w:color w:val="002060"/>
        </w:rPr>
      </w:pPr>
    </w:p>
    <w:p w:rsidR="00255CC4" w:rsidRPr="00105105" w:rsidRDefault="003A7EEB" w:rsidP="00105105">
      <w:pPr>
        <w:spacing w:before="240" w:after="120"/>
        <w:rPr>
          <w:b/>
          <w:color w:val="002060"/>
        </w:rPr>
      </w:pPr>
      <w:bookmarkStart w:id="338" w:name="_Toc6855785"/>
      <w:r>
        <w:rPr>
          <w:b/>
          <w:color w:val="002060"/>
        </w:rPr>
        <w:lastRenderedPageBreak/>
        <w:t>1.</w:t>
      </w:r>
      <w:r w:rsidR="00A12435" w:rsidRPr="00105105">
        <w:rPr>
          <w:b/>
          <w:color w:val="002060"/>
        </w:rPr>
        <w:t>32</w:t>
      </w:r>
      <w:r w:rsidR="00255CC4" w:rsidRPr="00105105">
        <w:rPr>
          <w:b/>
          <w:color w:val="002060"/>
        </w:rPr>
        <w:t>. attēls. Ekonomiskā spriedze laukos un pilsētās (2014-2017, %)</w:t>
      </w:r>
      <w:bookmarkEnd w:id="335"/>
      <w:bookmarkEnd w:id="338"/>
      <w:r w:rsidR="00255CC4" w:rsidRPr="00105105">
        <w:rPr>
          <w:b/>
          <w:color w:val="002060"/>
        </w:rPr>
        <w:t xml:space="preserve"> </w:t>
      </w:r>
      <w:bookmarkEnd w:id="336"/>
      <w:bookmarkEnd w:id="337"/>
    </w:p>
    <w:p w:rsidR="00255CC4" w:rsidRDefault="00255CC4" w:rsidP="00255CC4">
      <w:r w:rsidRPr="00DF0FCA">
        <w:rPr>
          <w:noProof/>
        </w:rPr>
        <w:drawing>
          <wp:inline distT="0" distB="0" distL="0" distR="0">
            <wp:extent cx="5686425" cy="2486025"/>
            <wp:effectExtent l="0" t="0" r="0" b="0"/>
            <wp:docPr id="12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6425" cy="2486025"/>
                    </a:xfrm>
                    <a:prstGeom prst="rect">
                      <a:avLst/>
                    </a:prstGeom>
                    <a:noFill/>
                    <a:ln>
                      <a:noFill/>
                    </a:ln>
                  </pic:spPr>
                </pic:pic>
              </a:graphicData>
            </a:graphic>
          </wp:inline>
        </w:drawing>
      </w:r>
    </w:p>
    <w:p w:rsidR="00255CC4" w:rsidRPr="003D030B" w:rsidRDefault="00255CC4" w:rsidP="00C33A64">
      <w:pPr>
        <w:pStyle w:val="avotiemft10"/>
      </w:pPr>
      <w:bookmarkStart w:id="339" w:name="_Toc6841559"/>
      <w:r w:rsidRPr="003D030B">
        <w:t>Avots: CSP, “MNG040. Iedzīvotāju ekonomiskā spriedze (%)”.</w:t>
      </w:r>
      <w:bookmarkEnd w:id="339"/>
    </w:p>
    <w:p w:rsidR="00255CC4" w:rsidRDefault="00255CC4" w:rsidP="00255CC4"/>
    <w:p w:rsidR="00255CC4" w:rsidRDefault="00255CC4" w:rsidP="00255CC4">
      <w:r w:rsidRPr="00EA0927">
        <w:t>Augstākais ekonomiskās spriedzes rādītājs vērojams lauku reģion</w:t>
      </w:r>
      <w:r>
        <w:t>o</w:t>
      </w:r>
      <w:r w:rsidRPr="00EA0927">
        <w:t>s, kur</w:t>
      </w:r>
      <w:r>
        <w:t xml:space="preserve"> 2016. gadā</w:t>
      </w:r>
      <w:r w:rsidRPr="00EA0927">
        <w:t xml:space="preserve"> tas </w:t>
      </w:r>
      <w:r>
        <w:t>bija</w:t>
      </w:r>
      <w:r w:rsidRPr="00EA0927">
        <w:t xml:space="preserve"> 4</w:t>
      </w:r>
      <w:r>
        <w:t>9</w:t>
      </w:r>
      <w:r w:rsidRPr="00EA0927">
        <w:t>,</w:t>
      </w:r>
      <w:r>
        <w:t>7</w:t>
      </w:r>
      <w:r w:rsidRPr="00EA0927">
        <w:t>%</w:t>
      </w:r>
      <w:r>
        <w:t xml:space="preserve"> ar tendenci turpināt kristies arī 2017. gadā</w:t>
      </w:r>
      <w:r w:rsidRPr="00EA0927">
        <w:t>, sa</w:t>
      </w:r>
      <w:r>
        <w:t>vukārt pilsētās 2016. gadā tas bijis par 12,2 procentpunktiem</w:t>
      </w:r>
      <w:r w:rsidRPr="00EA0927">
        <w:t xml:space="preserve"> zemāks – 3</w:t>
      </w:r>
      <w:r>
        <w:t>7</w:t>
      </w:r>
      <w:r w:rsidRPr="00EA0927">
        <w:t>,</w:t>
      </w:r>
      <w:r>
        <w:t>5%</w:t>
      </w:r>
      <w:r w:rsidRPr="00EA0927">
        <w:t xml:space="preserve">. Skatoties </w:t>
      </w:r>
      <w:r>
        <w:t xml:space="preserve">situāciju </w:t>
      </w:r>
      <w:r w:rsidRPr="00EA0927">
        <w:t>lauk</w:t>
      </w:r>
      <w:r>
        <w:t>os</w:t>
      </w:r>
      <w:r w:rsidRPr="00EA0927">
        <w:t xml:space="preserve"> laika posm</w:t>
      </w:r>
      <w:r>
        <w:t>ā</w:t>
      </w:r>
      <w:r w:rsidRPr="00EA0927">
        <w:t xml:space="preserve"> no 2014.</w:t>
      </w:r>
      <w:r>
        <w:t xml:space="preserve"> gada</w:t>
      </w:r>
      <w:r w:rsidRPr="00EA0927">
        <w:t xml:space="preserve"> līdz 2017. </w:t>
      </w:r>
      <w:r>
        <w:t>g</w:t>
      </w:r>
      <w:r w:rsidRPr="00EA0927">
        <w:t>adam</w:t>
      </w:r>
      <w:r>
        <w:t>, redzams 7,4 procentpunktu</w:t>
      </w:r>
      <w:r w:rsidRPr="00EA0927">
        <w:t xml:space="preserve"> </w:t>
      </w:r>
      <w:r>
        <w:t xml:space="preserve">kopējais </w:t>
      </w:r>
      <w:r w:rsidRPr="00EA0927">
        <w:t>kritums, savukārt pilsētās šis kritums bijis straujāks un sasniedz 11,7%</w:t>
      </w:r>
      <w:r>
        <w:t xml:space="preserve"> (sk. </w:t>
      </w:r>
      <w:r w:rsidR="00A02780">
        <w:t>1.32</w:t>
      </w:r>
      <w:r>
        <w:t>. attēlu)</w:t>
      </w:r>
      <w:r w:rsidRPr="00EA0927">
        <w:t>.</w:t>
      </w:r>
    </w:p>
    <w:p w:rsidR="00255CC4" w:rsidRPr="00105105" w:rsidRDefault="003A7EEB" w:rsidP="00105105">
      <w:pPr>
        <w:spacing w:before="240" w:after="120"/>
        <w:rPr>
          <w:b/>
          <w:color w:val="002060"/>
        </w:rPr>
      </w:pPr>
      <w:bookmarkStart w:id="340" w:name="_Toc6220125"/>
      <w:bookmarkStart w:id="341" w:name="_Toc6855786"/>
      <w:bookmarkStart w:id="342" w:name="_Toc2761068"/>
      <w:bookmarkStart w:id="343" w:name="_Toc2848167"/>
      <w:r>
        <w:rPr>
          <w:b/>
          <w:color w:val="002060"/>
        </w:rPr>
        <w:t>1.</w:t>
      </w:r>
      <w:r w:rsidR="00105105" w:rsidRPr="00105105">
        <w:rPr>
          <w:b/>
          <w:color w:val="002060"/>
        </w:rPr>
        <w:t>33</w:t>
      </w:r>
      <w:r w:rsidR="00255CC4" w:rsidRPr="00105105">
        <w:rPr>
          <w:b/>
          <w:color w:val="002060"/>
        </w:rPr>
        <w:t>. attēls. Ekonomiskā spriedze statistiskajos reģionos (2014-2017, %)</w:t>
      </w:r>
      <w:bookmarkEnd w:id="340"/>
      <w:bookmarkEnd w:id="341"/>
      <w:r w:rsidR="00255CC4" w:rsidRPr="00105105">
        <w:rPr>
          <w:b/>
          <w:color w:val="002060"/>
        </w:rPr>
        <w:t xml:space="preserve"> </w:t>
      </w:r>
      <w:bookmarkEnd w:id="342"/>
      <w:bookmarkEnd w:id="343"/>
    </w:p>
    <w:p w:rsidR="00255CC4" w:rsidRPr="00EA0927" w:rsidRDefault="00255CC4" w:rsidP="00255CC4">
      <w:r w:rsidRPr="00DF0FCA">
        <w:rPr>
          <w:noProof/>
        </w:rPr>
        <w:drawing>
          <wp:inline distT="0" distB="0" distL="0" distR="0">
            <wp:extent cx="5705475" cy="3619500"/>
            <wp:effectExtent l="0" t="0" r="0" b="0"/>
            <wp:docPr id="12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475" cy="3619500"/>
                    </a:xfrm>
                    <a:prstGeom prst="rect">
                      <a:avLst/>
                    </a:prstGeom>
                    <a:noFill/>
                    <a:ln>
                      <a:noFill/>
                    </a:ln>
                  </pic:spPr>
                </pic:pic>
              </a:graphicData>
            </a:graphic>
          </wp:inline>
        </w:drawing>
      </w:r>
    </w:p>
    <w:p w:rsidR="00255CC4" w:rsidRPr="003D030B" w:rsidRDefault="00255CC4" w:rsidP="00C33A64">
      <w:pPr>
        <w:pStyle w:val="avotiemft10"/>
      </w:pPr>
      <w:bookmarkStart w:id="344" w:name="_Toc6841560"/>
      <w:r w:rsidRPr="003D030B">
        <w:t>Avots: CSP, “MNG040. Iedzīvotāju ekonomiskā spriedze (%)”.</w:t>
      </w:r>
      <w:bookmarkEnd w:id="344"/>
    </w:p>
    <w:p w:rsidR="00255CC4" w:rsidRDefault="00255CC4" w:rsidP="00255CC4"/>
    <w:p w:rsidR="00A67B65" w:rsidRDefault="00A67B65" w:rsidP="00A67B65">
      <w:r w:rsidRPr="003374E3">
        <w:rPr>
          <w:b/>
        </w:rPr>
        <w:lastRenderedPageBreak/>
        <w:t>Reģionu</w:t>
      </w:r>
      <w:r w:rsidRPr="00EA0927">
        <w:t xml:space="preserve"> griezumā </w:t>
      </w:r>
      <w:r w:rsidRPr="003374E3">
        <w:rPr>
          <w:b/>
        </w:rPr>
        <w:t>augstākais ekonomiskās spriedzes rādītājs redzam</w:t>
      </w:r>
      <w:r>
        <w:rPr>
          <w:b/>
        </w:rPr>
        <w:t>s</w:t>
      </w:r>
      <w:r w:rsidRPr="003374E3">
        <w:rPr>
          <w:b/>
        </w:rPr>
        <w:t xml:space="preserve"> Latgales reģionā</w:t>
      </w:r>
      <w:r w:rsidRPr="00EA0927">
        <w:t xml:space="preserve">, kur tas ir 53,6%, savukārt </w:t>
      </w:r>
      <w:r w:rsidRPr="003374E3">
        <w:rPr>
          <w:b/>
        </w:rPr>
        <w:t>zemākais rādītājs ir Rīgas reģionā</w:t>
      </w:r>
      <w:r w:rsidRPr="00EA0927">
        <w:t xml:space="preserve"> – 33,7%. Straujākais kritums vērojams Rīgas un Vidzemes reģionos, kur šis indekss no 2014.</w:t>
      </w:r>
      <w:r>
        <w:t xml:space="preserve"> gada</w:t>
      </w:r>
      <w:r w:rsidRPr="00EA0927">
        <w:t xml:space="preserve"> līdz 2017.</w:t>
      </w:r>
      <w:r>
        <w:t xml:space="preserve"> </w:t>
      </w:r>
      <w:r w:rsidRPr="00EA0927">
        <w:t>gadam nokritis par attiecīgi 11,9 un 11,1</w:t>
      </w:r>
      <w:r w:rsidRPr="00BF3560">
        <w:t xml:space="preserve"> </w:t>
      </w:r>
      <w:r>
        <w:t>procentpunktiem (sk.</w:t>
      </w:r>
      <w:r w:rsidR="008C6B83">
        <w:t xml:space="preserve"> </w:t>
      </w:r>
      <w:r w:rsidR="00A02780">
        <w:t>1.33</w:t>
      </w:r>
      <w:r>
        <w:t>. attēlu)</w:t>
      </w:r>
      <w:r w:rsidRPr="00EA0927">
        <w:t>.</w:t>
      </w:r>
    </w:p>
    <w:p w:rsidR="00A67B65" w:rsidRDefault="00A67B65" w:rsidP="00255CC4"/>
    <w:p w:rsidR="00255CC4" w:rsidRDefault="00255CC4" w:rsidP="00255CC4">
      <w:r w:rsidRPr="00EA0927">
        <w:t xml:space="preserve">Mājsaimniecību līmenī </w:t>
      </w:r>
      <w:r w:rsidRPr="003374E3">
        <w:rPr>
          <w:b/>
        </w:rPr>
        <w:t>ekonomiskās spriedzes rādītāji</w:t>
      </w:r>
      <w:r>
        <w:t xml:space="preserve"> (sk. </w:t>
      </w:r>
      <w:r w:rsidR="00A02780">
        <w:t>1.34</w:t>
      </w:r>
      <w:r>
        <w:t>. attēlu)</w:t>
      </w:r>
      <w:r w:rsidRPr="00EA0927">
        <w:t xml:space="preserve">, līdzīgi kā iepriekš apskatītajos rādītājos, </w:t>
      </w:r>
      <w:r w:rsidRPr="003374E3">
        <w:rPr>
          <w:b/>
        </w:rPr>
        <w:t>augstāki ir tieši vecāka gadagājuma mājsaimniecībās, kur dzīvo viena persona vecumā virs 65 gadiem</w:t>
      </w:r>
      <w:r w:rsidRPr="00EA0927">
        <w:t xml:space="preserve">. Šāda tipa mājsaimniecībās šis rādītājs </w:t>
      </w:r>
      <w:r w:rsidR="00C300AF">
        <w:t>2016. gadā bija</w:t>
      </w:r>
      <w:r w:rsidRPr="00EA0927">
        <w:t xml:space="preserve"> </w:t>
      </w:r>
      <w:r w:rsidR="00C300AF">
        <w:rPr>
          <w:b/>
        </w:rPr>
        <w:t>64,7</w:t>
      </w:r>
      <w:r w:rsidRPr="003374E3">
        <w:rPr>
          <w:b/>
        </w:rPr>
        <w:t>%</w:t>
      </w:r>
      <w:r w:rsidRPr="00EA0927">
        <w:t xml:space="preserve">, savukārt </w:t>
      </w:r>
      <w:r w:rsidRPr="003374E3">
        <w:rPr>
          <w:b/>
        </w:rPr>
        <w:t xml:space="preserve">vismazākā spriedze vērojama mājsaimniecībās, kurās ir pāris ar </w:t>
      </w:r>
      <w:r w:rsidR="00C300AF">
        <w:rPr>
          <w:b/>
        </w:rPr>
        <w:t>diviem</w:t>
      </w:r>
      <w:r w:rsidRPr="003374E3">
        <w:rPr>
          <w:b/>
        </w:rPr>
        <w:t xml:space="preserve"> bērn</w:t>
      </w:r>
      <w:r w:rsidR="00C300AF">
        <w:rPr>
          <w:b/>
        </w:rPr>
        <w:t>iem</w:t>
      </w:r>
      <w:r w:rsidRPr="003374E3">
        <w:rPr>
          <w:b/>
        </w:rPr>
        <w:t xml:space="preserve"> – </w:t>
      </w:r>
      <w:r w:rsidR="00C300AF">
        <w:rPr>
          <w:b/>
        </w:rPr>
        <w:t>27,5</w:t>
      </w:r>
      <w:r w:rsidRPr="003374E3">
        <w:rPr>
          <w:b/>
        </w:rPr>
        <w:t>%</w:t>
      </w:r>
      <w:r w:rsidRPr="00EA0927">
        <w:t>. Bērnu skaitam palielinoties</w:t>
      </w:r>
      <w:r>
        <w:t>,</w:t>
      </w:r>
      <w:r w:rsidRPr="00EA0927">
        <w:t xml:space="preserve"> palielinās arī spriedzes rādītāji – viena pāra mājsaimniecībā ar trīs un vairāk bērniem </w:t>
      </w:r>
      <w:r w:rsidR="00C300AF">
        <w:t>2016. gadā tas bija 48,7</w:t>
      </w:r>
      <w:r w:rsidRPr="00EA0927">
        <w:t xml:space="preserve">%. Laika posmā no 2014. </w:t>
      </w:r>
      <w:r>
        <w:t xml:space="preserve">gada </w:t>
      </w:r>
      <w:r w:rsidRPr="00EA0927">
        <w:t xml:space="preserve">līdz 2017. gadam mājsaimniecībās </w:t>
      </w:r>
      <w:r w:rsidR="00C300AF">
        <w:t xml:space="preserve">ar trīs un vairāk bērniem </w:t>
      </w:r>
      <w:r w:rsidRPr="00EA0927">
        <w:t>vērojams lielākais ekonomiskās spriedzes kritums – 23,6</w:t>
      </w:r>
      <w:r>
        <w:t xml:space="preserve"> procentpunkti</w:t>
      </w:r>
      <w:r w:rsidRPr="00EA0927">
        <w:t>. Mazākais k</w:t>
      </w:r>
      <w:r w:rsidR="00C300AF">
        <w:t xml:space="preserve">ritums vērojams mājsaimniecībās, kurās dzīvo pāris </w:t>
      </w:r>
      <w:r w:rsidRPr="00EA0927">
        <w:t>bez bērniem – 6,5</w:t>
      </w:r>
      <w:r>
        <w:t xml:space="preserve"> procentpunkti</w:t>
      </w:r>
      <w:r w:rsidRPr="00EA0927">
        <w:t>.</w:t>
      </w:r>
    </w:p>
    <w:p w:rsidR="00255CC4" w:rsidRPr="00105105" w:rsidRDefault="003A7EEB" w:rsidP="00105105">
      <w:pPr>
        <w:spacing w:before="240" w:after="120"/>
        <w:rPr>
          <w:b/>
          <w:color w:val="002060"/>
        </w:rPr>
      </w:pPr>
      <w:bookmarkStart w:id="345" w:name="_Toc6220126"/>
      <w:bookmarkStart w:id="346" w:name="_Toc6855787"/>
      <w:bookmarkStart w:id="347" w:name="_Toc2761069"/>
      <w:bookmarkStart w:id="348" w:name="_Toc2848168"/>
      <w:r>
        <w:rPr>
          <w:b/>
          <w:color w:val="002060"/>
        </w:rPr>
        <w:t>1.</w:t>
      </w:r>
      <w:r w:rsidR="00105105" w:rsidRPr="00105105">
        <w:rPr>
          <w:b/>
          <w:color w:val="002060"/>
        </w:rPr>
        <w:t>34</w:t>
      </w:r>
      <w:r w:rsidR="00255CC4" w:rsidRPr="00105105">
        <w:rPr>
          <w:b/>
          <w:color w:val="002060"/>
        </w:rPr>
        <w:t>. attēls. Mājsaimniecību ekonomiskā spriedze (2014-2017, %)</w:t>
      </w:r>
      <w:bookmarkEnd w:id="345"/>
      <w:bookmarkEnd w:id="346"/>
      <w:r w:rsidR="00255CC4" w:rsidRPr="00105105">
        <w:rPr>
          <w:b/>
          <w:color w:val="002060"/>
        </w:rPr>
        <w:t xml:space="preserve"> </w:t>
      </w:r>
      <w:bookmarkEnd w:id="347"/>
      <w:bookmarkEnd w:id="348"/>
    </w:p>
    <w:p w:rsidR="00E13D1A" w:rsidRDefault="00E13D1A" w:rsidP="00255CC4">
      <w:pPr>
        <w:rPr>
          <w:noProof/>
          <w:lang w:val="en-US" w:eastAsia="en-US"/>
        </w:rPr>
      </w:pPr>
      <w:r w:rsidRPr="00E13D1A">
        <w:rPr>
          <w:noProof/>
          <w:lang w:val="en-US" w:eastAsia="en-US"/>
        </w:rPr>
        <w:object w:dxaOrig="9162" w:dyaOrig="6829">
          <v:shape id="_x0000_i1029" type="#_x0000_t75" style="width:420.75pt;height:340.5pt" o:ole="">
            <v:imagedata r:id="rId55" o:title=""/>
          </v:shape>
          <o:OLEObject Type="Embed" ProgID="Excel.Sheet.12" ShapeID="_x0000_i1029" DrawAspect="Content" ObjectID="_1622535258" r:id="rId56"/>
        </w:object>
      </w:r>
    </w:p>
    <w:p w:rsidR="00255CC4" w:rsidRPr="00FC1A5D" w:rsidRDefault="00255CC4" w:rsidP="00C33A64">
      <w:r w:rsidRPr="00FC1A5D">
        <w:t>Avots: CSP, “MNG040. Iedzīvotāju ekonomiskā spriedze (%)”.</w:t>
      </w:r>
    </w:p>
    <w:p w:rsidR="00255CC4" w:rsidRDefault="00255CC4" w:rsidP="00255CC4"/>
    <w:p w:rsidR="00A67B65" w:rsidRDefault="00A67B65" w:rsidP="00A67B65">
      <w:r>
        <w:t xml:space="preserve">Analizējot ekonomiskās spriedzes datus pēc </w:t>
      </w:r>
      <w:r w:rsidRPr="003374E3">
        <w:rPr>
          <w:b/>
        </w:rPr>
        <w:t>izglītības</w:t>
      </w:r>
      <w:r>
        <w:t xml:space="preserve"> pazīmes, var secināt, ka </w:t>
      </w:r>
      <w:r w:rsidRPr="003374E3">
        <w:rPr>
          <w:b/>
        </w:rPr>
        <w:t>vislielākā ekonomiskā spriedze ir personām, kuriem ir zemāka izglītība</w:t>
      </w:r>
      <w:r>
        <w:t xml:space="preserve">. Tā 2017.gadā ekonomiskās spriedzes radītājs personām, kuras ir vecākas par 18 gadiem un kurām ir tikai pamatizglītība, sasniedz 63,1%, kamēr tādā paša vecuma personām ar augstāko izglītību tas ir vairāk nekā 2 reizes </w:t>
      </w:r>
      <w:r>
        <w:lastRenderedPageBreak/>
        <w:t>mazāks – 23,1%. Savukārt cilvēkiem, kuriem ir tikai pamatizglītība un ir arī bērni, kuri nav pārsnieguši 17 gadu vecumu, situācija ir vēl sliktāka, jo ekonomiskās spriedzes rādītājs ir 76,8%, kas gan ir 7,3 procentpunktu kritums, salīdzinot ar 2014. gadu. Laika posmā no 2014. gada līdz 2017. gadam straujākais kritums ekonomiskās spiedzes rādītājos vērojams tām personām, kurām ir vidējā izglītība un ir bērni. Šādām personām ekonomiskā spriedze šajā laika posmā nokritusies par 17,6 procentpunktiem.</w:t>
      </w:r>
    </w:p>
    <w:p w:rsidR="00A67B65" w:rsidRDefault="00A67B65" w:rsidP="00255CC4"/>
    <w:p w:rsidR="00255CC4" w:rsidRDefault="00255CC4" w:rsidP="00255CC4">
      <w:r>
        <w:t xml:space="preserve">Saistībā ar iedzīvotāju īpatsvaru, kuri ienākumu trūkuma dēļ nevarēja atļauties segt atsevišķas materiālās nenodrošinātības rādītājā ietvertās izmaksu kategorijas, </w:t>
      </w:r>
      <w:r w:rsidRPr="001D687B">
        <w:rPr>
          <w:b/>
        </w:rPr>
        <w:t xml:space="preserve">būtiski ir raksturot tās izdevumu kategorijas, kuras nevar atļauties segt cilvēki, kuri dzīvo zem nabadzības </w:t>
      </w:r>
      <w:r>
        <w:rPr>
          <w:b/>
        </w:rPr>
        <w:t xml:space="preserve">riska </w:t>
      </w:r>
      <w:r w:rsidRPr="001D687B">
        <w:rPr>
          <w:b/>
        </w:rPr>
        <w:t>sliekšņa</w:t>
      </w:r>
      <w:r>
        <w:t xml:space="preserve"> (sk.</w:t>
      </w:r>
      <w:r w:rsidR="008C6B83">
        <w:t xml:space="preserve"> </w:t>
      </w:r>
      <w:r w:rsidR="00A02780">
        <w:t>1.3</w:t>
      </w:r>
      <w:r w:rsidR="00761553">
        <w:t>9</w:t>
      </w:r>
      <w:r>
        <w:t>.</w:t>
      </w:r>
      <w:r w:rsidR="00A67B65">
        <w:t xml:space="preserve"> </w:t>
      </w:r>
      <w:r>
        <w:t>tabulu un</w:t>
      </w:r>
      <w:r w:rsidR="008C6B83">
        <w:t xml:space="preserve"> </w:t>
      </w:r>
      <w:r w:rsidR="00A02780">
        <w:t>1.35</w:t>
      </w:r>
      <w:r>
        <w:t>. attēlu).</w:t>
      </w:r>
    </w:p>
    <w:bookmarkStart w:id="349" w:name="_Toc2761063"/>
    <w:bookmarkStart w:id="350" w:name="_Toc2848162"/>
    <w:bookmarkStart w:id="351" w:name="_Toc6220127"/>
    <w:p w:rsidR="00255CC4" w:rsidRDefault="00AD3EDD" w:rsidP="008C6B83">
      <w:pPr>
        <w:pStyle w:val="Caption"/>
      </w:pPr>
      <w:r>
        <w:fldChar w:fldCharType="begin"/>
      </w:r>
      <w:r w:rsidR="00A46B54">
        <w:instrText xml:space="preserve"> STYLEREF 1 \s </w:instrText>
      </w:r>
      <w:r>
        <w:fldChar w:fldCharType="separate"/>
      </w:r>
      <w:bookmarkStart w:id="352" w:name="_Toc6857672"/>
      <w:r w:rsidR="00224B50">
        <w:rPr>
          <w:noProof/>
        </w:rPr>
        <w:t>1</w:t>
      </w:r>
      <w:r>
        <w:fldChar w:fldCharType="end"/>
      </w:r>
      <w:r w:rsidR="00A46B54">
        <w:t>.</w:t>
      </w:r>
      <w:r w:rsidR="00E21C32">
        <w:t>3</w:t>
      </w:r>
      <w:r w:rsidR="00761553">
        <w:t>9</w:t>
      </w:r>
      <w:r w:rsidR="00255CC4" w:rsidRPr="00315872">
        <w:t>. tabula. Iedzīvotāju īpatsvars</w:t>
      </w:r>
      <w:r w:rsidR="00255CC4">
        <w:t xml:space="preserve"> </w:t>
      </w:r>
      <w:r w:rsidR="00255CC4" w:rsidRPr="00511A8C">
        <w:t>zem nabadzības riska sliekšņa</w:t>
      </w:r>
      <w:r w:rsidR="00255CC4" w:rsidRPr="00315872">
        <w:t>, k</w:t>
      </w:r>
      <w:r w:rsidR="00255CC4">
        <w:t>uri</w:t>
      </w:r>
      <w:r w:rsidR="00255CC4" w:rsidRPr="00315872">
        <w:t xml:space="preserve"> naudas trūkuma dēļ nevarēja atļauties segt atsevišķas izmaksas </w:t>
      </w:r>
      <w:r w:rsidR="00255CC4">
        <w:t xml:space="preserve">(2014-2017, </w:t>
      </w:r>
      <w:r w:rsidR="00255CC4" w:rsidRPr="00315872">
        <w:t>%)</w:t>
      </w:r>
      <w:bookmarkEnd w:id="349"/>
      <w:bookmarkEnd w:id="350"/>
      <w:bookmarkEnd w:id="351"/>
      <w:bookmarkEnd w:id="352"/>
    </w:p>
    <w:tbl>
      <w:tblPr>
        <w:tblStyle w:val="TableGrid"/>
        <w:tblpPr w:leftFromText="180" w:rightFromText="180" w:vertAnchor="text" w:horzAnchor="margin" w:tblpY="146"/>
        <w:tblW w:w="9781" w:type="dxa"/>
        <w:tblLook w:val="04A0"/>
      </w:tblPr>
      <w:tblGrid>
        <w:gridCol w:w="6237"/>
        <w:gridCol w:w="993"/>
        <w:gridCol w:w="850"/>
        <w:gridCol w:w="851"/>
        <w:gridCol w:w="850"/>
      </w:tblGrid>
      <w:tr w:rsidR="00255CC4" w:rsidRPr="00FC1A5D" w:rsidTr="006106B3">
        <w:trPr>
          <w:trHeight w:val="330"/>
        </w:trPr>
        <w:tc>
          <w:tcPr>
            <w:tcW w:w="6237" w:type="dxa"/>
            <w:shd w:val="clear" w:color="auto" w:fill="B8CCE4" w:themeFill="accent1" w:themeFillTint="66"/>
            <w:noWrap/>
            <w:hideMark/>
          </w:tcPr>
          <w:p w:rsidR="00255CC4" w:rsidRPr="00FC1A5D" w:rsidRDefault="00255CC4" w:rsidP="00255CC4">
            <w:pPr>
              <w:rPr>
                <w:b/>
                <w:bCs/>
                <w:sz w:val="22"/>
                <w:szCs w:val="22"/>
              </w:rPr>
            </w:pPr>
            <w:r w:rsidRPr="00FC1A5D">
              <w:rPr>
                <w:b/>
                <w:bCs/>
                <w:sz w:val="22"/>
                <w:szCs w:val="22"/>
              </w:rPr>
              <w:t>Izmaksas</w:t>
            </w:r>
          </w:p>
        </w:tc>
        <w:tc>
          <w:tcPr>
            <w:tcW w:w="993" w:type="dxa"/>
            <w:shd w:val="clear" w:color="auto" w:fill="B8CCE4" w:themeFill="accent1" w:themeFillTint="66"/>
            <w:noWrap/>
            <w:hideMark/>
          </w:tcPr>
          <w:p w:rsidR="00255CC4" w:rsidRPr="00FC1A5D" w:rsidRDefault="00255CC4" w:rsidP="00255CC4">
            <w:pPr>
              <w:jc w:val="center"/>
              <w:rPr>
                <w:b/>
                <w:bCs/>
                <w:sz w:val="22"/>
                <w:szCs w:val="22"/>
              </w:rPr>
            </w:pPr>
            <w:r w:rsidRPr="00FC1A5D">
              <w:rPr>
                <w:b/>
                <w:bCs/>
                <w:sz w:val="22"/>
                <w:szCs w:val="22"/>
              </w:rPr>
              <w:t>2014</w:t>
            </w:r>
          </w:p>
        </w:tc>
        <w:tc>
          <w:tcPr>
            <w:tcW w:w="850" w:type="dxa"/>
            <w:shd w:val="clear" w:color="auto" w:fill="B8CCE4" w:themeFill="accent1" w:themeFillTint="66"/>
            <w:noWrap/>
            <w:hideMark/>
          </w:tcPr>
          <w:p w:rsidR="00255CC4" w:rsidRPr="00FC1A5D" w:rsidRDefault="00255CC4" w:rsidP="00255CC4">
            <w:pPr>
              <w:jc w:val="center"/>
              <w:rPr>
                <w:b/>
                <w:bCs/>
                <w:sz w:val="22"/>
                <w:szCs w:val="22"/>
              </w:rPr>
            </w:pPr>
            <w:r w:rsidRPr="00FC1A5D">
              <w:rPr>
                <w:b/>
                <w:bCs/>
                <w:sz w:val="22"/>
                <w:szCs w:val="22"/>
              </w:rPr>
              <w:t>2015</w:t>
            </w:r>
          </w:p>
        </w:tc>
        <w:tc>
          <w:tcPr>
            <w:tcW w:w="851" w:type="dxa"/>
            <w:shd w:val="clear" w:color="auto" w:fill="B8CCE4" w:themeFill="accent1" w:themeFillTint="66"/>
            <w:noWrap/>
            <w:hideMark/>
          </w:tcPr>
          <w:p w:rsidR="00255CC4" w:rsidRPr="00FC1A5D" w:rsidRDefault="00255CC4" w:rsidP="00255CC4">
            <w:pPr>
              <w:jc w:val="center"/>
              <w:rPr>
                <w:b/>
                <w:bCs/>
                <w:sz w:val="22"/>
                <w:szCs w:val="22"/>
              </w:rPr>
            </w:pPr>
            <w:r w:rsidRPr="00FC1A5D">
              <w:rPr>
                <w:b/>
                <w:bCs/>
                <w:sz w:val="22"/>
                <w:szCs w:val="22"/>
              </w:rPr>
              <w:t>2016</w:t>
            </w:r>
          </w:p>
        </w:tc>
        <w:tc>
          <w:tcPr>
            <w:tcW w:w="850" w:type="dxa"/>
            <w:shd w:val="clear" w:color="auto" w:fill="B8CCE4" w:themeFill="accent1" w:themeFillTint="66"/>
            <w:noWrap/>
            <w:hideMark/>
          </w:tcPr>
          <w:p w:rsidR="00255CC4" w:rsidRPr="00FC1A5D" w:rsidRDefault="00255CC4" w:rsidP="00255CC4">
            <w:pPr>
              <w:jc w:val="center"/>
              <w:rPr>
                <w:b/>
                <w:bCs/>
                <w:sz w:val="22"/>
                <w:szCs w:val="22"/>
              </w:rPr>
            </w:pPr>
            <w:r w:rsidRPr="00FC1A5D">
              <w:rPr>
                <w:b/>
                <w:bCs/>
                <w:sz w:val="22"/>
                <w:szCs w:val="22"/>
              </w:rPr>
              <w:t>2017</w:t>
            </w:r>
          </w:p>
        </w:tc>
      </w:tr>
      <w:tr w:rsidR="00255CC4" w:rsidRPr="00FC1A5D" w:rsidTr="00255CC4">
        <w:trPr>
          <w:trHeight w:val="330"/>
        </w:trPr>
        <w:tc>
          <w:tcPr>
            <w:tcW w:w="6237" w:type="dxa"/>
            <w:shd w:val="clear" w:color="auto" w:fill="auto"/>
            <w:noWrap/>
            <w:vAlign w:val="center"/>
            <w:hideMark/>
          </w:tcPr>
          <w:p w:rsidR="00255CC4" w:rsidRPr="00FC1A5D" w:rsidRDefault="00255CC4" w:rsidP="00255CC4">
            <w:pPr>
              <w:rPr>
                <w:sz w:val="22"/>
                <w:szCs w:val="22"/>
              </w:rPr>
            </w:pPr>
            <w:r w:rsidRPr="00FC1A5D">
              <w:rPr>
                <w:sz w:val="22"/>
                <w:szCs w:val="22"/>
              </w:rPr>
              <w:t>Segt komunālo pakalpojumu rēķinus, īri vai atmaksāt kredītu</w:t>
            </w:r>
          </w:p>
        </w:tc>
        <w:tc>
          <w:tcPr>
            <w:tcW w:w="993" w:type="dxa"/>
            <w:shd w:val="clear" w:color="auto" w:fill="auto"/>
            <w:noWrap/>
            <w:vAlign w:val="center"/>
            <w:hideMark/>
          </w:tcPr>
          <w:p w:rsidR="00255CC4" w:rsidRPr="00FC1A5D" w:rsidRDefault="00255CC4" w:rsidP="00255CC4">
            <w:pPr>
              <w:jc w:val="center"/>
              <w:rPr>
                <w:sz w:val="22"/>
                <w:szCs w:val="22"/>
              </w:rPr>
            </w:pPr>
            <w:r w:rsidRPr="00FC1A5D">
              <w:rPr>
                <w:sz w:val="22"/>
                <w:szCs w:val="22"/>
              </w:rPr>
              <w:t>33,1</w:t>
            </w:r>
          </w:p>
        </w:tc>
        <w:tc>
          <w:tcPr>
            <w:tcW w:w="850" w:type="dxa"/>
            <w:shd w:val="clear" w:color="auto" w:fill="auto"/>
            <w:noWrap/>
            <w:vAlign w:val="center"/>
            <w:hideMark/>
          </w:tcPr>
          <w:p w:rsidR="00255CC4" w:rsidRPr="00FC1A5D" w:rsidRDefault="00255CC4" w:rsidP="00255CC4">
            <w:pPr>
              <w:jc w:val="center"/>
              <w:rPr>
                <w:sz w:val="22"/>
                <w:szCs w:val="22"/>
              </w:rPr>
            </w:pPr>
            <w:r w:rsidRPr="00FC1A5D">
              <w:rPr>
                <w:sz w:val="22"/>
                <w:szCs w:val="22"/>
              </w:rPr>
              <w:t>32,9</w:t>
            </w:r>
          </w:p>
        </w:tc>
        <w:tc>
          <w:tcPr>
            <w:tcW w:w="851" w:type="dxa"/>
            <w:shd w:val="clear" w:color="auto" w:fill="auto"/>
            <w:noWrap/>
            <w:vAlign w:val="center"/>
            <w:hideMark/>
          </w:tcPr>
          <w:p w:rsidR="00255CC4" w:rsidRPr="00FC1A5D" w:rsidRDefault="00255CC4" w:rsidP="00255CC4">
            <w:pPr>
              <w:jc w:val="center"/>
              <w:rPr>
                <w:sz w:val="22"/>
                <w:szCs w:val="22"/>
              </w:rPr>
            </w:pPr>
            <w:r w:rsidRPr="00FC1A5D">
              <w:rPr>
                <w:sz w:val="22"/>
                <w:szCs w:val="22"/>
              </w:rPr>
              <w:t>25,0</w:t>
            </w:r>
          </w:p>
        </w:tc>
        <w:tc>
          <w:tcPr>
            <w:tcW w:w="850" w:type="dxa"/>
            <w:shd w:val="clear" w:color="auto" w:fill="auto"/>
            <w:noWrap/>
            <w:vAlign w:val="center"/>
            <w:hideMark/>
          </w:tcPr>
          <w:p w:rsidR="00255CC4" w:rsidRPr="00FC1A5D" w:rsidRDefault="00255CC4" w:rsidP="00255CC4">
            <w:pPr>
              <w:jc w:val="center"/>
              <w:rPr>
                <w:sz w:val="22"/>
                <w:szCs w:val="22"/>
              </w:rPr>
            </w:pPr>
            <w:r w:rsidRPr="00FC1A5D">
              <w:rPr>
                <w:sz w:val="22"/>
                <w:szCs w:val="22"/>
              </w:rPr>
              <w:t>21,6</w:t>
            </w:r>
          </w:p>
        </w:tc>
      </w:tr>
      <w:tr w:rsidR="00255CC4" w:rsidRPr="00FC1A5D" w:rsidTr="00255CC4">
        <w:trPr>
          <w:trHeight w:val="330"/>
        </w:trPr>
        <w:tc>
          <w:tcPr>
            <w:tcW w:w="6237" w:type="dxa"/>
            <w:shd w:val="clear" w:color="auto" w:fill="auto"/>
            <w:noWrap/>
            <w:vAlign w:val="center"/>
            <w:hideMark/>
          </w:tcPr>
          <w:p w:rsidR="00255CC4" w:rsidRPr="00FC1A5D" w:rsidRDefault="00255CC4" w:rsidP="00255CC4">
            <w:pPr>
              <w:rPr>
                <w:sz w:val="22"/>
                <w:szCs w:val="22"/>
              </w:rPr>
            </w:pPr>
            <w:r w:rsidRPr="00FC1A5D">
              <w:rPr>
                <w:sz w:val="22"/>
                <w:szCs w:val="22"/>
              </w:rPr>
              <w:t>Uzturēt mājokli siltu</w:t>
            </w:r>
          </w:p>
        </w:tc>
        <w:tc>
          <w:tcPr>
            <w:tcW w:w="993" w:type="dxa"/>
            <w:shd w:val="clear" w:color="auto" w:fill="auto"/>
            <w:noWrap/>
            <w:vAlign w:val="center"/>
            <w:hideMark/>
          </w:tcPr>
          <w:p w:rsidR="00255CC4" w:rsidRPr="00FC1A5D" w:rsidRDefault="00255CC4" w:rsidP="00255CC4">
            <w:pPr>
              <w:jc w:val="center"/>
              <w:rPr>
                <w:sz w:val="22"/>
                <w:szCs w:val="22"/>
              </w:rPr>
            </w:pPr>
            <w:r w:rsidRPr="00FC1A5D">
              <w:rPr>
                <w:sz w:val="22"/>
                <w:szCs w:val="22"/>
              </w:rPr>
              <w:t>31,2</w:t>
            </w:r>
          </w:p>
        </w:tc>
        <w:tc>
          <w:tcPr>
            <w:tcW w:w="850" w:type="dxa"/>
            <w:shd w:val="clear" w:color="auto" w:fill="auto"/>
            <w:noWrap/>
            <w:vAlign w:val="center"/>
            <w:hideMark/>
          </w:tcPr>
          <w:p w:rsidR="00255CC4" w:rsidRPr="00FC1A5D" w:rsidRDefault="00255CC4" w:rsidP="00255CC4">
            <w:pPr>
              <w:jc w:val="center"/>
              <w:rPr>
                <w:sz w:val="22"/>
                <w:szCs w:val="22"/>
              </w:rPr>
            </w:pPr>
            <w:r w:rsidRPr="00FC1A5D">
              <w:rPr>
                <w:sz w:val="22"/>
                <w:szCs w:val="22"/>
              </w:rPr>
              <w:t>29,4</w:t>
            </w:r>
          </w:p>
        </w:tc>
        <w:tc>
          <w:tcPr>
            <w:tcW w:w="851" w:type="dxa"/>
            <w:shd w:val="clear" w:color="auto" w:fill="auto"/>
            <w:noWrap/>
            <w:vAlign w:val="center"/>
            <w:hideMark/>
          </w:tcPr>
          <w:p w:rsidR="00255CC4" w:rsidRPr="00FC1A5D" w:rsidRDefault="00255CC4" w:rsidP="00255CC4">
            <w:pPr>
              <w:jc w:val="center"/>
              <w:rPr>
                <w:sz w:val="22"/>
                <w:szCs w:val="22"/>
              </w:rPr>
            </w:pPr>
            <w:r w:rsidRPr="00FC1A5D">
              <w:rPr>
                <w:sz w:val="22"/>
                <w:szCs w:val="22"/>
              </w:rPr>
              <w:t>22,8</w:t>
            </w:r>
          </w:p>
        </w:tc>
        <w:tc>
          <w:tcPr>
            <w:tcW w:w="850" w:type="dxa"/>
            <w:shd w:val="clear" w:color="auto" w:fill="auto"/>
            <w:noWrap/>
            <w:vAlign w:val="center"/>
            <w:hideMark/>
          </w:tcPr>
          <w:p w:rsidR="00255CC4" w:rsidRPr="00FC1A5D" w:rsidRDefault="00255CC4" w:rsidP="00255CC4">
            <w:pPr>
              <w:jc w:val="center"/>
              <w:rPr>
                <w:sz w:val="22"/>
                <w:szCs w:val="22"/>
              </w:rPr>
            </w:pPr>
            <w:r w:rsidRPr="00FC1A5D">
              <w:rPr>
                <w:sz w:val="22"/>
                <w:szCs w:val="22"/>
              </w:rPr>
              <w:t>20,5</w:t>
            </w:r>
          </w:p>
        </w:tc>
      </w:tr>
      <w:tr w:rsidR="00255CC4" w:rsidRPr="00FC1A5D" w:rsidTr="00255CC4">
        <w:trPr>
          <w:trHeight w:val="330"/>
        </w:trPr>
        <w:tc>
          <w:tcPr>
            <w:tcW w:w="6237" w:type="dxa"/>
            <w:shd w:val="clear" w:color="auto" w:fill="auto"/>
            <w:noWrap/>
            <w:vAlign w:val="center"/>
            <w:hideMark/>
          </w:tcPr>
          <w:p w:rsidR="00255CC4" w:rsidRPr="00FC1A5D" w:rsidRDefault="00255CC4" w:rsidP="00255CC4">
            <w:pPr>
              <w:rPr>
                <w:sz w:val="22"/>
                <w:szCs w:val="22"/>
              </w:rPr>
            </w:pPr>
            <w:r w:rsidRPr="00FC1A5D">
              <w:rPr>
                <w:sz w:val="22"/>
                <w:szCs w:val="22"/>
              </w:rPr>
              <w:t>Segt neparedzētus izdevumus</w:t>
            </w:r>
          </w:p>
        </w:tc>
        <w:tc>
          <w:tcPr>
            <w:tcW w:w="993" w:type="dxa"/>
            <w:shd w:val="clear" w:color="auto" w:fill="auto"/>
            <w:noWrap/>
            <w:vAlign w:val="center"/>
            <w:hideMark/>
          </w:tcPr>
          <w:p w:rsidR="00255CC4" w:rsidRPr="00FC1A5D" w:rsidRDefault="00255CC4" w:rsidP="00255CC4">
            <w:pPr>
              <w:jc w:val="center"/>
              <w:rPr>
                <w:sz w:val="22"/>
                <w:szCs w:val="22"/>
              </w:rPr>
            </w:pPr>
            <w:r w:rsidRPr="00FC1A5D">
              <w:rPr>
                <w:sz w:val="22"/>
                <w:szCs w:val="22"/>
              </w:rPr>
              <w:t>86,9</w:t>
            </w:r>
          </w:p>
        </w:tc>
        <w:tc>
          <w:tcPr>
            <w:tcW w:w="850" w:type="dxa"/>
            <w:shd w:val="clear" w:color="auto" w:fill="auto"/>
            <w:noWrap/>
            <w:vAlign w:val="center"/>
            <w:hideMark/>
          </w:tcPr>
          <w:p w:rsidR="00255CC4" w:rsidRPr="00FC1A5D" w:rsidRDefault="00255CC4" w:rsidP="00255CC4">
            <w:pPr>
              <w:jc w:val="center"/>
              <w:rPr>
                <w:sz w:val="22"/>
                <w:szCs w:val="22"/>
              </w:rPr>
            </w:pPr>
            <w:r w:rsidRPr="00FC1A5D">
              <w:rPr>
                <w:sz w:val="22"/>
                <w:szCs w:val="22"/>
              </w:rPr>
              <w:t>85,9</w:t>
            </w:r>
          </w:p>
        </w:tc>
        <w:tc>
          <w:tcPr>
            <w:tcW w:w="851" w:type="dxa"/>
            <w:shd w:val="clear" w:color="auto" w:fill="auto"/>
            <w:noWrap/>
            <w:vAlign w:val="center"/>
            <w:hideMark/>
          </w:tcPr>
          <w:p w:rsidR="00255CC4" w:rsidRPr="00FC1A5D" w:rsidRDefault="00255CC4" w:rsidP="00255CC4">
            <w:pPr>
              <w:jc w:val="center"/>
              <w:rPr>
                <w:sz w:val="22"/>
                <w:szCs w:val="22"/>
              </w:rPr>
            </w:pPr>
            <w:r w:rsidRPr="00FC1A5D">
              <w:rPr>
                <w:sz w:val="22"/>
                <w:szCs w:val="22"/>
              </w:rPr>
              <w:t>87,2</w:t>
            </w:r>
          </w:p>
        </w:tc>
        <w:tc>
          <w:tcPr>
            <w:tcW w:w="850" w:type="dxa"/>
            <w:shd w:val="clear" w:color="auto" w:fill="auto"/>
            <w:noWrap/>
            <w:vAlign w:val="center"/>
            <w:hideMark/>
          </w:tcPr>
          <w:p w:rsidR="00255CC4" w:rsidRPr="00FC1A5D" w:rsidRDefault="00255CC4" w:rsidP="00255CC4">
            <w:pPr>
              <w:jc w:val="center"/>
              <w:rPr>
                <w:sz w:val="22"/>
                <w:szCs w:val="22"/>
              </w:rPr>
            </w:pPr>
            <w:r w:rsidRPr="00FC1A5D">
              <w:rPr>
                <w:sz w:val="22"/>
                <w:szCs w:val="22"/>
              </w:rPr>
              <w:t>85,5</w:t>
            </w:r>
          </w:p>
        </w:tc>
      </w:tr>
      <w:tr w:rsidR="00255CC4" w:rsidRPr="00FC1A5D" w:rsidTr="00255CC4">
        <w:trPr>
          <w:trHeight w:val="330"/>
        </w:trPr>
        <w:tc>
          <w:tcPr>
            <w:tcW w:w="6237" w:type="dxa"/>
            <w:shd w:val="clear" w:color="auto" w:fill="auto"/>
            <w:noWrap/>
            <w:vAlign w:val="center"/>
            <w:hideMark/>
          </w:tcPr>
          <w:p w:rsidR="00255CC4" w:rsidRPr="00FC1A5D" w:rsidRDefault="00255CC4" w:rsidP="00255CC4">
            <w:pPr>
              <w:rPr>
                <w:sz w:val="22"/>
                <w:szCs w:val="22"/>
              </w:rPr>
            </w:pPr>
            <w:r w:rsidRPr="00FC1A5D">
              <w:rPr>
                <w:sz w:val="22"/>
                <w:szCs w:val="22"/>
              </w:rPr>
              <w:t>Katru gadu vienu nedēļu doties brīvdienās ārpus mājām</w:t>
            </w:r>
          </w:p>
        </w:tc>
        <w:tc>
          <w:tcPr>
            <w:tcW w:w="993" w:type="dxa"/>
            <w:shd w:val="clear" w:color="auto" w:fill="auto"/>
            <w:noWrap/>
            <w:vAlign w:val="center"/>
            <w:hideMark/>
          </w:tcPr>
          <w:p w:rsidR="00255CC4" w:rsidRPr="00FC1A5D" w:rsidRDefault="00255CC4" w:rsidP="00255CC4">
            <w:pPr>
              <w:jc w:val="center"/>
              <w:rPr>
                <w:sz w:val="22"/>
                <w:szCs w:val="22"/>
              </w:rPr>
            </w:pPr>
            <w:r w:rsidRPr="00FC1A5D">
              <w:rPr>
                <w:sz w:val="22"/>
                <w:szCs w:val="22"/>
              </w:rPr>
              <w:t>65,9</w:t>
            </w:r>
          </w:p>
        </w:tc>
        <w:tc>
          <w:tcPr>
            <w:tcW w:w="850" w:type="dxa"/>
            <w:shd w:val="clear" w:color="auto" w:fill="auto"/>
            <w:noWrap/>
            <w:vAlign w:val="center"/>
            <w:hideMark/>
          </w:tcPr>
          <w:p w:rsidR="00255CC4" w:rsidRPr="00FC1A5D" w:rsidRDefault="00255CC4" w:rsidP="00255CC4">
            <w:pPr>
              <w:jc w:val="center"/>
              <w:rPr>
                <w:sz w:val="22"/>
                <w:szCs w:val="22"/>
              </w:rPr>
            </w:pPr>
            <w:r w:rsidRPr="00FC1A5D">
              <w:rPr>
                <w:sz w:val="22"/>
                <w:szCs w:val="22"/>
              </w:rPr>
              <w:t>67,2</w:t>
            </w:r>
          </w:p>
        </w:tc>
        <w:tc>
          <w:tcPr>
            <w:tcW w:w="851" w:type="dxa"/>
            <w:shd w:val="clear" w:color="auto" w:fill="auto"/>
            <w:noWrap/>
            <w:vAlign w:val="center"/>
            <w:hideMark/>
          </w:tcPr>
          <w:p w:rsidR="00255CC4" w:rsidRPr="00FC1A5D" w:rsidRDefault="00255CC4" w:rsidP="00255CC4">
            <w:pPr>
              <w:jc w:val="center"/>
              <w:rPr>
                <w:sz w:val="22"/>
                <w:szCs w:val="22"/>
              </w:rPr>
            </w:pPr>
            <w:r w:rsidRPr="00FC1A5D">
              <w:rPr>
                <w:sz w:val="22"/>
                <w:szCs w:val="22"/>
              </w:rPr>
              <w:t>64,7</w:t>
            </w:r>
          </w:p>
        </w:tc>
        <w:tc>
          <w:tcPr>
            <w:tcW w:w="850" w:type="dxa"/>
            <w:shd w:val="clear" w:color="auto" w:fill="auto"/>
            <w:noWrap/>
            <w:vAlign w:val="center"/>
            <w:hideMark/>
          </w:tcPr>
          <w:p w:rsidR="00255CC4" w:rsidRPr="00FC1A5D" w:rsidRDefault="00255CC4" w:rsidP="00255CC4">
            <w:pPr>
              <w:jc w:val="center"/>
              <w:rPr>
                <w:sz w:val="22"/>
                <w:szCs w:val="22"/>
              </w:rPr>
            </w:pPr>
            <w:r w:rsidRPr="00FC1A5D">
              <w:rPr>
                <w:sz w:val="22"/>
                <w:szCs w:val="22"/>
              </w:rPr>
              <w:t>63,0</w:t>
            </w:r>
          </w:p>
        </w:tc>
      </w:tr>
      <w:tr w:rsidR="00255CC4" w:rsidRPr="00FC1A5D" w:rsidTr="00255CC4">
        <w:trPr>
          <w:trHeight w:val="330"/>
        </w:trPr>
        <w:tc>
          <w:tcPr>
            <w:tcW w:w="6237" w:type="dxa"/>
            <w:shd w:val="clear" w:color="auto" w:fill="auto"/>
            <w:noWrap/>
            <w:vAlign w:val="center"/>
            <w:hideMark/>
          </w:tcPr>
          <w:p w:rsidR="00255CC4" w:rsidRPr="00FC1A5D" w:rsidRDefault="00255CC4" w:rsidP="00255CC4">
            <w:pPr>
              <w:rPr>
                <w:sz w:val="22"/>
                <w:szCs w:val="22"/>
              </w:rPr>
            </w:pPr>
            <w:r w:rsidRPr="00FC1A5D">
              <w:rPr>
                <w:sz w:val="22"/>
                <w:szCs w:val="22"/>
              </w:rPr>
              <w:t>Ēst gaļu, putnu gaļu vai zivis (vai līdzvērtīgu veģetāro ēdienu) katru otro dienu</w:t>
            </w:r>
          </w:p>
        </w:tc>
        <w:tc>
          <w:tcPr>
            <w:tcW w:w="993" w:type="dxa"/>
            <w:shd w:val="clear" w:color="auto" w:fill="auto"/>
            <w:noWrap/>
            <w:vAlign w:val="center"/>
            <w:hideMark/>
          </w:tcPr>
          <w:p w:rsidR="00255CC4" w:rsidRPr="00FC1A5D" w:rsidRDefault="00255CC4" w:rsidP="00255CC4">
            <w:pPr>
              <w:jc w:val="center"/>
              <w:rPr>
                <w:sz w:val="22"/>
                <w:szCs w:val="22"/>
              </w:rPr>
            </w:pPr>
            <w:r w:rsidRPr="00FC1A5D">
              <w:rPr>
                <w:sz w:val="22"/>
                <w:szCs w:val="22"/>
              </w:rPr>
              <w:t>38,8</w:t>
            </w:r>
          </w:p>
        </w:tc>
        <w:tc>
          <w:tcPr>
            <w:tcW w:w="850" w:type="dxa"/>
            <w:shd w:val="clear" w:color="auto" w:fill="auto"/>
            <w:noWrap/>
            <w:vAlign w:val="center"/>
            <w:hideMark/>
          </w:tcPr>
          <w:p w:rsidR="00255CC4" w:rsidRPr="00FC1A5D" w:rsidRDefault="00255CC4" w:rsidP="00255CC4">
            <w:pPr>
              <w:jc w:val="center"/>
              <w:rPr>
                <w:sz w:val="22"/>
                <w:szCs w:val="22"/>
              </w:rPr>
            </w:pPr>
            <w:r w:rsidRPr="00FC1A5D">
              <w:rPr>
                <w:sz w:val="22"/>
                <w:szCs w:val="22"/>
              </w:rPr>
              <w:t>37,1</w:t>
            </w:r>
          </w:p>
        </w:tc>
        <w:tc>
          <w:tcPr>
            <w:tcW w:w="851" w:type="dxa"/>
            <w:shd w:val="clear" w:color="auto" w:fill="auto"/>
            <w:noWrap/>
            <w:vAlign w:val="center"/>
            <w:hideMark/>
          </w:tcPr>
          <w:p w:rsidR="00255CC4" w:rsidRPr="00FC1A5D" w:rsidRDefault="00255CC4" w:rsidP="00255CC4">
            <w:pPr>
              <w:jc w:val="center"/>
              <w:rPr>
                <w:sz w:val="22"/>
                <w:szCs w:val="22"/>
              </w:rPr>
            </w:pPr>
            <w:r w:rsidRPr="00FC1A5D">
              <w:rPr>
                <w:sz w:val="22"/>
                <w:szCs w:val="22"/>
              </w:rPr>
              <w:t>35,1</w:t>
            </w:r>
          </w:p>
        </w:tc>
        <w:tc>
          <w:tcPr>
            <w:tcW w:w="850" w:type="dxa"/>
            <w:shd w:val="clear" w:color="auto" w:fill="auto"/>
            <w:noWrap/>
            <w:vAlign w:val="center"/>
            <w:hideMark/>
          </w:tcPr>
          <w:p w:rsidR="00255CC4" w:rsidRPr="00FC1A5D" w:rsidRDefault="00255CC4" w:rsidP="00255CC4">
            <w:pPr>
              <w:jc w:val="center"/>
              <w:rPr>
                <w:sz w:val="22"/>
                <w:szCs w:val="22"/>
              </w:rPr>
            </w:pPr>
            <w:r w:rsidRPr="00FC1A5D">
              <w:rPr>
                <w:sz w:val="22"/>
                <w:szCs w:val="22"/>
              </w:rPr>
              <w:t>30,7</w:t>
            </w:r>
          </w:p>
        </w:tc>
      </w:tr>
    </w:tbl>
    <w:p w:rsidR="00255CC4" w:rsidRDefault="00255CC4" w:rsidP="00255CC4">
      <w:pPr>
        <w:rPr>
          <w:sz w:val="20"/>
          <w:szCs w:val="20"/>
        </w:rPr>
      </w:pPr>
      <w:r w:rsidRPr="003D030B">
        <w:rPr>
          <w:sz w:val="20"/>
          <w:szCs w:val="20"/>
        </w:rPr>
        <w:t>Avots: CSP, “MNG020. Iedzīvotāju īpatsvars, kas naudas trūkuma dēļ nevarēja atļauties segt atsevišķas izmaksas (%)”.</w:t>
      </w:r>
      <w:r>
        <w:rPr>
          <w:sz w:val="20"/>
          <w:szCs w:val="20"/>
        </w:rPr>
        <w:t xml:space="preserve"> </w:t>
      </w:r>
      <w:r w:rsidRPr="003D030B">
        <w:rPr>
          <w:sz w:val="20"/>
          <w:szCs w:val="20"/>
        </w:rPr>
        <w:t>Iedzīvotāji zem nabadzības riska sliekšņa</w:t>
      </w:r>
      <w:r>
        <w:rPr>
          <w:sz w:val="20"/>
          <w:szCs w:val="20"/>
        </w:rPr>
        <w:t>.</w:t>
      </w:r>
    </w:p>
    <w:p w:rsidR="00255CC4" w:rsidRDefault="00255CC4" w:rsidP="00255CC4">
      <w:pPr>
        <w:rPr>
          <w:sz w:val="20"/>
          <w:szCs w:val="20"/>
        </w:rPr>
      </w:pPr>
    </w:p>
    <w:p w:rsidR="00255CC4" w:rsidRDefault="00255CC4" w:rsidP="00255CC4">
      <w:r>
        <w:t xml:space="preserve">Dati rāda, ka vislielākās problēmas </w:t>
      </w:r>
      <w:r w:rsidR="00D85EA1">
        <w:t xml:space="preserve">2015. un </w:t>
      </w:r>
      <w:r>
        <w:t>201</w:t>
      </w:r>
      <w:r w:rsidR="00D85EA1">
        <w:t>6</w:t>
      </w:r>
      <w:r>
        <w:t>. gadā iedzīvotājiem zem nabadzības riska sliekšņa bija segt neparedzētos izdevumus (</w:t>
      </w:r>
      <w:r w:rsidR="00D85EA1">
        <w:t xml:space="preserve">attiecīgi 85,9% un </w:t>
      </w:r>
      <w:r>
        <w:t>8</w:t>
      </w:r>
      <w:r w:rsidR="00D85EA1">
        <w:t>7</w:t>
      </w:r>
      <w:r>
        <w:t>,</w:t>
      </w:r>
      <w:r w:rsidR="00D85EA1">
        <w:t>2</w:t>
      </w:r>
      <w:r>
        <w:t xml:space="preserve">%), kā arī doties vismaz nedēļu ilgās brīvdienās ārpus mājas – </w:t>
      </w:r>
      <w:r w:rsidR="00D85EA1">
        <w:t>attiecīgi 67,2% un 64,7</w:t>
      </w:r>
      <w:r>
        <w:t xml:space="preserve">%. Situācija ir mazāk kritiska, ja skatās primāros izdevumus – komunālie un kredīta maksājumi, mājokļa siltuma uzturēšana, ko nevarēja segt attiecīgi </w:t>
      </w:r>
      <w:r w:rsidR="00D85EA1">
        <w:t>32,9</w:t>
      </w:r>
      <w:r>
        <w:t xml:space="preserve">% un </w:t>
      </w:r>
      <w:r w:rsidR="00D85EA1">
        <w:t>25,0</w:t>
      </w:r>
      <w:r>
        <w:t xml:space="preserve">%. </w:t>
      </w:r>
    </w:p>
    <w:p w:rsidR="00D85EA1" w:rsidRDefault="00D85EA1" w:rsidP="00255CC4"/>
    <w:p w:rsidR="00255CC4" w:rsidRDefault="00255CC4" w:rsidP="00255CC4">
      <w:r w:rsidRPr="001D687B">
        <w:t xml:space="preserve">Tendences rāda, ka </w:t>
      </w:r>
      <w:r w:rsidRPr="00852B28">
        <w:rPr>
          <w:b/>
        </w:rPr>
        <w:t xml:space="preserve">zem nabadzības riska sliekšņa </w:t>
      </w:r>
      <w:r>
        <w:rPr>
          <w:b/>
        </w:rPr>
        <w:t xml:space="preserve">esošo </w:t>
      </w:r>
      <w:r w:rsidRPr="00852B28">
        <w:rPr>
          <w:b/>
        </w:rPr>
        <w:t>iedzīvotāju grūtības segt atsevišķas izmaks</w:t>
      </w:r>
      <w:r>
        <w:rPr>
          <w:b/>
        </w:rPr>
        <w:t>u</w:t>
      </w:r>
      <w:r w:rsidRPr="00852B28">
        <w:rPr>
          <w:b/>
        </w:rPr>
        <w:t xml:space="preserve"> </w:t>
      </w:r>
      <w:r>
        <w:rPr>
          <w:b/>
        </w:rPr>
        <w:t xml:space="preserve">kategorijas </w:t>
      </w:r>
      <w:r w:rsidRPr="00852B28">
        <w:rPr>
          <w:b/>
        </w:rPr>
        <w:t>laika gaitā ir samazinājušās</w:t>
      </w:r>
      <w:r>
        <w:t>. Tā laika posmā no 2014. gada līdz 201</w:t>
      </w:r>
      <w:r w:rsidR="00D85EA1">
        <w:t>6</w:t>
      </w:r>
      <w:r>
        <w:t xml:space="preserve">. gadam personu īpatsvars zem nabadzības riska sliekšņa, kas nevarēja segt komunālos pakalpojumus vai atmaksāt kredītu, ir krities par </w:t>
      </w:r>
      <w:r w:rsidR="00D85EA1">
        <w:t>8,1 procentpunktu</w:t>
      </w:r>
      <w:r>
        <w:t xml:space="preserve">, bet personu, kuras nevar uzturēt mājokli siltu – par </w:t>
      </w:r>
      <w:r w:rsidR="00D85EA1">
        <w:t>8,4</w:t>
      </w:r>
      <w:r>
        <w:t xml:space="preserve"> procentpunktiem. Rādītāj</w:t>
      </w:r>
      <w:r w:rsidR="00D85EA1">
        <w:t>a</w:t>
      </w:r>
      <w:r>
        <w:t xml:space="preserve">m par </w:t>
      </w:r>
      <w:r w:rsidR="00D85EA1">
        <w:t>iespējām doties brīvdienās ir tendence kristies lēnāk – tā kritums Izvērtējuma periodā bija 1,2 procentpunkti. Neparedzētu izdevumu segšanas rādītājs, salīdzinot 2015. gadu ar 2016. gadu, pieauga par 1,3 procentpunktiem, bet 2017. gada vērtība (85,5</w:t>
      </w:r>
      <w:r w:rsidR="00247CEF">
        <w:t xml:space="preserve">%) norāda, ka rādītājs, kaut arī minimāli, bet sācis kristies. </w:t>
      </w:r>
    </w:p>
    <w:p w:rsidR="00255CC4" w:rsidRDefault="00255CC4" w:rsidP="00255CC4"/>
    <w:p w:rsidR="00255CC4" w:rsidRDefault="00255CC4" w:rsidP="00255CC4">
      <w:r>
        <w:t>2016. gadā 35,1% cilvēku, kuri dzīvo</w:t>
      </w:r>
      <w:r w:rsidR="00247CEF">
        <w:t>ja</w:t>
      </w:r>
      <w:r>
        <w:t xml:space="preserve"> zem nabadzības sliekšņa, norādīja, ka nevar atļauties ē</w:t>
      </w:r>
      <w:r w:rsidRPr="00746387">
        <w:t>st gaļu, putnu gaļu vai zivis (vai līdzvērtīgu veģetāro ēdienu) katru otro dienu</w:t>
      </w:r>
      <w:r>
        <w:t>. Šis rādītājs laika posmā no 2014. gada līdz 201</w:t>
      </w:r>
      <w:r w:rsidR="00D85EA1">
        <w:t>6</w:t>
      </w:r>
      <w:r>
        <w:t xml:space="preserve">. gadam kopumā ir ar pozitīvu tendenci, krītoties par </w:t>
      </w:r>
      <w:r w:rsidR="00D85EA1">
        <w:t>3,7</w:t>
      </w:r>
      <w:r>
        <w:t xml:space="preserve"> procentpunktiem.</w:t>
      </w:r>
      <w:r w:rsidR="00D85EA1">
        <w:t xml:space="preserve"> </w:t>
      </w:r>
    </w:p>
    <w:p w:rsidR="00255CC4" w:rsidRPr="003D030B" w:rsidRDefault="00255CC4" w:rsidP="00255CC4">
      <w:pPr>
        <w:rPr>
          <w:sz w:val="20"/>
          <w:szCs w:val="20"/>
        </w:rPr>
      </w:pPr>
    </w:p>
    <w:bookmarkStart w:id="353" w:name="_Toc6220128"/>
    <w:bookmarkStart w:id="354" w:name="_Toc2761064"/>
    <w:bookmarkStart w:id="355" w:name="_Toc2848163"/>
    <w:p w:rsidR="00255CC4" w:rsidRPr="00105105" w:rsidRDefault="00AD3EDD" w:rsidP="00082031">
      <w:pPr>
        <w:spacing w:before="240" w:after="120"/>
        <w:jc w:val="left"/>
        <w:rPr>
          <w:b/>
          <w:color w:val="002060"/>
        </w:rPr>
      </w:pPr>
      <w:r w:rsidRPr="00105105">
        <w:rPr>
          <w:b/>
          <w:color w:val="002060"/>
        </w:rPr>
        <w:lastRenderedPageBreak/>
        <w:fldChar w:fldCharType="begin"/>
      </w:r>
      <w:r w:rsidR="006B5456" w:rsidRPr="00105105">
        <w:rPr>
          <w:b/>
          <w:color w:val="002060"/>
        </w:rPr>
        <w:instrText xml:space="preserve"> STYLEREF 1 \s </w:instrText>
      </w:r>
      <w:r w:rsidRPr="00105105">
        <w:rPr>
          <w:b/>
          <w:color w:val="002060"/>
        </w:rPr>
        <w:fldChar w:fldCharType="separate"/>
      </w:r>
      <w:bookmarkStart w:id="356" w:name="_Toc6855788"/>
      <w:r w:rsidR="00224B50">
        <w:rPr>
          <w:b/>
          <w:noProof/>
          <w:color w:val="002060"/>
        </w:rPr>
        <w:t>1</w:t>
      </w:r>
      <w:r w:rsidRPr="00105105">
        <w:rPr>
          <w:b/>
          <w:color w:val="002060"/>
        </w:rPr>
        <w:fldChar w:fldCharType="end"/>
      </w:r>
      <w:r w:rsidR="006B5456" w:rsidRPr="00105105">
        <w:rPr>
          <w:b/>
          <w:color w:val="002060"/>
        </w:rPr>
        <w:t>.</w:t>
      </w:r>
      <w:r w:rsidR="00105105" w:rsidRPr="00105105">
        <w:rPr>
          <w:b/>
          <w:color w:val="002060"/>
        </w:rPr>
        <w:t>35</w:t>
      </w:r>
      <w:r w:rsidR="00255CC4" w:rsidRPr="00105105">
        <w:rPr>
          <w:b/>
          <w:color w:val="002060"/>
        </w:rPr>
        <w:t>. attēls. Iedzīvotāju īpatsvars zem nabadzības riska sliekšņa, kuri naudas trūkuma dēļ nevarēja atļauties segt noteiktas izdevumu kategorijas par mājokli (2014-2017, %)</w:t>
      </w:r>
      <w:bookmarkEnd w:id="353"/>
      <w:bookmarkEnd w:id="356"/>
      <w:r w:rsidR="00255CC4" w:rsidRPr="00105105">
        <w:rPr>
          <w:b/>
          <w:color w:val="002060"/>
        </w:rPr>
        <w:t xml:space="preserve"> </w:t>
      </w:r>
      <w:bookmarkEnd w:id="354"/>
      <w:bookmarkEnd w:id="355"/>
    </w:p>
    <w:p w:rsidR="00255CC4" w:rsidRPr="00D53140" w:rsidRDefault="00255CC4" w:rsidP="00255CC4">
      <w:r w:rsidRPr="00D53140">
        <w:rPr>
          <w:noProof/>
        </w:rPr>
        <w:drawing>
          <wp:inline distT="0" distB="0" distL="0" distR="0">
            <wp:extent cx="6188710" cy="2684239"/>
            <wp:effectExtent l="0" t="0" r="0" b="0"/>
            <wp:docPr id="6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8710" cy="2684239"/>
                    </a:xfrm>
                    <a:prstGeom prst="rect">
                      <a:avLst/>
                    </a:prstGeom>
                    <a:noFill/>
                    <a:ln>
                      <a:noFill/>
                    </a:ln>
                  </pic:spPr>
                </pic:pic>
              </a:graphicData>
            </a:graphic>
          </wp:inline>
        </w:drawing>
      </w:r>
    </w:p>
    <w:p w:rsidR="00255CC4" w:rsidRPr="003D030B" w:rsidRDefault="00255CC4" w:rsidP="00255CC4">
      <w:pPr>
        <w:spacing w:line="240" w:lineRule="auto"/>
        <w:rPr>
          <w:sz w:val="20"/>
          <w:szCs w:val="20"/>
        </w:rPr>
      </w:pPr>
      <w:r w:rsidRPr="003D030B">
        <w:rPr>
          <w:sz w:val="20"/>
          <w:szCs w:val="20"/>
        </w:rPr>
        <w:t>Avots: CSP, “MNG020. Iedzīvotāju īpatsvars, kas naudas trūkuma dēļ nevarēja atļauties segt atsevišķas izmaksas (%)”. Iedzīvotāji zem nabadzības riska sliekšņa.</w:t>
      </w:r>
    </w:p>
    <w:p w:rsidR="00255CC4" w:rsidRDefault="00255CC4" w:rsidP="00255CC4"/>
    <w:p w:rsidR="00255CC4" w:rsidRDefault="00255CC4" w:rsidP="00255CC4">
      <w:r w:rsidRPr="00852B28">
        <w:rPr>
          <w:b/>
        </w:rPr>
        <w:t>Lauku un pilsētu</w:t>
      </w:r>
      <w:r>
        <w:t xml:space="preserve"> starpā šajos rādītājos vērojamas atšķirības. 2016. gadā gan laukos, gan pilsētās zem nabadzības sliekšņa esošajām personām  bija grūtības segt neparedzētus izdevumus: īpatsvars laukos – 64,5% (2015. gadā – 64,4%), īpatsvars pilsētās – 57,8% (2015. gadā – 58,9%), kā arī doties vismaz nedēļu ilgās brīvdienās ārpus mājas: īpatsvars laukos – 51,2% (2015. gadā – 53,6%), īpatsvars pilsētās – 30,5% (2015. gadā – 35,7%). Trešā biežāk minētā izmaksu kategorija, kas sagādājusi grūtības laukos bija putna, zivs vai līdzvērtīga veģetāra ēdiena ēšana katru otro dienu – 20,8% (2015. gadā – 18,8%), pilsētās tā bija komunālo pakalpojumu segšana, kas sagādāja problēmas 14,9% (2015. gadā – 18,6%).</w:t>
      </w:r>
    </w:p>
    <w:p w:rsidR="00255CC4" w:rsidRDefault="00255CC4" w:rsidP="00255CC4"/>
    <w:p w:rsidR="00255CC4" w:rsidRDefault="00255CC4" w:rsidP="00255CC4">
      <w:r w:rsidRPr="00852B28">
        <w:rPr>
          <w:b/>
        </w:rPr>
        <w:t>Reģionu griezumā</w:t>
      </w:r>
      <w:r>
        <w:t xml:space="preserve"> situācija ir līdzīga. 2016. gadā visos reģionos iedzīvotāju zem nabadzības sliekšņa īpatsvars, kuri nevarēja atļauties segt neparedzētus izdevumus ir augsts, īpaši Latgalē, kur šis rādītājs bija visaugstākais – 67,8% (2015. gadā – 64,5%), augsts tas bija arī Kurzemē – 64,5%  (2015. gadā – 64,7%) un Vidzemē 66,2% (2015. gadā – 65,9%). Viszemākais šis rādītājs bija Rīgā – 49,7% (2015. gadā – 54%). Otra biežāk minētā izmaksu kategorija, kuru iedzīvotājiem bija grūtības segt, bija došanās vismaz nedēļu garās brīvdienas ārpus mājas katru gadu. Arī šis rādītājs augstākais bija Latgalē, kur šādu personu īpatsvars 2016. gadā bija 50,6% (2015. gadā – 50,1%), savukārt otrs augstākais tas bija Zemgalē – 43,1% (2015. gadā – 50,8%), pārējos reģionos tas bija zemāks.</w:t>
      </w:r>
    </w:p>
    <w:p w:rsidR="00255CC4" w:rsidRDefault="00255CC4" w:rsidP="00255CC4"/>
    <w:p w:rsidR="00255CC4" w:rsidRDefault="00255CC4" w:rsidP="00255CC4">
      <w:r>
        <w:t xml:space="preserve">Reģionu starpā nedaudz atšķiras izdevumu kategorijas, kuras personām ir vieglāk segt, proti, izmaksas, kuras sagādā vismazāk grūtību. Rīgā visretāk (7,9% iedzīvotāju zem nabadzības riska sliekšņa) grūtības sagādājušas izmaksas, lai </w:t>
      </w:r>
      <w:r w:rsidRPr="00AD5C2E">
        <w:t>katru otro dienu</w:t>
      </w:r>
      <w:r>
        <w:t xml:space="preserve"> varētu uzturam iegādāties </w:t>
      </w:r>
      <w:r w:rsidRPr="00AD5C2E">
        <w:t>gaļu, putnu gaļu vai zivis (vai līdzvērtīgu veģetāro ēdienu</w:t>
      </w:r>
      <w:r>
        <w:t xml:space="preserve">). Citos reģionos vismazāk grūtību iedzīvotājiem zem nabadzības riska sliekšņa radīja izmaksas, lai uzturētu siltu mājokli. Pierīgā šis rādītājs bija 7,2%, Vidzemē 11,1%, Kurzemē 6,6%, Zemgalē 13,6%, Latgalē 16,1%. Turklāt jānorāda, ka 2017. gadā šie rādītāji turpina kristies. </w:t>
      </w:r>
    </w:p>
    <w:p w:rsidR="00255CC4" w:rsidRDefault="00255CC4" w:rsidP="00255CC4">
      <w:r w:rsidRPr="00852B28">
        <w:rPr>
          <w:b/>
        </w:rPr>
        <w:lastRenderedPageBreak/>
        <w:t>Mājsaimniecību</w:t>
      </w:r>
      <w:r>
        <w:t xml:space="preserve"> griezumā iedzīvotāju vidū zem nabadzības riska sliekšņa īpaši izceļas divi mājsaimniecību tipi. Vienas personas vecumā virs 65 gadiem mājsaimniecībām no piecām aplūkotajām izmaksu kategorijām visbiežāk grūtības sagādāja nepieciešamība segt neparedzētus izdevumus – 2016. gadā tādas bija 82,1%. Augsts šis rādītājs bija arī daudzbērnu ģimenēm, kuru grupā tā vērtība sasniedza 69,1% 2016. gadā, bez tam laika posmā no 2014. gada līdz 2017. gadam tā samazinājās tikai par 1,2 procentpunktiem. Neparedzēto izdevumu apjoms 2016. gadā bija noteikts 260 EUR, kas nozīmē, ka šajā iedzīvotāju grupā nebija iespēju veidot uzkrājumus negaidītām ikdienas dzīves situācijām. </w:t>
      </w:r>
    </w:p>
    <w:p w:rsidR="00255CC4" w:rsidRDefault="00255CC4" w:rsidP="00255CC4"/>
    <w:p w:rsidR="00255CC4" w:rsidRDefault="00255CC4" w:rsidP="00255CC4">
      <w:r>
        <w:t xml:space="preserve">Skatoties rādītājus, kuru vērtības samazinājās Izvērtējuma periodā, redzams, ka </w:t>
      </w:r>
      <w:r w:rsidRPr="00852B28">
        <w:rPr>
          <w:b/>
        </w:rPr>
        <w:t>vis</w:t>
      </w:r>
      <w:r>
        <w:rPr>
          <w:b/>
        </w:rPr>
        <w:t>ās</w:t>
      </w:r>
      <w:r w:rsidRPr="00852B28">
        <w:rPr>
          <w:b/>
        </w:rPr>
        <w:t xml:space="preserve"> mājsaimniecībās </w:t>
      </w:r>
      <w:r>
        <w:rPr>
          <w:b/>
        </w:rPr>
        <w:t>kļuva</w:t>
      </w:r>
      <w:r w:rsidRPr="00852B28">
        <w:rPr>
          <w:b/>
        </w:rPr>
        <w:t xml:space="preserve"> vieglāk segt izdevumus, kas nepieciešami, lai uzturētu mājokli siltu</w:t>
      </w:r>
      <w:r>
        <w:t>. Piemēram, vienas personas vecumā no 16-64 gadiem mājsaimniecībās šis rādītājs nokritās par 8,9 procentpunktiem, mājsaimniecībās, kurās dzīvo pāris ar trīs vai vairāk bērniem, tas samazinājās par 6,4 procentpunktiem. Pēdējā minētā tipa mājsaimniecību vidū samazinājās arī tā mājsaimniecību daļa, kura atzina, ka nevar s</w:t>
      </w:r>
      <w:r w:rsidRPr="00212BCE">
        <w:t>egt komunālo pakalpojumu rēķinus, īri vai atmaksāt kredītu</w:t>
      </w:r>
      <w:r>
        <w:t xml:space="preserve"> – kopējais samazinājums ir konstatēts par 9,4 procentpunktiem.</w:t>
      </w:r>
    </w:p>
    <w:p w:rsidR="00255CC4" w:rsidRPr="00315872" w:rsidRDefault="00255CC4" w:rsidP="00C33A64">
      <w:pPr>
        <w:pStyle w:val="virsrakstslvl4"/>
      </w:pPr>
      <w:bookmarkStart w:id="357" w:name="_Toc6220129"/>
      <w:bookmarkStart w:id="358" w:name="_Toc6841561"/>
      <w:r>
        <w:t>Nabadzības vai sociālās atstumtības riskam pakļautie iedzīvotāji</w:t>
      </w:r>
      <w:bookmarkEnd w:id="357"/>
      <w:bookmarkEnd w:id="358"/>
    </w:p>
    <w:p w:rsidR="00255CC4" w:rsidRDefault="00255CC4" w:rsidP="00255CC4">
      <w:r w:rsidRPr="00C210F0">
        <w:t>Nabadzības vai sociālās atstumtības risks ir rādītājs, kas raksturo p</w:t>
      </w:r>
      <w:r w:rsidRPr="00C210F0">
        <w:rPr>
          <w:shd w:val="clear" w:color="auto" w:fill="FFFFFF"/>
        </w:rPr>
        <w:t xml:space="preserve">ersonas, kuru ienākumi ir mazāki par nabadzības riska slieksni vai kuras ir dziļi materiāli nenodrošinātas, vai arī ir nodarbinātas darbā ar zemu intensitāti. </w:t>
      </w:r>
      <w:r w:rsidRPr="00C210F0">
        <w:t>Nabadzības</w:t>
      </w:r>
      <w:r>
        <w:t xml:space="preserve"> riskam vai sociālai atstumtībai pakļauto iedzīvotāju īpatsvara sadalījuma analīze pēc dzimuma un vecuma pazīmēm atklāj, ka </w:t>
      </w:r>
      <w:r w:rsidRPr="000310C8">
        <w:rPr>
          <w:b/>
        </w:rPr>
        <w:t>visvairāk nabadzības riskam vai sociālai ats</w:t>
      </w:r>
      <w:r>
        <w:rPr>
          <w:b/>
        </w:rPr>
        <w:t>t</w:t>
      </w:r>
      <w:r w:rsidRPr="000310C8">
        <w:rPr>
          <w:b/>
        </w:rPr>
        <w:t>umtībai pakļautā grupa ir cilvēki vecumā virs 65 gadiem</w:t>
      </w:r>
      <w:r>
        <w:t xml:space="preserve">. 2016. </w:t>
      </w:r>
      <w:r w:rsidRPr="00EA0927">
        <w:t>gadā tādi bija 43,9% ar 1,8</w:t>
      </w:r>
      <w:r>
        <w:t xml:space="preserve"> procentpunktu kāpumu laika posmā no 2014. g</w:t>
      </w:r>
      <w:r w:rsidRPr="00EA0927">
        <w:t>ada</w:t>
      </w:r>
      <w:r>
        <w:t xml:space="preserve"> (sk.</w:t>
      </w:r>
      <w:r w:rsidR="008C6B83">
        <w:t xml:space="preserve"> </w:t>
      </w:r>
      <w:r w:rsidR="00A02780">
        <w:t>1.</w:t>
      </w:r>
      <w:r w:rsidR="00761553">
        <w:t>40</w:t>
      </w:r>
      <w:r>
        <w:t>. tabulu)</w:t>
      </w:r>
      <w:r w:rsidRPr="00EA0927">
        <w:t>.</w:t>
      </w:r>
    </w:p>
    <w:bookmarkStart w:id="359" w:name="_Toc6220130"/>
    <w:p w:rsidR="00255CC4" w:rsidRPr="00EA0927" w:rsidRDefault="00AD3EDD" w:rsidP="008C6B83">
      <w:pPr>
        <w:pStyle w:val="Caption"/>
      </w:pPr>
      <w:r>
        <w:fldChar w:fldCharType="begin"/>
      </w:r>
      <w:r w:rsidR="00A46B54">
        <w:instrText xml:space="preserve"> STYLEREF 1 \s </w:instrText>
      </w:r>
      <w:r>
        <w:fldChar w:fldCharType="separate"/>
      </w:r>
      <w:bookmarkStart w:id="360" w:name="_Toc6857673"/>
      <w:r w:rsidR="00224B50">
        <w:rPr>
          <w:noProof/>
        </w:rPr>
        <w:t>1</w:t>
      </w:r>
      <w:r>
        <w:fldChar w:fldCharType="end"/>
      </w:r>
      <w:r w:rsidR="00A46B54">
        <w:t>.</w:t>
      </w:r>
      <w:r w:rsidR="00761553">
        <w:t>40</w:t>
      </w:r>
      <w:r w:rsidR="00255CC4">
        <w:t xml:space="preserve">. tabula. </w:t>
      </w:r>
      <w:r w:rsidR="00255CC4" w:rsidRPr="00EA0927">
        <w:t>Iedzīvotāju īpatsvars, kuri pakļauti nabadzības riskam vai sociālai atstumtībai</w:t>
      </w:r>
      <w:r w:rsidR="00255CC4" w:rsidRPr="00A45EC5">
        <w:rPr>
          <w:rStyle w:val="FootnoteReference"/>
          <w:b w:val="0"/>
        </w:rPr>
        <w:footnoteReference w:id="121"/>
      </w:r>
      <w:r w:rsidR="00255CC4" w:rsidRPr="00EA0927">
        <w:t xml:space="preserve"> pēc vecuma un dzimuma (%)</w:t>
      </w:r>
      <w:bookmarkEnd w:id="359"/>
      <w:bookmarkEnd w:id="360"/>
    </w:p>
    <w:tbl>
      <w:tblPr>
        <w:tblStyle w:val="TableGrid"/>
        <w:tblW w:w="6946" w:type="dxa"/>
        <w:tblInd w:w="108" w:type="dxa"/>
        <w:tblLook w:val="04A0"/>
      </w:tblPr>
      <w:tblGrid>
        <w:gridCol w:w="1701"/>
        <w:gridCol w:w="1843"/>
        <w:gridCol w:w="1134"/>
        <w:gridCol w:w="1134"/>
        <w:gridCol w:w="1134"/>
      </w:tblGrid>
      <w:tr w:rsidR="00255CC4" w:rsidRPr="00966F91" w:rsidTr="006106B3">
        <w:trPr>
          <w:trHeight w:val="330"/>
        </w:trPr>
        <w:tc>
          <w:tcPr>
            <w:tcW w:w="1701" w:type="dxa"/>
            <w:shd w:val="clear" w:color="auto" w:fill="B8CCE4" w:themeFill="accent1" w:themeFillTint="66"/>
            <w:noWrap/>
            <w:vAlign w:val="center"/>
            <w:hideMark/>
          </w:tcPr>
          <w:p w:rsidR="00255CC4" w:rsidRPr="006106B3" w:rsidRDefault="00255CC4" w:rsidP="00255CC4">
            <w:pPr>
              <w:jc w:val="left"/>
              <w:rPr>
                <w:b/>
                <w:color w:val="002060"/>
                <w:sz w:val="22"/>
                <w:szCs w:val="22"/>
              </w:rPr>
            </w:pPr>
            <w:r w:rsidRPr="006106B3">
              <w:rPr>
                <w:b/>
                <w:color w:val="002060"/>
                <w:sz w:val="22"/>
                <w:szCs w:val="22"/>
              </w:rPr>
              <w:t>Vecuma grupa</w:t>
            </w:r>
          </w:p>
        </w:tc>
        <w:tc>
          <w:tcPr>
            <w:tcW w:w="1843" w:type="dxa"/>
            <w:shd w:val="clear" w:color="auto" w:fill="B8CCE4" w:themeFill="accent1" w:themeFillTint="66"/>
            <w:noWrap/>
            <w:vAlign w:val="center"/>
            <w:hideMark/>
          </w:tcPr>
          <w:p w:rsidR="00255CC4" w:rsidRPr="006106B3" w:rsidRDefault="00255CC4" w:rsidP="00255CC4">
            <w:pPr>
              <w:jc w:val="left"/>
              <w:rPr>
                <w:b/>
                <w:color w:val="002060"/>
                <w:sz w:val="22"/>
                <w:szCs w:val="22"/>
              </w:rPr>
            </w:pPr>
            <w:r w:rsidRPr="006106B3">
              <w:rPr>
                <w:b/>
                <w:color w:val="002060"/>
                <w:sz w:val="22"/>
                <w:szCs w:val="22"/>
              </w:rPr>
              <w:t>Dzimums</w:t>
            </w:r>
          </w:p>
        </w:tc>
        <w:tc>
          <w:tcPr>
            <w:tcW w:w="1134" w:type="dxa"/>
            <w:shd w:val="clear" w:color="auto" w:fill="B8CCE4" w:themeFill="accent1" w:themeFillTint="66"/>
            <w:noWrap/>
            <w:vAlign w:val="center"/>
            <w:hideMark/>
          </w:tcPr>
          <w:p w:rsidR="00255CC4" w:rsidRPr="006106B3" w:rsidRDefault="00255CC4" w:rsidP="00255CC4">
            <w:pPr>
              <w:jc w:val="center"/>
              <w:rPr>
                <w:b/>
                <w:color w:val="002060"/>
                <w:sz w:val="22"/>
                <w:szCs w:val="22"/>
              </w:rPr>
            </w:pPr>
            <w:r w:rsidRPr="006106B3">
              <w:rPr>
                <w:b/>
                <w:color w:val="002060"/>
                <w:sz w:val="22"/>
                <w:szCs w:val="22"/>
              </w:rPr>
              <w:t>2014</w:t>
            </w:r>
          </w:p>
        </w:tc>
        <w:tc>
          <w:tcPr>
            <w:tcW w:w="1134" w:type="dxa"/>
            <w:shd w:val="clear" w:color="auto" w:fill="B8CCE4" w:themeFill="accent1" w:themeFillTint="66"/>
            <w:noWrap/>
            <w:vAlign w:val="center"/>
            <w:hideMark/>
          </w:tcPr>
          <w:p w:rsidR="00255CC4" w:rsidRPr="006106B3" w:rsidRDefault="00255CC4" w:rsidP="00255CC4">
            <w:pPr>
              <w:jc w:val="center"/>
              <w:rPr>
                <w:b/>
                <w:color w:val="002060"/>
                <w:sz w:val="22"/>
                <w:szCs w:val="22"/>
              </w:rPr>
            </w:pPr>
            <w:r w:rsidRPr="006106B3">
              <w:rPr>
                <w:b/>
                <w:color w:val="002060"/>
                <w:sz w:val="22"/>
                <w:szCs w:val="22"/>
              </w:rPr>
              <w:t>2015</w:t>
            </w:r>
          </w:p>
        </w:tc>
        <w:tc>
          <w:tcPr>
            <w:tcW w:w="1134" w:type="dxa"/>
            <w:shd w:val="clear" w:color="auto" w:fill="B8CCE4" w:themeFill="accent1" w:themeFillTint="66"/>
            <w:noWrap/>
            <w:vAlign w:val="center"/>
            <w:hideMark/>
          </w:tcPr>
          <w:p w:rsidR="00255CC4" w:rsidRPr="006106B3" w:rsidRDefault="00255CC4" w:rsidP="00255CC4">
            <w:pPr>
              <w:jc w:val="center"/>
              <w:rPr>
                <w:b/>
                <w:color w:val="002060"/>
                <w:sz w:val="22"/>
                <w:szCs w:val="22"/>
              </w:rPr>
            </w:pPr>
            <w:r w:rsidRPr="006106B3">
              <w:rPr>
                <w:b/>
                <w:color w:val="002060"/>
                <w:sz w:val="22"/>
                <w:szCs w:val="22"/>
              </w:rPr>
              <w:t>2016</w:t>
            </w:r>
          </w:p>
        </w:tc>
      </w:tr>
      <w:tr w:rsidR="00255CC4" w:rsidRPr="00966F91" w:rsidTr="00255CC4">
        <w:trPr>
          <w:trHeight w:val="330"/>
        </w:trPr>
        <w:tc>
          <w:tcPr>
            <w:tcW w:w="1701" w:type="dxa"/>
            <w:shd w:val="clear" w:color="auto" w:fill="DBE5F1" w:themeFill="accent1" w:themeFillTint="33"/>
            <w:noWrap/>
            <w:vAlign w:val="center"/>
            <w:hideMark/>
          </w:tcPr>
          <w:p w:rsidR="00255CC4" w:rsidRPr="00966F91" w:rsidRDefault="00255CC4" w:rsidP="00255CC4">
            <w:pPr>
              <w:jc w:val="left"/>
              <w:rPr>
                <w:b/>
                <w:sz w:val="22"/>
                <w:szCs w:val="22"/>
              </w:rPr>
            </w:pPr>
            <w:r>
              <w:rPr>
                <w:b/>
                <w:sz w:val="22"/>
                <w:szCs w:val="22"/>
              </w:rPr>
              <w:t>Visi</w:t>
            </w:r>
          </w:p>
        </w:tc>
        <w:tc>
          <w:tcPr>
            <w:tcW w:w="1843" w:type="dxa"/>
            <w:shd w:val="clear" w:color="auto" w:fill="DBE5F1" w:themeFill="accent1" w:themeFillTint="33"/>
            <w:noWrap/>
            <w:vAlign w:val="center"/>
            <w:hideMark/>
          </w:tcPr>
          <w:p w:rsidR="00255CC4" w:rsidRPr="00966F91" w:rsidRDefault="00255CC4" w:rsidP="00255CC4">
            <w:pPr>
              <w:jc w:val="left"/>
              <w:rPr>
                <w:b/>
                <w:sz w:val="22"/>
                <w:szCs w:val="22"/>
              </w:rPr>
            </w:pPr>
            <w:r>
              <w:rPr>
                <w:b/>
                <w:sz w:val="22"/>
                <w:szCs w:val="22"/>
              </w:rPr>
              <w:t>Visi</w:t>
            </w:r>
          </w:p>
        </w:tc>
        <w:tc>
          <w:tcPr>
            <w:tcW w:w="1134" w:type="dxa"/>
            <w:shd w:val="clear" w:color="auto" w:fill="DBE5F1" w:themeFill="accent1" w:themeFillTint="33"/>
            <w:noWrap/>
            <w:vAlign w:val="center"/>
            <w:hideMark/>
          </w:tcPr>
          <w:p w:rsidR="00255CC4" w:rsidRPr="00966F91" w:rsidRDefault="00255CC4" w:rsidP="00255CC4">
            <w:pPr>
              <w:jc w:val="center"/>
              <w:rPr>
                <w:b/>
                <w:sz w:val="22"/>
                <w:szCs w:val="22"/>
              </w:rPr>
            </w:pPr>
            <w:r>
              <w:rPr>
                <w:b/>
                <w:sz w:val="22"/>
                <w:szCs w:val="22"/>
              </w:rPr>
              <w:t>30,9</w:t>
            </w:r>
          </w:p>
        </w:tc>
        <w:tc>
          <w:tcPr>
            <w:tcW w:w="1134" w:type="dxa"/>
            <w:shd w:val="clear" w:color="auto" w:fill="DBE5F1" w:themeFill="accent1" w:themeFillTint="33"/>
            <w:noWrap/>
            <w:vAlign w:val="center"/>
            <w:hideMark/>
          </w:tcPr>
          <w:p w:rsidR="00255CC4" w:rsidRPr="00966F91" w:rsidRDefault="00255CC4" w:rsidP="00255CC4">
            <w:pPr>
              <w:jc w:val="center"/>
              <w:rPr>
                <w:b/>
                <w:sz w:val="22"/>
                <w:szCs w:val="22"/>
              </w:rPr>
            </w:pPr>
            <w:r>
              <w:rPr>
                <w:b/>
                <w:sz w:val="22"/>
                <w:szCs w:val="22"/>
              </w:rPr>
              <w:t>28,5</w:t>
            </w:r>
          </w:p>
        </w:tc>
        <w:tc>
          <w:tcPr>
            <w:tcW w:w="1134" w:type="dxa"/>
            <w:shd w:val="clear" w:color="auto" w:fill="DBE5F1" w:themeFill="accent1" w:themeFillTint="33"/>
            <w:noWrap/>
            <w:vAlign w:val="center"/>
            <w:hideMark/>
          </w:tcPr>
          <w:p w:rsidR="00255CC4" w:rsidRPr="00966F91" w:rsidRDefault="00255CC4" w:rsidP="00255CC4">
            <w:pPr>
              <w:jc w:val="center"/>
              <w:rPr>
                <w:b/>
                <w:sz w:val="22"/>
                <w:szCs w:val="22"/>
              </w:rPr>
            </w:pPr>
            <w:r>
              <w:rPr>
                <w:b/>
                <w:sz w:val="22"/>
                <w:szCs w:val="22"/>
              </w:rPr>
              <w:t>28,2</w:t>
            </w:r>
          </w:p>
        </w:tc>
      </w:tr>
      <w:tr w:rsidR="00255CC4" w:rsidRPr="00966F91" w:rsidTr="00255CC4">
        <w:trPr>
          <w:trHeight w:val="330"/>
        </w:trPr>
        <w:tc>
          <w:tcPr>
            <w:tcW w:w="1701" w:type="dxa"/>
            <w:vMerge w:val="restart"/>
            <w:noWrap/>
            <w:vAlign w:val="center"/>
            <w:hideMark/>
          </w:tcPr>
          <w:p w:rsidR="00255CC4" w:rsidRPr="00966F91" w:rsidRDefault="00255CC4" w:rsidP="00255CC4">
            <w:pPr>
              <w:rPr>
                <w:b/>
                <w:sz w:val="22"/>
                <w:szCs w:val="22"/>
              </w:rPr>
            </w:pPr>
            <w:r w:rsidRPr="00966F91">
              <w:rPr>
                <w:b/>
                <w:sz w:val="22"/>
                <w:szCs w:val="22"/>
              </w:rPr>
              <w:t xml:space="preserve">0-17 </w:t>
            </w:r>
            <w:r>
              <w:rPr>
                <w:b/>
                <w:sz w:val="22"/>
                <w:szCs w:val="22"/>
              </w:rPr>
              <w:t>gadi</w:t>
            </w:r>
          </w:p>
          <w:p w:rsidR="00255CC4" w:rsidRPr="00966F91" w:rsidRDefault="00255CC4" w:rsidP="00255CC4">
            <w:pPr>
              <w:rPr>
                <w:b/>
                <w:sz w:val="22"/>
                <w:szCs w:val="22"/>
              </w:rPr>
            </w:pPr>
          </w:p>
        </w:tc>
        <w:tc>
          <w:tcPr>
            <w:tcW w:w="1843" w:type="dxa"/>
            <w:noWrap/>
            <w:vAlign w:val="center"/>
            <w:hideMark/>
          </w:tcPr>
          <w:p w:rsidR="00255CC4" w:rsidRPr="00966F91" w:rsidRDefault="00255CC4" w:rsidP="00255CC4">
            <w:pPr>
              <w:rPr>
                <w:b/>
                <w:sz w:val="22"/>
                <w:szCs w:val="22"/>
              </w:rPr>
            </w:pPr>
            <w:r w:rsidRPr="00966F91">
              <w:rPr>
                <w:b/>
                <w:sz w:val="22"/>
                <w:szCs w:val="22"/>
              </w:rPr>
              <w:t>Kopā grupā</w:t>
            </w:r>
          </w:p>
        </w:tc>
        <w:tc>
          <w:tcPr>
            <w:tcW w:w="1134" w:type="dxa"/>
            <w:noWrap/>
            <w:vAlign w:val="center"/>
            <w:hideMark/>
          </w:tcPr>
          <w:p w:rsidR="00255CC4" w:rsidRPr="00966F91" w:rsidRDefault="00255CC4" w:rsidP="00255CC4">
            <w:pPr>
              <w:jc w:val="center"/>
              <w:rPr>
                <w:b/>
                <w:sz w:val="22"/>
                <w:szCs w:val="22"/>
              </w:rPr>
            </w:pPr>
            <w:r w:rsidRPr="00966F91">
              <w:rPr>
                <w:b/>
                <w:sz w:val="22"/>
                <w:szCs w:val="22"/>
              </w:rPr>
              <w:t>31,3</w:t>
            </w:r>
          </w:p>
        </w:tc>
        <w:tc>
          <w:tcPr>
            <w:tcW w:w="1134" w:type="dxa"/>
            <w:noWrap/>
            <w:vAlign w:val="center"/>
            <w:hideMark/>
          </w:tcPr>
          <w:p w:rsidR="00255CC4" w:rsidRPr="00966F91" w:rsidRDefault="00255CC4" w:rsidP="00255CC4">
            <w:pPr>
              <w:jc w:val="center"/>
              <w:rPr>
                <w:b/>
                <w:sz w:val="22"/>
                <w:szCs w:val="22"/>
              </w:rPr>
            </w:pPr>
            <w:r w:rsidRPr="00966F91">
              <w:rPr>
                <w:b/>
                <w:sz w:val="22"/>
                <w:szCs w:val="22"/>
              </w:rPr>
              <w:t>24,7</w:t>
            </w:r>
          </w:p>
        </w:tc>
        <w:tc>
          <w:tcPr>
            <w:tcW w:w="1134" w:type="dxa"/>
            <w:noWrap/>
            <w:vAlign w:val="center"/>
            <w:hideMark/>
          </w:tcPr>
          <w:p w:rsidR="00255CC4" w:rsidRPr="00966F91" w:rsidRDefault="00255CC4" w:rsidP="00255CC4">
            <w:pPr>
              <w:jc w:val="center"/>
              <w:rPr>
                <w:b/>
                <w:sz w:val="22"/>
                <w:szCs w:val="22"/>
              </w:rPr>
            </w:pPr>
            <w:r w:rsidRPr="00966F91">
              <w:rPr>
                <w:b/>
                <w:sz w:val="22"/>
                <w:szCs w:val="22"/>
              </w:rPr>
              <w:t>23,9</w:t>
            </w:r>
          </w:p>
        </w:tc>
      </w:tr>
      <w:tr w:rsidR="00255CC4" w:rsidRPr="00966F91" w:rsidTr="00255CC4">
        <w:trPr>
          <w:trHeight w:val="330"/>
        </w:trPr>
        <w:tc>
          <w:tcPr>
            <w:tcW w:w="1701" w:type="dxa"/>
            <w:vMerge/>
            <w:noWrap/>
            <w:vAlign w:val="center"/>
            <w:hideMark/>
          </w:tcPr>
          <w:p w:rsidR="00255CC4" w:rsidRPr="00966F91" w:rsidRDefault="00255CC4" w:rsidP="00255CC4">
            <w:pPr>
              <w:rPr>
                <w:sz w:val="22"/>
                <w:szCs w:val="22"/>
              </w:rPr>
            </w:pPr>
          </w:p>
        </w:tc>
        <w:tc>
          <w:tcPr>
            <w:tcW w:w="1843" w:type="dxa"/>
            <w:noWrap/>
            <w:vAlign w:val="center"/>
            <w:hideMark/>
          </w:tcPr>
          <w:p w:rsidR="00255CC4" w:rsidRPr="00966F91" w:rsidRDefault="00255CC4" w:rsidP="00255CC4">
            <w:pPr>
              <w:rPr>
                <w:sz w:val="22"/>
                <w:szCs w:val="22"/>
              </w:rPr>
            </w:pPr>
            <w:r w:rsidRPr="00966F91">
              <w:rPr>
                <w:sz w:val="22"/>
                <w:szCs w:val="22"/>
              </w:rPr>
              <w:t>Vīrieši</w:t>
            </w:r>
          </w:p>
        </w:tc>
        <w:tc>
          <w:tcPr>
            <w:tcW w:w="1134" w:type="dxa"/>
            <w:noWrap/>
            <w:vAlign w:val="center"/>
            <w:hideMark/>
          </w:tcPr>
          <w:p w:rsidR="00255CC4" w:rsidRPr="00966F91" w:rsidRDefault="00255CC4" w:rsidP="00255CC4">
            <w:pPr>
              <w:jc w:val="center"/>
              <w:rPr>
                <w:sz w:val="22"/>
                <w:szCs w:val="22"/>
              </w:rPr>
            </w:pPr>
            <w:r w:rsidRPr="00966F91">
              <w:rPr>
                <w:sz w:val="22"/>
                <w:szCs w:val="22"/>
              </w:rPr>
              <w:t>30,7</w:t>
            </w:r>
          </w:p>
        </w:tc>
        <w:tc>
          <w:tcPr>
            <w:tcW w:w="1134" w:type="dxa"/>
            <w:noWrap/>
            <w:vAlign w:val="center"/>
            <w:hideMark/>
          </w:tcPr>
          <w:p w:rsidR="00255CC4" w:rsidRPr="00966F91" w:rsidRDefault="00255CC4" w:rsidP="00255CC4">
            <w:pPr>
              <w:jc w:val="center"/>
              <w:rPr>
                <w:sz w:val="22"/>
                <w:szCs w:val="22"/>
              </w:rPr>
            </w:pPr>
            <w:r w:rsidRPr="00966F91">
              <w:rPr>
                <w:sz w:val="22"/>
                <w:szCs w:val="22"/>
              </w:rPr>
              <w:t>25,4</w:t>
            </w:r>
          </w:p>
        </w:tc>
        <w:tc>
          <w:tcPr>
            <w:tcW w:w="1134" w:type="dxa"/>
            <w:noWrap/>
            <w:vAlign w:val="center"/>
            <w:hideMark/>
          </w:tcPr>
          <w:p w:rsidR="00255CC4" w:rsidRPr="00966F91" w:rsidRDefault="00255CC4" w:rsidP="00255CC4">
            <w:pPr>
              <w:jc w:val="center"/>
              <w:rPr>
                <w:sz w:val="22"/>
                <w:szCs w:val="22"/>
              </w:rPr>
            </w:pPr>
            <w:r w:rsidRPr="00966F91">
              <w:rPr>
                <w:sz w:val="22"/>
                <w:szCs w:val="22"/>
              </w:rPr>
              <w:t>22,5</w:t>
            </w:r>
          </w:p>
        </w:tc>
      </w:tr>
      <w:tr w:rsidR="00255CC4" w:rsidRPr="00966F91" w:rsidTr="00255CC4">
        <w:trPr>
          <w:trHeight w:val="330"/>
        </w:trPr>
        <w:tc>
          <w:tcPr>
            <w:tcW w:w="1701" w:type="dxa"/>
            <w:vMerge/>
            <w:noWrap/>
            <w:vAlign w:val="center"/>
            <w:hideMark/>
          </w:tcPr>
          <w:p w:rsidR="00255CC4" w:rsidRPr="00966F91" w:rsidRDefault="00255CC4" w:rsidP="00255CC4">
            <w:pPr>
              <w:rPr>
                <w:sz w:val="22"/>
                <w:szCs w:val="22"/>
              </w:rPr>
            </w:pPr>
          </w:p>
        </w:tc>
        <w:tc>
          <w:tcPr>
            <w:tcW w:w="1843" w:type="dxa"/>
            <w:noWrap/>
            <w:vAlign w:val="center"/>
            <w:hideMark/>
          </w:tcPr>
          <w:p w:rsidR="00255CC4" w:rsidRPr="00966F91" w:rsidRDefault="00255CC4" w:rsidP="00255CC4">
            <w:pPr>
              <w:rPr>
                <w:sz w:val="22"/>
                <w:szCs w:val="22"/>
              </w:rPr>
            </w:pPr>
            <w:r w:rsidRPr="00966F91">
              <w:rPr>
                <w:sz w:val="22"/>
                <w:szCs w:val="22"/>
              </w:rPr>
              <w:t>Sievietes</w:t>
            </w:r>
          </w:p>
        </w:tc>
        <w:tc>
          <w:tcPr>
            <w:tcW w:w="1134" w:type="dxa"/>
            <w:noWrap/>
            <w:vAlign w:val="center"/>
            <w:hideMark/>
          </w:tcPr>
          <w:p w:rsidR="00255CC4" w:rsidRPr="00966F91" w:rsidRDefault="00255CC4" w:rsidP="00255CC4">
            <w:pPr>
              <w:jc w:val="center"/>
              <w:rPr>
                <w:sz w:val="22"/>
                <w:szCs w:val="22"/>
              </w:rPr>
            </w:pPr>
            <w:r w:rsidRPr="00966F91">
              <w:rPr>
                <w:sz w:val="22"/>
                <w:szCs w:val="22"/>
              </w:rPr>
              <w:t>31,9</w:t>
            </w:r>
          </w:p>
        </w:tc>
        <w:tc>
          <w:tcPr>
            <w:tcW w:w="1134" w:type="dxa"/>
            <w:noWrap/>
            <w:vAlign w:val="center"/>
            <w:hideMark/>
          </w:tcPr>
          <w:p w:rsidR="00255CC4" w:rsidRPr="00966F91" w:rsidRDefault="00255CC4" w:rsidP="00255CC4">
            <w:pPr>
              <w:jc w:val="center"/>
              <w:rPr>
                <w:sz w:val="22"/>
                <w:szCs w:val="22"/>
              </w:rPr>
            </w:pPr>
            <w:r w:rsidRPr="00966F91">
              <w:rPr>
                <w:sz w:val="22"/>
                <w:szCs w:val="22"/>
              </w:rPr>
              <w:t>23,9</w:t>
            </w:r>
          </w:p>
        </w:tc>
        <w:tc>
          <w:tcPr>
            <w:tcW w:w="1134" w:type="dxa"/>
            <w:noWrap/>
            <w:vAlign w:val="center"/>
            <w:hideMark/>
          </w:tcPr>
          <w:p w:rsidR="00255CC4" w:rsidRPr="00966F91" w:rsidRDefault="00255CC4" w:rsidP="00255CC4">
            <w:pPr>
              <w:jc w:val="center"/>
              <w:rPr>
                <w:sz w:val="22"/>
                <w:szCs w:val="22"/>
              </w:rPr>
            </w:pPr>
            <w:r w:rsidRPr="00966F91">
              <w:rPr>
                <w:sz w:val="22"/>
                <w:szCs w:val="22"/>
              </w:rPr>
              <w:t>25,4</w:t>
            </w:r>
          </w:p>
        </w:tc>
      </w:tr>
      <w:tr w:rsidR="00255CC4" w:rsidRPr="00966F91" w:rsidTr="00255CC4">
        <w:trPr>
          <w:trHeight w:val="330"/>
        </w:trPr>
        <w:tc>
          <w:tcPr>
            <w:tcW w:w="1701" w:type="dxa"/>
            <w:vMerge w:val="restart"/>
            <w:noWrap/>
            <w:vAlign w:val="center"/>
            <w:hideMark/>
          </w:tcPr>
          <w:p w:rsidR="00255CC4" w:rsidRPr="00966F91" w:rsidRDefault="00255CC4" w:rsidP="00255CC4">
            <w:pPr>
              <w:rPr>
                <w:b/>
                <w:sz w:val="22"/>
                <w:szCs w:val="22"/>
              </w:rPr>
            </w:pPr>
            <w:r w:rsidRPr="00966F91">
              <w:rPr>
                <w:b/>
                <w:sz w:val="22"/>
                <w:szCs w:val="22"/>
              </w:rPr>
              <w:t>18-64</w:t>
            </w:r>
            <w:r>
              <w:rPr>
                <w:b/>
                <w:sz w:val="22"/>
                <w:szCs w:val="22"/>
              </w:rPr>
              <w:t xml:space="preserve"> gadi</w:t>
            </w:r>
          </w:p>
        </w:tc>
        <w:tc>
          <w:tcPr>
            <w:tcW w:w="1843" w:type="dxa"/>
            <w:noWrap/>
            <w:vAlign w:val="center"/>
            <w:hideMark/>
          </w:tcPr>
          <w:p w:rsidR="00255CC4" w:rsidRPr="00966F91" w:rsidRDefault="00255CC4" w:rsidP="00255CC4">
            <w:pPr>
              <w:rPr>
                <w:b/>
                <w:sz w:val="22"/>
                <w:szCs w:val="22"/>
              </w:rPr>
            </w:pPr>
            <w:r w:rsidRPr="00966F91">
              <w:rPr>
                <w:b/>
                <w:sz w:val="22"/>
                <w:szCs w:val="22"/>
              </w:rPr>
              <w:t>Kopā grupā</w:t>
            </w:r>
          </w:p>
        </w:tc>
        <w:tc>
          <w:tcPr>
            <w:tcW w:w="1134" w:type="dxa"/>
            <w:noWrap/>
            <w:vAlign w:val="center"/>
            <w:hideMark/>
          </w:tcPr>
          <w:p w:rsidR="00255CC4" w:rsidRPr="00966F91" w:rsidRDefault="00255CC4" w:rsidP="00255CC4">
            <w:pPr>
              <w:jc w:val="center"/>
              <w:rPr>
                <w:b/>
                <w:sz w:val="22"/>
                <w:szCs w:val="22"/>
              </w:rPr>
            </w:pPr>
            <w:r w:rsidRPr="00966F91">
              <w:rPr>
                <w:b/>
                <w:sz w:val="22"/>
                <w:szCs w:val="22"/>
              </w:rPr>
              <w:t>27,3</w:t>
            </w:r>
          </w:p>
        </w:tc>
        <w:tc>
          <w:tcPr>
            <w:tcW w:w="1134" w:type="dxa"/>
            <w:noWrap/>
            <w:vAlign w:val="center"/>
            <w:hideMark/>
          </w:tcPr>
          <w:p w:rsidR="00255CC4" w:rsidRPr="00966F91" w:rsidRDefault="00255CC4" w:rsidP="00255CC4">
            <w:pPr>
              <w:jc w:val="center"/>
              <w:rPr>
                <w:b/>
                <w:sz w:val="22"/>
                <w:szCs w:val="22"/>
              </w:rPr>
            </w:pPr>
            <w:r w:rsidRPr="00966F91">
              <w:rPr>
                <w:b/>
                <w:sz w:val="22"/>
                <w:szCs w:val="22"/>
              </w:rPr>
              <w:t>25,0</w:t>
            </w:r>
          </w:p>
        </w:tc>
        <w:tc>
          <w:tcPr>
            <w:tcW w:w="1134" w:type="dxa"/>
            <w:noWrap/>
            <w:vAlign w:val="center"/>
            <w:hideMark/>
          </w:tcPr>
          <w:p w:rsidR="00255CC4" w:rsidRPr="00966F91" w:rsidRDefault="00255CC4" w:rsidP="00255CC4">
            <w:pPr>
              <w:jc w:val="center"/>
              <w:rPr>
                <w:b/>
                <w:sz w:val="22"/>
                <w:szCs w:val="22"/>
              </w:rPr>
            </w:pPr>
            <w:r w:rsidRPr="00966F91">
              <w:rPr>
                <w:b/>
                <w:sz w:val="22"/>
                <w:szCs w:val="22"/>
              </w:rPr>
              <w:t>24,5</w:t>
            </w:r>
          </w:p>
        </w:tc>
      </w:tr>
      <w:tr w:rsidR="00255CC4" w:rsidRPr="00966F91" w:rsidTr="00255CC4">
        <w:trPr>
          <w:trHeight w:val="330"/>
        </w:trPr>
        <w:tc>
          <w:tcPr>
            <w:tcW w:w="1701" w:type="dxa"/>
            <w:vMerge/>
            <w:noWrap/>
            <w:vAlign w:val="center"/>
          </w:tcPr>
          <w:p w:rsidR="00255CC4" w:rsidRPr="00966F91" w:rsidRDefault="00255CC4" w:rsidP="00255CC4">
            <w:pPr>
              <w:rPr>
                <w:sz w:val="22"/>
                <w:szCs w:val="22"/>
              </w:rPr>
            </w:pPr>
          </w:p>
        </w:tc>
        <w:tc>
          <w:tcPr>
            <w:tcW w:w="1843" w:type="dxa"/>
            <w:noWrap/>
            <w:vAlign w:val="center"/>
            <w:hideMark/>
          </w:tcPr>
          <w:p w:rsidR="00255CC4" w:rsidRPr="00966F91" w:rsidRDefault="00255CC4" w:rsidP="00255CC4">
            <w:pPr>
              <w:rPr>
                <w:sz w:val="22"/>
                <w:szCs w:val="22"/>
              </w:rPr>
            </w:pPr>
            <w:r w:rsidRPr="00966F91">
              <w:rPr>
                <w:sz w:val="22"/>
                <w:szCs w:val="22"/>
              </w:rPr>
              <w:t>Vīrieši</w:t>
            </w:r>
          </w:p>
        </w:tc>
        <w:tc>
          <w:tcPr>
            <w:tcW w:w="1134" w:type="dxa"/>
            <w:noWrap/>
            <w:vAlign w:val="center"/>
            <w:hideMark/>
          </w:tcPr>
          <w:p w:rsidR="00255CC4" w:rsidRPr="00966F91" w:rsidRDefault="00255CC4" w:rsidP="00255CC4">
            <w:pPr>
              <w:jc w:val="center"/>
              <w:rPr>
                <w:sz w:val="22"/>
                <w:szCs w:val="22"/>
              </w:rPr>
            </w:pPr>
            <w:r w:rsidRPr="00966F91">
              <w:rPr>
                <w:sz w:val="22"/>
                <w:szCs w:val="22"/>
              </w:rPr>
              <w:t>26,4</w:t>
            </w:r>
          </w:p>
        </w:tc>
        <w:tc>
          <w:tcPr>
            <w:tcW w:w="1134" w:type="dxa"/>
            <w:noWrap/>
            <w:vAlign w:val="center"/>
            <w:hideMark/>
          </w:tcPr>
          <w:p w:rsidR="00255CC4" w:rsidRPr="00966F91" w:rsidRDefault="00255CC4" w:rsidP="00255CC4">
            <w:pPr>
              <w:jc w:val="center"/>
              <w:rPr>
                <w:sz w:val="22"/>
                <w:szCs w:val="22"/>
              </w:rPr>
            </w:pPr>
            <w:r w:rsidRPr="00966F91">
              <w:rPr>
                <w:sz w:val="22"/>
                <w:szCs w:val="22"/>
              </w:rPr>
              <w:t>24,6</w:t>
            </w:r>
          </w:p>
        </w:tc>
        <w:tc>
          <w:tcPr>
            <w:tcW w:w="1134" w:type="dxa"/>
            <w:noWrap/>
            <w:vAlign w:val="center"/>
            <w:hideMark/>
          </w:tcPr>
          <w:p w:rsidR="00255CC4" w:rsidRPr="00966F91" w:rsidRDefault="00255CC4" w:rsidP="00255CC4">
            <w:pPr>
              <w:jc w:val="center"/>
              <w:rPr>
                <w:sz w:val="22"/>
                <w:szCs w:val="22"/>
              </w:rPr>
            </w:pPr>
            <w:r w:rsidRPr="00966F91">
              <w:rPr>
                <w:sz w:val="22"/>
                <w:szCs w:val="22"/>
              </w:rPr>
              <w:t>24,0</w:t>
            </w:r>
          </w:p>
        </w:tc>
      </w:tr>
      <w:tr w:rsidR="00255CC4" w:rsidRPr="00966F91" w:rsidTr="00255CC4">
        <w:trPr>
          <w:trHeight w:val="330"/>
        </w:trPr>
        <w:tc>
          <w:tcPr>
            <w:tcW w:w="1701" w:type="dxa"/>
            <w:vMerge/>
            <w:noWrap/>
            <w:vAlign w:val="center"/>
          </w:tcPr>
          <w:p w:rsidR="00255CC4" w:rsidRPr="00966F91" w:rsidRDefault="00255CC4" w:rsidP="00255CC4">
            <w:pPr>
              <w:rPr>
                <w:sz w:val="22"/>
                <w:szCs w:val="22"/>
              </w:rPr>
            </w:pPr>
          </w:p>
        </w:tc>
        <w:tc>
          <w:tcPr>
            <w:tcW w:w="1843" w:type="dxa"/>
            <w:noWrap/>
            <w:vAlign w:val="center"/>
            <w:hideMark/>
          </w:tcPr>
          <w:p w:rsidR="00255CC4" w:rsidRPr="00966F91" w:rsidRDefault="00255CC4" w:rsidP="00255CC4">
            <w:pPr>
              <w:rPr>
                <w:sz w:val="22"/>
                <w:szCs w:val="22"/>
              </w:rPr>
            </w:pPr>
            <w:r w:rsidRPr="00966F91">
              <w:rPr>
                <w:sz w:val="22"/>
                <w:szCs w:val="22"/>
              </w:rPr>
              <w:t>Sievietes</w:t>
            </w:r>
          </w:p>
        </w:tc>
        <w:tc>
          <w:tcPr>
            <w:tcW w:w="1134" w:type="dxa"/>
            <w:noWrap/>
            <w:vAlign w:val="center"/>
            <w:hideMark/>
          </w:tcPr>
          <w:p w:rsidR="00255CC4" w:rsidRPr="00966F91" w:rsidRDefault="00255CC4" w:rsidP="00255CC4">
            <w:pPr>
              <w:jc w:val="center"/>
              <w:rPr>
                <w:sz w:val="22"/>
                <w:szCs w:val="22"/>
              </w:rPr>
            </w:pPr>
            <w:r w:rsidRPr="00966F91">
              <w:rPr>
                <w:sz w:val="22"/>
                <w:szCs w:val="22"/>
              </w:rPr>
              <w:t>28,2</w:t>
            </w:r>
          </w:p>
        </w:tc>
        <w:tc>
          <w:tcPr>
            <w:tcW w:w="1134" w:type="dxa"/>
            <w:noWrap/>
            <w:vAlign w:val="center"/>
            <w:hideMark/>
          </w:tcPr>
          <w:p w:rsidR="00255CC4" w:rsidRPr="00966F91" w:rsidRDefault="00255CC4" w:rsidP="00255CC4">
            <w:pPr>
              <w:jc w:val="center"/>
              <w:rPr>
                <w:sz w:val="22"/>
                <w:szCs w:val="22"/>
              </w:rPr>
            </w:pPr>
            <w:r w:rsidRPr="00966F91">
              <w:rPr>
                <w:sz w:val="22"/>
                <w:szCs w:val="22"/>
              </w:rPr>
              <w:t>25,4</w:t>
            </w:r>
          </w:p>
        </w:tc>
        <w:tc>
          <w:tcPr>
            <w:tcW w:w="1134" w:type="dxa"/>
            <w:noWrap/>
            <w:vAlign w:val="center"/>
            <w:hideMark/>
          </w:tcPr>
          <w:p w:rsidR="00255CC4" w:rsidRPr="00966F91" w:rsidRDefault="00255CC4" w:rsidP="00255CC4">
            <w:pPr>
              <w:jc w:val="center"/>
              <w:rPr>
                <w:sz w:val="22"/>
                <w:szCs w:val="22"/>
              </w:rPr>
            </w:pPr>
            <w:r w:rsidRPr="00966F91">
              <w:rPr>
                <w:sz w:val="22"/>
                <w:szCs w:val="22"/>
              </w:rPr>
              <w:t>25,0</w:t>
            </w:r>
          </w:p>
        </w:tc>
      </w:tr>
      <w:tr w:rsidR="00255CC4" w:rsidRPr="00966F91" w:rsidTr="00255CC4">
        <w:trPr>
          <w:trHeight w:val="330"/>
        </w:trPr>
        <w:tc>
          <w:tcPr>
            <w:tcW w:w="1701" w:type="dxa"/>
            <w:vMerge w:val="restart"/>
            <w:noWrap/>
            <w:vAlign w:val="center"/>
            <w:hideMark/>
          </w:tcPr>
          <w:p w:rsidR="00255CC4" w:rsidRPr="00B83F19" w:rsidRDefault="00255CC4" w:rsidP="00255CC4">
            <w:pPr>
              <w:rPr>
                <w:b/>
                <w:sz w:val="22"/>
                <w:szCs w:val="22"/>
              </w:rPr>
            </w:pPr>
            <w:r w:rsidRPr="00B83F19">
              <w:rPr>
                <w:b/>
                <w:sz w:val="22"/>
                <w:szCs w:val="22"/>
              </w:rPr>
              <w:t>65+ gadi</w:t>
            </w:r>
          </w:p>
        </w:tc>
        <w:tc>
          <w:tcPr>
            <w:tcW w:w="1843" w:type="dxa"/>
            <w:noWrap/>
            <w:vAlign w:val="center"/>
            <w:hideMark/>
          </w:tcPr>
          <w:p w:rsidR="00255CC4" w:rsidRPr="00B83F19" w:rsidRDefault="00255CC4" w:rsidP="00255CC4">
            <w:pPr>
              <w:rPr>
                <w:b/>
                <w:sz w:val="22"/>
                <w:szCs w:val="22"/>
              </w:rPr>
            </w:pPr>
            <w:r w:rsidRPr="00B83F19">
              <w:rPr>
                <w:b/>
                <w:sz w:val="22"/>
                <w:szCs w:val="22"/>
              </w:rPr>
              <w:t>Kopā grupā</w:t>
            </w:r>
          </w:p>
        </w:tc>
        <w:tc>
          <w:tcPr>
            <w:tcW w:w="1134" w:type="dxa"/>
            <w:noWrap/>
            <w:vAlign w:val="center"/>
            <w:hideMark/>
          </w:tcPr>
          <w:p w:rsidR="00255CC4" w:rsidRPr="00966F91" w:rsidRDefault="00255CC4" w:rsidP="00255CC4">
            <w:pPr>
              <w:jc w:val="center"/>
              <w:rPr>
                <w:b/>
                <w:color w:val="FF0000"/>
                <w:sz w:val="22"/>
                <w:szCs w:val="22"/>
              </w:rPr>
            </w:pPr>
            <w:r w:rsidRPr="00966F91">
              <w:rPr>
                <w:b/>
                <w:color w:val="FF0000"/>
                <w:sz w:val="22"/>
                <w:szCs w:val="22"/>
              </w:rPr>
              <w:t>42,1</w:t>
            </w:r>
          </w:p>
        </w:tc>
        <w:tc>
          <w:tcPr>
            <w:tcW w:w="1134" w:type="dxa"/>
            <w:noWrap/>
            <w:vAlign w:val="center"/>
            <w:hideMark/>
          </w:tcPr>
          <w:p w:rsidR="00255CC4" w:rsidRPr="00966F91" w:rsidRDefault="00255CC4" w:rsidP="00255CC4">
            <w:pPr>
              <w:jc w:val="center"/>
              <w:rPr>
                <w:b/>
                <w:color w:val="FF0000"/>
                <w:sz w:val="22"/>
                <w:szCs w:val="22"/>
              </w:rPr>
            </w:pPr>
            <w:r w:rsidRPr="00966F91">
              <w:rPr>
                <w:b/>
                <w:color w:val="FF0000"/>
                <w:sz w:val="22"/>
                <w:szCs w:val="22"/>
              </w:rPr>
              <w:t>43,1</w:t>
            </w:r>
          </w:p>
        </w:tc>
        <w:tc>
          <w:tcPr>
            <w:tcW w:w="1134" w:type="dxa"/>
            <w:noWrap/>
            <w:vAlign w:val="center"/>
            <w:hideMark/>
          </w:tcPr>
          <w:p w:rsidR="00255CC4" w:rsidRPr="00966F91" w:rsidRDefault="00255CC4" w:rsidP="00255CC4">
            <w:pPr>
              <w:jc w:val="center"/>
              <w:rPr>
                <w:b/>
                <w:color w:val="FF0000"/>
                <w:sz w:val="22"/>
                <w:szCs w:val="22"/>
              </w:rPr>
            </w:pPr>
            <w:r w:rsidRPr="00966F91">
              <w:rPr>
                <w:b/>
                <w:color w:val="FF0000"/>
                <w:sz w:val="22"/>
                <w:szCs w:val="22"/>
              </w:rPr>
              <w:t>43,9</w:t>
            </w:r>
          </w:p>
        </w:tc>
      </w:tr>
      <w:tr w:rsidR="00255CC4" w:rsidRPr="00966F91" w:rsidTr="00255CC4">
        <w:trPr>
          <w:trHeight w:val="330"/>
        </w:trPr>
        <w:tc>
          <w:tcPr>
            <w:tcW w:w="1701" w:type="dxa"/>
            <w:vMerge/>
            <w:noWrap/>
          </w:tcPr>
          <w:p w:rsidR="00255CC4" w:rsidRPr="00966F91" w:rsidRDefault="00255CC4" w:rsidP="00255CC4">
            <w:pPr>
              <w:rPr>
                <w:sz w:val="22"/>
                <w:szCs w:val="22"/>
              </w:rPr>
            </w:pPr>
          </w:p>
        </w:tc>
        <w:tc>
          <w:tcPr>
            <w:tcW w:w="1843" w:type="dxa"/>
            <w:noWrap/>
            <w:vAlign w:val="center"/>
            <w:hideMark/>
          </w:tcPr>
          <w:p w:rsidR="00255CC4" w:rsidRPr="00966F91" w:rsidRDefault="00255CC4" w:rsidP="00255CC4">
            <w:pPr>
              <w:rPr>
                <w:sz w:val="22"/>
                <w:szCs w:val="22"/>
              </w:rPr>
            </w:pPr>
            <w:r w:rsidRPr="00966F91">
              <w:rPr>
                <w:sz w:val="22"/>
                <w:szCs w:val="22"/>
              </w:rPr>
              <w:t>Vīrieši</w:t>
            </w:r>
          </w:p>
        </w:tc>
        <w:tc>
          <w:tcPr>
            <w:tcW w:w="1134" w:type="dxa"/>
            <w:noWrap/>
            <w:vAlign w:val="center"/>
            <w:hideMark/>
          </w:tcPr>
          <w:p w:rsidR="00255CC4" w:rsidRPr="00966F91" w:rsidRDefault="00255CC4" w:rsidP="00255CC4">
            <w:pPr>
              <w:jc w:val="center"/>
              <w:rPr>
                <w:sz w:val="22"/>
                <w:szCs w:val="22"/>
              </w:rPr>
            </w:pPr>
            <w:r w:rsidRPr="00966F91">
              <w:rPr>
                <w:sz w:val="22"/>
                <w:szCs w:val="22"/>
              </w:rPr>
              <w:t>31,2</w:t>
            </w:r>
          </w:p>
        </w:tc>
        <w:tc>
          <w:tcPr>
            <w:tcW w:w="1134" w:type="dxa"/>
            <w:noWrap/>
            <w:vAlign w:val="center"/>
            <w:hideMark/>
          </w:tcPr>
          <w:p w:rsidR="00255CC4" w:rsidRPr="00966F91" w:rsidRDefault="00255CC4" w:rsidP="00255CC4">
            <w:pPr>
              <w:jc w:val="center"/>
              <w:rPr>
                <w:sz w:val="22"/>
                <w:szCs w:val="22"/>
              </w:rPr>
            </w:pPr>
            <w:r w:rsidRPr="00966F91">
              <w:rPr>
                <w:sz w:val="22"/>
                <w:szCs w:val="22"/>
              </w:rPr>
              <w:t>33,5</w:t>
            </w:r>
          </w:p>
        </w:tc>
        <w:tc>
          <w:tcPr>
            <w:tcW w:w="1134" w:type="dxa"/>
            <w:noWrap/>
            <w:vAlign w:val="center"/>
            <w:hideMark/>
          </w:tcPr>
          <w:p w:rsidR="00255CC4" w:rsidRPr="00966F91" w:rsidRDefault="00255CC4" w:rsidP="00255CC4">
            <w:pPr>
              <w:jc w:val="center"/>
              <w:rPr>
                <w:sz w:val="22"/>
                <w:szCs w:val="22"/>
              </w:rPr>
            </w:pPr>
            <w:r w:rsidRPr="00966F91">
              <w:rPr>
                <w:sz w:val="22"/>
                <w:szCs w:val="22"/>
              </w:rPr>
              <w:t>32,7</w:t>
            </w:r>
          </w:p>
        </w:tc>
      </w:tr>
      <w:tr w:rsidR="00255CC4" w:rsidRPr="00966F91" w:rsidTr="00255CC4">
        <w:trPr>
          <w:trHeight w:val="330"/>
        </w:trPr>
        <w:tc>
          <w:tcPr>
            <w:tcW w:w="1701" w:type="dxa"/>
            <w:vMerge/>
            <w:noWrap/>
          </w:tcPr>
          <w:p w:rsidR="00255CC4" w:rsidRPr="00966F91" w:rsidRDefault="00255CC4" w:rsidP="00255CC4">
            <w:pPr>
              <w:rPr>
                <w:sz w:val="22"/>
                <w:szCs w:val="22"/>
              </w:rPr>
            </w:pPr>
          </w:p>
        </w:tc>
        <w:tc>
          <w:tcPr>
            <w:tcW w:w="1843" w:type="dxa"/>
            <w:noWrap/>
            <w:vAlign w:val="center"/>
            <w:hideMark/>
          </w:tcPr>
          <w:p w:rsidR="00255CC4" w:rsidRPr="00966F91" w:rsidRDefault="00255CC4" w:rsidP="00255CC4">
            <w:pPr>
              <w:rPr>
                <w:sz w:val="22"/>
                <w:szCs w:val="22"/>
              </w:rPr>
            </w:pPr>
            <w:r w:rsidRPr="00966F91">
              <w:rPr>
                <w:sz w:val="22"/>
                <w:szCs w:val="22"/>
              </w:rPr>
              <w:t>Sievietes</w:t>
            </w:r>
          </w:p>
        </w:tc>
        <w:tc>
          <w:tcPr>
            <w:tcW w:w="1134" w:type="dxa"/>
            <w:noWrap/>
            <w:vAlign w:val="center"/>
            <w:hideMark/>
          </w:tcPr>
          <w:p w:rsidR="00255CC4" w:rsidRPr="00966F91" w:rsidRDefault="00255CC4" w:rsidP="00255CC4">
            <w:pPr>
              <w:jc w:val="center"/>
              <w:rPr>
                <w:sz w:val="22"/>
                <w:szCs w:val="22"/>
              </w:rPr>
            </w:pPr>
            <w:r w:rsidRPr="00966F91">
              <w:rPr>
                <w:sz w:val="22"/>
                <w:szCs w:val="22"/>
              </w:rPr>
              <w:t>47,3</w:t>
            </w:r>
          </w:p>
        </w:tc>
        <w:tc>
          <w:tcPr>
            <w:tcW w:w="1134" w:type="dxa"/>
            <w:noWrap/>
            <w:vAlign w:val="center"/>
            <w:hideMark/>
          </w:tcPr>
          <w:p w:rsidR="00255CC4" w:rsidRPr="00966F91" w:rsidRDefault="00255CC4" w:rsidP="00255CC4">
            <w:pPr>
              <w:jc w:val="center"/>
              <w:rPr>
                <w:sz w:val="22"/>
                <w:szCs w:val="22"/>
              </w:rPr>
            </w:pPr>
            <w:r w:rsidRPr="00966F91">
              <w:rPr>
                <w:sz w:val="22"/>
                <w:szCs w:val="22"/>
              </w:rPr>
              <w:t>47,8</w:t>
            </w:r>
          </w:p>
        </w:tc>
        <w:tc>
          <w:tcPr>
            <w:tcW w:w="1134" w:type="dxa"/>
            <w:noWrap/>
            <w:vAlign w:val="center"/>
            <w:hideMark/>
          </w:tcPr>
          <w:p w:rsidR="00255CC4" w:rsidRPr="00966F91" w:rsidRDefault="00255CC4" w:rsidP="00255CC4">
            <w:pPr>
              <w:jc w:val="center"/>
              <w:rPr>
                <w:sz w:val="22"/>
                <w:szCs w:val="22"/>
              </w:rPr>
            </w:pPr>
            <w:r w:rsidRPr="00966F91">
              <w:rPr>
                <w:sz w:val="22"/>
                <w:szCs w:val="22"/>
              </w:rPr>
              <w:t>49,3</w:t>
            </w:r>
          </w:p>
        </w:tc>
      </w:tr>
    </w:tbl>
    <w:p w:rsidR="00255CC4" w:rsidRDefault="00255CC4" w:rsidP="00255CC4">
      <w:pPr>
        <w:spacing w:line="240" w:lineRule="auto"/>
        <w:rPr>
          <w:sz w:val="20"/>
          <w:szCs w:val="20"/>
        </w:rPr>
      </w:pPr>
      <w:r>
        <w:rPr>
          <w:sz w:val="20"/>
          <w:szCs w:val="20"/>
        </w:rPr>
        <w:t>Avots:</w:t>
      </w:r>
      <w:r w:rsidRPr="00844557">
        <w:rPr>
          <w:sz w:val="20"/>
          <w:szCs w:val="20"/>
        </w:rPr>
        <w:t xml:space="preserve"> CSP, „</w:t>
      </w:r>
      <w:r>
        <w:rPr>
          <w:sz w:val="20"/>
          <w:szCs w:val="20"/>
        </w:rPr>
        <w:t xml:space="preserve">NIG 180. </w:t>
      </w:r>
      <w:r w:rsidRPr="00844557">
        <w:rPr>
          <w:sz w:val="20"/>
          <w:szCs w:val="20"/>
        </w:rPr>
        <w:t>Iedzīvotāju īpatsvars, kuri pakļauti nabadzības riskam vai sociālai atstumtībai pēc vecuma un dzimuma (%)”</w:t>
      </w:r>
      <w:r>
        <w:rPr>
          <w:sz w:val="20"/>
          <w:szCs w:val="20"/>
        </w:rPr>
        <w:t xml:space="preserve">. </w:t>
      </w:r>
    </w:p>
    <w:p w:rsidR="00276521" w:rsidRDefault="00276521" w:rsidP="00255CC4">
      <w:pPr>
        <w:spacing w:line="240" w:lineRule="auto"/>
        <w:rPr>
          <w:sz w:val="20"/>
          <w:szCs w:val="20"/>
        </w:rPr>
      </w:pPr>
    </w:p>
    <w:p w:rsidR="00255CC4" w:rsidRDefault="00255CC4" w:rsidP="00255CC4">
      <w:r w:rsidRPr="00EA0927">
        <w:lastRenderedPageBreak/>
        <w:t xml:space="preserve">Īpaši </w:t>
      </w:r>
      <w:r>
        <w:t xml:space="preserve">nabadzības </w:t>
      </w:r>
      <w:r w:rsidRPr="00EA0927">
        <w:t xml:space="preserve">riskam </w:t>
      </w:r>
      <w:r>
        <w:t>vai sociālai atstumtībai šajā vecuma grupā ir pakļautas sievietes, kuru vidū 2016. g</w:t>
      </w:r>
      <w:r w:rsidRPr="00EA0927">
        <w:t>adā šis rādīt</w:t>
      </w:r>
      <w:r>
        <w:t>ājs bija 49,3%, kas ir par 16,6 procentpunktiem</w:t>
      </w:r>
      <w:r w:rsidRPr="00EA0927">
        <w:t xml:space="preserve"> augstāk</w:t>
      </w:r>
      <w:r>
        <w:t>s</w:t>
      </w:r>
      <w:r w:rsidRPr="00EA0927">
        <w:t xml:space="preserve"> nekā vīriešu </w:t>
      </w:r>
      <w:r>
        <w:t xml:space="preserve">mērķa grupas </w:t>
      </w:r>
      <w:r w:rsidRPr="00EA0927">
        <w:t xml:space="preserve">rādītājs </w:t>
      </w:r>
      <w:r>
        <w:t>tajā pašā vecuma grupā</w:t>
      </w:r>
      <w:r w:rsidRPr="00EA0927">
        <w:t>.</w:t>
      </w:r>
      <w:r>
        <w:t xml:space="preserve"> Izvērtējot šo rādītāju pārējās divās vecuma grupās, redzams, ka arī tajās augstākas vērtības ir tieši sieviešu vidū, taču jaunākajās grupās atšķirības sieviešu un vīriešu starpā nav tik izteiktas kā vecākajā grupā. Turklāt </w:t>
      </w:r>
      <w:r w:rsidRPr="000712E3">
        <w:rPr>
          <w:b/>
        </w:rPr>
        <w:t>jaunākajās vecuma grupās (0-17 un 18-64) nabadzības riskam vai sociālai atstumtībai pakļauto personu īpatsvaram ir tendence samazināties</w:t>
      </w:r>
      <w:r w:rsidRPr="000310C8">
        <w:t xml:space="preserve"> </w:t>
      </w:r>
      <w:r>
        <w:t>(</w:t>
      </w:r>
      <w:r w:rsidRPr="00EA0927">
        <w:t>visstraujāk vīriešiem, kuri jaunāki par 17 gadiem</w:t>
      </w:r>
      <w:r>
        <w:t xml:space="preserve"> (no 2014. gada līdz 2016. gadam tas ir krities par 8,2 procentpunktiem)), kamēr vecākajā grupā, ņemot vērā augstās rādītāja vērtības sieviešu grupā, kopējā tendence ir apgriezta - rādītājs, kaut arī lēni, tomēr stabili, </w:t>
      </w:r>
      <w:r w:rsidRPr="00EA0927">
        <w:t>pieaug</w:t>
      </w:r>
      <w:r>
        <w:t xml:space="preserve">. </w:t>
      </w:r>
    </w:p>
    <w:p w:rsidR="00276521" w:rsidRDefault="00276521" w:rsidP="00255CC4"/>
    <w:p w:rsidR="00255CC4" w:rsidRPr="00D3739C" w:rsidRDefault="00255CC4" w:rsidP="00F23726">
      <w:pPr>
        <w:pStyle w:val="Heading3"/>
      </w:pPr>
      <w:bookmarkStart w:id="361" w:name="_Toc6841562"/>
      <w:r w:rsidRPr="00D3739C">
        <w:t>Personu ar invaliditāti ienākumu raksturojums</w:t>
      </w:r>
      <w:bookmarkEnd w:id="361"/>
    </w:p>
    <w:p w:rsidR="00804489" w:rsidRDefault="00804489" w:rsidP="00804489">
      <w:r w:rsidRPr="00F30A2B">
        <w:t xml:space="preserve">Personu ar invaliditāti situācijas raksturojumam izmantoti divi datu avoti. VSAA administratīvie mikrodati ļauj analizēt personu ar invaliditāti ienākumu struktūru, savukārt EU-SILC dati par </w:t>
      </w:r>
      <w:r w:rsidR="00325ED7">
        <w:t xml:space="preserve">aptauju, kas veikta </w:t>
      </w:r>
      <w:r w:rsidRPr="00F30A2B">
        <w:t xml:space="preserve">2015. – 2017. </w:t>
      </w:r>
      <w:r w:rsidR="00325ED7">
        <w:t>g</w:t>
      </w:r>
      <w:r w:rsidRPr="00F30A2B">
        <w:t>ad</w:t>
      </w:r>
      <w:r w:rsidR="00325ED7">
        <w:t>ā un</w:t>
      </w:r>
      <w:r w:rsidRPr="00F30A2B">
        <w:t xml:space="preserve"> ļauj raksturot personu ar ilgstošu slimību mājsaimniecību kompozīciju un portretu. </w:t>
      </w:r>
      <w:r w:rsidRPr="00FA3F52">
        <w:t xml:space="preserve">EU-SILC datos ar </w:t>
      </w:r>
      <w:r>
        <w:t>personu ar ilgstošu slimību</w:t>
      </w:r>
      <w:r w:rsidRPr="00FA3F52">
        <w:t xml:space="preserve"> tiek saprasts cilvēks, kurš, balstoties uz savu pašvērtējumu, ir norādījis, ka viņam ir grūtības veikt pašaprūpi un ikdienas pienākumus u.tml. Tas nozīmē, ka </w:t>
      </w:r>
      <w:r>
        <w:t>šī personas</w:t>
      </w:r>
      <w:r w:rsidRPr="00FA3F52">
        <w:t xml:space="preserve"> definīcija EU-SILC datos nesakrīt ar Latvijas </w:t>
      </w:r>
      <w:r>
        <w:t>tiesību aktos</w:t>
      </w:r>
      <w:r w:rsidRPr="00FA3F52">
        <w:t xml:space="preserve"> de</w:t>
      </w:r>
      <w:r>
        <w:t>finēto invaliditātes definīciju, tādējādi EU-SILC dati ir izmantojami vispārējam ieskatam, kādās mājsaimniecībās parasti dzīvo cilvēki par ilgstošu slimību. Apkopojot</w:t>
      </w:r>
      <w:r w:rsidRPr="00F30A2B">
        <w:t xml:space="preserve"> trīs gados veiktā apsekojuma rezultātus, redzams, ka parasti šīs mērķa grupas cilvēki ir personas, kuras dzīvo dzīvoklī, kas atrodas daudzdzīvokļu mājā</w:t>
      </w:r>
      <w:r>
        <w:t>, kurā ir 10 vai vairāk dzīvokļu</w:t>
      </w:r>
      <w:r w:rsidRPr="00F30A2B">
        <w:t>. Dzīvoklis pieder mājsaimniecības loceklim, un par to netiek maksāts hipotekārais kredīts. Šī persona nestrādā un galvenos ienākumus gūst no pabalstiem. Ienākumu faktors ievieto šīs personas mājsaimniecību 1. kvintiļu grupā, kur tā ir pakļauta materiālajai nenodrošinātībai.</w:t>
      </w:r>
    </w:p>
    <w:p w:rsidR="00804489" w:rsidRDefault="00804489" w:rsidP="00804489"/>
    <w:p w:rsidR="00804489" w:rsidRDefault="00804489" w:rsidP="00804489">
      <w:r>
        <w:t>Dati par</w:t>
      </w:r>
      <w:r w:rsidRPr="00372177">
        <w:t xml:space="preserve"> </w:t>
      </w:r>
      <w:r>
        <w:t>p</w:t>
      </w:r>
      <w:r w:rsidRPr="00372177">
        <w:t>erson</w:t>
      </w:r>
      <w:r>
        <w:t>ām ar invaliditāti</w:t>
      </w:r>
      <w:r w:rsidRPr="00372177">
        <w:t>, kuras ir VSAA uzskaitē kā sociālās apdrošināšanas un sociālo pakalpojumu saņēmējas</w:t>
      </w:r>
      <w:r>
        <w:t xml:space="preserve"> (VSAA </w:t>
      </w:r>
      <w:r w:rsidRPr="00372177">
        <w:t>administratīvie mikrodati</w:t>
      </w:r>
      <w:r>
        <w:t>)</w:t>
      </w:r>
      <w:r w:rsidRPr="00372177">
        <w:t xml:space="preserve"> ļauj analizēt personu ar invaliditāti ienākumu struktūru</w:t>
      </w:r>
      <w:r w:rsidR="00B5114A">
        <w:t>, aplūkojot tās tikai kā atsevišķas personas, nevis kā noteiktu mājsaimniecību locekļus</w:t>
      </w:r>
      <w:r>
        <w:t>. Izvērtējumam pieejamie dati iekļauj informāciju par visām personām, sākot no 16 gadu vecuma, kurām attiecīgā gada ietvaros kaut vienu mēnesi ir noteikta invaliditāte (un piešķirta invaliditātes grupa) un kuras 2014., 2015., 2016. un 2017. gada ietvaros pilnu vai nepilnu periodu (visa gada garumā vai noteiktu mēnešu skaitu) ir saņēmušas kādu no turpmāk minētajiem ienākumu veidiem:</w:t>
      </w:r>
    </w:p>
    <w:p w:rsidR="00804489" w:rsidRPr="00EB1E2B" w:rsidRDefault="00804489" w:rsidP="00804489">
      <w:pPr>
        <w:pStyle w:val="ListParagraph"/>
        <w:numPr>
          <w:ilvl w:val="0"/>
          <w:numId w:val="175"/>
        </w:numPr>
        <w:spacing w:line="276" w:lineRule="auto"/>
        <w:jc w:val="both"/>
      </w:pPr>
      <w:r w:rsidRPr="00EB1E2B">
        <w:t>vecuma pensija;</w:t>
      </w:r>
    </w:p>
    <w:p w:rsidR="00804489" w:rsidRPr="00EB1E2B" w:rsidRDefault="00804489" w:rsidP="00804489">
      <w:pPr>
        <w:pStyle w:val="ListParagraph"/>
        <w:numPr>
          <w:ilvl w:val="0"/>
          <w:numId w:val="175"/>
        </w:numPr>
        <w:spacing w:line="276" w:lineRule="auto"/>
        <w:jc w:val="both"/>
      </w:pPr>
      <w:r w:rsidRPr="00EB1E2B">
        <w:t>invaliditātes pensija;</w:t>
      </w:r>
    </w:p>
    <w:p w:rsidR="00804489" w:rsidRPr="00EB1E2B" w:rsidRDefault="00804489" w:rsidP="00804489">
      <w:pPr>
        <w:pStyle w:val="ListParagraph"/>
        <w:numPr>
          <w:ilvl w:val="0"/>
          <w:numId w:val="175"/>
        </w:numPr>
        <w:spacing w:line="276" w:lineRule="auto"/>
        <w:jc w:val="both"/>
      </w:pPr>
      <w:r w:rsidRPr="00EB1E2B">
        <w:t>apgādnieka zaudējuma pensija;</w:t>
      </w:r>
    </w:p>
    <w:p w:rsidR="00804489" w:rsidRPr="00EB1E2B" w:rsidRDefault="00804489" w:rsidP="00804489">
      <w:pPr>
        <w:pStyle w:val="ListParagraph"/>
        <w:numPr>
          <w:ilvl w:val="0"/>
          <w:numId w:val="175"/>
        </w:numPr>
        <w:spacing w:line="276" w:lineRule="auto"/>
        <w:jc w:val="both"/>
      </w:pPr>
      <w:r w:rsidRPr="00EB1E2B">
        <w:t>izdienas pensija;</w:t>
      </w:r>
    </w:p>
    <w:p w:rsidR="00804489" w:rsidRPr="00EB1E2B" w:rsidRDefault="00804489" w:rsidP="00804489">
      <w:pPr>
        <w:pStyle w:val="ListParagraph"/>
        <w:numPr>
          <w:ilvl w:val="0"/>
          <w:numId w:val="175"/>
        </w:numPr>
        <w:spacing w:line="276" w:lineRule="auto"/>
        <w:jc w:val="both"/>
      </w:pPr>
      <w:r w:rsidRPr="00EB1E2B">
        <w:t>valsts sociālā nodrošinājuma pabalsts;</w:t>
      </w:r>
    </w:p>
    <w:p w:rsidR="00804489" w:rsidRPr="00EB1E2B" w:rsidRDefault="00804489" w:rsidP="00804489">
      <w:pPr>
        <w:pStyle w:val="ListParagraph"/>
        <w:numPr>
          <w:ilvl w:val="0"/>
          <w:numId w:val="175"/>
        </w:numPr>
        <w:spacing w:line="276" w:lineRule="auto"/>
        <w:jc w:val="both"/>
      </w:pPr>
      <w:r w:rsidRPr="00EB1E2B">
        <w:t>apdrošināšanas atlīdzība sakarā ar nelaimes gadījumu darbā vai arodslimību;</w:t>
      </w:r>
    </w:p>
    <w:p w:rsidR="00804489" w:rsidRPr="00EB1E2B" w:rsidRDefault="00917A17" w:rsidP="00804489">
      <w:pPr>
        <w:pStyle w:val="ListParagraph"/>
        <w:numPr>
          <w:ilvl w:val="0"/>
          <w:numId w:val="175"/>
        </w:numPr>
        <w:spacing w:line="276" w:lineRule="auto"/>
        <w:jc w:val="both"/>
      </w:pPr>
      <w:r>
        <w:t>personas ar invaliditāti</w:t>
      </w:r>
      <w:r w:rsidR="00930F64">
        <w:t xml:space="preserve"> īpašas</w:t>
      </w:r>
      <w:r w:rsidR="00804489" w:rsidRPr="00EB1E2B">
        <w:t xml:space="preserve"> kopšanas pabalsts;</w:t>
      </w:r>
    </w:p>
    <w:p w:rsidR="00804489" w:rsidRPr="00EB1E2B" w:rsidRDefault="00804489" w:rsidP="00804489">
      <w:pPr>
        <w:pStyle w:val="ListParagraph"/>
        <w:numPr>
          <w:ilvl w:val="0"/>
          <w:numId w:val="175"/>
        </w:numPr>
        <w:spacing w:line="276" w:lineRule="auto"/>
        <w:jc w:val="both"/>
      </w:pPr>
      <w:r w:rsidRPr="00EB1E2B">
        <w:t>transporta kompensācija;</w:t>
      </w:r>
    </w:p>
    <w:p w:rsidR="00804489" w:rsidRPr="00EB1E2B" w:rsidRDefault="00804489" w:rsidP="00804489">
      <w:pPr>
        <w:pStyle w:val="ListParagraph"/>
        <w:numPr>
          <w:ilvl w:val="0"/>
          <w:numId w:val="175"/>
        </w:numPr>
        <w:spacing w:line="276" w:lineRule="auto"/>
        <w:jc w:val="both"/>
      </w:pPr>
      <w:r w:rsidRPr="00EB1E2B">
        <w:t>kaitējuma atlīdzība un valsts sociālais pabalsts ČAES seku likvidēšanas dalībniekiem;</w:t>
      </w:r>
    </w:p>
    <w:p w:rsidR="00804489" w:rsidRPr="00EB1E2B" w:rsidRDefault="00804489" w:rsidP="00804489">
      <w:pPr>
        <w:pStyle w:val="ListParagraph"/>
        <w:numPr>
          <w:ilvl w:val="0"/>
          <w:numId w:val="175"/>
        </w:numPr>
        <w:spacing w:line="276" w:lineRule="auto"/>
        <w:jc w:val="both"/>
      </w:pPr>
      <w:r w:rsidRPr="00EB1E2B">
        <w:lastRenderedPageBreak/>
        <w:t>bezdarbnieka pabalsts;</w:t>
      </w:r>
    </w:p>
    <w:p w:rsidR="00804489" w:rsidRPr="00EB1E2B" w:rsidRDefault="00804489" w:rsidP="00804489">
      <w:pPr>
        <w:pStyle w:val="ListParagraph"/>
        <w:numPr>
          <w:ilvl w:val="0"/>
          <w:numId w:val="175"/>
        </w:numPr>
        <w:spacing w:line="276" w:lineRule="auto"/>
        <w:jc w:val="both"/>
      </w:pPr>
      <w:r w:rsidRPr="00EB1E2B">
        <w:t>slimības pabalsts;</w:t>
      </w:r>
    </w:p>
    <w:p w:rsidR="00804489" w:rsidRPr="00EB1E2B" w:rsidRDefault="00804489" w:rsidP="00804489">
      <w:pPr>
        <w:pStyle w:val="ListParagraph"/>
        <w:numPr>
          <w:ilvl w:val="0"/>
          <w:numId w:val="175"/>
        </w:numPr>
        <w:spacing w:line="276" w:lineRule="auto"/>
        <w:jc w:val="both"/>
      </w:pPr>
      <w:r w:rsidRPr="00EB1E2B">
        <w:t>papildus izdevumi saistībā ar nelaimes gadījumu darbā vai arodslimību;</w:t>
      </w:r>
    </w:p>
    <w:p w:rsidR="00804489" w:rsidRPr="0026301C" w:rsidRDefault="00804489" w:rsidP="00804489">
      <w:pPr>
        <w:pStyle w:val="ListParagraph"/>
        <w:numPr>
          <w:ilvl w:val="0"/>
          <w:numId w:val="175"/>
        </w:numPr>
        <w:spacing w:line="276" w:lineRule="auto"/>
        <w:jc w:val="both"/>
      </w:pPr>
      <w:r w:rsidRPr="0026301C">
        <w:t>pabalsts par asistenta izmantošanu personām ar I grupas redzes invaliditāti (sākot no 2015. gada datiem).</w:t>
      </w:r>
    </w:p>
    <w:p w:rsidR="00804489" w:rsidRDefault="00804489" w:rsidP="00804489"/>
    <w:p w:rsidR="00804489" w:rsidRDefault="00804489" w:rsidP="00804489">
      <w:r>
        <w:t>Iepriekš minēto ienākumu veidu saraksts parāda, ka personu ar invaliditāti gadījumā tiek aplūkotas visas personas – gan darbspējas vecumā, gan vecuma pensijas vecumu sasniegušās (un saņēmušās) personas. Papildus tam par katru personu ir pieejama informācija, vai tai attiecīgā gada ietvaros ir bijuši ienākumi no algota darba vai saimnieciskās darbības, ļaujot noteikt kopējo katras personas ienākumu līmeni, ja gada ietvaros vismaz mēnesi tai ir bijusi piešķirta invaliditāte.</w:t>
      </w:r>
      <w:r w:rsidR="00B5114A">
        <w:t xml:space="preserve"> Vienlaikus jānorāda, ka analizētie ienākumi neaptver visus personu ar invaliditāti potenciālos ienākumus, proti, pašvaldību sniegtais atbalsts šajā nodaļā netiek apskatīts to atšķirīgās uzkrāšanas un pieejamības dēļ.</w:t>
      </w:r>
    </w:p>
    <w:p w:rsidR="00804489" w:rsidRDefault="00804489" w:rsidP="00804489"/>
    <w:p w:rsidR="00804489" w:rsidRDefault="00804489" w:rsidP="00804489">
      <w:r>
        <w:t xml:space="preserve">Informācija par katru VSAA pakalpojuma saņēmēju ir pieejama dalījumā pēc invaliditātes grupas un funkcionālo traucējumu veida. Piešķirtā invaliditātes grupa gada ietvaros var mainīties. </w:t>
      </w:r>
      <w:r w:rsidRPr="005A6B9D">
        <w:t>Funkcionālo traucējumu veids tiek noteikts pēc slimību un veselības problēmu klasifikatora (SSK-10)</w:t>
      </w:r>
      <w:r>
        <w:t>, izvērtējuma ietvaros ir izmantots iedalījums sešās grupās – redzes, dzirdes, kustību, garīg</w:t>
      </w:r>
      <w:r w:rsidR="007A263A">
        <w:t>a rakstura</w:t>
      </w:r>
      <w:r>
        <w:t xml:space="preserve"> un citi traucējumi, kā arī „nav zināms traucējumu veids</w:t>
      </w:r>
      <w:r w:rsidR="00B5114A">
        <w:t>”</w:t>
      </w:r>
      <w:r>
        <w:t>, kas iespējams gadījumos, kad personai invaliditāte uz mūžu ir noteikta līdz 20</w:t>
      </w:r>
      <w:r w:rsidR="00DF3D81">
        <w:t>12</w:t>
      </w:r>
      <w:r>
        <w:t xml:space="preserve">. </w:t>
      </w:r>
      <w:r w:rsidR="00B5114A">
        <w:t>g</w:t>
      </w:r>
      <w:r>
        <w:t>adam</w:t>
      </w:r>
      <w:r w:rsidR="00297B78">
        <w:t xml:space="preserve"> un tā nav vērsusies </w:t>
      </w:r>
      <w:r w:rsidR="007A263A">
        <w:t xml:space="preserve">VDEĀVK atkārtotas invaliditātes ekspertīzes veikšanai </w:t>
      </w:r>
      <w:r w:rsidR="00297B78">
        <w:t xml:space="preserve">(informāciju par funkcionālā traucējuma veidu </w:t>
      </w:r>
      <w:r w:rsidR="007A263A">
        <w:t xml:space="preserve">VDEĀVK </w:t>
      </w:r>
      <w:r w:rsidR="00297B78">
        <w:t>sāk</w:t>
      </w:r>
      <w:r w:rsidR="007A263A">
        <w:t>a</w:t>
      </w:r>
      <w:r w:rsidR="00297B78">
        <w:t xml:space="preserve"> uzkrāt 2012.gad</w:t>
      </w:r>
      <w:r w:rsidR="007A263A">
        <w:t>ā</w:t>
      </w:r>
      <w:r w:rsidR="00297B78">
        <w:t>)</w:t>
      </w:r>
      <w:r>
        <w:t>. Jāņem vērā, ka personai vienlaicīgi var būt vairāki funkcionālie traucējumi. Minētie apstākļi ietekmē veikto datu analīzi tādējādi, ka katra persona ar invaliditāti nav iekļaujama ekskluzīvi tikai vienā analizējamā apakšgrupā. Līdz ar to, apskatot personu ar invaliditāti summāro skaitu dažādās apakšgrupās, tas var pārsniegt kopējo personu ar invaliditāti skaitu.</w:t>
      </w:r>
    </w:p>
    <w:p w:rsidR="00804489" w:rsidRDefault="00804489" w:rsidP="00804489"/>
    <w:p w:rsidR="00804489" w:rsidRDefault="00804489" w:rsidP="00804489">
      <w:r>
        <w:t xml:space="preserve">Tā kā personu ar invaliditāti ienākumus (t.sk. saņemtos </w:t>
      </w:r>
      <w:r w:rsidRPr="00372177">
        <w:t>sociālās apdrošināšanas un sociālo pakalpojumu</w:t>
      </w:r>
      <w:r>
        <w:t xml:space="preserve">s) daļēji ietekmē invaliditātes grupa un funkcionālo traucējumu veids, no kuriem izriet personas vajadzības pēc specifiskiem pakalpojumiem (piemēram, transporta, asistenta) un iespējas </w:t>
      </w:r>
      <w:r w:rsidRPr="001703BC">
        <w:t>gūt ienākumus no algota darba vai saimnieciskās darbības, 1.</w:t>
      </w:r>
      <w:r w:rsidR="00761553">
        <w:t>41</w:t>
      </w:r>
      <w:r w:rsidRPr="001703BC">
        <w:t>. tabulā ir sniegts personu, kurām</w:t>
      </w:r>
      <w:r>
        <w:t xml:space="preserve"> vismaz vienu mēnesi gadā ir bijuši piešķirta invaliditāte, skaitliskais raksturojums 2014. – 2017. gadā, savukārt 1.36. un 1.37. attēlā – īpatsvars procentos dalījumā pēc invaliditātes grupas un funkcionālo traucējumu veida. </w:t>
      </w:r>
    </w:p>
    <w:p w:rsidR="00804489" w:rsidRDefault="00804489" w:rsidP="00804489"/>
    <w:p w:rsidR="00804489" w:rsidRDefault="00804489" w:rsidP="00804489">
      <w:r>
        <w:t>Kopumā redzams, ka personu ar invaliditāti skaits 2014. – 2017. gada posmā ir pieaudzis (</w:t>
      </w:r>
      <w:r w:rsidRPr="00DD0DA5">
        <w:t>1.</w:t>
      </w:r>
      <w:r w:rsidR="00A02780" w:rsidRPr="00DD0DA5">
        <w:t>4</w:t>
      </w:r>
      <w:r w:rsidR="00761553" w:rsidRPr="00DD0DA5">
        <w:t>1</w:t>
      </w:r>
      <w:r w:rsidRPr="00DD0DA5">
        <w:t>.</w:t>
      </w:r>
      <w:r>
        <w:t xml:space="preserve"> tabula), īpatsvars dalījumā pēc invaliditātes grupas un funkcionālo traucējumu veida, ņemot vērā personu ar invaliditāti kopskaitu, ir samērā stabils (1.36. un 1.37. attēls). Personu ar invaliditāti kopskaits pieaug tādējādi, ka 2014. gadā VSAA uzskaitē bija 170 276 unikālās </w:t>
      </w:r>
      <w:r w:rsidR="00DB37AA">
        <w:t>personas ar invaliditāti, t.sk.</w:t>
      </w:r>
      <w:r>
        <w:t xml:space="preserve"> personas, kas invaliditāti saņēmušas uz noteiktu mēnešu skaitu</w:t>
      </w:r>
      <w:r w:rsidR="00DB37AA">
        <w:t>,</w:t>
      </w:r>
      <w:r>
        <w:t xml:space="preserve"> un vecuma pensijas saņēmēj</w:t>
      </w:r>
      <w:r w:rsidR="00DB37AA">
        <w:t>i</w:t>
      </w:r>
      <w:r>
        <w:t>, 2015. gadā – 176 329 personas, 2016. gadā – 183 322 personas un 2017. gadā – 188 805 personas, t.i., laika posmā no 2014. līdz 2017. gadam unikālo personu ar invaliditāti skaits, kas bijušas VSAA uzskaitē ir pieaudzis par 10,9%.</w:t>
      </w:r>
    </w:p>
    <w:p w:rsidR="00804489" w:rsidRPr="005A6B9D" w:rsidRDefault="00804489" w:rsidP="00804489"/>
    <w:p w:rsidR="008C60A0" w:rsidRDefault="008C60A0">
      <w:pPr>
        <w:spacing w:line="240" w:lineRule="auto"/>
        <w:jc w:val="left"/>
        <w:rPr>
          <w:b/>
          <w:bCs/>
          <w:color w:val="244061" w:themeColor="accent1" w:themeShade="80"/>
          <w:szCs w:val="18"/>
        </w:rPr>
      </w:pPr>
      <w:r>
        <w:br w:type="page"/>
      </w:r>
    </w:p>
    <w:p w:rsidR="00804489" w:rsidRDefault="00804489" w:rsidP="000A7157">
      <w:pPr>
        <w:pStyle w:val="Caption"/>
      </w:pPr>
      <w:r w:rsidRPr="00AC6289">
        <w:lastRenderedPageBreak/>
        <w:t>1.</w:t>
      </w:r>
      <w:r w:rsidR="00761553">
        <w:t>4</w:t>
      </w:r>
      <w:bookmarkStart w:id="362" w:name="_GoBack"/>
      <w:bookmarkEnd w:id="362"/>
      <w:r w:rsidR="00761553">
        <w:t>1</w:t>
      </w:r>
      <w:r w:rsidRPr="00AC6289">
        <w:t>. tabula. VSAA uzskaitē esošās personas ar invaliditāti – sociālās apdrošināšanas un sociālo pakalpojumu saņēmējas – dalījumā pēc traucējuma veida un invaliditātes grupas (skaits) 2014. – 2017. gadā</w:t>
      </w:r>
    </w:p>
    <w:tbl>
      <w:tblPr>
        <w:tblStyle w:val="TableGrid"/>
        <w:tblW w:w="0" w:type="auto"/>
        <w:tblLook w:val="04A0"/>
      </w:tblPr>
      <w:tblGrid>
        <w:gridCol w:w="3227"/>
        <w:gridCol w:w="1683"/>
        <w:gridCol w:w="1684"/>
        <w:gridCol w:w="1684"/>
        <w:gridCol w:w="1684"/>
      </w:tblGrid>
      <w:tr w:rsidR="00804489" w:rsidRPr="006106B3" w:rsidTr="006106B3">
        <w:tc>
          <w:tcPr>
            <w:tcW w:w="3227" w:type="dxa"/>
            <w:shd w:val="clear" w:color="auto" w:fill="B8CCE4" w:themeFill="accent1" w:themeFillTint="66"/>
          </w:tcPr>
          <w:p w:rsidR="00804489" w:rsidRPr="006106B3" w:rsidRDefault="006106B3" w:rsidP="00804489">
            <w:pPr>
              <w:rPr>
                <w:b/>
                <w:color w:val="002060"/>
                <w:sz w:val="22"/>
                <w:szCs w:val="22"/>
              </w:rPr>
            </w:pPr>
            <w:r w:rsidRPr="006106B3">
              <w:rPr>
                <w:b/>
                <w:color w:val="002060"/>
                <w:sz w:val="22"/>
                <w:szCs w:val="22"/>
              </w:rPr>
              <w:t>Gads/ Traucējuma veids</w:t>
            </w:r>
          </w:p>
        </w:tc>
        <w:tc>
          <w:tcPr>
            <w:tcW w:w="1683" w:type="dxa"/>
            <w:shd w:val="clear" w:color="auto" w:fill="B8CCE4" w:themeFill="accent1" w:themeFillTint="66"/>
          </w:tcPr>
          <w:p w:rsidR="00804489" w:rsidRPr="006106B3" w:rsidRDefault="00804489" w:rsidP="00804489">
            <w:pPr>
              <w:jc w:val="center"/>
              <w:rPr>
                <w:b/>
                <w:color w:val="002060"/>
                <w:sz w:val="22"/>
                <w:szCs w:val="22"/>
              </w:rPr>
            </w:pPr>
            <w:r w:rsidRPr="006106B3">
              <w:rPr>
                <w:b/>
                <w:color w:val="002060"/>
                <w:sz w:val="22"/>
                <w:szCs w:val="22"/>
              </w:rPr>
              <w:t>I grupa</w:t>
            </w:r>
          </w:p>
        </w:tc>
        <w:tc>
          <w:tcPr>
            <w:tcW w:w="1684" w:type="dxa"/>
            <w:shd w:val="clear" w:color="auto" w:fill="B8CCE4" w:themeFill="accent1" w:themeFillTint="66"/>
          </w:tcPr>
          <w:p w:rsidR="00804489" w:rsidRPr="006106B3" w:rsidRDefault="00804489" w:rsidP="00804489">
            <w:pPr>
              <w:jc w:val="center"/>
              <w:rPr>
                <w:b/>
                <w:color w:val="002060"/>
                <w:sz w:val="22"/>
                <w:szCs w:val="22"/>
              </w:rPr>
            </w:pPr>
            <w:r w:rsidRPr="006106B3">
              <w:rPr>
                <w:b/>
                <w:color w:val="002060"/>
                <w:sz w:val="22"/>
                <w:szCs w:val="22"/>
              </w:rPr>
              <w:t>II grupa</w:t>
            </w:r>
          </w:p>
        </w:tc>
        <w:tc>
          <w:tcPr>
            <w:tcW w:w="1684" w:type="dxa"/>
            <w:shd w:val="clear" w:color="auto" w:fill="B8CCE4" w:themeFill="accent1" w:themeFillTint="66"/>
          </w:tcPr>
          <w:p w:rsidR="00804489" w:rsidRPr="006106B3" w:rsidRDefault="00804489" w:rsidP="00804489">
            <w:pPr>
              <w:jc w:val="center"/>
              <w:rPr>
                <w:b/>
                <w:color w:val="002060"/>
                <w:sz w:val="22"/>
                <w:szCs w:val="22"/>
              </w:rPr>
            </w:pPr>
            <w:r w:rsidRPr="006106B3">
              <w:rPr>
                <w:b/>
                <w:color w:val="002060"/>
                <w:sz w:val="22"/>
                <w:szCs w:val="22"/>
              </w:rPr>
              <w:t>III grupa</w:t>
            </w:r>
          </w:p>
        </w:tc>
        <w:tc>
          <w:tcPr>
            <w:tcW w:w="1684" w:type="dxa"/>
            <w:shd w:val="clear" w:color="auto" w:fill="B8CCE4" w:themeFill="accent1" w:themeFillTint="66"/>
          </w:tcPr>
          <w:p w:rsidR="00804489" w:rsidRPr="006106B3" w:rsidRDefault="00804489" w:rsidP="00804489">
            <w:pPr>
              <w:jc w:val="center"/>
              <w:rPr>
                <w:b/>
                <w:color w:val="002060"/>
                <w:sz w:val="22"/>
                <w:szCs w:val="22"/>
              </w:rPr>
            </w:pPr>
            <w:r w:rsidRPr="006106B3">
              <w:rPr>
                <w:b/>
                <w:color w:val="002060"/>
                <w:sz w:val="22"/>
                <w:szCs w:val="22"/>
              </w:rPr>
              <w:t>KOPĀ</w:t>
            </w:r>
          </w:p>
        </w:tc>
      </w:tr>
      <w:tr w:rsidR="00804489" w:rsidRPr="00804489" w:rsidTr="00804489">
        <w:tc>
          <w:tcPr>
            <w:tcW w:w="3227" w:type="dxa"/>
          </w:tcPr>
          <w:p w:rsidR="00804489" w:rsidRPr="00804489" w:rsidRDefault="00804489" w:rsidP="00804489">
            <w:pPr>
              <w:rPr>
                <w:b/>
                <w:sz w:val="22"/>
                <w:szCs w:val="22"/>
              </w:rPr>
            </w:pPr>
            <w:r w:rsidRPr="00804489">
              <w:rPr>
                <w:b/>
                <w:sz w:val="22"/>
                <w:szCs w:val="22"/>
              </w:rPr>
              <w:t>2014</w:t>
            </w:r>
          </w:p>
        </w:tc>
        <w:tc>
          <w:tcPr>
            <w:tcW w:w="1683" w:type="dxa"/>
          </w:tcPr>
          <w:p w:rsidR="00804489" w:rsidRPr="00804489" w:rsidRDefault="00804489" w:rsidP="00804489">
            <w:pPr>
              <w:rPr>
                <w:sz w:val="22"/>
                <w:szCs w:val="22"/>
              </w:rPr>
            </w:pPr>
          </w:p>
        </w:tc>
        <w:tc>
          <w:tcPr>
            <w:tcW w:w="1684" w:type="dxa"/>
          </w:tcPr>
          <w:p w:rsidR="00804489" w:rsidRPr="00804489" w:rsidRDefault="00804489" w:rsidP="00804489">
            <w:pPr>
              <w:rPr>
                <w:sz w:val="22"/>
                <w:szCs w:val="22"/>
              </w:rPr>
            </w:pPr>
          </w:p>
        </w:tc>
        <w:tc>
          <w:tcPr>
            <w:tcW w:w="1684" w:type="dxa"/>
          </w:tcPr>
          <w:p w:rsidR="00804489" w:rsidRPr="00804489" w:rsidRDefault="00804489" w:rsidP="00804489">
            <w:pPr>
              <w:rPr>
                <w:sz w:val="22"/>
                <w:szCs w:val="22"/>
              </w:rPr>
            </w:pPr>
          </w:p>
        </w:tc>
        <w:tc>
          <w:tcPr>
            <w:tcW w:w="1684" w:type="dxa"/>
          </w:tcPr>
          <w:p w:rsidR="00804489" w:rsidRPr="00804489" w:rsidRDefault="00804489" w:rsidP="00804489">
            <w:pPr>
              <w:rPr>
                <w:sz w:val="22"/>
                <w:szCs w:val="22"/>
              </w:rPr>
            </w:pPr>
          </w:p>
        </w:tc>
      </w:tr>
      <w:tr w:rsidR="00804489" w:rsidRPr="00804489" w:rsidTr="00804489">
        <w:tc>
          <w:tcPr>
            <w:tcW w:w="3227" w:type="dxa"/>
          </w:tcPr>
          <w:p w:rsidR="00804489" w:rsidRPr="00804489" w:rsidRDefault="00804489" w:rsidP="00804489">
            <w:pPr>
              <w:rPr>
                <w:sz w:val="22"/>
                <w:szCs w:val="22"/>
              </w:rPr>
            </w:pPr>
            <w:r w:rsidRPr="00804489">
              <w:rPr>
                <w:sz w:val="22"/>
                <w:szCs w:val="22"/>
              </w:rPr>
              <w:t>Kopā</w:t>
            </w:r>
          </w:p>
        </w:tc>
        <w:tc>
          <w:tcPr>
            <w:tcW w:w="1683" w:type="dxa"/>
          </w:tcPr>
          <w:p w:rsidR="00804489" w:rsidRPr="00804489" w:rsidRDefault="00804489" w:rsidP="00804489">
            <w:pPr>
              <w:jc w:val="center"/>
              <w:rPr>
                <w:color w:val="000000"/>
                <w:sz w:val="22"/>
                <w:szCs w:val="22"/>
              </w:rPr>
            </w:pPr>
            <w:r w:rsidRPr="00804489">
              <w:rPr>
                <w:color w:val="000000"/>
                <w:sz w:val="22"/>
                <w:szCs w:val="22"/>
              </w:rPr>
              <w:t>26 956</w:t>
            </w:r>
          </w:p>
        </w:tc>
        <w:tc>
          <w:tcPr>
            <w:tcW w:w="1684" w:type="dxa"/>
          </w:tcPr>
          <w:p w:rsidR="00804489" w:rsidRPr="00804489" w:rsidRDefault="00804489" w:rsidP="00804489">
            <w:pPr>
              <w:jc w:val="center"/>
              <w:rPr>
                <w:color w:val="000000"/>
                <w:sz w:val="22"/>
                <w:szCs w:val="22"/>
              </w:rPr>
            </w:pPr>
            <w:r w:rsidRPr="00804489">
              <w:rPr>
                <w:color w:val="000000"/>
                <w:sz w:val="22"/>
                <w:szCs w:val="22"/>
              </w:rPr>
              <w:t>84 836</w:t>
            </w:r>
          </w:p>
        </w:tc>
        <w:tc>
          <w:tcPr>
            <w:tcW w:w="1684" w:type="dxa"/>
          </w:tcPr>
          <w:p w:rsidR="00804489" w:rsidRPr="00804489" w:rsidRDefault="00804489" w:rsidP="00804489">
            <w:pPr>
              <w:jc w:val="center"/>
              <w:rPr>
                <w:color w:val="000000"/>
                <w:sz w:val="22"/>
                <w:szCs w:val="22"/>
              </w:rPr>
            </w:pPr>
            <w:r w:rsidRPr="00804489">
              <w:rPr>
                <w:color w:val="000000"/>
                <w:sz w:val="22"/>
                <w:szCs w:val="22"/>
              </w:rPr>
              <w:t>64 068</w:t>
            </w:r>
          </w:p>
        </w:tc>
        <w:tc>
          <w:tcPr>
            <w:tcW w:w="1684" w:type="dxa"/>
          </w:tcPr>
          <w:p w:rsidR="00804489" w:rsidRPr="00804489" w:rsidRDefault="00804489" w:rsidP="00804489">
            <w:pPr>
              <w:jc w:val="center"/>
              <w:rPr>
                <w:color w:val="000000"/>
                <w:sz w:val="22"/>
                <w:szCs w:val="22"/>
              </w:rPr>
            </w:pPr>
            <w:r w:rsidRPr="00804489">
              <w:rPr>
                <w:color w:val="000000"/>
                <w:sz w:val="22"/>
                <w:szCs w:val="22"/>
              </w:rPr>
              <w:t>170 276</w:t>
            </w:r>
          </w:p>
        </w:tc>
      </w:tr>
      <w:tr w:rsidR="00804489" w:rsidRPr="00804489" w:rsidTr="00804489">
        <w:tc>
          <w:tcPr>
            <w:tcW w:w="3227" w:type="dxa"/>
          </w:tcPr>
          <w:p w:rsidR="00804489" w:rsidRPr="00804489" w:rsidRDefault="00804489" w:rsidP="00804489">
            <w:pPr>
              <w:rPr>
                <w:sz w:val="22"/>
                <w:szCs w:val="22"/>
              </w:rPr>
            </w:pPr>
            <w:r w:rsidRPr="00804489">
              <w:rPr>
                <w:sz w:val="22"/>
                <w:szCs w:val="22"/>
              </w:rPr>
              <w:t>Redzes traucējumi</w:t>
            </w:r>
          </w:p>
        </w:tc>
        <w:tc>
          <w:tcPr>
            <w:tcW w:w="1683" w:type="dxa"/>
            <w:vAlign w:val="bottom"/>
          </w:tcPr>
          <w:p w:rsidR="00804489" w:rsidRPr="00804489" w:rsidRDefault="00804489" w:rsidP="00804489">
            <w:pPr>
              <w:jc w:val="center"/>
              <w:rPr>
                <w:color w:val="000000"/>
                <w:sz w:val="22"/>
                <w:szCs w:val="22"/>
              </w:rPr>
            </w:pPr>
            <w:r w:rsidRPr="00804489">
              <w:rPr>
                <w:color w:val="000000"/>
                <w:sz w:val="22"/>
                <w:szCs w:val="22"/>
              </w:rPr>
              <w:t>2 565</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2 303</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3 728</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8 216</w:t>
            </w:r>
          </w:p>
        </w:tc>
      </w:tr>
      <w:tr w:rsidR="00804489" w:rsidRPr="00804489" w:rsidTr="00804489">
        <w:tc>
          <w:tcPr>
            <w:tcW w:w="3227" w:type="dxa"/>
          </w:tcPr>
          <w:p w:rsidR="00804489" w:rsidRPr="00804489" w:rsidRDefault="00804489" w:rsidP="00804489">
            <w:pPr>
              <w:rPr>
                <w:sz w:val="22"/>
                <w:szCs w:val="22"/>
              </w:rPr>
            </w:pPr>
            <w:r w:rsidRPr="00804489">
              <w:rPr>
                <w:sz w:val="22"/>
                <w:szCs w:val="22"/>
              </w:rPr>
              <w:t>Dzirdes traucējumi</w:t>
            </w:r>
          </w:p>
        </w:tc>
        <w:tc>
          <w:tcPr>
            <w:tcW w:w="1683" w:type="dxa"/>
            <w:vAlign w:val="bottom"/>
          </w:tcPr>
          <w:p w:rsidR="00804489" w:rsidRPr="00804489" w:rsidRDefault="00804489" w:rsidP="00804489">
            <w:pPr>
              <w:jc w:val="center"/>
              <w:rPr>
                <w:color w:val="000000"/>
                <w:sz w:val="22"/>
                <w:szCs w:val="22"/>
              </w:rPr>
            </w:pPr>
            <w:r w:rsidRPr="00804489">
              <w:rPr>
                <w:color w:val="000000"/>
                <w:sz w:val="22"/>
                <w:szCs w:val="22"/>
              </w:rPr>
              <w:t>15</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95</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1 803</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1 898</w:t>
            </w:r>
          </w:p>
        </w:tc>
      </w:tr>
      <w:tr w:rsidR="00804489" w:rsidRPr="00804489" w:rsidTr="00804489">
        <w:tc>
          <w:tcPr>
            <w:tcW w:w="3227" w:type="dxa"/>
          </w:tcPr>
          <w:p w:rsidR="00804489" w:rsidRPr="00804489" w:rsidRDefault="00804489" w:rsidP="00804489">
            <w:pPr>
              <w:rPr>
                <w:sz w:val="22"/>
                <w:szCs w:val="22"/>
              </w:rPr>
            </w:pPr>
            <w:r w:rsidRPr="00804489">
              <w:rPr>
                <w:sz w:val="22"/>
                <w:szCs w:val="22"/>
              </w:rPr>
              <w:t>Kustību traucējumi</w:t>
            </w:r>
          </w:p>
        </w:tc>
        <w:tc>
          <w:tcPr>
            <w:tcW w:w="1683" w:type="dxa"/>
            <w:vAlign w:val="bottom"/>
          </w:tcPr>
          <w:p w:rsidR="00804489" w:rsidRPr="00804489" w:rsidRDefault="00804489" w:rsidP="00804489">
            <w:pPr>
              <w:jc w:val="center"/>
              <w:rPr>
                <w:color w:val="000000"/>
                <w:sz w:val="22"/>
                <w:szCs w:val="22"/>
              </w:rPr>
            </w:pPr>
            <w:r w:rsidRPr="00804489">
              <w:rPr>
                <w:color w:val="000000"/>
                <w:sz w:val="22"/>
                <w:szCs w:val="22"/>
              </w:rPr>
              <w:t>2 639</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10 757</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14 645</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26 844</w:t>
            </w:r>
          </w:p>
        </w:tc>
      </w:tr>
      <w:tr w:rsidR="00804489" w:rsidRPr="00804489" w:rsidTr="00804489">
        <w:tc>
          <w:tcPr>
            <w:tcW w:w="3227" w:type="dxa"/>
          </w:tcPr>
          <w:p w:rsidR="00804489" w:rsidRPr="00804489" w:rsidRDefault="00804489" w:rsidP="00804489">
            <w:pPr>
              <w:rPr>
                <w:sz w:val="22"/>
                <w:szCs w:val="22"/>
              </w:rPr>
            </w:pPr>
            <w:r w:rsidRPr="00804489">
              <w:rPr>
                <w:sz w:val="22"/>
                <w:szCs w:val="22"/>
              </w:rPr>
              <w:t>Garīga rakstura traucējumi</w:t>
            </w:r>
          </w:p>
        </w:tc>
        <w:tc>
          <w:tcPr>
            <w:tcW w:w="1683" w:type="dxa"/>
            <w:vAlign w:val="bottom"/>
          </w:tcPr>
          <w:p w:rsidR="00804489" w:rsidRPr="00804489" w:rsidRDefault="00804489" w:rsidP="00804489">
            <w:pPr>
              <w:jc w:val="center"/>
              <w:rPr>
                <w:color w:val="000000"/>
                <w:sz w:val="22"/>
                <w:szCs w:val="22"/>
              </w:rPr>
            </w:pPr>
            <w:r w:rsidRPr="00804489">
              <w:rPr>
                <w:color w:val="000000"/>
                <w:sz w:val="22"/>
                <w:szCs w:val="22"/>
              </w:rPr>
              <w:t>3 323</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16 454</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1 437</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20 887</w:t>
            </w:r>
          </w:p>
        </w:tc>
      </w:tr>
      <w:tr w:rsidR="00804489" w:rsidRPr="00804489" w:rsidTr="00804489">
        <w:tc>
          <w:tcPr>
            <w:tcW w:w="3227" w:type="dxa"/>
          </w:tcPr>
          <w:p w:rsidR="00804489" w:rsidRPr="00804489" w:rsidRDefault="00804489" w:rsidP="00804489">
            <w:pPr>
              <w:rPr>
                <w:sz w:val="22"/>
                <w:szCs w:val="22"/>
              </w:rPr>
            </w:pPr>
            <w:r w:rsidRPr="00804489">
              <w:rPr>
                <w:sz w:val="22"/>
                <w:szCs w:val="22"/>
              </w:rPr>
              <w:t>Citi traucējumi</w:t>
            </w:r>
          </w:p>
        </w:tc>
        <w:tc>
          <w:tcPr>
            <w:tcW w:w="1683" w:type="dxa"/>
            <w:vAlign w:val="bottom"/>
          </w:tcPr>
          <w:p w:rsidR="00804489" w:rsidRPr="00804489" w:rsidRDefault="00804489" w:rsidP="00804489">
            <w:pPr>
              <w:jc w:val="center"/>
              <w:rPr>
                <w:color w:val="000000"/>
                <w:sz w:val="22"/>
                <w:szCs w:val="22"/>
              </w:rPr>
            </w:pPr>
            <w:r w:rsidRPr="00804489">
              <w:rPr>
                <w:color w:val="000000"/>
                <w:sz w:val="22"/>
                <w:szCs w:val="22"/>
              </w:rPr>
              <w:t>17 297</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44 673</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33 582</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91 340</w:t>
            </w:r>
          </w:p>
        </w:tc>
      </w:tr>
      <w:tr w:rsidR="00804489" w:rsidRPr="00804489" w:rsidTr="00804489">
        <w:tc>
          <w:tcPr>
            <w:tcW w:w="3227" w:type="dxa"/>
          </w:tcPr>
          <w:p w:rsidR="00804489" w:rsidRPr="00804489" w:rsidRDefault="00804489" w:rsidP="00804489">
            <w:pPr>
              <w:rPr>
                <w:sz w:val="22"/>
                <w:szCs w:val="22"/>
              </w:rPr>
            </w:pPr>
            <w:r w:rsidRPr="00804489">
              <w:rPr>
                <w:sz w:val="22"/>
                <w:szCs w:val="22"/>
              </w:rPr>
              <w:t>Nav zināms traucējumu veids</w:t>
            </w:r>
            <w:r w:rsidR="00AB36C6">
              <w:rPr>
                <w:sz w:val="22"/>
                <w:szCs w:val="22"/>
              </w:rPr>
              <w:t>*</w:t>
            </w:r>
          </w:p>
        </w:tc>
        <w:tc>
          <w:tcPr>
            <w:tcW w:w="1683" w:type="dxa"/>
            <w:vAlign w:val="bottom"/>
          </w:tcPr>
          <w:p w:rsidR="00804489" w:rsidRPr="00804489" w:rsidRDefault="00804489" w:rsidP="00804489">
            <w:pPr>
              <w:jc w:val="center"/>
              <w:rPr>
                <w:color w:val="000000"/>
                <w:sz w:val="22"/>
                <w:szCs w:val="22"/>
              </w:rPr>
            </w:pPr>
            <w:r w:rsidRPr="00804489">
              <w:rPr>
                <w:color w:val="000000"/>
                <w:sz w:val="22"/>
                <w:szCs w:val="22"/>
              </w:rPr>
              <w:t>2 218</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10 567</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8 097</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20 559</w:t>
            </w:r>
          </w:p>
        </w:tc>
      </w:tr>
      <w:tr w:rsidR="00804489" w:rsidRPr="00804489" w:rsidTr="00804489">
        <w:tc>
          <w:tcPr>
            <w:tcW w:w="3227" w:type="dxa"/>
          </w:tcPr>
          <w:p w:rsidR="00804489" w:rsidRPr="00804489" w:rsidRDefault="00804489" w:rsidP="00804489">
            <w:pPr>
              <w:rPr>
                <w:b/>
                <w:sz w:val="22"/>
                <w:szCs w:val="22"/>
              </w:rPr>
            </w:pPr>
            <w:r w:rsidRPr="00804489">
              <w:rPr>
                <w:b/>
                <w:sz w:val="22"/>
                <w:szCs w:val="22"/>
              </w:rPr>
              <w:t>2015</w:t>
            </w:r>
          </w:p>
        </w:tc>
        <w:tc>
          <w:tcPr>
            <w:tcW w:w="1683" w:type="dxa"/>
          </w:tcPr>
          <w:p w:rsidR="00804489" w:rsidRPr="00804489" w:rsidRDefault="00804489" w:rsidP="00804489">
            <w:pPr>
              <w:rPr>
                <w:rFonts w:ascii="Calibri" w:hAnsi="Calibri" w:cs="Calibri"/>
                <w:color w:val="000000"/>
                <w:sz w:val="22"/>
                <w:szCs w:val="22"/>
              </w:rPr>
            </w:pPr>
          </w:p>
        </w:tc>
        <w:tc>
          <w:tcPr>
            <w:tcW w:w="1684" w:type="dxa"/>
          </w:tcPr>
          <w:p w:rsidR="00804489" w:rsidRPr="00804489" w:rsidRDefault="00804489" w:rsidP="00804489">
            <w:pPr>
              <w:rPr>
                <w:rFonts w:ascii="Calibri" w:hAnsi="Calibri" w:cs="Calibri"/>
                <w:color w:val="000000"/>
                <w:sz w:val="22"/>
                <w:szCs w:val="22"/>
              </w:rPr>
            </w:pPr>
          </w:p>
        </w:tc>
        <w:tc>
          <w:tcPr>
            <w:tcW w:w="1684" w:type="dxa"/>
          </w:tcPr>
          <w:p w:rsidR="00804489" w:rsidRPr="00804489" w:rsidRDefault="00804489" w:rsidP="00804489">
            <w:pPr>
              <w:rPr>
                <w:rFonts w:ascii="Calibri" w:hAnsi="Calibri" w:cs="Calibri"/>
                <w:color w:val="000000"/>
                <w:sz w:val="22"/>
                <w:szCs w:val="22"/>
              </w:rPr>
            </w:pPr>
          </w:p>
        </w:tc>
        <w:tc>
          <w:tcPr>
            <w:tcW w:w="1684" w:type="dxa"/>
          </w:tcPr>
          <w:p w:rsidR="00804489" w:rsidRPr="00804489" w:rsidRDefault="00804489" w:rsidP="00804489">
            <w:pPr>
              <w:rPr>
                <w:sz w:val="22"/>
                <w:szCs w:val="22"/>
              </w:rPr>
            </w:pPr>
          </w:p>
        </w:tc>
      </w:tr>
      <w:tr w:rsidR="00804489" w:rsidRPr="00804489" w:rsidTr="00804489">
        <w:tc>
          <w:tcPr>
            <w:tcW w:w="3227" w:type="dxa"/>
          </w:tcPr>
          <w:p w:rsidR="00804489" w:rsidRPr="00804489" w:rsidRDefault="00804489" w:rsidP="00804489">
            <w:pPr>
              <w:rPr>
                <w:sz w:val="22"/>
                <w:szCs w:val="22"/>
              </w:rPr>
            </w:pPr>
            <w:r w:rsidRPr="00804489">
              <w:rPr>
                <w:sz w:val="22"/>
                <w:szCs w:val="22"/>
              </w:rPr>
              <w:t>Kopā</w:t>
            </w:r>
          </w:p>
        </w:tc>
        <w:tc>
          <w:tcPr>
            <w:tcW w:w="1683" w:type="dxa"/>
          </w:tcPr>
          <w:p w:rsidR="00804489" w:rsidRPr="00804489" w:rsidRDefault="00804489" w:rsidP="00804489">
            <w:pPr>
              <w:jc w:val="center"/>
              <w:rPr>
                <w:color w:val="000000"/>
                <w:sz w:val="22"/>
                <w:szCs w:val="22"/>
              </w:rPr>
            </w:pPr>
            <w:r w:rsidRPr="00804489">
              <w:rPr>
                <w:color w:val="000000"/>
                <w:sz w:val="22"/>
                <w:szCs w:val="22"/>
              </w:rPr>
              <w:t>28 776</w:t>
            </w:r>
          </w:p>
        </w:tc>
        <w:tc>
          <w:tcPr>
            <w:tcW w:w="1684" w:type="dxa"/>
          </w:tcPr>
          <w:p w:rsidR="00804489" w:rsidRPr="00804489" w:rsidRDefault="00804489" w:rsidP="00804489">
            <w:pPr>
              <w:jc w:val="center"/>
              <w:rPr>
                <w:color w:val="000000"/>
                <w:sz w:val="22"/>
                <w:szCs w:val="22"/>
              </w:rPr>
            </w:pPr>
            <w:r w:rsidRPr="00804489">
              <w:rPr>
                <w:color w:val="000000"/>
                <w:sz w:val="22"/>
                <w:szCs w:val="22"/>
              </w:rPr>
              <w:t>86 532</w:t>
            </w:r>
          </w:p>
        </w:tc>
        <w:tc>
          <w:tcPr>
            <w:tcW w:w="1684" w:type="dxa"/>
          </w:tcPr>
          <w:p w:rsidR="00804489" w:rsidRPr="00804489" w:rsidRDefault="00804489" w:rsidP="00804489">
            <w:pPr>
              <w:jc w:val="center"/>
              <w:rPr>
                <w:color w:val="000000"/>
                <w:sz w:val="22"/>
                <w:szCs w:val="22"/>
              </w:rPr>
            </w:pPr>
            <w:r w:rsidRPr="00804489">
              <w:rPr>
                <w:color w:val="000000"/>
                <w:sz w:val="22"/>
                <w:szCs w:val="22"/>
              </w:rPr>
              <w:t>66 707</w:t>
            </w:r>
          </w:p>
        </w:tc>
        <w:tc>
          <w:tcPr>
            <w:tcW w:w="1684" w:type="dxa"/>
          </w:tcPr>
          <w:p w:rsidR="00804489" w:rsidRPr="00804489" w:rsidRDefault="00804489" w:rsidP="00804489">
            <w:pPr>
              <w:jc w:val="center"/>
              <w:rPr>
                <w:sz w:val="22"/>
                <w:szCs w:val="22"/>
              </w:rPr>
            </w:pPr>
            <w:r w:rsidRPr="00804489">
              <w:rPr>
                <w:sz w:val="22"/>
                <w:szCs w:val="22"/>
              </w:rPr>
              <w:t>176 329</w:t>
            </w:r>
          </w:p>
        </w:tc>
      </w:tr>
      <w:tr w:rsidR="00804489" w:rsidRPr="00804489" w:rsidTr="00804489">
        <w:tc>
          <w:tcPr>
            <w:tcW w:w="3227" w:type="dxa"/>
          </w:tcPr>
          <w:p w:rsidR="00804489" w:rsidRPr="00804489" w:rsidRDefault="00804489" w:rsidP="00804489">
            <w:pPr>
              <w:rPr>
                <w:sz w:val="22"/>
                <w:szCs w:val="22"/>
              </w:rPr>
            </w:pPr>
            <w:r w:rsidRPr="00804489">
              <w:rPr>
                <w:sz w:val="22"/>
                <w:szCs w:val="22"/>
              </w:rPr>
              <w:t>Redzes traucējumi</w:t>
            </w:r>
          </w:p>
        </w:tc>
        <w:tc>
          <w:tcPr>
            <w:tcW w:w="1683" w:type="dxa"/>
            <w:vAlign w:val="bottom"/>
          </w:tcPr>
          <w:p w:rsidR="00804489" w:rsidRPr="00804489" w:rsidRDefault="00804489" w:rsidP="00804489">
            <w:pPr>
              <w:jc w:val="center"/>
              <w:rPr>
                <w:color w:val="000000"/>
                <w:sz w:val="22"/>
                <w:szCs w:val="22"/>
              </w:rPr>
            </w:pPr>
            <w:r w:rsidRPr="00804489">
              <w:rPr>
                <w:color w:val="000000"/>
                <w:sz w:val="22"/>
                <w:szCs w:val="22"/>
              </w:rPr>
              <w:t>2 799</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2 341</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3 841</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8 687</w:t>
            </w:r>
          </w:p>
        </w:tc>
      </w:tr>
      <w:tr w:rsidR="00804489" w:rsidRPr="00804489" w:rsidTr="00804489">
        <w:tc>
          <w:tcPr>
            <w:tcW w:w="3227" w:type="dxa"/>
          </w:tcPr>
          <w:p w:rsidR="00804489" w:rsidRPr="00804489" w:rsidRDefault="00804489" w:rsidP="00804489">
            <w:pPr>
              <w:rPr>
                <w:sz w:val="22"/>
                <w:szCs w:val="22"/>
              </w:rPr>
            </w:pPr>
            <w:r w:rsidRPr="00804489">
              <w:rPr>
                <w:sz w:val="22"/>
                <w:szCs w:val="22"/>
              </w:rPr>
              <w:t>Dzirdes traucējumi</w:t>
            </w:r>
          </w:p>
        </w:tc>
        <w:tc>
          <w:tcPr>
            <w:tcW w:w="1683" w:type="dxa"/>
            <w:vAlign w:val="bottom"/>
          </w:tcPr>
          <w:p w:rsidR="00804489" w:rsidRPr="00804489" w:rsidRDefault="00804489" w:rsidP="00804489">
            <w:pPr>
              <w:jc w:val="center"/>
              <w:rPr>
                <w:color w:val="000000"/>
                <w:sz w:val="22"/>
                <w:szCs w:val="22"/>
              </w:rPr>
            </w:pPr>
            <w:r w:rsidRPr="00804489">
              <w:rPr>
                <w:color w:val="000000"/>
                <w:sz w:val="22"/>
                <w:szCs w:val="22"/>
              </w:rPr>
              <w:t>16</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100</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1 833</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1 925</w:t>
            </w:r>
          </w:p>
        </w:tc>
      </w:tr>
      <w:tr w:rsidR="00804489" w:rsidRPr="00804489" w:rsidTr="00804489">
        <w:tc>
          <w:tcPr>
            <w:tcW w:w="3227" w:type="dxa"/>
          </w:tcPr>
          <w:p w:rsidR="00804489" w:rsidRPr="00804489" w:rsidRDefault="00804489" w:rsidP="00804489">
            <w:pPr>
              <w:rPr>
                <w:sz w:val="22"/>
                <w:szCs w:val="22"/>
              </w:rPr>
            </w:pPr>
            <w:r w:rsidRPr="00804489">
              <w:rPr>
                <w:sz w:val="22"/>
                <w:szCs w:val="22"/>
              </w:rPr>
              <w:t>Kustību traucējumi</w:t>
            </w:r>
          </w:p>
        </w:tc>
        <w:tc>
          <w:tcPr>
            <w:tcW w:w="1683" w:type="dxa"/>
            <w:vAlign w:val="bottom"/>
          </w:tcPr>
          <w:p w:rsidR="00804489" w:rsidRPr="00804489" w:rsidRDefault="00804489" w:rsidP="00804489">
            <w:pPr>
              <w:jc w:val="center"/>
              <w:rPr>
                <w:color w:val="000000"/>
                <w:sz w:val="22"/>
                <w:szCs w:val="22"/>
              </w:rPr>
            </w:pPr>
            <w:r w:rsidRPr="00804489">
              <w:rPr>
                <w:color w:val="000000"/>
                <w:sz w:val="22"/>
                <w:szCs w:val="22"/>
              </w:rPr>
              <w:t>2 788</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11 476</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15 888</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28 909</w:t>
            </w:r>
          </w:p>
        </w:tc>
      </w:tr>
      <w:tr w:rsidR="00804489" w:rsidRPr="00804489" w:rsidTr="00804489">
        <w:tc>
          <w:tcPr>
            <w:tcW w:w="3227" w:type="dxa"/>
          </w:tcPr>
          <w:p w:rsidR="00804489" w:rsidRPr="00804489" w:rsidRDefault="00804489" w:rsidP="00804489">
            <w:pPr>
              <w:rPr>
                <w:sz w:val="22"/>
                <w:szCs w:val="22"/>
              </w:rPr>
            </w:pPr>
            <w:r w:rsidRPr="00804489">
              <w:rPr>
                <w:sz w:val="22"/>
                <w:szCs w:val="22"/>
              </w:rPr>
              <w:t>Garīga rakstura traucējumi</w:t>
            </w:r>
          </w:p>
        </w:tc>
        <w:tc>
          <w:tcPr>
            <w:tcW w:w="1683" w:type="dxa"/>
            <w:vAlign w:val="bottom"/>
          </w:tcPr>
          <w:p w:rsidR="00804489" w:rsidRPr="00804489" w:rsidRDefault="00804489" w:rsidP="00804489">
            <w:pPr>
              <w:jc w:val="center"/>
              <w:rPr>
                <w:color w:val="000000"/>
                <w:sz w:val="22"/>
                <w:szCs w:val="22"/>
              </w:rPr>
            </w:pPr>
            <w:r w:rsidRPr="00804489">
              <w:rPr>
                <w:color w:val="000000"/>
                <w:sz w:val="22"/>
                <w:szCs w:val="22"/>
              </w:rPr>
              <w:t>3 666</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16 758</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1 539</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21 578</w:t>
            </w:r>
          </w:p>
        </w:tc>
      </w:tr>
      <w:tr w:rsidR="00804489" w:rsidRPr="00804489" w:rsidTr="00804489">
        <w:tc>
          <w:tcPr>
            <w:tcW w:w="3227" w:type="dxa"/>
          </w:tcPr>
          <w:p w:rsidR="00804489" w:rsidRPr="00804489" w:rsidRDefault="00804489" w:rsidP="00804489">
            <w:pPr>
              <w:rPr>
                <w:sz w:val="22"/>
                <w:szCs w:val="22"/>
              </w:rPr>
            </w:pPr>
            <w:r w:rsidRPr="00804489">
              <w:rPr>
                <w:sz w:val="22"/>
                <w:szCs w:val="22"/>
              </w:rPr>
              <w:t>Citi traucējumi</w:t>
            </w:r>
          </w:p>
        </w:tc>
        <w:tc>
          <w:tcPr>
            <w:tcW w:w="1683" w:type="dxa"/>
            <w:vAlign w:val="bottom"/>
          </w:tcPr>
          <w:p w:rsidR="00804489" w:rsidRPr="00804489" w:rsidRDefault="00804489" w:rsidP="00804489">
            <w:pPr>
              <w:jc w:val="center"/>
              <w:rPr>
                <w:color w:val="000000"/>
                <w:sz w:val="22"/>
                <w:szCs w:val="22"/>
              </w:rPr>
            </w:pPr>
            <w:r w:rsidRPr="00804489">
              <w:rPr>
                <w:color w:val="000000"/>
                <w:sz w:val="22"/>
                <w:szCs w:val="22"/>
              </w:rPr>
              <w:t>18 574</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46 153</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35 407</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95 772</w:t>
            </w:r>
          </w:p>
        </w:tc>
      </w:tr>
      <w:tr w:rsidR="00804489" w:rsidRPr="00804489" w:rsidTr="00804489">
        <w:tc>
          <w:tcPr>
            <w:tcW w:w="3227" w:type="dxa"/>
          </w:tcPr>
          <w:p w:rsidR="00804489" w:rsidRPr="00804489" w:rsidRDefault="00804489" w:rsidP="00804489">
            <w:pPr>
              <w:rPr>
                <w:sz w:val="22"/>
                <w:szCs w:val="22"/>
              </w:rPr>
            </w:pPr>
            <w:r w:rsidRPr="00804489">
              <w:rPr>
                <w:sz w:val="22"/>
                <w:szCs w:val="22"/>
              </w:rPr>
              <w:t>Nav zināms traucējumu veids</w:t>
            </w:r>
            <w:r w:rsidR="00AB36C6">
              <w:rPr>
                <w:sz w:val="22"/>
                <w:szCs w:val="22"/>
              </w:rPr>
              <w:t>*</w:t>
            </w:r>
          </w:p>
        </w:tc>
        <w:tc>
          <w:tcPr>
            <w:tcW w:w="1683" w:type="dxa"/>
            <w:vAlign w:val="bottom"/>
          </w:tcPr>
          <w:p w:rsidR="00804489" w:rsidRPr="00804489" w:rsidRDefault="00804489" w:rsidP="00804489">
            <w:pPr>
              <w:jc w:val="center"/>
              <w:rPr>
                <w:color w:val="000000"/>
                <w:sz w:val="22"/>
                <w:szCs w:val="22"/>
              </w:rPr>
            </w:pPr>
            <w:r w:rsidRPr="00804489">
              <w:rPr>
                <w:color w:val="000000"/>
                <w:sz w:val="22"/>
                <w:szCs w:val="22"/>
              </w:rPr>
              <w:t>2 100</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10 038</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7 729</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19 545</w:t>
            </w:r>
          </w:p>
        </w:tc>
      </w:tr>
      <w:tr w:rsidR="00804489" w:rsidRPr="00804489" w:rsidTr="00804489">
        <w:tc>
          <w:tcPr>
            <w:tcW w:w="3227" w:type="dxa"/>
          </w:tcPr>
          <w:p w:rsidR="00804489" w:rsidRPr="00804489" w:rsidRDefault="00804489" w:rsidP="00804489">
            <w:pPr>
              <w:rPr>
                <w:b/>
                <w:sz w:val="22"/>
                <w:szCs w:val="22"/>
              </w:rPr>
            </w:pPr>
            <w:r w:rsidRPr="00804489">
              <w:rPr>
                <w:b/>
                <w:sz w:val="22"/>
                <w:szCs w:val="22"/>
              </w:rPr>
              <w:t>2016</w:t>
            </w:r>
          </w:p>
        </w:tc>
        <w:tc>
          <w:tcPr>
            <w:tcW w:w="1683" w:type="dxa"/>
          </w:tcPr>
          <w:p w:rsidR="00804489" w:rsidRPr="00804489" w:rsidRDefault="00804489" w:rsidP="00804489">
            <w:pPr>
              <w:rPr>
                <w:sz w:val="22"/>
                <w:szCs w:val="22"/>
              </w:rPr>
            </w:pPr>
          </w:p>
        </w:tc>
        <w:tc>
          <w:tcPr>
            <w:tcW w:w="1684" w:type="dxa"/>
          </w:tcPr>
          <w:p w:rsidR="00804489" w:rsidRPr="00804489" w:rsidRDefault="00804489" w:rsidP="00804489">
            <w:pPr>
              <w:rPr>
                <w:sz w:val="22"/>
                <w:szCs w:val="22"/>
              </w:rPr>
            </w:pPr>
          </w:p>
        </w:tc>
        <w:tc>
          <w:tcPr>
            <w:tcW w:w="1684" w:type="dxa"/>
          </w:tcPr>
          <w:p w:rsidR="00804489" w:rsidRPr="00804489" w:rsidRDefault="00804489" w:rsidP="00804489">
            <w:pPr>
              <w:rPr>
                <w:sz w:val="22"/>
                <w:szCs w:val="22"/>
              </w:rPr>
            </w:pPr>
          </w:p>
        </w:tc>
        <w:tc>
          <w:tcPr>
            <w:tcW w:w="1684" w:type="dxa"/>
          </w:tcPr>
          <w:p w:rsidR="00804489" w:rsidRPr="00804489" w:rsidRDefault="00804489" w:rsidP="00804489">
            <w:pPr>
              <w:rPr>
                <w:sz w:val="22"/>
                <w:szCs w:val="22"/>
              </w:rPr>
            </w:pPr>
          </w:p>
        </w:tc>
      </w:tr>
      <w:tr w:rsidR="00804489" w:rsidRPr="00804489" w:rsidTr="00804489">
        <w:tc>
          <w:tcPr>
            <w:tcW w:w="3227" w:type="dxa"/>
          </w:tcPr>
          <w:p w:rsidR="00804489" w:rsidRPr="00804489" w:rsidRDefault="00804489" w:rsidP="00804489">
            <w:pPr>
              <w:rPr>
                <w:sz w:val="22"/>
                <w:szCs w:val="22"/>
              </w:rPr>
            </w:pPr>
            <w:r w:rsidRPr="00804489">
              <w:rPr>
                <w:sz w:val="22"/>
                <w:szCs w:val="22"/>
              </w:rPr>
              <w:t>Kopā</w:t>
            </w:r>
          </w:p>
        </w:tc>
        <w:tc>
          <w:tcPr>
            <w:tcW w:w="1683" w:type="dxa"/>
          </w:tcPr>
          <w:p w:rsidR="00804489" w:rsidRPr="00804489" w:rsidRDefault="00804489" w:rsidP="00804489">
            <w:pPr>
              <w:jc w:val="center"/>
              <w:rPr>
                <w:color w:val="000000"/>
                <w:sz w:val="22"/>
                <w:szCs w:val="22"/>
              </w:rPr>
            </w:pPr>
            <w:r w:rsidRPr="00804489">
              <w:rPr>
                <w:color w:val="000000"/>
                <w:sz w:val="22"/>
                <w:szCs w:val="22"/>
              </w:rPr>
              <w:t>30 461</w:t>
            </w:r>
          </w:p>
        </w:tc>
        <w:tc>
          <w:tcPr>
            <w:tcW w:w="1684" w:type="dxa"/>
          </w:tcPr>
          <w:p w:rsidR="00804489" w:rsidRPr="00804489" w:rsidRDefault="00804489" w:rsidP="00804489">
            <w:pPr>
              <w:jc w:val="center"/>
              <w:rPr>
                <w:color w:val="000000"/>
                <w:sz w:val="22"/>
                <w:szCs w:val="22"/>
              </w:rPr>
            </w:pPr>
            <w:r w:rsidRPr="00804489">
              <w:rPr>
                <w:color w:val="000000"/>
                <w:sz w:val="22"/>
                <w:szCs w:val="22"/>
              </w:rPr>
              <w:t>88 574</w:t>
            </w:r>
          </w:p>
        </w:tc>
        <w:tc>
          <w:tcPr>
            <w:tcW w:w="1684" w:type="dxa"/>
          </w:tcPr>
          <w:p w:rsidR="00804489" w:rsidRPr="00804489" w:rsidRDefault="00804489" w:rsidP="00804489">
            <w:pPr>
              <w:jc w:val="center"/>
              <w:rPr>
                <w:color w:val="000000"/>
                <w:sz w:val="22"/>
                <w:szCs w:val="22"/>
              </w:rPr>
            </w:pPr>
            <w:r w:rsidRPr="00804489">
              <w:rPr>
                <w:color w:val="000000"/>
                <w:sz w:val="22"/>
                <w:szCs w:val="22"/>
              </w:rPr>
              <w:t>69 764</w:t>
            </w:r>
          </w:p>
        </w:tc>
        <w:tc>
          <w:tcPr>
            <w:tcW w:w="1684" w:type="dxa"/>
          </w:tcPr>
          <w:p w:rsidR="00804489" w:rsidRPr="00804489" w:rsidRDefault="00804489" w:rsidP="00804489">
            <w:pPr>
              <w:jc w:val="center"/>
              <w:rPr>
                <w:color w:val="000000"/>
                <w:sz w:val="22"/>
                <w:szCs w:val="22"/>
              </w:rPr>
            </w:pPr>
            <w:r w:rsidRPr="00804489">
              <w:rPr>
                <w:color w:val="000000"/>
                <w:sz w:val="22"/>
                <w:szCs w:val="22"/>
              </w:rPr>
              <w:t>183 322</w:t>
            </w:r>
          </w:p>
        </w:tc>
      </w:tr>
      <w:tr w:rsidR="00804489" w:rsidRPr="00804489" w:rsidTr="00804489">
        <w:tc>
          <w:tcPr>
            <w:tcW w:w="3227" w:type="dxa"/>
          </w:tcPr>
          <w:p w:rsidR="00804489" w:rsidRPr="00804489" w:rsidRDefault="00804489" w:rsidP="00804489">
            <w:pPr>
              <w:rPr>
                <w:sz w:val="22"/>
                <w:szCs w:val="22"/>
              </w:rPr>
            </w:pPr>
            <w:r w:rsidRPr="00804489">
              <w:rPr>
                <w:sz w:val="22"/>
                <w:szCs w:val="22"/>
              </w:rPr>
              <w:t>Redzes traucējumi</w:t>
            </w:r>
          </w:p>
        </w:tc>
        <w:tc>
          <w:tcPr>
            <w:tcW w:w="1683" w:type="dxa"/>
            <w:vAlign w:val="bottom"/>
          </w:tcPr>
          <w:p w:rsidR="00804489" w:rsidRPr="00804489" w:rsidRDefault="00804489" w:rsidP="00804489">
            <w:pPr>
              <w:jc w:val="center"/>
              <w:rPr>
                <w:color w:val="000000"/>
                <w:sz w:val="22"/>
                <w:szCs w:val="22"/>
              </w:rPr>
            </w:pPr>
            <w:r w:rsidRPr="00804489">
              <w:rPr>
                <w:color w:val="000000"/>
                <w:sz w:val="22"/>
                <w:szCs w:val="22"/>
              </w:rPr>
              <w:t>2 896</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2 445</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3 976</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9 053</w:t>
            </w:r>
          </w:p>
        </w:tc>
      </w:tr>
      <w:tr w:rsidR="00804489" w:rsidRPr="00804489" w:rsidTr="00804489">
        <w:tc>
          <w:tcPr>
            <w:tcW w:w="3227" w:type="dxa"/>
          </w:tcPr>
          <w:p w:rsidR="00804489" w:rsidRPr="00804489" w:rsidRDefault="00804489" w:rsidP="00804489">
            <w:pPr>
              <w:rPr>
                <w:sz w:val="22"/>
                <w:szCs w:val="22"/>
              </w:rPr>
            </w:pPr>
            <w:r w:rsidRPr="00804489">
              <w:rPr>
                <w:sz w:val="22"/>
                <w:szCs w:val="22"/>
              </w:rPr>
              <w:t>Dzirdes traucējumi</w:t>
            </w:r>
          </w:p>
        </w:tc>
        <w:tc>
          <w:tcPr>
            <w:tcW w:w="1683" w:type="dxa"/>
            <w:vAlign w:val="bottom"/>
          </w:tcPr>
          <w:p w:rsidR="00804489" w:rsidRPr="00804489" w:rsidRDefault="00804489" w:rsidP="00804489">
            <w:pPr>
              <w:jc w:val="center"/>
              <w:rPr>
                <w:color w:val="000000"/>
                <w:sz w:val="22"/>
                <w:szCs w:val="22"/>
              </w:rPr>
            </w:pPr>
            <w:r w:rsidRPr="00804489">
              <w:rPr>
                <w:color w:val="000000"/>
                <w:sz w:val="22"/>
                <w:szCs w:val="22"/>
              </w:rPr>
              <w:t>18</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98</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1 855</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1 949</w:t>
            </w:r>
          </w:p>
        </w:tc>
      </w:tr>
      <w:tr w:rsidR="00804489" w:rsidRPr="00804489" w:rsidTr="00804489">
        <w:tc>
          <w:tcPr>
            <w:tcW w:w="3227" w:type="dxa"/>
          </w:tcPr>
          <w:p w:rsidR="00804489" w:rsidRPr="00804489" w:rsidRDefault="00804489" w:rsidP="00804489">
            <w:pPr>
              <w:rPr>
                <w:sz w:val="22"/>
                <w:szCs w:val="22"/>
              </w:rPr>
            </w:pPr>
            <w:r w:rsidRPr="00804489">
              <w:rPr>
                <w:sz w:val="22"/>
                <w:szCs w:val="22"/>
              </w:rPr>
              <w:t>Kustību traucējumi</w:t>
            </w:r>
          </w:p>
        </w:tc>
        <w:tc>
          <w:tcPr>
            <w:tcW w:w="1683" w:type="dxa"/>
            <w:vAlign w:val="bottom"/>
          </w:tcPr>
          <w:p w:rsidR="00804489" w:rsidRPr="00804489" w:rsidRDefault="00804489" w:rsidP="00804489">
            <w:pPr>
              <w:jc w:val="center"/>
              <w:rPr>
                <w:color w:val="000000"/>
                <w:sz w:val="22"/>
                <w:szCs w:val="22"/>
              </w:rPr>
            </w:pPr>
            <w:r w:rsidRPr="00804489">
              <w:rPr>
                <w:color w:val="000000"/>
                <w:sz w:val="22"/>
                <w:szCs w:val="22"/>
              </w:rPr>
              <w:t>2 967</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12 043</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17 146</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30 920</w:t>
            </w:r>
          </w:p>
        </w:tc>
      </w:tr>
      <w:tr w:rsidR="00804489" w:rsidRPr="00804489" w:rsidTr="00804489">
        <w:tc>
          <w:tcPr>
            <w:tcW w:w="3227" w:type="dxa"/>
          </w:tcPr>
          <w:p w:rsidR="00804489" w:rsidRPr="00804489" w:rsidRDefault="00804489" w:rsidP="00804489">
            <w:pPr>
              <w:rPr>
                <w:sz w:val="22"/>
                <w:szCs w:val="22"/>
              </w:rPr>
            </w:pPr>
            <w:r w:rsidRPr="00804489">
              <w:rPr>
                <w:sz w:val="22"/>
                <w:szCs w:val="22"/>
              </w:rPr>
              <w:t>Garīga rakstura traucējumi</w:t>
            </w:r>
          </w:p>
        </w:tc>
        <w:tc>
          <w:tcPr>
            <w:tcW w:w="1683" w:type="dxa"/>
            <w:vAlign w:val="bottom"/>
          </w:tcPr>
          <w:p w:rsidR="00804489" w:rsidRPr="00804489" w:rsidRDefault="00804489" w:rsidP="00804489">
            <w:pPr>
              <w:jc w:val="center"/>
              <w:rPr>
                <w:color w:val="000000"/>
                <w:sz w:val="22"/>
                <w:szCs w:val="22"/>
              </w:rPr>
            </w:pPr>
            <w:r w:rsidRPr="00804489">
              <w:rPr>
                <w:color w:val="000000"/>
                <w:sz w:val="22"/>
                <w:szCs w:val="22"/>
              </w:rPr>
              <w:t>4 135</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17 055</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1 736</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22 516</w:t>
            </w:r>
          </w:p>
        </w:tc>
      </w:tr>
      <w:tr w:rsidR="00804489" w:rsidRPr="00804489" w:rsidTr="00804489">
        <w:tc>
          <w:tcPr>
            <w:tcW w:w="3227" w:type="dxa"/>
          </w:tcPr>
          <w:p w:rsidR="00804489" w:rsidRPr="00804489" w:rsidRDefault="00804489" w:rsidP="00804489">
            <w:pPr>
              <w:rPr>
                <w:sz w:val="22"/>
                <w:szCs w:val="22"/>
              </w:rPr>
            </w:pPr>
            <w:r w:rsidRPr="00804489">
              <w:rPr>
                <w:sz w:val="22"/>
                <w:szCs w:val="22"/>
              </w:rPr>
              <w:t>Citi traucējumi</w:t>
            </w:r>
          </w:p>
        </w:tc>
        <w:tc>
          <w:tcPr>
            <w:tcW w:w="1683" w:type="dxa"/>
            <w:vAlign w:val="bottom"/>
          </w:tcPr>
          <w:p w:rsidR="00804489" w:rsidRPr="00804489" w:rsidRDefault="00804489" w:rsidP="00804489">
            <w:pPr>
              <w:jc w:val="center"/>
              <w:rPr>
                <w:color w:val="000000"/>
                <w:sz w:val="22"/>
                <w:szCs w:val="22"/>
              </w:rPr>
            </w:pPr>
            <w:r w:rsidRPr="00804489">
              <w:rPr>
                <w:color w:val="000000"/>
                <w:sz w:val="22"/>
                <w:szCs w:val="22"/>
              </w:rPr>
              <w:t>19 599</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47 816</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37 424</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100 606</w:t>
            </w:r>
          </w:p>
        </w:tc>
      </w:tr>
      <w:tr w:rsidR="00804489" w:rsidRPr="00804489" w:rsidTr="00804489">
        <w:tc>
          <w:tcPr>
            <w:tcW w:w="3227" w:type="dxa"/>
          </w:tcPr>
          <w:p w:rsidR="00804489" w:rsidRPr="00804489" w:rsidRDefault="00804489" w:rsidP="00804489">
            <w:pPr>
              <w:rPr>
                <w:sz w:val="22"/>
                <w:szCs w:val="22"/>
              </w:rPr>
            </w:pPr>
            <w:r w:rsidRPr="00804489">
              <w:rPr>
                <w:sz w:val="22"/>
                <w:szCs w:val="22"/>
              </w:rPr>
              <w:t>Nav zināms traucējumu veids</w:t>
            </w:r>
            <w:r w:rsidR="00AB36C6">
              <w:rPr>
                <w:sz w:val="22"/>
                <w:szCs w:val="22"/>
              </w:rPr>
              <w:t>*</w:t>
            </w:r>
          </w:p>
        </w:tc>
        <w:tc>
          <w:tcPr>
            <w:tcW w:w="1683" w:type="dxa"/>
            <w:vAlign w:val="bottom"/>
          </w:tcPr>
          <w:p w:rsidR="00804489" w:rsidRPr="00804489" w:rsidRDefault="00804489" w:rsidP="00804489">
            <w:pPr>
              <w:jc w:val="center"/>
              <w:rPr>
                <w:color w:val="000000"/>
                <w:sz w:val="22"/>
                <w:szCs w:val="22"/>
              </w:rPr>
            </w:pPr>
            <w:r w:rsidRPr="00804489">
              <w:rPr>
                <w:color w:val="000000"/>
                <w:sz w:val="22"/>
                <w:szCs w:val="22"/>
              </w:rPr>
              <w:t>1 989</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9 510</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7 366</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18 583</w:t>
            </w:r>
          </w:p>
        </w:tc>
      </w:tr>
      <w:tr w:rsidR="00804489" w:rsidRPr="00804489" w:rsidTr="00804489">
        <w:tc>
          <w:tcPr>
            <w:tcW w:w="3227" w:type="dxa"/>
          </w:tcPr>
          <w:p w:rsidR="00804489" w:rsidRPr="00804489" w:rsidRDefault="00804489" w:rsidP="00804489">
            <w:pPr>
              <w:rPr>
                <w:b/>
                <w:sz w:val="22"/>
                <w:szCs w:val="22"/>
              </w:rPr>
            </w:pPr>
            <w:r w:rsidRPr="00804489">
              <w:rPr>
                <w:b/>
                <w:sz w:val="22"/>
                <w:szCs w:val="22"/>
              </w:rPr>
              <w:t>2017</w:t>
            </w:r>
          </w:p>
        </w:tc>
        <w:tc>
          <w:tcPr>
            <w:tcW w:w="1683" w:type="dxa"/>
          </w:tcPr>
          <w:p w:rsidR="00804489" w:rsidRPr="00804489" w:rsidRDefault="00804489" w:rsidP="00804489">
            <w:pPr>
              <w:rPr>
                <w:sz w:val="22"/>
                <w:szCs w:val="22"/>
              </w:rPr>
            </w:pPr>
          </w:p>
        </w:tc>
        <w:tc>
          <w:tcPr>
            <w:tcW w:w="1684" w:type="dxa"/>
          </w:tcPr>
          <w:p w:rsidR="00804489" w:rsidRPr="00804489" w:rsidRDefault="00804489" w:rsidP="00804489">
            <w:pPr>
              <w:rPr>
                <w:sz w:val="22"/>
                <w:szCs w:val="22"/>
              </w:rPr>
            </w:pPr>
          </w:p>
        </w:tc>
        <w:tc>
          <w:tcPr>
            <w:tcW w:w="1684" w:type="dxa"/>
          </w:tcPr>
          <w:p w:rsidR="00804489" w:rsidRPr="00804489" w:rsidRDefault="00804489" w:rsidP="00804489">
            <w:pPr>
              <w:rPr>
                <w:sz w:val="22"/>
                <w:szCs w:val="22"/>
              </w:rPr>
            </w:pPr>
          </w:p>
        </w:tc>
        <w:tc>
          <w:tcPr>
            <w:tcW w:w="1684" w:type="dxa"/>
          </w:tcPr>
          <w:p w:rsidR="00804489" w:rsidRPr="00804489" w:rsidRDefault="00804489" w:rsidP="00804489">
            <w:pPr>
              <w:rPr>
                <w:sz w:val="22"/>
                <w:szCs w:val="22"/>
              </w:rPr>
            </w:pPr>
          </w:p>
        </w:tc>
      </w:tr>
      <w:tr w:rsidR="00804489" w:rsidRPr="00804489" w:rsidTr="00804489">
        <w:tc>
          <w:tcPr>
            <w:tcW w:w="3227" w:type="dxa"/>
          </w:tcPr>
          <w:p w:rsidR="00804489" w:rsidRPr="00804489" w:rsidRDefault="00804489" w:rsidP="00804489">
            <w:pPr>
              <w:rPr>
                <w:sz w:val="22"/>
                <w:szCs w:val="22"/>
              </w:rPr>
            </w:pPr>
            <w:r w:rsidRPr="00804489">
              <w:rPr>
                <w:sz w:val="22"/>
                <w:szCs w:val="22"/>
              </w:rPr>
              <w:t>Kopā</w:t>
            </w:r>
          </w:p>
        </w:tc>
        <w:tc>
          <w:tcPr>
            <w:tcW w:w="1683" w:type="dxa"/>
          </w:tcPr>
          <w:p w:rsidR="00804489" w:rsidRPr="00804489" w:rsidRDefault="00804489" w:rsidP="00804489">
            <w:pPr>
              <w:jc w:val="center"/>
              <w:rPr>
                <w:color w:val="000000"/>
                <w:sz w:val="22"/>
                <w:szCs w:val="22"/>
              </w:rPr>
            </w:pPr>
            <w:r w:rsidRPr="00804489">
              <w:rPr>
                <w:color w:val="000000"/>
                <w:sz w:val="22"/>
                <w:szCs w:val="22"/>
              </w:rPr>
              <w:t>31 333</w:t>
            </w:r>
          </w:p>
        </w:tc>
        <w:tc>
          <w:tcPr>
            <w:tcW w:w="1684" w:type="dxa"/>
          </w:tcPr>
          <w:p w:rsidR="00804489" w:rsidRPr="00804489" w:rsidRDefault="00804489" w:rsidP="00804489">
            <w:pPr>
              <w:jc w:val="center"/>
              <w:rPr>
                <w:color w:val="000000"/>
                <w:sz w:val="22"/>
                <w:szCs w:val="22"/>
              </w:rPr>
            </w:pPr>
            <w:r w:rsidRPr="00804489">
              <w:rPr>
                <w:color w:val="000000"/>
                <w:sz w:val="22"/>
                <w:szCs w:val="22"/>
              </w:rPr>
              <w:t>90 177</w:t>
            </w:r>
          </w:p>
        </w:tc>
        <w:tc>
          <w:tcPr>
            <w:tcW w:w="1684" w:type="dxa"/>
          </w:tcPr>
          <w:p w:rsidR="00804489" w:rsidRPr="00804489" w:rsidRDefault="00804489" w:rsidP="00804489">
            <w:pPr>
              <w:jc w:val="center"/>
              <w:rPr>
                <w:color w:val="000000"/>
                <w:sz w:val="22"/>
                <w:szCs w:val="22"/>
              </w:rPr>
            </w:pPr>
            <w:r w:rsidRPr="00804489">
              <w:rPr>
                <w:color w:val="000000"/>
                <w:sz w:val="22"/>
                <w:szCs w:val="22"/>
              </w:rPr>
              <w:t>72 798</w:t>
            </w:r>
          </w:p>
        </w:tc>
        <w:tc>
          <w:tcPr>
            <w:tcW w:w="1684" w:type="dxa"/>
          </w:tcPr>
          <w:p w:rsidR="00804489" w:rsidRPr="00804489" w:rsidRDefault="00804489" w:rsidP="00804489">
            <w:pPr>
              <w:jc w:val="center"/>
              <w:rPr>
                <w:color w:val="000000"/>
                <w:sz w:val="22"/>
                <w:szCs w:val="22"/>
              </w:rPr>
            </w:pPr>
            <w:r w:rsidRPr="00804489">
              <w:rPr>
                <w:color w:val="000000"/>
                <w:sz w:val="22"/>
                <w:szCs w:val="22"/>
              </w:rPr>
              <w:t>188 805</w:t>
            </w:r>
          </w:p>
        </w:tc>
      </w:tr>
      <w:tr w:rsidR="00804489" w:rsidRPr="00804489" w:rsidTr="00804489">
        <w:tc>
          <w:tcPr>
            <w:tcW w:w="3227" w:type="dxa"/>
          </w:tcPr>
          <w:p w:rsidR="00804489" w:rsidRPr="00804489" w:rsidRDefault="00804489" w:rsidP="00804489">
            <w:pPr>
              <w:rPr>
                <w:sz w:val="22"/>
                <w:szCs w:val="22"/>
              </w:rPr>
            </w:pPr>
            <w:r w:rsidRPr="00804489">
              <w:rPr>
                <w:sz w:val="22"/>
                <w:szCs w:val="22"/>
              </w:rPr>
              <w:t>Redzes traucējumi</w:t>
            </w:r>
          </w:p>
        </w:tc>
        <w:tc>
          <w:tcPr>
            <w:tcW w:w="1683" w:type="dxa"/>
            <w:vAlign w:val="bottom"/>
          </w:tcPr>
          <w:p w:rsidR="00804489" w:rsidRPr="00804489" w:rsidRDefault="00804489" w:rsidP="00804489">
            <w:pPr>
              <w:jc w:val="center"/>
              <w:rPr>
                <w:color w:val="000000"/>
                <w:sz w:val="22"/>
                <w:szCs w:val="22"/>
              </w:rPr>
            </w:pPr>
            <w:r w:rsidRPr="00804489">
              <w:rPr>
                <w:color w:val="000000"/>
                <w:sz w:val="22"/>
                <w:szCs w:val="22"/>
              </w:rPr>
              <w:t>2 997</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2 588</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4 068</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9 353</w:t>
            </w:r>
          </w:p>
        </w:tc>
      </w:tr>
      <w:tr w:rsidR="00804489" w:rsidRPr="00804489" w:rsidTr="00804489">
        <w:tc>
          <w:tcPr>
            <w:tcW w:w="3227" w:type="dxa"/>
          </w:tcPr>
          <w:p w:rsidR="00804489" w:rsidRPr="00804489" w:rsidRDefault="00804489" w:rsidP="00804489">
            <w:pPr>
              <w:rPr>
                <w:sz w:val="22"/>
                <w:szCs w:val="22"/>
              </w:rPr>
            </w:pPr>
            <w:r w:rsidRPr="00804489">
              <w:rPr>
                <w:sz w:val="22"/>
                <w:szCs w:val="22"/>
              </w:rPr>
              <w:t>Dzirdes traucējumi</w:t>
            </w:r>
          </w:p>
        </w:tc>
        <w:tc>
          <w:tcPr>
            <w:tcW w:w="1683" w:type="dxa"/>
            <w:vAlign w:val="bottom"/>
          </w:tcPr>
          <w:p w:rsidR="00804489" w:rsidRPr="00804489" w:rsidRDefault="00804489" w:rsidP="00804489">
            <w:pPr>
              <w:jc w:val="center"/>
              <w:rPr>
                <w:color w:val="000000"/>
                <w:sz w:val="22"/>
                <w:szCs w:val="22"/>
              </w:rPr>
            </w:pPr>
            <w:r w:rsidRPr="00804489">
              <w:rPr>
                <w:color w:val="000000"/>
                <w:sz w:val="22"/>
                <w:szCs w:val="22"/>
              </w:rPr>
              <w:t>14</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100</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1 880</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1 977</w:t>
            </w:r>
          </w:p>
        </w:tc>
      </w:tr>
      <w:tr w:rsidR="00804489" w:rsidRPr="00804489" w:rsidTr="00804489">
        <w:tc>
          <w:tcPr>
            <w:tcW w:w="3227" w:type="dxa"/>
          </w:tcPr>
          <w:p w:rsidR="00804489" w:rsidRPr="00804489" w:rsidRDefault="00804489" w:rsidP="00804489">
            <w:pPr>
              <w:rPr>
                <w:sz w:val="22"/>
                <w:szCs w:val="22"/>
              </w:rPr>
            </w:pPr>
            <w:r w:rsidRPr="00804489">
              <w:rPr>
                <w:sz w:val="22"/>
                <w:szCs w:val="22"/>
              </w:rPr>
              <w:t>Kustību traucējumi</w:t>
            </w:r>
          </w:p>
        </w:tc>
        <w:tc>
          <w:tcPr>
            <w:tcW w:w="1683" w:type="dxa"/>
            <w:vAlign w:val="bottom"/>
          </w:tcPr>
          <w:p w:rsidR="00804489" w:rsidRPr="00804489" w:rsidRDefault="00804489" w:rsidP="00804489">
            <w:pPr>
              <w:jc w:val="center"/>
              <w:rPr>
                <w:color w:val="000000"/>
                <w:sz w:val="22"/>
                <w:szCs w:val="22"/>
              </w:rPr>
            </w:pPr>
            <w:r w:rsidRPr="00804489">
              <w:rPr>
                <w:color w:val="000000"/>
                <w:sz w:val="22"/>
                <w:szCs w:val="22"/>
              </w:rPr>
              <w:t>3 037</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12 532</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18 168</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32 592</w:t>
            </w:r>
          </w:p>
        </w:tc>
      </w:tr>
      <w:tr w:rsidR="00804489" w:rsidRPr="00804489" w:rsidTr="00804489">
        <w:tc>
          <w:tcPr>
            <w:tcW w:w="3227" w:type="dxa"/>
          </w:tcPr>
          <w:p w:rsidR="00804489" w:rsidRPr="00804489" w:rsidRDefault="00804489" w:rsidP="00804489">
            <w:pPr>
              <w:rPr>
                <w:sz w:val="22"/>
                <w:szCs w:val="22"/>
              </w:rPr>
            </w:pPr>
            <w:r w:rsidRPr="00804489">
              <w:rPr>
                <w:sz w:val="22"/>
                <w:szCs w:val="22"/>
              </w:rPr>
              <w:t>Garīga rakstura traucējumi</w:t>
            </w:r>
          </w:p>
        </w:tc>
        <w:tc>
          <w:tcPr>
            <w:tcW w:w="1683" w:type="dxa"/>
            <w:vAlign w:val="bottom"/>
          </w:tcPr>
          <w:p w:rsidR="00804489" w:rsidRPr="00804489" w:rsidRDefault="00804489" w:rsidP="00804489">
            <w:pPr>
              <w:jc w:val="center"/>
              <w:rPr>
                <w:color w:val="000000"/>
                <w:sz w:val="22"/>
                <w:szCs w:val="22"/>
              </w:rPr>
            </w:pPr>
            <w:r w:rsidRPr="00804489">
              <w:rPr>
                <w:color w:val="000000"/>
                <w:sz w:val="22"/>
                <w:szCs w:val="22"/>
              </w:rPr>
              <w:t>4 489</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17 174</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1 923</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23 191</w:t>
            </w:r>
          </w:p>
        </w:tc>
      </w:tr>
      <w:tr w:rsidR="00804489" w:rsidRPr="00804489" w:rsidTr="00804489">
        <w:tc>
          <w:tcPr>
            <w:tcW w:w="3227" w:type="dxa"/>
          </w:tcPr>
          <w:p w:rsidR="00804489" w:rsidRPr="00804489" w:rsidRDefault="00804489" w:rsidP="00804489">
            <w:pPr>
              <w:rPr>
                <w:sz w:val="22"/>
                <w:szCs w:val="22"/>
              </w:rPr>
            </w:pPr>
            <w:r w:rsidRPr="00804489">
              <w:rPr>
                <w:sz w:val="22"/>
                <w:szCs w:val="22"/>
              </w:rPr>
              <w:t>Citi traucējumi</w:t>
            </w:r>
          </w:p>
        </w:tc>
        <w:tc>
          <w:tcPr>
            <w:tcW w:w="1683" w:type="dxa"/>
            <w:vAlign w:val="bottom"/>
          </w:tcPr>
          <w:p w:rsidR="00804489" w:rsidRPr="00804489" w:rsidRDefault="00804489" w:rsidP="00804489">
            <w:pPr>
              <w:jc w:val="center"/>
              <w:rPr>
                <w:color w:val="000000"/>
                <w:sz w:val="22"/>
                <w:szCs w:val="22"/>
              </w:rPr>
            </w:pPr>
            <w:r w:rsidRPr="00804489">
              <w:rPr>
                <w:color w:val="000000"/>
                <w:sz w:val="22"/>
                <w:szCs w:val="22"/>
              </w:rPr>
              <w:t>20 098</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49 211</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39 684</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104 654</w:t>
            </w:r>
          </w:p>
        </w:tc>
      </w:tr>
      <w:tr w:rsidR="00804489" w:rsidRPr="00804489" w:rsidTr="00804489">
        <w:tc>
          <w:tcPr>
            <w:tcW w:w="3227" w:type="dxa"/>
          </w:tcPr>
          <w:p w:rsidR="00804489" w:rsidRPr="00804489" w:rsidRDefault="00804489" w:rsidP="00804489">
            <w:pPr>
              <w:rPr>
                <w:sz w:val="22"/>
                <w:szCs w:val="22"/>
              </w:rPr>
            </w:pPr>
            <w:r w:rsidRPr="00804489">
              <w:rPr>
                <w:sz w:val="22"/>
                <w:szCs w:val="22"/>
              </w:rPr>
              <w:t>Nav zināms traucējumu veids</w:t>
            </w:r>
            <w:r w:rsidR="00AB36C6">
              <w:rPr>
                <w:sz w:val="22"/>
                <w:szCs w:val="22"/>
              </w:rPr>
              <w:t>*</w:t>
            </w:r>
          </w:p>
        </w:tc>
        <w:tc>
          <w:tcPr>
            <w:tcW w:w="1683" w:type="dxa"/>
            <w:vAlign w:val="bottom"/>
          </w:tcPr>
          <w:p w:rsidR="00804489" w:rsidRPr="00804489" w:rsidRDefault="00804489" w:rsidP="00804489">
            <w:pPr>
              <w:jc w:val="center"/>
              <w:rPr>
                <w:color w:val="000000"/>
                <w:sz w:val="22"/>
                <w:szCs w:val="22"/>
              </w:rPr>
            </w:pPr>
            <w:r w:rsidRPr="00804489">
              <w:rPr>
                <w:color w:val="000000"/>
                <w:sz w:val="22"/>
                <w:szCs w:val="22"/>
              </w:rPr>
              <w:t>1 831</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9 061</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6 965</w:t>
            </w:r>
          </w:p>
        </w:tc>
        <w:tc>
          <w:tcPr>
            <w:tcW w:w="1684" w:type="dxa"/>
            <w:vAlign w:val="bottom"/>
          </w:tcPr>
          <w:p w:rsidR="00804489" w:rsidRPr="00804489" w:rsidRDefault="00804489" w:rsidP="00804489">
            <w:pPr>
              <w:jc w:val="center"/>
              <w:rPr>
                <w:color w:val="000000"/>
                <w:sz w:val="22"/>
                <w:szCs w:val="22"/>
              </w:rPr>
            </w:pPr>
            <w:r w:rsidRPr="00804489">
              <w:rPr>
                <w:color w:val="000000"/>
                <w:sz w:val="22"/>
                <w:szCs w:val="22"/>
              </w:rPr>
              <w:t>17 590</w:t>
            </w:r>
          </w:p>
        </w:tc>
      </w:tr>
    </w:tbl>
    <w:p w:rsidR="00804489" w:rsidRDefault="00804489" w:rsidP="00804489">
      <w:pPr>
        <w:rPr>
          <w:sz w:val="20"/>
          <w:szCs w:val="20"/>
        </w:rPr>
      </w:pPr>
      <w:r w:rsidRPr="007D44F8">
        <w:rPr>
          <w:sz w:val="20"/>
          <w:szCs w:val="20"/>
        </w:rPr>
        <w:t>Avots: VSAA sociālās apdrošināšanas un sociālo pakalpojumu saņēmēji, autoru aprēķini</w:t>
      </w:r>
    </w:p>
    <w:p w:rsidR="00AB36C6" w:rsidRPr="007D44F8" w:rsidRDefault="00AB36C6" w:rsidP="00804489">
      <w:pPr>
        <w:rPr>
          <w:sz w:val="20"/>
          <w:szCs w:val="20"/>
        </w:rPr>
      </w:pPr>
      <w:r>
        <w:rPr>
          <w:sz w:val="20"/>
          <w:szCs w:val="20"/>
        </w:rPr>
        <w:t>Piezīme: * P</w:t>
      </w:r>
      <w:r w:rsidRPr="00AB36C6">
        <w:rPr>
          <w:sz w:val="20"/>
          <w:szCs w:val="20"/>
        </w:rPr>
        <w:t>ersonai invaliditāte uz mūžu ir noteikta līdz 20</w:t>
      </w:r>
      <w:r w:rsidR="00DF3D81">
        <w:rPr>
          <w:sz w:val="20"/>
          <w:szCs w:val="20"/>
        </w:rPr>
        <w:t>12</w:t>
      </w:r>
      <w:r w:rsidRPr="00AB36C6">
        <w:rPr>
          <w:sz w:val="20"/>
          <w:szCs w:val="20"/>
        </w:rPr>
        <w:t>. gadam</w:t>
      </w:r>
    </w:p>
    <w:p w:rsidR="00804489" w:rsidRDefault="00804489" w:rsidP="00804489"/>
    <w:p w:rsidR="00804489" w:rsidRDefault="00804489" w:rsidP="00804489">
      <w:r>
        <w:t xml:space="preserve">Aplūkojot personu ar invaliditāti sadalījumu pēc invaliditātes grupas (1.36. attēls), redzams, ka kopumā aptuveni 15-16% veido personas ar I grupas invaliditāti, 46-48% ir personas ar II grupas invaliditāti un 36-38% – personas ar III grupas invaliditāti. Īpatsvara robežas norādītas tāpēc, ka tās mazliet mainās aplūkoto četru gadu posmā. Kopumā aplūkotajā laika posmā ir raksturīgi palielināties I invaliditātes grupas īpatsvaram – tas ir pieaudzis par 0,8 procentpunktiem laika posmā no 2014. gadam. Tāpat ir pieaudzis personu ar III grupas invaliditāti īpatsvars aplūkotajā laika posmā – par 1,1 </w:t>
      </w:r>
      <w:r>
        <w:lastRenderedPageBreak/>
        <w:t>procentpunktu, savukārt uz šo divu īpatsvaru pieauguma fona ir samazinājies II invaliditātes grupas īpatsvars – par 1,8 procentpunktu.</w:t>
      </w:r>
    </w:p>
    <w:p w:rsidR="00804489" w:rsidRPr="00082031" w:rsidRDefault="00804489" w:rsidP="00082031">
      <w:pPr>
        <w:spacing w:before="240" w:after="120"/>
        <w:jc w:val="left"/>
        <w:rPr>
          <w:b/>
          <w:color w:val="002060"/>
        </w:rPr>
      </w:pPr>
      <w:r w:rsidRPr="00082031">
        <w:rPr>
          <w:b/>
          <w:color w:val="002060"/>
        </w:rPr>
        <w:t xml:space="preserve">1.36.attēls. Personu ar invaliditāti īpatsvars (procentos) 2014. – 2017. gadā dalījumā pēc invaliditātes grupas </w:t>
      </w:r>
    </w:p>
    <w:p w:rsidR="00804489" w:rsidRDefault="00804489" w:rsidP="00804489">
      <w:pPr>
        <w:jc w:val="center"/>
      </w:pPr>
      <w:r w:rsidRPr="001703BC">
        <w:rPr>
          <w:noProof/>
        </w:rPr>
        <w:drawing>
          <wp:inline distT="0" distB="0" distL="0" distR="0">
            <wp:extent cx="6188710" cy="2697643"/>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8710" cy="2697643"/>
                    </a:xfrm>
                    <a:prstGeom prst="rect">
                      <a:avLst/>
                    </a:prstGeom>
                    <a:noFill/>
                    <a:ln>
                      <a:noFill/>
                    </a:ln>
                  </pic:spPr>
                </pic:pic>
              </a:graphicData>
            </a:graphic>
          </wp:inline>
        </w:drawing>
      </w:r>
    </w:p>
    <w:p w:rsidR="00804489" w:rsidRPr="00AA32A2" w:rsidRDefault="00804489" w:rsidP="00C33A64">
      <w:pPr>
        <w:rPr>
          <w:sz w:val="20"/>
          <w:szCs w:val="20"/>
        </w:rPr>
      </w:pPr>
      <w:r w:rsidRPr="00AA32A2">
        <w:rPr>
          <w:sz w:val="20"/>
          <w:szCs w:val="20"/>
        </w:rPr>
        <w:t>Avots: VSAA sociālās apdrošināšanas un sociālo pakalpojumu saņēmēji, autoru aprēķini</w:t>
      </w:r>
    </w:p>
    <w:p w:rsidR="00804489" w:rsidRDefault="00804489" w:rsidP="00804489"/>
    <w:p w:rsidR="00804489" w:rsidRDefault="00804489" w:rsidP="00804489">
      <w:r>
        <w:t xml:space="preserve">Nelielas izmaiņas ir novērojamas arī aplūkojot dažādu funkcionālo traucējumu īpatsvaru visu personu ar invaliditāti starpā (1.37. attēls). </w:t>
      </w:r>
    </w:p>
    <w:p w:rsidR="00804489" w:rsidRPr="00082031" w:rsidRDefault="00804489" w:rsidP="00082031">
      <w:pPr>
        <w:spacing w:before="240" w:after="120"/>
        <w:jc w:val="left"/>
        <w:rPr>
          <w:b/>
          <w:color w:val="002060"/>
        </w:rPr>
      </w:pPr>
      <w:r w:rsidRPr="00082031">
        <w:rPr>
          <w:b/>
          <w:color w:val="002060"/>
        </w:rPr>
        <w:t xml:space="preserve">1.37.attēls. Personu ar invaliditāti īpatsvars (procentos) 2014. – 2017. gadā dalījumā pēc funkcionālo traucējumu veida </w:t>
      </w:r>
    </w:p>
    <w:p w:rsidR="00804489" w:rsidRDefault="00804489" w:rsidP="00804489">
      <w:r w:rsidRPr="00201AD5">
        <w:rPr>
          <w:noProof/>
        </w:rPr>
        <w:drawing>
          <wp:inline distT="0" distB="0" distL="0" distR="0">
            <wp:extent cx="6188710" cy="3256318"/>
            <wp:effectExtent l="0" t="0" r="0" b="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8710" cy="3256318"/>
                    </a:xfrm>
                    <a:prstGeom prst="rect">
                      <a:avLst/>
                    </a:prstGeom>
                    <a:noFill/>
                    <a:ln>
                      <a:noFill/>
                    </a:ln>
                  </pic:spPr>
                </pic:pic>
              </a:graphicData>
            </a:graphic>
          </wp:inline>
        </w:drawing>
      </w:r>
    </w:p>
    <w:p w:rsidR="00804489" w:rsidRPr="00AA32A2" w:rsidRDefault="00804489" w:rsidP="00C33A64">
      <w:pPr>
        <w:rPr>
          <w:sz w:val="20"/>
          <w:szCs w:val="20"/>
        </w:rPr>
      </w:pPr>
      <w:r w:rsidRPr="00AA32A2">
        <w:rPr>
          <w:sz w:val="20"/>
          <w:szCs w:val="20"/>
        </w:rPr>
        <w:t>Avots: VSAA sociālās apdrošināšanas un sociālo pakalpojumu saņēmēji, autoru aprēķini</w:t>
      </w:r>
    </w:p>
    <w:p w:rsidR="00AB36C6" w:rsidRPr="00AA32A2" w:rsidRDefault="00AB36C6" w:rsidP="00AB36C6">
      <w:pPr>
        <w:rPr>
          <w:sz w:val="20"/>
          <w:szCs w:val="20"/>
        </w:rPr>
      </w:pPr>
      <w:r w:rsidRPr="00AA32A2">
        <w:rPr>
          <w:sz w:val="20"/>
          <w:szCs w:val="20"/>
        </w:rPr>
        <w:t>Piezīme: Nav zināms traucējumu veids = personai invaliditāte uz mūžu ir noteikta līdz 20</w:t>
      </w:r>
      <w:r w:rsidR="00DF3D81">
        <w:rPr>
          <w:sz w:val="20"/>
          <w:szCs w:val="20"/>
        </w:rPr>
        <w:t>12</w:t>
      </w:r>
      <w:r w:rsidRPr="00AA32A2">
        <w:rPr>
          <w:sz w:val="20"/>
          <w:szCs w:val="20"/>
        </w:rPr>
        <w:t>. gadam</w:t>
      </w:r>
    </w:p>
    <w:p w:rsidR="00804489" w:rsidRDefault="00804489" w:rsidP="00804489">
      <w:r>
        <w:lastRenderedPageBreak/>
        <w:t>Redzams, ka vislielāko personu ar invaliditāti daļu veido personas ar „citiem funkcionāliem traucējumiem” (54-55%), nākamā lielākā grupa ir personas ar kustību traucējumiem (16-17%), personas ar garīga rakstura traucējumiem (aptuveni 12%), aptuveni desmitajai daļai personu nav fiksēts traucējumu veids (sk. paskaidrojumus par datiem nodaļas sākumā), personu ar redzes traucējumiem īpatsvars ir aptuveni 5% un personu ar dzirdes traucējumiem – aptuveni 1%.</w:t>
      </w:r>
    </w:p>
    <w:p w:rsidR="00804489" w:rsidRDefault="00804489" w:rsidP="00804489"/>
    <w:p w:rsidR="00804489" w:rsidRDefault="00804489" w:rsidP="00804489">
      <w:r w:rsidRPr="00762D54">
        <w:t>1.</w:t>
      </w:r>
      <w:r w:rsidR="00F3661A">
        <w:t>4</w:t>
      </w:r>
      <w:r w:rsidR="00761553">
        <w:t>2</w:t>
      </w:r>
      <w:r w:rsidRPr="00762D54">
        <w:t>. tabulā ir aplūkojami visi iespējamie sociālās apdrošināšanas un sociālie pakalpojumi</w:t>
      </w:r>
      <w:r>
        <w:t xml:space="preserve"> un personu skaits, kuras tos ir saņēmušas </w:t>
      </w:r>
      <w:r w:rsidRPr="00762D54">
        <w:t>2014. –</w:t>
      </w:r>
      <w:r>
        <w:t xml:space="preserve"> 2017. gadā (neņemot vērā ienākuma veida apmēru). Redzams,</w:t>
      </w:r>
      <w:r w:rsidRPr="00762D54">
        <w:t xml:space="preserve"> ka</w:t>
      </w:r>
      <w:r>
        <w:t xml:space="preserve"> sociālās apdrošināšanas un sociālo pakalpojumu saņemšanas īpatsvars, t.i., personu ar invaliditāti īpatsvars, kas saņēmušas pakalpojumu, attiecībā pret kopējo personu skaitu konkrētā grupā,</w:t>
      </w:r>
      <w:r w:rsidRPr="00762D54">
        <w:t xml:space="preserve"> nozīmīgi atšķiras iedalījumā pēc invaliditātes grupas un funkcionālo traucējumu</w:t>
      </w:r>
      <w:r>
        <w:t xml:space="preserve"> veida (sk. sīkāk 1.4</w:t>
      </w:r>
      <w:r w:rsidR="00DD0DA5">
        <w:t>3</w:t>
      </w:r>
      <w:r w:rsidR="00A02780">
        <w:t>. un 1.4</w:t>
      </w:r>
      <w:r w:rsidR="00DD0DA5">
        <w:t>4</w:t>
      </w:r>
      <w:r>
        <w:t xml:space="preserve">. tabulu), turklāt katra sociālā transferta ietekme uz personas ar invaliditāti kopējiem ienākumiem ir atšķirīga </w:t>
      </w:r>
      <w:r w:rsidRPr="00201AD5">
        <w:t xml:space="preserve">(sk. </w:t>
      </w:r>
      <w:r w:rsidRPr="00DD0DA5">
        <w:t>turpinājumā 1.4</w:t>
      </w:r>
      <w:r w:rsidR="00DD0DA5" w:rsidRPr="00DD0DA5">
        <w:t>5</w:t>
      </w:r>
      <w:r w:rsidRPr="00DD0DA5">
        <w:t>. tabulu</w:t>
      </w:r>
      <w:r w:rsidRPr="00201AD5">
        <w:t>).</w:t>
      </w:r>
    </w:p>
    <w:p w:rsidR="00804489" w:rsidRDefault="00804489" w:rsidP="000A7157">
      <w:pPr>
        <w:pStyle w:val="Caption"/>
      </w:pPr>
      <w:r w:rsidRPr="00814FBC">
        <w:t>1.</w:t>
      </w:r>
      <w:r w:rsidR="000A7157">
        <w:t>4</w:t>
      </w:r>
      <w:r w:rsidR="00761553">
        <w:t>2</w:t>
      </w:r>
      <w:r w:rsidRPr="00814FBC">
        <w:t>. tabula. Personu – sociālās apdrošināšanas un sociālo pakalpojumu saņēmēju – skaits 2014. – 2017. gadā dalījumā pa maksājumu un pakalpojumu veidiem</w:t>
      </w:r>
      <w:r>
        <w:t xml:space="preserve"> </w:t>
      </w:r>
    </w:p>
    <w:tbl>
      <w:tblPr>
        <w:tblStyle w:val="TableGrid"/>
        <w:tblW w:w="0" w:type="auto"/>
        <w:tblLook w:val="04A0"/>
      </w:tblPr>
      <w:tblGrid>
        <w:gridCol w:w="3227"/>
        <w:gridCol w:w="1701"/>
        <w:gridCol w:w="1701"/>
        <w:gridCol w:w="1701"/>
        <w:gridCol w:w="1632"/>
      </w:tblGrid>
      <w:tr w:rsidR="00804489" w:rsidRPr="00804489" w:rsidTr="006106B3">
        <w:tc>
          <w:tcPr>
            <w:tcW w:w="3227" w:type="dxa"/>
            <w:shd w:val="clear" w:color="auto" w:fill="B8CCE4" w:themeFill="accent1" w:themeFillTint="66"/>
          </w:tcPr>
          <w:p w:rsidR="00804489" w:rsidRPr="00804489" w:rsidRDefault="00804489" w:rsidP="00804489">
            <w:pPr>
              <w:rPr>
                <w:b/>
                <w:sz w:val="22"/>
                <w:szCs w:val="22"/>
              </w:rPr>
            </w:pPr>
            <w:r w:rsidRPr="00804489">
              <w:rPr>
                <w:b/>
                <w:sz w:val="22"/>
                <w:szCs w:val="22"/>
              </w:rPr>
              <w:t xml:space="preserve">Ienākumu veids </w:t>
            </w:r>
          </w:p>
        </w:tc>
        <w:tc>
          <w:tcPr>
            <w:tcW w:w="1701" w:type="dxa"/>
            <w:shd w:val="clear" w:color="auto" w:fill="B8CCE4" w:themeFill="accent1" w:themeFillTint="66"/>
          </w:tcPr>
          <w:p w:rsidR="00804489" w:rsidRPr="00804489" w:rsidRDefault="00804489" w:rsidP="00804489">
            <w:pPr>
              <w:jc w:val="center"/>
              <w:rPr>
                <w:b/>
                <w:sz w:val="22"/>
                <w:szCs w:val="22"/>
              </w:rPr>
            </w:pPr>
            <w:r w:rsidRPr="00804489">
              <w:rPr>
                <w:b/>
                <w:sz w:val="22"/>
                <w:szCs w:val="22"/>
              </w:rPr>
              <w:t>2014</w:t>
            </w:r>
          </w:p>
        </w:tc>
        <w:tc>
          <w:tcPr>
            <w:tcW w:w="1701" w:type="dxa"/>
            <w:shd w:val="clear" w:color="auto" w:fill="B8CCE4" w:themeFill="accent1" w:themeFillTint="66"/>
          </w:tcPr>
          <w:p w:rsidR="00804489" w:rsidRPr="00804489" w:rsidRDefault="00804489" w:rsidP="00804489">
            <w:pPr>
              <w:jc w:val="center"/>
              <w:rPr>
                <w:b/>
                <w:sz w:val="22"/>
                <w:szCs w:val="22"/>
              </w:rPr>
            </w:pPr>
            <w:r w:rsidRPr="00804489">
              <w:rPr>
                <w:b/>
                <w:sz w:val="22"/>
                <w:szCs w:val="22"/>
              </w:rPr>
              <w:t>2015</w:t>
            </w:r>
          </w:p>
        </w:tc>
        <w:tc>
          <w:tcPr>
            <w:tcW w:w="1701" w:type="dxa"/>
            <w:shd w:val="clear" w:color="auto" w:fill="B8CCE4" w:themeFill="accent1" w:themeFillTint="66"/>
          </w:tcPr>
          <w:p w:rsidR="00804489" w:rsidRPr="00804489" w:rsidRDefault="00804489" w:rsidP="00804489">
            <w:pPr>
              <w:jc w:val="center"/>
              <w:rPr>
                <w:b/>
                <w:sz w:val="22"/>
                <w:szCs w:val="22"/>
              </w:rPr>
            </w:pPr>
            <w:r w:rsidRPr="00804489">
              <w:rPr>
                <w:b/>
                <w:sz w:val="22"/>
                <w:szCs w:val="22"/>
              </w:rPr>
              <w:t>2016</w:t>
            </w:r>
          </w:p>
        </w:tc>
        <w:tc>
          <w:tcPr>
            <w:tcW w:w="1632" w:type="dxa"/>
            <w:shd w:val="clear" w:color="auto" w:fill="B8CCE4" w:themeFill="accent1" w:themeFillTint="66"/>
          </w:tcPr>
          <w:p w:rsidR="00804489" w:rsidRPr="00804489" w:rsidRDefault="00804489" w:rsidP="00804489">
            <w:pPr>
              <w:jc w:val="center"/>
              <w:rPr>
                <w:b/>
                <w:sz w:val="22"/>
                <w:szCs w:val="22"/>
              </w:rPr>
            </w:pPr>
            <w:r w:rsidRPr="00804489">
              <w:rPr>
                <w:b/>
                <w:sz w:val="22"/>
                <w:szCs w:val="22"/>
              </w:rPr>
              <w:t>2017</w:t>
            </w:r>
          </w:p>
        </w:tc>
      </w:tr>
      <w:tr w:rsidR="00804489" w:rsidRPr="00804489" w:rsidTr="00804489">
        <w:tc>
          <w:tcPr>
            <w:tcW w:w="3227" w:type="dxa"/>
          </w:tcPr>
          <w:p w:rsidR="00804489" w:rsidRPr="00804489" w:rsidRDefault="00804489" w:rsidP="00804489">
            <w:pPr>
              <w:rPr>
                <w:sz w:val="22"/>
                <w:szCs w:val="22"/>
              </w:rPr>
            </w:pPr>
            <w:r w:rsidRPr="00804489">
              <w:rPr>
                <w:sz w:val="22"/>
                <w:szCs w:val="22"/>
              </w:rPr>
              <w:t>KOPĀ</w:t>
            </w:r>
          </w:p>
        </w:tc>
        <w:tc>
          <w:tcPr>
            <w:tcW w:w="1701" w:type="dxa"/>
          </w:tcPr>
          <w:p w:rsidR="00804489" w:rsidRPr="00804489" w:rsidRDefault="00804489" w:rsidP="00804489">
            <w:pPr>
              <w:jc w:val="center"/>
              <w:rPr>
                <w:color w:val="000000"/>
                <w:sz w:val="22"/>
                <w:szCs w:val="22"/>
              </w:rPr>
            </w:pPr>
            <w:r w:rsidRPr="00804489">
              <w:rPr>
                <w:color w:val="000000"/>
                <w:sz w:val="22"/>
                <w:szCs w:val="22"/>
              </w:rPr>
              <w:t>170 276</w:t>
            </w:r>
          </w:p>
        </w:tc>
        <w:tc>
          <w:tcPr>
            <w:tcW w:w="1701" w:type="dxa"/>
          </w:tcPr>
          <w:p w:rsidR="00804489" w:rsidRPr="00804489" w:rsidRDefault="00804489" w:rsidP="00804489">
            <w:pPr>
              <w:jc w:val="center"/>
              <w:rPr>
                <w:sz w:val="22"/>
                <w:szCs w:val="22"/>
                <w:highlight w:val="yellow"/>
              </w:rPr>
            </w:pPr>
            <w:r w:rsidRPr="00804489">
              <w:rPr>
                <w:sz w:val="22"/>
                <w:szCs w:val="22"/>
              </w:rPr>
              <w:t>176 329</w:t>
            </w:r>
          </w:p>
        </w:tc>
        <w:tc>
          <w:tcPr>
            <w:tcW w:w="1701" w:type="dxa"/>
          </w:tcPr>
          <w:p w:rsidR="00804489" w:rsidRPr="00804489" w:rsidRDefault="00804489" w:rsidP="00804489">
            <w:pPr>
              <w:jc w:val="center"/>
              <w:rPr>
                <w:color w:val="000000"/>
                <w:sz w:val="22"/>
                <w:szCs w:val="22"/>
              </w:rPr>
            </w:pPr>
            <w:r w:rsidRPr="00804489">
              <w:rPr>
                <w:color w:val="000000"/>
                <w:sz w:val="22"/>
                <w:szCs w:val="22"/>
              </w:rPr>
              <w:t>183 322</w:t>
            </w:r>
          </w:p>
        </w:tc>
        <w:tc>
          <w:tcPr>
            <w:tcW w:w="1632" w:type="dxa"/>
          </w:tcPr>
          <w:p w:rsidR="00804489" w:rsidRPr="00804489" w:rsidRDefault="00804489" w:rsidP="00804489">
            <w:pPr>
              <w:jc w:val="center"/>
              <w:rPr>
                <w:color w:val="000000"/>
                <w:sz w:val="22"/>
                <w:szCs w:val="22"/>
              </w:rPr>
            </w:pPr>
            <w:r w:rsidRPr="00804489">
              <w:rPr>
                <w:color w:val="000000"/>
                <w:sz w:val="22"/>
                <w:szCs w:val="22"/>
              </w:rPr>
              <w:t>188 805</w:t>
            </w:r>
          </w:p>
        </w:tc>
      </w:tr>
      <w:tr w:rsidR="00804489" w:rsidRPr="00804489" w:rsidTr="00804489">
        <w:tc>
          <w:tcPr>
            <w:tcW w:w="3227" w:type="dxa"/>
          </w:tcPr>
          <w:p w:rsidR="00804489" w:rsidRPr="00804489" w:rsidRDefault="00804489" w:rsidP="00804489">
            <w:pPr>
              <w:rPr>
                <w:sz w:val="22"/>
                <w:szCs w:val="22"/>
              </w:rPr>
            </w:pPr>
            <w:r w:rsidRPr="00804489">
              <w:rPr>
                <w:sz w:val="22"/>
                <w:szCs w:val="22"/>
              </w:rPr>
              <w:t>Vecuma pensija</w:t>
            </w:r>
          </w:p>
        </w:tc>
        <w:tc>
          <w:tcPr>
            <w:tcW w:w="1701" w:type="dxa"/>
          </w:tcPr>
          <w:p w:rsidR="00804489" w:rsidRPr="00804489" w:rsidRDefault="00804489" w:rsidP="00804489">
            <w:pPr>
              <w:jc w:val="center"/>
              <w:rPr>
                <w:sz w:val="22"/>
                <w:szCs w:val="22"/>
              </w:rPr>
            </w:pPr>
            <w:r w:rsidRPr="00804489">
              <w:rPr>
                <w:sz w:val="22"/>
                <w:szCs w:val="22"/>
              </w:rPr>
              <w:t>69 251</w:t>
            </w:r>
          </w:p>
        </w:tc>
        <w:tc>
          <w:tcPr>
            <w:tcW w:w="1701" w:type="dxa"/>
            <w:vAlign w:val="bottom"/>
          </w:tcPr>
          <w:p w:rsidR="00804489" w:rsidRPr="00804489" w:rsidRDefault="00804489" w:rsidP="00804489">
            <w:pPr>
              <w:jc w:val="center"/>
              <w:rPr>
                <w:color w:val="000000"/>
                <w:sz w:val="22"/>
                <w:szCs w:val="22"/>
              </w:rPr>
            </w:pPr>
            <w:r w:rsidRPr="00804489">
              <w:rPr>
                <w:color w:val="000000"/>
                <w:sz w:val="22"/>
                <w:szCs w:val="22"/>
              </w:rPr>
              <w:t>73 374</w:t>
            </w:r>
          </w:p>
        </w:tc>
        <w:tc>
          <w:tcPr>
            <w:tcW w:w="1701" w:type="dxa"/>
            <w:vAlign w:val="bottom"/>
          </w:tcPr>
          <w:p w:rsidR="00804489" w:rsidRPr="00804489" w:rsidRDefault="00804489" w:rsidP="00804489">
            <w:pPr>
              <w:jc w:val="center"/>
              <w:rPr>
                <w:color w:val="000000"/>
                <w:sz w:val="22"/>
                <w:szCs w:val="22"/>
              </w:rPr>
            </w:pPr>
            <w:r w:rsidRPr="00804489">
              <w:rPr>
                <w:color w:val="000000"/>
                <w:sz w:val="22"/>
                <w:szCs w:val="22"/>
              </w:rPr>
              <w:t>77 758</w:t>
            </w:r>
          </w:p>
        </w:tc>
        <w:tc>
          <w:tcPr>
            <w:tcW w:w="1632" w:type="dxa"/>
            <w:vAlign w:val="bottom"/>
          </w:tcPr>
          <w:p w:rsidR="00804489" w:rsidRPr="00804489" w:rsidRDefault="00804489" w:rsidP="00804489">
            <w:pPr>
              <w:jc w:val="center"/>
              <w:rPr>
                <w:color w:val="000000"/>
                <w:sz w:val="22"/>
                <w:szCs w:val="22"/>
              </w:rPr>
            </w:pPr>
            <w:r w:rsidRPr="00804489">
              <w:rPr>
                <w:color w:val="000000"/>
                <w:sz w:val="22"/>
                <w:szCs w:val="22"/>
              </w:rPr>
              <w:t>81 975</w:t>
            </w:r>
          </w:p>
        </w:tc>
      </w:tr>
      <w:tr w:rsidR="00804489" w:rsidRPr="00804489" w:rsidTr="00804489">
        <w:tc>
          <w:tcPr>
            <w:tcW w:w="3227" w:type="dxa"/>
          </w:tcPr>
          <w:p w:rsidR="00804489" w:rsidRPr="00804489" w:rsidRDefault="00804489" w:rsidP="00804489">
            <w:pPr>
              <w:rPr>
                <w:sz w:val="22"/>
                <w:szCs w:val="22"/>
              </w:rPr>
            </w:pPr>
            <w:r w:rsidRPr="00804489">
              <w:rPr>
                <w:sz w:val="22"/>
                <w:szCs w:val="22"/>
              </w:rPr>
              <w:t>Invaliditātes pensija</w:t>
            </w:r>
          </w:p>
        </w:tc>
        <w:tc>
          <w:tcPr>
            <w:tcW w:w="1701" w:type="dxa"/>
          </w:tcPr>
          <w:p w:rsidR="00804489" w:rsidRPr="00804489" w:rsidRDefault="00804489" w:rsidP="00804489">
            <w:pPr>
              <w:jc w:val="center"/>
              <w:rPr>
                <w:sz w:val="22"/>
                <w:szCs w:val="22"/>
              </w:rPr>
            </w:pPr>
            <w:r w:rsidRPr="00804489">
              <w:rPr>
                <w:sz w:val="22"/>
                <w:szCs w:val="22"/>
              </w:rPr>
              <w:t>80 145</w:t>
            </w:r>
          </w:p>
        </w:tc>
        <w:tc>
          <w:tcPr>
            <w:tcW w:w="1701" w:type="dxa"/>
            <w:vAlign w:val="bottom"/>
          </w:tcPr>
          <w:p w:rsidR="00804489" w:rsidRPr="00804489" w:rsidRDefault="00804489" w:rsidP="00804489">
            <w:pPr>
              <w:jc w:val="center"/>
              <w:rPr>
                <w:color w:val="000000"/>
                <w:sz w:val="22"/>
                <w:szCs w:val="22"/>
              </w:rPr>
            </w:pPr>
            <w:r w:rsidRPr="00804489">
              <w:rPr>
                <w:color w:val="000000"/>
                <w:sz w:val="22"/>
                <w:szCs w:val="22"/>
              </w:rPr>
              <w:t>81 126</w:t>
            </w:r>
          </w:p>
        </w:tc>
        <w:tc>
          <w:tcPr>
            <w:tcW w:w="1701" w:type="dxa"/>
            <w:vAlign w:val="bottom"/>
          </w:tcPr>
          <w:p w:rsidR="00804489" w:rsidRPr="00804489" w:rsidRDefault="00804489" w:rsidP="00804489">
            <w:pPr>
              <w:jc w:val="center"/>
              <w:rPr>
                <w:color w:val="000000"/>
                <w:sz w:val="22"/>
                <w:szCs w:val="22"/>
              </w:rPr>
            </w:pPr>
            <w:r w:rsidRPr="00804489">
              <w:rPr>
                <w:color w:val="000000"/>
                <w:sz w:val="22"/>
                <w:szCs w:val="22"/>
              </w:rPr>
              <w:t>82 516</w:t>
            </w:r>
          </w:p>
        </w:tc>
        <w:tc>
          <w:tcPr>
            <w:tcW w:w="1632" w:type="dxa"/>
            <w:vAlign w:val="bottom"/>
          </w:tcPr>
          <w:p w:rsidR="00804489" w:rsidRPr="00804489" w:rsidRDefault="00804489" w:rsidP="00804489">
            <w:pPr>
              <w:jc w:val="center"/>
              <w:rPr>
                <w:color w:val="000000"/>
                <w:sz w:val="22"/>
                <w:szCs w:val="22"/>
              </w:rPr>
            </w:pPr>
            <w:r w:rsidRPr="00804489">
              <w:rPr>
                <w:color w:val="000000"/>
                <w:sz w:val="22"/>
                <w:szCs w:val="22"/>
              </w:rPr>
              <w:t>83 297</w:t>
            </w:r>
          </w:p>
        </w:tc>
      </w:tr>
      <w:tr w:rsidR="00804489" w:rsidRPr="00804489" w:rsidTr="00804489">
        <w:tc>
          <w:tcPr>
            <w:tcW w:w="3227" w:type="dxa"/>
          </w:tcPr>
          <w:p w:rsidR="00804489" w:rsidRPr="00804489" w:rsidRDefault="00804489" w:rsidP="00804489">
            <w:pPr>
              <w:rPr>
                <w:sz w:val="22"/>
                <w:szCs w:val="22"/>
              </w:rPr>
            </w:pPr>
            <w:r w:rsidRPr="00804489">
              <w:rPr>
                <w:sz w:val="22"/>
                <w:szCs w:val="22"/>
              </w:rPr>
              <w:t>Apgādnieka zaudējuma pensija</w:t>
            </w:r>
          </w:p>
        </w:tc>
        <w:tc>
          <w:tcPr>
            <w:tcW w:w="1701" w:type="dxa"/>
          </w:tcPr>
          <w:p w:rsidR="00804489" w:rsidRPr="00804489" w:rsidRDefault="00804489" w:rsidP="00804489">
            <w:pPr>
              <w:jc w:val="center"/>
              <w:rPr>
                <w:sz w:val="22"/>
                <w:szCs w:val="22"/>
              </w:rPr>
            </w:pPr>
            <w:r w:rsidRPr="00804489">
              <w:rPr>
                <w:sz w:val="22"/>
                <w:szCs w:val="22"/>
              </w:rPr>
              <w:t>2 951</w:t>
            </w:r>
          </w:p>
        </w:tc>
        <w:tc>
          <w:tcPr>
            <w:tcW w:w="1701" w:type="dxa"/>
            <w:vAlign w:val="bottom"/>
          </w:tcPr>
          <w:p w:rsidR="00804489" w:rsidRPr="00804489" w:rsidRDefault="00804489" w:rsidP="00804489">
            <w:pPr>
              <w:jc w:val="center"/>
              <w:rPr>
                <w:color w:val="000000"/>
                <w:sz w:val="22"/>
                <w:szCs w:val="22"/>
              </w:rPr>
            </w:pPr>
            <w:r w:rsidRPr="00804489">
              <w:rPr>
                <w:color w:val="000000"/>
                <w:sz w:val="22"/>
                <w:szCs w:val="22"/>
              </w:rPr>
              <w:t>3 004</w:t>
            </w:r>
          </w:p>
        </w:tc>
        <w:tc>
          <w:tcPr>
            <w:tcW w:w="1701" w:type="dxa"/>
            <w:vAlign w:val="bottom"/>
          </w:tcPr>
          <w:p w:rsidR="00804489" w:rsidRPr="00804489" w:rsidRDefault="00804489" w:rsidP="00804489">
            <w:pPr>
              <w:jc w:val="center"/>
              <w:rPr>
                <w:color w:val="000000"/>
                <w:sz w:val="22"/>
                <w:szCs w:val="22"/>
              </w:rPr>
            </w:pPr>
            <w:r w:rsidRPr="00804489">
              <w:rPr>
                <w:color w:val="000000"/>
                <w:sz w:val="22"/>
                <w:szCs w:val="22"/>
              </w:rPr>
              <w:t>3 147</w:t>
            </w:r>
          </w:p>
        </w:tc>
        <w:tc>
          <w:tcPr>
            <w:tcW w:w="1632" w:type="dxa"/>
            <w:vAlign w:val="bottom"/>
          </w:tcPr>
          <w:p w:rsidR="00804489" w:rsidRPr="00804489" w:rsidRDefault="00804489" w:rsidP="00804489">
            <w:pPr>
              <w:jc w:val="center"/>
              <w:rPr>
                <w:color w:val="000000"/>
                <w:sz w:val="22"/>
                <w:szCs w:val="22"/>
              </w:rPr>
            </w:pPr>
            <w:r w:rsidRPr="00804489">
              <w:rPr>
                <w:color w:val="000000"/>
                <w:sz w:val="22"/>
                <w:szCs w:val="22"/>
              </w:rPr>
              <w:t>3 264</w:t>
            </w:r>
          </w:p>
        </w:tc>
      </w:tr>
      <w:tr w:rsidR="00804489" w:rsidRPr="00804489" w:rsidTr="00804489">
        <w:tc>
          <w:tcPr>
            <w:tcW w:w="3227" w:type="dxa"/>
          </w:tcPr>
          <w:p w:rsidR="00804489" w:rsidRPr="00804489" w:rsidRDefault="00804489" w:rsidP="00804489">
            <w:pPr>
              <w:rPr>
                <w:sz w:val="22"/>
                <w:szCs w:val="22"/>
              </w:rPr>
            </w:pPr>
            <w:r w:rsidRPr="00804489">
              <w:rPr>
                <w:sz w:val="22"/>
                <w:szCs w:val="22"/>
              </w:rPr>
              <w:t>Izdienas pensija</w:t>
            </w:r>
          </w:p>
        </w:tc>
        <w:tc>
          <w:tcPr>
            <w:tcW w:w="1701" w:type="dxa"/>
          </w:tcPr>
          <w:p w:rsidR="00804489" w:rsidRPr="00804489" w:rsidRDefault="00804489" w:rsidP="00804489">
            <w:pPr>
              <w:jc w:val="center"/>
              <w:rPr>
                <w:sz w:val="22"/>
                <w:szCs w:val="22"/>
              </w:rPr>
            </w:pPr>
            <w:r w:rsidRPr="00804489">
              <w:rPr>
                <w:sz w:val="22"/>
                <w:szCs w:val="22"/>
              </w:rPr>
              <w:t>554</w:t>
            </w:r>
          </w:p>
        </w:tc>
        <w:tc>
          <w:tcPr>
            <w:tcW w:w="1701" w:type="dxa"/>
            <w:vAlign w:val="bottom"/>
          </w:tcPr>
          <w:p w:rsidR="00804489" w:rsidRPr="00804489" w:rsidRDefault="00804489" w:rsidP="00804489">
            <w:pPr>
              <w:jc w:val="center"/>
              <w:rPr>
                <w:color w:val="000000"/>
                <w:sz w:val="22"/>
                <w:szCs w:val="22"/>
              </w:rPr>
            </w:pPr>
            <w:r w:rsidRPr="00804489">
              <w:rPr>
                <w:color w:val="000000"/>
                <w:sz w:val="22"/>
                <w:szCs w:val="22"/>
              </w:rPr>
              <w:t>584</w:t>
            </w:r>
          </w:p>
        </w:tc>
        <w:tc>
          <w:tcPr>
            <w:tcW w:w="1701" w:type="dxa"/>
            <w:vAlign w:val="bottom"/>
          </w:tcPr>
          <w:p w:rsidR="00804489" w:rsidRPr="00804489" w:rsidRDefault="00655FE1" w:rsidP="00804489">
            <w:pPr>
              <w:jc w:val="center"/>
              <w:rPr>
                <w:color w:val="000000"/>
                <w:sz w:val="22"/>
                <w:szCs w:val="22"/>
              </w:rPr>
            </w:pPr>
            <w:r w:rsidRPr="00655FE1">
              <w:rPr>
                <w:color w:val="000000"/>
                <w:sz w:val="22"/>
                <w:szCs w:val="22"/>
              </w:rPr>
              <w:t>684</w:t>
            </w:r>
          </w:p>
        </w:tc>
        <w:tc>
          <w:tcPr>
            <w:tcW w:w="1632" w:type="dxa"/>
            <w:vAlign w:val="bottom"/>
          </w:tcPr>
          <w:p w:rsidR="00804489" w:rsidRPr="00804489" w:rsidRDefault="00804489" w:rsidP="00804489">
            <w:pPr>
              <w:jc w:val="center"/>
              <w:rPr>
                <w:color w:val="000000"/>
                <w:sz w:val="22"/>
                <w:szCs w:val="22"/>
              </w:rPr>
            </w:pPr>
            <w:r w:rsidRPr="00804489">
              <w:rPr>
                <w:color w:val="000000"/>
                <w:sz w:val="22"/>
                <w:szCs w:val="22"/>
              </w:rPr>
              <w:t>761</w:t>
            </w:r>
          </w:p>
        </w:tc>
      </w:tr>
      <w:tr w:rsidR="00804489" w:rsidRPr="00804489" w:rsidTr="00804489">
        <w:tc>
          <w:tcPr>
            <w:tcW w:w="3227" w:type="dxa"/>
          </w:tcPr>
          <w:p w:rsidR="00804489" w:rsidRPr="00804489" w:rsidRDefault="00804489" w:rsidP="00804489">
            <w:pPr>
              <w:rPr>
                <w:sz w:val="22"/>
                <w:szCs w:val="22"/>
              </w:rPr>
            </w:pPr>
            <w:r w:rsidRPr="00804489">
              <w:rPr>
                <w:sz w:val="22"/>
                <w:szCs w:val="22"/>
              </w:rPr>
              <w:t>Apdrošināšanas atlīdzība sakarā ar nelaimes gadījumu darbā</w:t>
            </w:r>
          </w:p>
        </w:tc>
        <w:tc>
          <w:tcPr>
            <w:tcW w:w="1701" w:type="dxa"/>
          </w:tcPr>
          <w:p w:rsidR="00804489" w:rsidRPr="00804489" w:rsidRDefault="00804489" w:rsidP="00804489">
            <w:pPr>
              <w:jc w:val="center"/>
              <w:rPr>
                <w:sz w:val="22"/>
                <w:szCs w:val="22"/>
              </w:rPr>
            </w:pPr>
            <w:r w:rsidRPr="00804489">
              <w:rPr>
                <w:sz w:val="22"/>
                <w:szCs w:val="22"/>
              </w:rPr>
              <w:t>7 482</w:t>
            </w:r>
          </w:p>
        </w:tc>
        <w:tc>
          <w:tcPr>
            <w:tcW w:w="1701" w:type="dxa"/>
            <w:vAlign w:val="bottom"/>
          </w:tcPr>
          <w:p w:rsidR="00804489" w:rsidRPr="00804489" w:rsidRDefault="00804489" w:rsidP="00804489">
            <w:pPr>
              <w:jc w:val="center"/>
              <w:rPr>
                <w:color w:val="000000"/>
                <w:sz w:val="22"/>
                <w:szCs w:val="22"/>
              </w:rPr>
            </w:pPr>
            <w:r w:rsidRPr="00804489">
              <w:rPr>
                <w:color w:val="000000"/>
                <w:sz w:val="22"/>
                <w:szCs w:val="22"/>
              </w:rPr>
              <w:t>8 020</w:t>
            </w:r>
          </w:p>
        </w:tc>
        <w:tc>
          <w:tcPr>
            <w:tcW w:w="1701" w:type="dxa"/>
            <w:vAlign w:val="bottom"/>
          </w:tcPr>
          <w:p w:rsidR="00804489" w:rsidRPr="00804489" w:rsidRDefault="00804489" w:rsidP="00804489">
            <w:pPr>
              <w:jc w:val="center"/>
              <w:rPr>
                <w:color w:val="000000"/>
                <w:sz w:val="22"/>
                <w:szCs w:val="22"/>
              </w:rPr>
            </w:pPr>
            <w:r w:rsidRPr="00804489">
              <w:rPr>
                <w:color w:val="000000"/>
                <w:sz w:val="22"/>
                <w:szCs w:val="22"/>
              </w:rPr>
              <w:t>8 865</w:t>
            </w:r>
          </w:p>
        </w:tc>
        <w:tc>
          <w:tcPr>
            <w:tcW w:w="1632" w:type="dxa"/>
            <w:vAlign w:val="bottom"/>
          </w:tcPr>
          <w:p w:rsidR="00804489" w:rsidRPr="00804489" w:rsidRDefault="00804489" w:rsidP="00804489">
            <w:pPr>
              <w:jc w:val="center"/>
              <w:rPr>
                <w:color w:val="000000"/>
                <w:sz w:val="22"/>
                <w:szCs w:val="22"/>
              </w:rPr>
            </w:pPr>
            <w:r w:rsidRPr="00804489">
              <w:rPr>
                <w:color w:val="000000"/>
                <w:sz w:val="22"/>
                <w:szCs w:val="22"/>
              </w:rPr>
              <w:t>9 676</w:t>
            </w:r>
          </w:p>
        </w:tc>
      </w:tr>
      <w:tr w:rsidR="00804489" w:rsidRPr="00804489" w:rsidTr="00804489">
        <w:tc>
          <w:tcPr>
            <w:tcW w:w="3227" w:type="dxa"/>
          </w:tcPr>
          <w:p w:rsidR="00804489" w:rsidRPr="00804489" w:rsidRDefault="00804489" w:rsidP="00804489">
            <w:pPr>
              <w:rPr>
                <w:sz w:val="22"/>
                <w:szCs w:val="22"/>
              </w:rPr>
            </w:pPr>
            <w:r w:rsidRPr="00804489">
              <w:rPr>
                <w:sz w:val="22"/>
                <w:szCs w:val="22"/>
              </w:rPr>
              <w:t>Valsts sociālā nodrošinājuma pabalsts</w:t>
            </w:r>
          </w:p>
        </w:tc>
        <w:tc>
          <w:tcPr>
            <w:tcW w:w="1701" w:type="dxa"/>
          </w:tcPr>
          <w:p w:rsidR="00804489" w:rsidRPr="00804489" w:rsidRDefault="00804489" w:rsidP="00804489">
            <w:pPr>
              <w:jc w:val="center"/>
              <w:rPr>
                <w:sz w:val="22"/>
                <w:szCs w:val="22"/>
              </w:rPr>
            </w:pPr>
          </w:p>
          <w:p w:rsidR="00804489" w:rsidRPr="00804489" w:rsidRDefault="00804489" w:rsidP="00804489">
            <w:pPr>
              <w:jc w:val="center"/>
              <w:rPr>
                <w:sz w:val="22"/>
                <w:szCs w:val="22"/>
              </w:rPr>
            </w:pPr>
            <w:r w:rsidRPr="00804489">
              <w:rPr>
                <w:sz w:val="22"/>
                <w:szCs w:val="22"/>
              </w:rPr>
              <w:t>18 216</w:t>
            </w:r>
          </w:p>
        </w:tc>
        <w:tc>
          <w:tcPr>
            <w:tcW w:w="1701" w:type="dxa"/>
            <w:vAlign w:val="bottom"/>
          </w:tcPr>
          <w:p w:rsidR="00804489" w:rsidRPr="00804489" w:rsidRDefault="00804489" w:rsidP="00804489">
            <w:pPr>
              <w:jc w:val="center"/>
              <w:rPr>
                <w:color w:val="000000"/>
                <w:sz w:val="22"/>
                <w:szCs w:val="22"/>
              </w:rPr>
            </w:pPr>
            <w:r w:rsidRPr="00804489">
              <w:rPr>
                <w:color w:val="000000"/>
                <w:sz w:val="22"/>
                <w:szCs w:val="22"/>
              </w:rPr>
              <w:t>18 530</w:t>
            </w:r>
          </w:p>
        </w:tc>
        <w:tc>
          <w:tcPr>
            <w:tcW w:w="1701" w:type="dxa"/>
            <w:vAlign w:val="bottom"/>
          </w:tcPr>
          <w:p w:rsidR="00804489" w:rsidRPr="00804489" w:rsidRDefault="00804489" w:rsidP="00804489">
            <w:pPr>
              <w:jc w:val="center"/>
              <w:rPr>
                <w:color w:val="000000"/>
                <w:sz w:val="22"/>
                <w:szCs w:val="22"/>
              </w:rPr>
            </w:pPr>
            <w:r w:rsidRPr="00804489">
              <w:rPr>
                <w:color w:val="000000"/>
                <w:sz w:val="22"/>
                <w:szCs w:val="22"/>
              </w:rPr>
              <w:t>18 994</w:t>
            </w:r>
          </w:p>
        </w:tc>
        <w:tc>
          <w:tcPr>
            <w:tcW w:w="1632" w:type="dxa"/>
            <w:vAlign w:val="bottom"/>
          </w:tcPr>
          <w:p w:rsidR="00804489" w:rsidRPr="00804489" w:rsidRDefault="00804489" w:rsidP="00804489">
            <w:pPr>
              <w:jc w:val="center"/>
              <w:rPr>
                <w:color w:val="000000"/>
                <w:sz w:val="22"/>
                <w:szCs w:val="22"/>
              </w:rPr>
            </w:pPr>
            <w:r w:rsidRPr="00804489">
              <w:rPr>
                <w:color w:val="000000"/>
                <w:sz w:val="22"/>
                <w:szCs w:val="22"/>
              </w:rPr>
              <w:t>19 159</w:t>
            </w:r>
          </w:p>
        </w:tc>
      </w:tr>
      <w:tr w:rsidR="00804489" w:rsidRPr="00804489" w:rsidTr="00804489">
        <w:tc>
          <w:tcPr>
            <w:tcW w:w="3227" w:type="dxa"/>
          </w:tcPr>
          <w:p w:rsidR="00804489" w:rsidRPr="00804489" w:rsidRDefault="00917A17" w:rsidP="00804489">
            <w:pPr>
              <w:rPr>
                <w:sz w:val="22"/>
                <w:szCs w:val="22"/>
              </w:rPr>
            </w:pPr>
            <w:r>
              <w:rPr>
                <w:sz w:val="22"/>
                <w:szCs w:val="22"/>
              </w:rPr>
              <w:t>Personas ar invaliditāti</w:t>
            </w:r>
            <w:r w:rsidR="00930F64">
              <w:rPr>
                <w:sz w:val="22"/>
                <w:szCs w:val="22"/>
              </w:rPr>
              <w:t xml:space="preserve"> </w:t>
            </w:r>
            <w:r w:rsidR="00930F64">
              <w:t>īpašas</w:t>
            </w:r>
            <w:r w:rsidR="00804489" w:rsidRPr="00804489">
              <w:rPr>
                <w:sz w:val="22"/>
                <w:szCs w:val="22"/>
              </w:rPr>
              <w:t xml:space="preserve"> kopšanas pabalsts</w:t>
            </w:r>
          </w:p>
        </w:tc>
        <w:tc>
          <w:tcPr>
            <w:tcW w:w="1701" w:type="dxa"/>
          </w:tcPr>
          <w:p w:rsidR="00804489" w:rsidRPr="00804489" w:rsidRDefault="00804489" w:rsidP="00804489">
            <w:pPr>
              <w:jc w:val="center"/>
              <w:rPr>
                <w:sz w:val="22"/>
                <w:szCs w:val="22"/>
              </w:rPr>
            </w:pPr>
            <w:r w:rsidRPr="00804489">
              <w:rPr>
                <w:sz w:val="22"/>
                <w:szCs w:val="22"/>
              </w:rPr>
              <w:t>15 642</w:t>
            </w:r>
          </w:p>
        </w:tc>
        <w:tc>
          <w:tcPr>
            <w:tcW w:w="1701" w:type="dxa"/>
            <w:vAlign w:val="bottom"/>
          </w:tcPr>
          <w:p w:rsidR="00804489" w:rsidRPr="00804489" w:rsidRDefault="00804489" w:rsidP="00804489">
            <w:pPr>
              <w:jc w:val="center"/>
              <w:rPr>
                <w:color w:val="000000"/>
                <w:sz w:val="22"/>
                <w:szCs w:val="22"/>
              </w:rPr>
            </w:pPr>
            <w:r w:rsidRPr="00804489">
              <w:rPr>
                <w:color w:val="000000"/>
                <w:sz w:val="22"/>
                <w:szCs w:val="22"/>
              </w:rPr>
              <w:t>18 288</w:t>
            </w:r>
          </w:p>
        </w:tc>
        <w:tc>
          <w:tcPr>
            <w:tcW w:w="1701" w:type="dxa"/>
            <w:vAlign w:val="bottom"/>
          </w:tcPr>
          <w:p w:rsidR="00804489" w:rsidRPr="00804489" w:rsidRDefault="00804489" w:rsidP="00804489">
            <w:pPr>
              <w:jc w:val="center"/>
              <w:rPr>
                <w:color w:val="000000"/>
                <w:sz w:val="22"/>
                <w:szCs w:val="22"/>
              </w:rPr>
            </w:pPr>
            <w:r w:rsidRPr="00804489">
              <w:rPr>
                <w:color w:val="000000"/>
                <w:sz w:val="22"/>
                <w:szCs w:val="22"/>
              </w:rPr>
              <w:t>19 509</w:t>
            </w:r>
          </w:p>
        </w:tc>
        <w:tc>
          <w:tcPr>
            <w:tcW w:w="1632" w:type="dxa"/>
            <w:vAlign w:val="bottom"/>
          </w:tcPr>
          <w:p w:rsidR="00804489" w:rsidRPr="00804489" w:rsidRDefault="00804489" w:rsidP="00804489">
            <w:pPr>
              <w:jc w:val="center"/>
              <w:rPr>
                <w:color w:val="000000"/>
                <w:sz w:val="22"/>
                <w:szCs w:val="22"/>
              </w:rPr>
            </w:pPr>
            <w:r w:rsidRPr="00804489">
              <w:rPr>
                <w:color w:val="000000"/>
                <w:sz w:val="22"/>
                <w:szCs w:val="22"/>
              </w:rPr>
              <w:t>20 046</w:t>
            </w:r>
          </w:p>
        </w:tc>
      </w:tr>
      <w:tr w:rsidR="00804489" w:rsidRPr="00804489" w:rsidTr="00804489">
        <w:tc>
          <w:tcPr>
            <w:tcW w:w="3227" w:type="dxa"/>
          </w:tcPr>
          <w:p w:rsidR="00804489" w:rsidRPr="00804489" w:rsidRDefault="00804489" w:rsidP="00804489">
            <w:pPr>
              <w:rPr>
                <w:sz w:val="22"/>
                <w:szCs w:val="22"/>
              </w:rPr>
            </w:pPr>
            <w:r w:rsidRPr="00804489">
              <w:rPr>
                <w:sz w:val="22"/>
                <w:szCs w:val="22"/>
              </w:rPr>
              <w:t>Transporta kompensācija</w:t>
            </w:r>
          </w:p>
        </w:tc>
        <w:tc>
          <w:tcPr>
            <w:tcW w:w="1701" w:type="dxa"/>
          </w:tcPr>
          <w:p w:rsidR="00804489" w:rsidRPr="00804489" w:rsidRDefault="00804489" w:rsidP="00804489">
            <w:pPr>
              <w:jc w:val="center"/>
              <w:rPr>
                <w:sz w:val="22"/>
                <w:szCs w:val="22"/>
              </w:rPr>
            </w:pPr>
            <w:r w:rsidRPr="00804489">
              <w:rPr>
                <w:sz w:val="22"/>
                <w:szCs w:val="22"/>
              </w:rPr>
              <w:t>21 711</w:t>
            </w:r>
          </w:p>
        </w:tc>
        <w:tc>
          <w:tcPr>
            <w:tcW w:w="1701" w:type="dxa"/>
            <w:vAlign w:val="bottom"/>
          </w:tcPr>
          <w:p w:rsidR="00804489" w:rsidRPr="00804489" w:rsidRDefault="00804489" w:rsidP="00804489">
            <w:pPr>
              <w:jc w:val="center"/>
              <w:rPr>
                <w:color w:val="000000"/>
                <w:sz w:val="22"/>
                <w:szCs w:val="22"/>
              </w:rPr>
            </w:pPr>
            <w:r w:rsidRPr="00804489">
              <w:rPr>
                <w:color w:val="000000"/>
                <w:sz w:val="22"/>
                <w:szCs w:val="22"/>
              </w:rPr>
              <w:t>24 026</w:t>
            </w:r>
          </w:p>
        </w:tc>
        <w:tc>
          <w:tcPr>
            <w:tcW w:w="1701" w:type="dxa"/>
            <w:vAlign w:val="bottom"/>
          </w:tcPr>
          <w:p w:rsidR="00804489" w:rsidRPr="00804489" w:rsidRDefault="00804489" w:rsidP="00804489">
            <w:pPr>
              <w:jc w:val="center"/>
              <w:rPr>
                <w:color w:val="000000"/>
                <w:sz w:val="22"/>
                <w:szCs w:val="22"/>
              </w:rPr>
            </w:pPr>
            <w:r w:rsidRPr="00804489">
              <w:rPr>
                <w:color w:val="000000"/>
                <w:sz w:val="22"/>
                <w:szCs w:val="22"/>
              </w:rPr>
              <w:t>26 151</w:t>
            </w:r>
          </w:p>
        </w:tc>
        <w:tc>
          <w:tcPr>
            <w:tcW w:w="1632" w:type="dxa"/>
            <w:vAlign w:val="bottom"/>
          </w:tcPr>
          <w:p w:rsidR="00804489" w:rsidRPr="00804489" w:rsidRDefault="00804489" w:rsidP="00804489">
            <w:pPr>
              <w:jc w:val="center"/>
              <w:rPr>
                <w:color w:val="000000"/>
                <w:sz w:val="22"/>
                <w:szCs w:val="22"/>
              </w:rPr>
            </w:pPr>
            <w:r w:rsidRPr="00804489">
              <w:rPr>
                <w:color w:val="000000"/>
                <w:sz w:val="22"/>
                <w:szCs w:val="22"/>
              </w:rPr>
              <w:t>28 425</w:t>
            </w:r>
          </w:p>
        </w:tc>
      </w:tr>
      <w:tr w:rsidR="00804489" w:rsidRPr="00804489" w:rsidTr="00804489">
        <w:tc>
          <w:tcPr>
            <w:tcW w:w="3227" w:type="dxa"/>
          </w:tcPr>
          <w:p w:rsidR="00804489" w:rsidRPr="00804489" w:rsidRDefault="00804489" w:rsidP="00804489">
            <w:pPr>
              <w:rPr>
                <w:sz w:val="22"/>
                <w:szCs w:val="22"/>
              </w:rPr>
            </w:pPr>
            <w:r w:rsidRPr="00804489">
              <w:rPr>
                <w:sz w:val="22"/>
                <w:szCs w:val="22"/>
              </w:rPr>
              <w:t>Bezdarbnieka pabalsts</w:t>
            </w:r>
          </w:p>
        </w:tc>
        <w:tc>
          <w:tcPr>
            <w:tcW w:w="1701" w:type="dxa"/>
          </w:tcPr>
          <w:p w:rsidR="00804489" w:rsidRPr="00804489" w:rsidRDefault="00804489" w:rsidP="00804489">
            <w:pPr>
              <w:jc w:val="center"/>
              <w:rPr>
                <w:sz w:val="22"/>
                <w:szCs w:val="22"/>
              </w:rPr>
            </w:pPr>
            <w:r w:rsidRPr="00804489">
              <w:rPr>
                <w:sz w:val="22"/>
                <w:szCs w:val="22"/>
              </w:rPr>
              <w:t>7 209</w:t>
            </w:r>
          </w:p>
        </w:tc>
        <w:tc>
          <w:tcPr>
            <w:tcW w:w="1701" w:type="dxa"/>
            <w:vAlign w:val="bottom"/>
          </w:tcPr>
          <w:p w:rsidR="00804489" w:rsidRPr="00804489" w:rsidRDefault="00804489" w:rsidP="00804489">
            <w:pPr>
              <w:jc w:val="center"/>
              <w:rPr>
                <w:color w:val="000000"/>
                <w:sz w:val="22"/>
                <w:szCs w:val="22"/>
              </w:rPr>
            </w:pPr>
            <w:r w:rsidRPr="00804489">
              <w:rPr>
                <w:color w:val="000000"/>
                <w:sz w:val="22"/>
                <w:szCs w:val="22"/>
              </w:rPr>
              <w:t>7 818</w:t>
            </w:r>
          </w:p>
        </w:tc>
        <w:tc>
          <w:tcPr>
            <w:tcW w:w="1701" w:type="dxa"/>
            <w:vAlign w:val="bottom"/>
          </w:tcPr>
          <w:p w:rsidR="00804489" w:rsidRPr="00804489" w:rsidRDefault="00804489" w:rsidP="00804489">
            <w:pPr>
              <w:jc w:val="center"/>
              <w:rPr>
                <w:color w:val="000000"/>
                <w:sz w:val="22"/>
                <w:szCs w:val="22"/>
              </w:rPr>
            </w:pPr>
            <w:r w:rsidRPr="00804489">
              <w:rPr>
                <w:color w:val="000000"/>
                <w:sz w:val="22"/>
                <w:szCs w:val="22"/>
              </w:rPr>
              <w:t>8 680</w:t>
            </w:r>
          </w:p>
        </w:tc>
        <w:tc>
          <w:tcPr>
            <w:tcW w:w="1632" w:type="dxa"/>
            <w:vAlign w:val="bottom"/>
          </w:tcPr>
          <w:p w:rsidR="00804489" w:rsidRPr="00804489" w:rsidRDefault="00804489" w:rsidP="00804489">
            <w:pPr>
              <w:jc w:val="center"/>
              <w:rPr>
                <w:color w:val="000000"/>
                <w:sz w:val="22"/>
                <w:szCs w:val="22"/>
              </w:rPr>
            </w:pPr>
            <w:r w:rsidRPr="00804489">
              <w:rPr>
                <w:color w:val="000000"/>
                <w:sz w:val="22"/>
                <w:szCs w:val="22"/>
              </w:rPr>
              <w:t>8 540</w:t>
            </w:r>
          </w:p>
        </w:tc>
      </w:tr>
      <w:tr w:rsidR="00804489" w:rsidRPr="00804489" w:rsidTr="00804489">
        <w:tc>
          <w:tcPr>
            <w:tcW w:w="3227" w:type="dxa"/>
          </w:tcPr>
          <w:p w:rsidR="00804489" w:rsidRPr="00804489" w:rsidRDefault="00804489" w:rsidP="00804489">
            <w:pPr>
              <w:rPr>
                <w:sz w:val="22"/>
                <w:szCs w:val="22"/>
              </w:rPr>
            </w:pPr>
            <w:r w:rsidRPr="00804489">
              <w:rPr>
                <w:sz w:val="22"/>
                <w:szCs w:val="22"/>
              </w:rPr>
              <w:t>Slimības pabalsts</w:t>
            </w:r>
          </w:p>
        </w:tc>
        <w:tc>
          <w:tcPr>
            <w:tcW w:w="1701" w:type="dxa"/>
          </w:tcPr>
          <w:p w:rsidR="00804489" w:rsidRPr="00804489" w:rsidRDefault="00804489" w:rsidP="00804489">
            <w:pPr>
              <w:jc w:val="center"/>
              <w:rPr>
                <w:sz w:val="22"/>
                <w:szCs w:val="22"/>
              </w:rPr>
            </w:pPr>
            <w:r w:rsidRPr="00804489">
              <w:rPr>
                <w:sz w:val="22"/>
                <w:szCs w:val="22"/>
              </w:rPr>
              <w:t>16 606</w:t>
            </w:r>
          </w:p>
        </w:tc>
        <w:tc>
          <w:tcPr>
            <w:tcW w:w="1701" w:type="dxa"/>
            <w:vAlign w:val="bottom"/>
          </w:tcPr>
          <w:p w:rsidR="00804489" w:rsidRPr="00804489" w:rsidRDefault="00804489" w:rsidP="00804489">
            <w:pPr>
              <w:jc w:val="center"/>
              <w:rPr>
                <w:color w:val="000000"/>
                <w:sz w:val="22"/>
                <w:szCs w:val="22"/>
              </w:rPr>
            </w:pPr>
            <w:r w:rsidRPr="00804489">
              <w:rPr>
                <w:color w:val="000000"/>
                <w:sz w:val="22"/>
                <w:szCs w:val="22"/>
              </w:rPr>
              <w:t>18 648</w:t>
            </w:r>
          </w:p>
        </w:tc>
        <w:tc>
          <w:tcPr>
            <w:tcW w:w="1701" w:type="dxa"/>
            <w:vAlign w:val="bottom"/>
          </w:tcPr>
          <w:p w:rsidR="00804489" w:rsidRPr="00804489" w:rsidRDefault="00804489" w:rsidP="00804489">
            <w:pPr>
              <w:jc w:val="center"/>
              <w:rPr>
                <w:color w:val="000000"/>
                <w:sz w:val="22"/>
                <w:szCs w:val="22"/>
              </w:rPr>
            </w:pPr>
            <w:r w:rsidRPr="00804489">
              <w:rPr>
                <w:color w:val="000000"/>
                <w:sz w:val="22"/>
                <w:szCs w:val="22"/>
              </w:rPr>
              <w:t>20 395</w:t>
            </w:r>
          </w:p>
        </w:tc>
        <w:tc>
          <w:tcPr>
            <w:tcW w:w="1632" w:type="dxa"/>
            <w:vAlign w:val="bottom"/>
          </w:tcPr>
          <w:p w:rsidR="00804489" w:rsidRPr="00804489" w:rsidRDefault="00804489" w:rsidP="00804489">
            <w:pPr>
              <w:jc w:val="center"/>
              <w:rPr>
                <w:color w:val="000000"/>
                <w:sz w:val="22"/>
                <w:szCs w:val="22"/>
              </w:rPr>
            </w:pPr>
            <w:r w:rsidRPr="00804489">
              <w:rPr>
                <w:color w:val="000000"/>
                <w:sz w:val="22"/>
                <w:szCs w:val="22"/>
              </w:rPr>
              <w:t>21 599</w:t>
            </w:r>
          </w:p>
        </w:tc>
      </w:tr>
      <w:tr w:rsidR="00804489" w:rsidRPr="00804489" w:rsidTr="00804489">
        <w:tc>
          <w:tcPr>
            <w:tcW w:w="3227" w:type="dxa"/>
          </w:tcPr>
          <w:p w:rsidR="00804489" w:rsidRPr="00804489" w:rsidRDefault="00804489" w:rsidP="00804489">
            <w:pPr>
              <w:rPr>
                <w:sz w:val="22"/>
                <w:szCs w:val="22"/>
              </w:rPr>
            </w:pPr>
            <w:r w:rsidRPr="00804489">
              <w:rPr>
                <w:sz w:val="22"/>
                <w:szCs w:val="22"/>
              </w:rPr>
              <w:t>Papildu izdevumi saistībā ar nelaimes gadījumu darbā</w:t>
            </w:r>
          </w:p>
        </w:tc>
        <w:tc>
          <w:tcPr>
            <w:tcW w:w="1701" w:type="dxa"/>
          </w:tcPr>
          <w:p w:rsidR="00804489" w:rsidRPr="00804489" w:rsidRDefault="00804489" w:rsidP="00804489">
            <w:pPr>
              <w:jc w:val="center"/>
              <w:rPr>
                <w:sz w:val="22"/>
                <w:szCs w:val="22"/>
              </w:rPr>
            </w:pPr>
          </w:p>
          <w:p w:rsidR="00804489" w:rsidRPr="00804489" w:rsidRDefault="00804489" w:rsidP="00804489">
            <w:pPr>
              <w:jc w:val="center"/>
              <w:rPr>
                <w:sz w:val="22"/>
                <w:szCs w:val="22"/>
              </w:rPr>
            </w:pPr>
            <w:r w:rsidRPr="00804489">
              <w:rPr>
                <w:sz w:val="22"/>
                <w:szCs w:val="22"/>
              </w:rPr>
              <w:t>3 474</w:t>
            </w:r>
          </w:p>
        </w:tc>
        <w:tc>
          <w:tcPr>
            <w:tcW w:w="1701" w:type="dxa"/>
            <w:vAlign w:val="bottom"/>
          </w:tcPr>
          <w:p w:rsidR="00804489" w:rsidRPr="00804489" w:rsidRDefault="00804489" w:rsidP="00804489">
            <w:pPr>
              <w:jc w:val="center"/>
              <w:rPr>
                <w:color w:val="000000"/>
                <w:sz w:val="22"/>
                <w:szCs w:val="22"/>
              </w:rPr>
            </w:pPr>
            <w:r w:rsidRPr="00804489">
              <w:rPr>
                <w:color w:val="000000"/>
                <w:sz w:val="22"/>
                <w:szCs w:val="22"/>
              </w:rPr>
              <w:t>3 743</w:t>
            </w:r>
          </w:p>
        </w:tc>
        <w:tc>
          <w:tcPr>
            <w:tcW w:w="1701" w:type="dxa"/>
            <w:vAlign w:val="bottom"/>
          </w:tcPr>
          <w:p w:rsidR="00804489" w:rsidRPr="00804489" w:rsidRDefault="00804489" w:rsidP="00804489">
            <w:pPr>
              <w:jc w:val="center"/>
              <w:rPr>
                <w:color w:val="000000"/>
                <w:sz w:val="22"/>
                <w:szCs w:val="22"/>
              </w:rPr>
            </w:pPr>
            <w:r w:rsidRPr="00804489">
              <w:rPr>
                <w:color w:val="000000"/>
                <w:sz w:val="22"/>
                <w:szCs w:val="22"/>
              </w:rPr>
              <w:t>4 222</w:t>
            </w:r>
          </w:p>
        </w:tc>
        <w:tc>
          <w:tcPr>
            <w:tcW w:w="1632" w:type="dxa"/>
            <w:vAlign w:val="bottom"/>
          </w:tcPr>
          <w:p w:rsidR="00804489" w:rsidRPr="00804489" w:rsidRDefault="00804489" w:rsidP="00804489">
            <w:pPr>
              <w:jc w:val="center"/>
              <w:rPr>
                <w:color w:val="000000"/>
                <w:sz w:val="22"/>
                <w:szCs w:val="22"/>
              </w:rPr>
            </w:pPr>
            <w:r w:rsidRPr="00804489">
              <w:rPr>
                <w:color w:val="000000"/>
                <w:sz w:val="22"/>
                <w:szCs w:val="22"/>
              </w:rPr>
              <w:t>4 922</w:t>
            </w:r>
          </w:p>
        </w:tc>
      </w:tr>
      <w:tr w:rsidR="00804489" w:rsidRPr="00804489" w:rsidTr="00804489">
        <w:tc>
          <w:tcPr>
            <w:tcW w:w="3227" w:type="dxa"/>
          </w:tcPr>
          <w:p w:rsidR="00804489" w:rsidRPr="00804489" w:rsidRDefault="00804489" w:rsidP="00804489">
            <w:pPr>
              <w:rPr>
                <w:sz w:val="22"/>
                <w:szCs w:val="22"/>
              </w:rPr>
            </w:pPr>
            <w:r w:rsidRPr="00804489">
              <w:rPr>
                <w:sz w:val="22"/>
                <w:szCs w:val="22"/>
              </w:rPr>
              <w:t>Kaitējuma atlīdzība ČAES seku likvidācijas dalībniekiem</w:t>
            </w:r>
          </w:p>
        </w:tc>
        <w:tc>
          <w:tcPr>
            <w:tcW w:w="1701" w:type="dxa"/>
          </w:tcPr>
          <w:p w:rsidR="00804489" w:rsidRPr="00804489" w:rsidRDefault="00804489" w:rsidP="00804489">
            <w:pPr>
              <w:jc w:val="center"/>
              <w:rPr>
                <w:sz w:val="22"/>
                <w:szCs w:val="22"/>
              </w:rPr>
            </w:pPr>
          </w:p>
          <w:p w:rsidR="00804489" w:rsidRPr="00804489" w:rsidRDefault="00804489" w:rsidP="00804489">
            <w:pPr>
              <w:jc w:val="center"/>
              <w:rPr>
                <w:sz w:val="22"/>
                <w:szCs w:val="22"/>
              </w:rPr>
            </w:pPr>
            <w:r w:rsidRPr="00804489">
              <w:rPr>
                <w:sz w:val="22"/>
                <w:szCs w:val="22"/>
              </w:rPr>
              <w:t>3 458</w:t>
            </w:r>
          </w:p>
        </w:tc>
        <w:tc>
          <w:tcPr>
            <w:tcW w:w="1701" w:type="dxa"/>
            <w:vAlign w:val="bottom"/>
          </w:tcPr>
          <w:p w:rsidR="00804489" w:rsidRPr="00804489" w:rsidRDefault="00804489" w:rsidP="00804489">
            <w:pPr>
              <w:jc w:val="center"/>
              <w:rPr>
                <w:color w:val="000000"/>
                <w:sz w:val="22"/>
                <w:szCs w:val="22"/>
              </w:rPr>
            </w:pPr>
            <w:r w:rsidRPr="00804489">
              <w:rPr>
                <w:color w:val="000000"/>
                <w:sz w:val="22"/>
                <w:szCs w:val="22"/>
              </w:rPr>
              <w:t>3 411</w:t>
            </w:r>
          </w:p>
        </w:tc>
        <w:tc>
          <w:tcPr>
            <w:tcW w:w="1701" w:type="dxa"/>
            <w:vAlign w:val="bottom"/>
          </w:tcPr>
          <w:p w:rsidR="00804489" w:rsidRPr="00804489" w:rsidRDefault="00804489" w:rsidP="00804489">
            <w:pPr>
              <w:jc w:val="center"/>
              <w:rPr>
                <w:color w:val="000000"/>
                <w:sz w:val="22"/>
                <w:szCs w:val="22"/>
              </w:rPr>
            </w:pPr>
            <w:r w:rsidRPr="00804489">
              <w:rPr>
                <w:color w:val="000000"/>
                <w:sz w:val="22"/>
                <w:szCs w:val="22"/>
              </w:rPr>
              <w:t>3 369</w:t>
            </w:r>
          </w:p>
        </w:tc>
        <w:tc>
          <w:tcPr>
            <w:tcW w:w="1632" w:type="dxa"/>
            <w:vAlign w:val="bottom"/>
          </w:tcPr>
          <w:p w:rsidR="00804489" w:rsidRPr="00804489" w:rsidRDefault="00804489" w:rsidP="00804489">
            <w:pPr>
              <w:jc w:val="center"/>
              <w:rPr>
                <w:color w:val="000000"/>
                <w:sz w:val="22"/>
                <w:szCs w:val="22"/>
              </w:rPr>
            </w:pPr>
            <w:r w:rsidRPr="00804489">
              <w:rPr>
                <w:color w:val="000000"/>
                <w:sz w:val="22"/>
                <w:szCs w:val="22"/>
              </w:rPr>
              <w:t>3 306</w:t>
            </w:r>
          </w:p>
        </w:tc>
      </w:tr>
      <w:tr w:rsidR="00804489" w:rsidRPr="00804489" w:rsidTr="00804489">
        <w:tc>
          <w:tcPr>
            <w:tcW w:w="3227" w:type="dxa"/>
          </w:tcPr>
          <w:p w:rsidR="00804489" w:rsidRPr="00804489" w:rsidRDefault="00804489" w:rsidP="00804489">
            <w:pPr>
              <w:rPr>
                <w:sz w:val="22"/>
                <w:szCs w:val="22"/>
              </w:rPr>
            </w:pPr>
            <w:r w:rsidRPr="00804489">
              <w:rPr>
                <w:sz w:val="22"/>
                <w:szCs w:val="22"/>
              </w:rPr>
              <w:t xml:space="preserve">Pabalsts </w:t>
            </w:r>
            <w:r w:rsidR="00917A17">
              <w:rPr>
                <w:sz w:val="22"/>
                <w:szCs w:val="22"/>
              </w:rPr>
              <w:t>personas ar redzes invaliditāti</w:t>
            </w:r>
            <w:r w:rsidRPr="00804489">
              <w:rPr>
                <w:sz w:val="22"/>
                <w:szCs w:val="22"/>
              </w:rPr>
              <w:t xml:space="preserve"> asistentam</w:t>
            </w:r>
          </w:p>
        </w:tc>
        <w:tc>
          <w:tcPr>
            <w:tcW w:w="1701" w:type="dxa"/>
          </w:tcPr>
          <w:p w:rsidR="00804489" w:rsidRPr="00804489" w:rsidRDefault="00804489" w:rsidP="00804489">
            <w:pPr>
              <w:jc w:val="center"/>
              <w:rPr>
                <w:sz w:val="22"/>
                <w:szCs w:val="22"/>
              </w:rPr>
            </w:pPr>
          </w:p>
          <w:p w:rsidR="00804489" w:rsidRPr="00804489" w:rsidRDefault="00804489" w:rsidP="00804489">
            <w:pPr>
              <w:jc w:val="center"/>
              <w:rPr>
                <w:sz w:val="22"/>
                <w:szCs w:val="22"/>
              </w:rPr>
            </w:pPr>
            <w:r w:rsidRPr="00804489">
              <w:rPr>
                <w:sz w:val="22"/>
                <w:szCs w:val="22"/>
              </w:rPr>
              <w:t>0</w:t>
            </w:r>
          </w:p>
        </w:tc>
        <w:tc>
          <w:tcPr>
            <w:tcW w:w="1701" w:type="dxa"/>
            <w:vAlign w:val="bottom"/>
          </w:tcPr>
          <w:p w:rsidR="00804489" w:rsidRPr="00804489" w:rsidRDefault="00804489" w:rsidP="00804489">
            <w:pPr>
              <w:jc w:val="center"/>
              <w:rPr>
                <w:color w:val="000000"/>
                <w:sz w:val="22"/>
                <w:szCs w:val="22"/>
              </w:rPr>
            </w:pPr>
            <w:r w:rsidRPr="00804489">
              <w:rPr>
                <w:color w:val="000000"/>
                <w:sz w:val="22"/>
                <w:szCs w:val="22"/>
              </w:rPr>
              <w:t>2 309</w:t>
            </w:r>
          </w:p>
        </w:tc>
        <w:tc>
          <w:tcPr>
            <w:tcW w:w="1701" w:type="dxa"/>
            <w:vAlign w:val="bottom"/>
          </w:tcPr>
          <w:p w:rsidR="00804489" w:rsidRPr="00804489" w:rsidRDefault="00804489" w:rsidP="00804489">
            <w:pPr>
              <w:jc w:val="center"/>
              <w:rPr>
                <w:color w:val="000000"/>
                <w:sz w:val="22"/>
                <w:szCs w:val="22"/>
              </w:rPr>
            </w:pPr>
            <w:r w:rsidRPr="00804489">
              <w:rPr>
                <w:color w:val="000000"/>
                <w:sz w:val="22"/>
                <w:szCs w:val="22"/>
              </w:rPr>
              <w:t>2 326</w:t>
            </w:r>
          </w:p>
        </w:tc>
        <w:tc>
          <w:tcPr>
            <w:tcW w:w="1632" w:type="dxa"/>
            <w:vAlign w:val="bottom"/>
          </w:tcPr>
          <w:p w:rsidR="00804489" w:rsidRPr="00804489" w:rsidRDefault="00804489" w:rsidP="00804489">
            <w:pPr>
              <w:jc w:val="center"/>
              <w:rPr>
                <w:color w:val="000000"/>
                <w:sz w:val="22"/>
                <w:szCs w:val="22"/>
              </w:rPr>
            </w:pPr>
            <w:r w:rsidRPr="00804489">
              <w:rPr>
                <w:color w:val="000000"/>
                <w:sz w:val="22"/>
                <w:szCs w:val="22"/>
              </w:rPr>
              <w:t>2 389</w:t>
            </w:r>
          </w:p>
        </w:tc>
      </w:tr>
      <w:tr w:rsidR="00804489" w:rsidRPr="00804489" w:rsidTr="00804489">
        <w:tc>
          <w:tcPr>
            <w:tcW w:w="3227" w:type="dxa"/>
          </w:tcPr>
          <w:p w:rsidR="00804489" w:rsidRPr="00804489" w:rsidRDefault="00804489" w:rsidP="00804489">
            <w:pPr>
              <w:rPr>
                <w:sz w:val="22"/>
                <w:szCs w:val="22"/>
              </w:rPr>
            </w:pPr>
            <w:r w:rsidRPr="00804489">
              <w:rPr>
                <w:sz w:val="22"/>
                <w:szCs w:val="22"/>
              </w:rPr>
              <w:t>Citi ienākumu veidi (t.sk. alga)</w:t>
            </w:r>
          </w:p>
        </w:tc>
        <w:tc>
          <w:tcPr>
            <w:tcW w:w="1701" w:type="dxa"/>
          </w:tcPr>
          <w:p w:rsidR="00804489" w:rsidRPr="00804489" w:rsidRDefault="00804489" w:rsidP="00804489">
            <w:pPr>
              <w:jc w:val="center"/>
              <w:rPr>
                <w:sz w:val="22"/>
                <w:szCs w:val="22"/>
              </w:rPr>
            </w:pPr>
            <w:r w:rsidRPr="00804489">
              <w:rPr>
                <w:sz w:val="22"/>
                <w:szCs w:val="22"/>
              </w:rPr>
              <w:t>48 275</w:t>
            </w:r>
          </w:p>
        </w:tc>
        <w:tc>
          <w:tcPr>
            <w:tcW w:w="1701" w:type="dxa"/>
            <w:vAlign w:val="bottom"/>
          </w:tcPr>
          <w:p w:rsidR="00804489" w:rsidRPr="00804489" w:rsidRDefault="00804489" w:rsidP="00804489">
            <w:pPr>
              <w:jc w:val="center"/>
              <w:rPr>
                <w:color w:val="000000"/>
                <w:sz w:val="22"/>
                <w:szCs w:val="22"/>
              </w:rPr>
            </w:pPr>
            <w:r w:rsidRPr="00804489">
              <w:rPr>
                <w:color w:val="000000"/>
                <w:sz w:val="22"/>
                <w:szCs w:val="22"/>
              </w:rPr>
              <w:t>51 142</w:t>
            </w:r>
          </w:p>
        </w:tc>
        <w:tc>
          <w:tcPr>
            <w:tcW w:w="1701" w:type="dxa"/>
            <w:vAlign w:val="bottom"/>
          </w:tcPr>
          <w:p w:rsidR="00804489" w:rsidRPr="00804489" w:rsidRDefault="00804489" w:rsidP="00804489">
            <w:pPr>
              <w:jc w:val="center"/>
              <w:rPr>
                <w:color w:val="000000"/>
                <w:sz w:val="22"/>
                <w:szCs w:val="22"/>
              </w:rPr>
            </w:pPr>
            <w:r w:rsidRPr="00804489">
              <w:rPr>
                <w:color w:val="000000"/>
                <w:sz w:val="22"/>
                <w:szCs w:val="22"/>
              </w:rPr>
              <w:t>54 288</w:t>
            </w:r>
          </w:p>
        </w:tc>
        <w:tc>
          <w:tcPr>
            <w:tcW w:w="1632" w:type="dxa"/>
            <w:vAlign w:val="bottom"/>
          </w:tcPr>
          <w:p w:rsidR="00804489" w:rsidRPr="00804489" w:rsidRDefault="00804489" w:rsidP="00804489">
            <w:pPr>
              <w:jc w:val="center"/>
              <w:rPr>
                <w:color w:val="000000"/>
                <w:sz w:val="22"/>
                <w:szCs w:val="22"/>
              </w:rPr>
            </w:pPr>
            <w:r w:rsidRPr="00804489">
              <w:rPr>
                <w:color w:val="000000"/>
                <w:sz w:val="22"/>
                <w:szCs w:val="22"/>
              </w:rPr>
              <w:t>56 915</w:t>
            </w:r>
          </w:p>
        </w:tc>
      </w:tr>
    </w:tbl>
    <w:p w:rsidR="00804489" w:rsidRPr="007D44F8" w:rsidRDefault="00804489" w:rsidP="00804489">
      <w:pPr>
        <w:rPr>
          <w:sz w:val="20"/>
          <w:szCs w:val="20"/>
        </w:rPr>
      </w:pPr>
      <w:r w:rsidRPr="007D44F8">
        <w:rPr>
          <w:sz w:val="20"/>
          <w:szCs w:val="20"/>
        </w:rPr>
        <w:t>Avots: VSAA sociālās apdrošināšanas un sociālo pakalpojumu saņēmēji, autoru aprēķini</w:t>
      </w:r>
    </w:p>
    <w:p w:rsidR="00804489" w:rsidRDefault="00804489" w:rsidP="00804489"/>
    <w:p w:rsidR="00804489" w:rsidRDefault="00804489" w:rsidP="00804489">
      <w:r>
        <w:t>P</w:t>
      </w:r>
      <w:r w:rsidRPr="0032735B">
        <w:t xml:space="preserve">ersona ar invaliditāti </w:t>
      </w:r>
      <w:r>
        <w:t xml:space="preserve">parasti </w:t>
      </w:r>
      <w:r w:rsidRPr="0032735B">
        <w:t>saņem vienu no pensijas veidiem – vecuma pensiju, ja sasniegu</w:t>
      </w:r>
      <w:r>
        <w:t>s</w:t>
      </w:r>
      <w:r w:rsidRPr="0032735B">
        <w:t xml:space="preserve">i pensionēšanās vecumu, vai </w:t>
      </w:r>
      <w:r w:rsidRPr="00325ED7">
        <w:t>invaliditātes pensiju. Tomēr atsevišķos gadījumos persona ar invaliditāti nesaņem nevienu no šīm pensijām (saskaitot 1.</w:t>
      </w:r>
      <w:r w:rsidR="00325ED7" w:rsidRPr="00325ED7">
        <w:t>4</w:t>
      </w:r>
      <w:r w:rsidR="00DD0DA5">
        <w:t>2</w:t>
      </w:r>
      <w:r w:rsidRPr="00325ED7">
        <w:t>. un 1.</w:t>
      </w:r>
      <w:r w:rsidR="00325ED7" w:rsidRPr="00325ED7">
        <w:t>4</w:t>
      </w:r>
      <w:r w:rsidR="00DD0DA5">
        <w:t>3</w:t>
      </w:r>
      <w:r w:rsidRPr="00325ED7">
        <w:t>. tabulā doto vecuma un invaliditātes pensiju saņemšanas īpatsvaru, iegūtais rezultāts ir mazāks par 100%), taču saņem kādu citu sociālo transfertu, piemēram, valsts sociālā nodrošinājuma pabalstu (to saņem</w:t>
      </w:r>
      <w:r w:rsidRPr="0032735B">
        <w:t xml:space="preserve"> arī personas ar mazu pensijas </w:t>
      </w:r>
      <w:r w:rsidRPr="0032735B">
        <w:lastRenderedPageBreak/>
        <w:t>līmeni).</w:t>
      </w:r>
      <w:r>
        <w:t xml:space="preserve"> </w:t>
      </w:r>
      <w:r w:rsidRPr="00325ED7">
        <w:t xml:space="preserve">Redzams, ka vecuma pensiju biežāk kā invaliditātes pensiju saņem personas ar I grupas invaliditāti (vissmagākā invaliditātes pakāpe, biežāk vecāka gadagājuma personas), kamēr personas ar II un III grupas invaliditāti biežāk saņem invaliditātes </w:t>
      </w:r>
      <w:r w:rsidRPr="00DD0DA5">
        <w:t>pensiju (1.4</w:t>
      </w:r>
      <w:r w:rsidR="00DD0DA5" w:rsidRPr="00DD0DA5">
        <w:t>3</w:t>
      </w:r>
      <w:r w:rsidRPr="00DD0DA5">
        <w:t>. tabula).</w:t>
      </w:r>
    </w:p>
    <w:p w:rsidR="00804489" w:rsidRDefault="00804489" w:rsidP="00804489"/>
    <w:p w:rsidR="00804489" w:rsidRDefault="00804489" w:rsidP="00804489">
      <w:r>
        <w:t>Papildus šiem ienākumiem persona var saņemt citus, iepriekš minētos sociālos transfertus, tomēr to izplatība ir samērā ierobežota, jo, ja vien nepastāv kādi citi iemesli personai sociālā transferta saņemšanai (piemēram, apgādnieka zaudējuma pensijas, izdienas pensijas, a</w:t>
      </w:r>
      <w:r w:rsidRPr="00BA342B">
        <w:t>pdrošināšanas atlīdzība</w:t>
      </w:r>
      <w:r>
        <w:t>s</w:t>
      </w:r>
      <w:r w:rsidRPr="00BA342B">
        <w:t xml:space="preserve"> sakarā ar nelaimes gadījumu darbā saņemšanai</w:t>
      </w:r>
      <w:r>
        <w:t xml:space="preserve"> u.tml.</w:t>
      </w:r>
      <w:r w:rsidRPr="00BA342B">
        <w:t>), citi atbalsta veidi ir specifiski</w:t>
      </w:r>
      <w:r>
        <w:t xml:space="preserve"> mērķēti, lai </w:t>
      </w:r>
      <w:r w:rsidRPr="00A90AE3">
        <w:t xml:space="preserve">atbalstītu personas vissmagāko funkcionālo traucējumu gadījumos. </w:t>
      </w:r>
      <w:r w:rsidR="00917A17">
        <w:t>Personas ar inval</w:t>
      </w:r>
      <w:r w:rsidR="00C548CE">
        <w:t>i</w:t>
      </w:r>
      <w:r w:rsidR="00917A17">
        <w:t>ditāti</w:t>
      </w:r>
      <w:r w:rsidRPr="00A90AE3">
        <w:t xml:space="preserve"> </w:t>
      </w:r>
      <w:r w:rsidR="001B0A19">
        <w:t>īpašas</w:t>
      </w:r>
      <w:r w:rsidR="001B0A19" w:rsidRPr="00A90AE3">
        <w:t xml:space="preserve"> </w:t>
      </w:r>
      <w:r w:rsidRPr="00A90AE3">
        <w:t>kopšanas</w:t>
      </w:r>
      <w:r w:rsidR="0084779A">
        <w:t xml:space="preserve"> </w:t>
      </w:r>
      <w:r w:rsidRPr="00A90AE3">
        <w:t xml:space="preserve">pabalstu un transporta kompensācijas parasti saņem tikai </w:t>
      </w:r>
      <w:r w:rsidR="00917A17">
        <w:t>personas</w:t>
      </w:r>
      <w:r w:rsidR="0084779A">
        <w:t xml:space="preserve"> ar</w:t>
      </w:r>
      <w:r w:rsidR="00917A17">
        <w:t xml:space="preserve"> </w:t>
      </w:r>
      <w:r w:rsidRPr="00A90AE3">
        <w:t xml:space="preserve">I grupas </w:t>
      </w:r>
      <w:r w:rsidR="00917A17">
        <w:t>invaliditāti</w:t>
      </w:r>
      <w:r w:rsidRPr="00A90AE3">
        <w:t xml:space="preserve">, salīdzinot ar </w:t>
      </w:r>
      <w:r w:rsidRPr="00DD0DA5">
        <w:t>pārējām invaliditātes grupām (1.4</w:t>
      </w:r>
      <w:r w:rsidR="00DD0DA5" w:rsidRPr="00DD0DA5">
        <w:t>3</w:t>
      </w:r>
      <w:r w:rsidRPr="00DD0DA5">
        <w:t xml:space="preserve">. tabula). </w:t>
      </w:r>
      <w:r w:rsidR="00917A17" w:rsidRPr="00DD0DA5">
        <w:t>Personu ar invaliditāti</w:t>
      </w:r>
      <w:r w:rsidRPr="00DD0DA5">
        <w:t xml:space="preserve"> </w:t>
      </w:r>
      <w:r w:rsidR="0084779A">
        <w:t xml:space="preserve">īpašas </w:t>
      </w:r>
      <w:r w:rsidRPr="00DD0DA5">
        <w:t>kopšanas pabalstu 2015. – 2016.</w:t>
      </w:r>
      <w:r w:rsidRPr="00A90AE3">
        <w:t xml:space="preserve"> gadā saņēma 63,4-63,9% personas ar I grupas invaliditāti, transporta kompensāciju vismaz reizi 2015. – 2016. gada laikā (tā tiek piešķirta neregulāri) ir saņēmušas 51,0-52,4% p</w:t>
      </w:r>
      <w:r>
        <w:t xml:space="preserve">ersonu ar I grupas invaliditāti, </w:t>
      </w:r>
      <w:r w:rsidRPr="0026301C">
        <w:t>pabalst</w:t>
      </w:r>
      <w:r>
        <w:t>u</w:t>
      </w:r>
      <w:r w:rsidRPr="0026301C">
        <w:t xml:space="preserve"> par asistenta izmantošanu personām ar I grupas redzes invaliditāti</w:t>
      </w:r>
      <w:r>
        <w:t xml:space="preserve"> 2015. – 2016. gadā saņēmušas 7,6-8,0% personas ar I grupas invaliditāti.</w:t>
      </w:r>
    </w:p>
    <w:p w:rsidR="00804489" w:rsidRDefault="00804489" w:rsidP="00804489"/>
    <w:p w:rsidR="00804489" w:rsidRDefault="00804489" w:rsidP="00804489">
      <w:r w:rsidRPr="005C769A">
        <w:t xml:space="preserve">Personas ar invaliditāti nodarbinātība un attiecīgi ienākumi no darba vai saimnieciskās darbības pieaug, samazinoties invaliditātes </w:t>
      </w:r>
      <w:r w:rsidR="007E3A52">
        <w:t xml:space="preserve">smaguma </w:t>
      </w:r>
      <w:r w:rsidRPr="005C769A">
        <w:t xml:space="preserve">pakāpei, t.i., ja 2015. – 2016. gadā 5,6-5,9% </w:t>
      </w:r>
      <w:r w:rsidR="00917A17">
        <w:t xml:space="preserve">personu ar </w:t>
      </w:r>
      <w:r w:rsidRPr="005C769A">
        <w:t xml:space="preserve">I grupas </w:t>
      </w:r>
      <w:r w:rsidR="00917A17">
        <w:t>invaliditāti</w:t>
      </w:r>
      <w:r w:rsidRPr="005C769A">
        <w:t xml:space="preserve"> ir ienākumi no darba vai saimnieciskās darbības, tad šādi ienākumi ir 23,8-24,2% II grupas un 46,2-47,3% </w:t>
      </w:r>
      <w:r w:rsidR="00917A17">
        <w:t xml:space="preserve">personu ar </w:t>
      </w:r>
      <w:r w:rsidRPr="005C769A">
        <w:t xml:space="preserve">III grupas </w:t>
      </w:r>
      <w:r w:rsidR="00917A17">
        <w:t xml:space="preserve">invaliditāti. </w:t>
      </w:r>
      <w:r w:rsidRPr="005C769A">
        <w:t xml:space="preserve"> </w:t>
      </w:r>
      <w:r>
        <w:t xml:space="preserve">Tā kā personu ar invaliditāti īpatsvars, kas saņem ienākumus no nodarbinātības vai saimnieciskās darbības, ir pieaudzis laika posmā no 2015. uz 2016. gadu, iespējams, to ir veicinājušas arī NVA administrētās subsidētās nodarbinātības programmas (iegūto datu raksturs šobrīd neļauj precīzi pārbaudīt šo pieņēmumu, jo nepieciešama informācija par personu ar invaliditāti darba devēju dalību NVA programmās). </w:t>
      </w:r>
      <w:r w:rsidRPr="005C769A">
        <w:t xml:space="preserve">Sociālās apdrošināšanas pabalstus, kas izriet no personas esoša vai nesen pārtraukta nodarbinātības statusa (bezdarbnieka pabalsts, slimības pabalsts, </w:t>
      </w:r>
      <w:r w:rsidRPr="005C769A">
        <w:rPr>
          <w:color w:val="000000"/>
        </w:rPr>
        <w:t>apdrošināšanas atlīdzība sakarā ar nelaimes gadījumu darbā</w:t>
      </w:r>
      <w:r w:rsidRPr="005C769A">
        <w:t xml:space="preserve"> u.tml.), attiecīgi biežāk saņem personas ar II un III grupas invaliditāti.</w:t>
      </w:r>
    </w:p>
    <w:p w:rsidR="00804489" w:rsidRDefault="00804489" w:rsidP="000A7157">
      <w:pPr>
        <w:pStyle w:val="Caption"/>
      </w:pPr>
      <w:r w:rsidRPr="00814FBC">
        <w:t>1.</w:t>
      </w:r>
      <w:r w:rsidR="000A7157">
        <w:t>4</w:t>
      </w:r>
      <w:r w:rsidR="00DD0DA5">
        <w:t>3</w:t>
      </w:r>
      <w:r w:rsidRPr="00814FBC">
        <w:t>. tabula. Personu – sociālās apdrošināšanas un sociālo pakalpojumu saņēmēju – īpatsvars (procentos) 2015. – 2016. gadā dalījumā pēc invaliditātes grupas</w:t>
      </w:r>
      <w:r>
        <w:t xml:space="preserve"> </w:t>
      </w:r>
    </w:p>
    <w:tbl>
      <w:tblPr>
        <w:tblStyle w:val="TableGrid"/>
        <w:tblW w:w="0" w:type="auto"/>
        <w:tblLook w:val="04A0"/>
      </w:tblPr>
      <w:tblGrid>
        <w:gridCol w:w="3510"/>
        <w:gridCol w:w="1418"/>
        <w:gridCol w:w="1701"/>
        <w:gridCol w:w="1701"/>
        <w:gridCol w:w="1632"/>
      </w:tblGrid>
      <w:tr w:rsidR="00804489" w:rsidRPr="006106B3" w:rsidTr="006106B3">
        <w:trPr>
          <w:tblHeader/>
        </w:trPr>
        <w:tc>
          <w:tcPr>
            <w:tcW w:w="3510" w:type="dxa"/>
            <w:shd w:val="clear" w:color="auto" w:fill="B8CCE4" w:themeFill="accent1" w:themeFillTint="66"/>
            <w:vAlign w:val="center"/>
          </w:tcPr>
          <w:p w:rsidR="00804489" w:rsidRPr="006106B3" w:rsidRDefault="00804489" w:rsidP="00804489">
            <w:pPr>
              <w:rPr>
                <w:b/>
                <w:color w:val="002060"/>
                <w:sz w:val="22"/>
                <w:szCs w:val="22"/>
              </w:rPr>
            </w:pPr>
            <w:r w:rsidRPr="006106B3">
              <w:rPr>
                <w:b/>
                <w:color w:val="002060"/>
                <w:sz w:val="22"/>
                <w:szCs w:val="22"/>
              </w:rPr>
              <w:t>Ienākumu veids</w:t>
            </w:r>
          </w:p>
        </w:tc>
        <w:tc>
          <w:tcPr>
            <w:tcW w:w="1418" w:type="dxa"/>
            <w:shd w:val="clear" w:color="auto" w:fill="B8CCE4" w:themeFill="accent1" w:themeFillTint="66"/>
            <w:vAlign w:val="center"/>
          </w:tcPr>
          <w:p w:rsidR="00804489" w:rsidRPr="006106B3" w:rsidRDefault="00804489" w:rsidP="00804489">
            <w:pPr>
              <w:rPr>
                <w:b/>
                <w:color w:val="002060"/>
                <w:sz w:val="22"/>
                <w:szCs w:val="22"/>
              </w:rPr>
            </w:pPr>
            <w:r w:rsidRPr="006106B3">
              <w:rPr>
                <w:b/>
                <w:color w:val="002060"/>
                <w:sz w:val="22"/>
                <w:szCs w:val="22"/>
              </w:rPr>
              <w:t>Gads</w:t>
            </w:r>
          </w:p>
        </w:tc>
        <w:tc>
          <w:tcPr>
            <w:tcW w:w="1701" w:type="dxa"/>
            <w:shd w:val="clear" w:color="auto" w:fill="B8CCE4" w:themeFill="accent1" w:themeFillTint="66"/>
            <w:vAlign w:val="center"/>
          </w:tcPr>
          <w:p w:rsidR="00804489" w:rsidRPr="006106B3" w:rsidRDefault="00804489" w:rsidP="00804489">
            <w:pPr>
              <w:jc w:val="center"/>
              <w:rPr>
                <w:b/>
                <w:color w:val="002060"/>
                <w:sz w:val="22"/>
                <w:szCs w:val="22"/>
              </w:rPr>
            </w:pPr>
            <w:r w:rsidRPr="006106B3">
              <w:rPr>
                <w:b/>
                <w:color w:val="002060"/>
                <w:sz w:val="22"/>
                <w:szCs w:val="22"/>
              </w:rPr>
              <w:t>I grupas invaliditāte</w:t>
            </w:r>
          </w:p>
        </w:tc>
        <w:tc>
          <w:tcPr>
            <w:tcW w:w="1701" w:type="dxa"/>
            <w:shd w:val="clear" w:color="auto" w:fill="B8CCE4" w:themeFill="accent1" w:themeFillTint="66"/>
            <w:vAlign w:val="center"/>
          </w:tcPr>
          <w:p w:rsidR="00804489" w:rsidRPr="006106B3" w:rsidRDefault="00804489" w:rsidP="00804489">
            <w:pPr>
              <w:jc w:val="center"/>
              <w:rPr>
                <w:b/>
                <w:color w:val="002060"/>
                <w:sz w:val="22"/>
                <w:szCs w:val="22"/>
              </w:rPr>
            </w:pPr>
            <w:r w:rsidRPr="006106B3">
              <w:rPr>
                <w:b/>
                <w:color w:val="002060"/>
                <w:sz w:val="22"/>
                <w:szCs w:val="22"/>
              </w:rPr>
              <w:t>II grupas invaliditāte</w:t>
            </w:r>
          </w:p>
        </w:tc>
        <w:tc>
          <w:tcPr>
            <w:tcW w:w="1632" w:type="dxa"/>
            <w:shd w:val="clear" w:color="auto" w:fill="B8CCE4" w:themeFill="accent1" w:themeFillTint="66"/>
            <w:vAlign w:val="center"/>
          </w:tcPr>
          <w:p w:rsidR="00804489" w:rsidRPr="006106B3" w:rsidRDefault="00804489" w:rsidP="00804489">
            <w:pPr>
              <w:jc w:val="center"/>
              <w:rPr>
                <w:b/>
                <w:color w:val="002060"/>
                <w:sz w:val="22"/>
                <w:szCs w:val="22"/>
              </w:rPr>
            </w:pPr>
            <w:r w:rsidRPr="006106B3">
              <w:rPr>
                <w:b/>
                <w:color w:val="002060"/>
                <w:sz w:val="22"/>
                <w:szCs w:val="22"/>
              </w:rPr>
              <w:t>III grupas invaliditāte</w:t>
            </w:r>
          </w:p>
        </w:tc>
      </w:tr>
      <w:tr w:rsidR="00804489" w:rsidRPr="00804489" w:rsidTr="00804489">
        <w:tc>
          <w:tcPr>
            <w:tcW w:w="3510" w:type="dxa"/>
            <w:vMerge w:val="restart"/>
            <w:vAlign w:val="center"/>
          </w:tcPr>
          <w:p w:rsidR="00804489" w:rsidRPr="00804489" w:rsidRDefault="00804489" w:rsidP="00804489">
            <w:pPr>
              <w:rPr>
                <w:color w:val="000000"/>
                <w:sz w:val="22"/>
                <w:szCs w:val="22"/>
              </w:rPr>
            </w:pPr>
            <w:r w:rsidRPr="00804489">
              <w:rPr>
                <w:color w:val="000000"/>
                <w:sz w:val="22"/>
                <w:szCs w:val="22"/>
              </w:rPr>
              <w:t>Vecuma pensija</w:t>
            </w:r>
          </w:p>
        </w:tc>
        <w:tc>
          <w:tcPr>
            <w:tcW w:w="1418" w:type="dxa"/>
            <w:vAlign w:val="center"/>
          </w:tcPr>
          <w:p w:rsidR="00804489" w:rsidRPr="00804489" w:rsidRDefault="00804489" w:rsidP="00804489">
            <w:pPr>
              <w:rPr>
                <w:sz w:val="22"/>
                <w:szCs w:val="22"/>
              </w:rPr>
            </w:pPr>
            <w:r w:rsidRPr="00804489">
              <w:rPr>
                <w:sz w:val="22"/>
                <w:szCs w:val="22"/>
              </w:rPr>
              <w:t>2015</w:t>
            </w:r>
          </w:p>
        </w:tc>
        <w:tc>
          <w:tcPr>
            <w:tcW w:w="1701" w:type="dxa"/>
            <w:vAlign w:val="center"/>
          </w:tcPr>
          <w:p w:rsidR="00804489" w:rsidRPr="00804489" w:rsidRDefault="00804489" w:rsidP="00804489">
            <w:pPr>
              <w:jc w:val="center"/>
              <w:rPr>
                <w:color w:val="000000"/>
                <w:sz w:val="22"/>
                <w:szCs w:val="22"/>
              </w:rPr>
            </w:pPr>
            <w:r w:rsidRPr="00804489">
              <w:rPr>
                <w:color w:val="000000"/>
                <w:sz w:val="22"/>
                <w:szCs w:val="22"/>
              </w:rPr>
              <w:t>66,2%</w:t>
            </w:r>
          </w:p>
        </w:tc>
        <w:tc>
          <w:tcPr>
            <w:tcW w:w="1701" w:type="dxa"/>
            <w:vAlign w:val="center"/>
          </w:tcPr>
          <w:p w:rsidR="00804489" w:rsidRPr="00804489" w:rsidRDefault="00804489" w:rsidP="00804489">
            <w:pPr>
              <w:jc w:val="center"/>
              <w:rPr>
                <w:color w:val="000000"/>
                <w:sz w:val="22"/>
                <w:szCs w:val="22"/>
              </w:rPr>
            </w:pPr>
            <w:r w:rsidRPr="00804489">
              <w:rPr>
                <w:color w:val="000000"/>
                <w:sz w:val="22"/>
                <w:szCs w:val="22"/>
              </w:rPr>
              <w:t>41,8%</w:t>
            </w:r>
          </w:p>
        </w:tc>
        <w:tc>
          <w:tcPr>
            <w:tcW w:w="1632" w:type="dxa"/>
            <w:vAlign w:val="center"/>
          </w:tcPr>
          <w:p w:rsidR="00804489" w:rsidRPr="00804489" w:rsidRDefault="00804489" w:rsidP="00804489">
            <w:pPr>
              <w:jc w:val="center"/>
              <w:rPr>
                <w:color w:val="000000"/>
                <w:sz w:val="22"/>
                <w:szCs w:val="22"/>
              </w:rPr>
            </w:pPr>
            <w:r w:rsidRPr="00804489">
              <w:rPr>
                <w:color w:val="000000"/>
                <w:sz w:val="22"/>
                <w:szCs w:val="22"/>
              </w:rPr>
              <w:t>30,3%</w:t>
            </w:r>
          </w:p>
        </w:tc>
      </w:tr>
      <w:tr w:rsidR="00804489" w:rsidRPr="00804489" w:rsidTr="00804489">
        <w:tc>
          <w:tcPr>
            <w:tcW w:w="3510" w:type="dxa"/>
            <w:vMerge/>
            <w:vAlign w:val="center"/>
          </w:tcPr>
          <w:p w:rsidR="00804489" w:rsidRPr="00804489" w:rsidRDefault="00804489" w:rsidP="00804489">
            <w:pPr>
              <w:rPr>
                <w:sz w:val="22"/>
                <w:szCs w:val="22"/>
                <w:highlight w:val="yellow"/>
              </w:rPr>
            </w:pPr>
          </w:p>
        </w:tc>
        <w:tc>
          <w:tcPr>
            <w:tcW w:w="1418" w:type="dxa"/>
            <w:vAlign w:val="center"/>
          </w:tcPr>
          <w:p w:rsidR="00804489" w:rsidRPr="00804489" w:rsidRDefault="00804489" w:rsidP="00804489">
            <w:pPr>
              <w:rPr>
                <w:sz w:val="22"/>
                <w:szCs w:val="22"/>
              </w:rPr>
            </w:pPr>
            <w:r w:rsidRPr="00804489">
              <w:rPr>
                <w:sz w:val="22"/>
                <w:szCs w:val="22"/>
              </w:rPr>
              <w:t>2016</w:t>
            </w:r>
          </w:p>
        </w:tc>
        <w:tc>
          <w:tcPr>
            <w:tcW w:w="1701" w:type="dxa"/>
            <w:vAlign w:val="center"/>
          </w:tcPr>
          <w:p w:rsidR="00804489" w:rsidRPr="00804489" w:rsidRDefault="00804489" w:rsidP="00804489">
            <w:pPr>
              <w:jc w:val="center"/>
              <w:rPr>
                <w:color w:val="000000"/>
                <w:sz w:val="22"/>
                <w:szCs w:val="22"/>
              </w:rPr>
            </w:pPr>
            <w:r w:rsidRPr="00804489">
              <w:rPr>
                <w:color w:val="000000"/>
                <w:sz w:val="22"/>
                <w:szCs w:val="22"/>
              </w:rPr>
              <w:t>67,7%</w:t>
            </w:r>
          </w:p>
        </w:tc>
        <w:tc>
          <w:tcPr>
            <w:tcW w:w="1701" w:type="dxa"/>
            <w:vAlign w:val="center"/>
          </w:tcPr>
          <w:p w:rsidR="00804489" w:rsidRPr="00804489" w:rsidRDefault="00804489" w:rsidP="00804489">
            <w:pPr>
              <w:jc w:val="center"/>
              <w:rPr>
                <w:color w:val="000000"/>
                <w:sz w:val="22"/>
                <w:szCs w:val="22"/>
              </w:rPr>
            </w:pPr>
            <w:r w:rsidRPr="00804489">
              <w:rPr>
                <w:color w:val="000000"/>
                <w:sz w:val="22"/>
                <w:szCs w:val="22"/>
              </w:rPr>
              <w:t>43,0%</w:t>
            </w:r>
          </w:p>
        </w:tc>
        <w:tc>
          <w:tcPr>
            <w:tcW w:w="1632" w:type="dxa"/>
            <w:vAlign w:val="center"/>
          </w:tcPr>
          <w:p w:rsidR="00804489" w:rsidRPr="00804489" w:rsidRDefault="00804489" w:rsidP="00804489">
            <w:pPr>
              <w:jc w:val="center"/>
              <w:rPr>
                <w:color w:val="000000"/>
                <w:sz w:val="22"/>
                <w:szCs w:val="22"/>
              </w:rPr>
            </w:pPr>
            <w:r w:rsidRPr="00804489">
              <w:rPr>
                <w:color w:val="000000"/>
                <w:sz w:val="22"/>
                <w:szCs w:val="22"/>
              </w:rPr>
              <w:t>30,4%</w:t>
            </w:r>
          </w:p>
        </w:tc>
      </w:tr>
      <w:tr w:rsidR="00804489" w:rsidRPr="00804489" w:rsidTr="006106B3">
        <w:tc>
          <w:tcPr>
            <w:tcW w:w="3510" w:type="dxa"/>
            <w:vMerge w:val="restart"/>
            <w:shd w:val="clear" w:color="auto" w:fill="D9D9D9" w:themeFill="background1" w:themeFillShade="D9"/>
            <w:vAlign w:val="center"/>
          </w:tcPr>
          <w:p w:rsidR="00804489" w:rsidRPr="00804489" w:rsidRDefault="00804489" w:rsidP="00804489">
            <w:pPr>
              <w:rPr>
                <w:color w:val="000000"/>
                <w:sz w:val="22"/>
                <w:szCs w:val="22"/>
              </w:rPr>
            </w:pPr>
            <w:r w:rsidRPr="00804489">
              <w:rPr>
                <w:color w:val="000000"/>
                <w:sz w:val="22"/>
                <w:szCs w:val="22"/>
              </w:rPr>
              <w:t>Invaliditātes pensija</w:t>
            </w:r>
          </w:p>
        </w:tc>
        <w:tc>
          <w:tcPr>
            <w:tcW w:w="1418" w:type="dxa"/>
            <w:shd w:val="clear" w:color="auto" w:fill="D9D9D9" w:themeFill="background1" w:themeFillShade="D9"/>
            <w:vAlign w:val="center"/>
          </w:tcPr>
          <w:p w:rsidR="00804489" w:rsidRPr="00804489" w:rsidRDefault="00804489" w:rsidP="00804489">
            <w:pPr>
              <w:rPr>
                <w:sz w:val="22"/>
                <w:szCs w:val="22"/>
              </w:rPr>
            </w:pPr>
            <w:r w:rsidRPr="00804489">
              <w:rPr>
                <w:sz w:val="22"/>
                <w:szCs w:val="22"/>
              </w:rPr>
              <w:t>2015</w:t>
            </w:r>
          </w:p>
        </w:tc>
        <w:tc>
          <w:tcPr>
            <w:tcW w:w="1701"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23,3%</w:t>
            </w:r>
          </w:p>
        </w:tc>
        <w:tc>
          <w:tcPr>
            <w:tcW w:w="1701"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48,9%</w:t>
            </w:r>
          </w:p>
        </w:tc>
        <w:tc>
          <w:tcPr>
            <w:tcW w:w="1632"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53,3%</w:t>
            </w:r>
          </w:p>
        </w:tc>
      </w:tr>
      <w:tr w:rsidR="00804489" w:rsidRPr="00804489" w:rsidTr="006106B3">
        <w:tc>
          <w:tcPr>
            <w:tcW w:w="3510" w:type="dxa"/>
            <w:vMerge/>
            <w:shd w:val="clear" w:color="auto" w:fill="D9D9D9" w:themeFill="background1" w:themeFillShade="D9"/>
            <w:vAlign w:val="center"/>
          </w:tcPr>
          <w:p w:rsidR="00804489" w:rsidRPr="00804489" w:rsidRDefault="00804489" w:rsidP="00804489">
            <w:pPr>
              <w:rPr>
                <w:sz w:val="22"/>
                <w:szCs w:val="22"/>
                <w:highlight w:val="yellow"/>
              </w:rPr>
            </w:pPr>
          </w:p>
        </w:tc>
        <w:tc>
          <w:tcPr>
            <w:tcW w:w="1418" w:type="dxa"/>
            <w:shd w:val="clear" w:color="auto" w:fill="D9D9D9" w:themeFill="background1" w:themeFillShade="D9"/>
            <w:vAlign w:val="center"/>
          </w:tcPr>
          <w:p w:rsidR="00804489" w:rsidRPr="00804489" w:rsidRDefault="00804489" w:rsidP="00804489">
            <w:pPr>
              <w:rPr>
                <w:sz w:val="22"/>
                <w:szCs w:val="22"/>
              </w:rPr>
            </w:pPr>
            <w:r w:rsidRPr="00804489">
              <w:rPr>
                <w:sz w:val="22"/>
                <w:szCs w:val="22"/>
              </w:rPr>
              <w:t>2016</w:t>
            </w:r>
          </w:p>
        </w:tc>
        <w:tc>
          <w:tcPr>
            <w:tcW w:w="1701"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22,0%</w:t>
            </w:r>
          </w:p>
        </w:tc>
        <w:tc>
          <w:tcPr>
            <w:tcW w:w="1701"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47,7%</w:t>
            </w:r>
          </w:p>
        </w:tc>
        <w:tc>
          <w:tcPr>
            <w:tcW w:w="1632"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52,6%</w:t>
            </w:r>
          </w:p>
        </w:tc>
      </w:tr>
      <w:tr w:rsidR="00804489" w:rsidRPr="00804489" w:rsidTr="00804489">
        <w:tc>
          <w:tcPr>
            <w:tcW w:w="3510" w:type="dxa"/>
            <w:vMerge w:val="restart"/>
            <w:vAlign w:val="center"/>
          </w:tcPr>
          <w:p w:rsidR="00804489" w:rsidRPr="00804489" w:rsidRDefault="00804489" w:rsidP="00804489">
            <w:pPr>
              <w:rPr>
                <w:color w:val="000000"/>
                <w:sz w:val="22"/>
                <w:szCs w:val="22"/>
              </w:rPr>
            </w:pPr>
            <w:r w:rsidRPr="00804489">
              <w:rPr>
                <w:color w:val="000000"/>
                <w:sz w:val="22"/>
                <w:szCs w:val="22"/>
              </w:rPr>
              <w:t>Apgādnieka zaudējuma pensija</w:t>
            </w:r>
          </w:p>
        </w:tc>
        <w:tc>
          <w:tcPr>
            <w:tcW w:w="1418" w:type="dxa"/>
            <w:vAlign w:val="center"/>
          </w:tcPr>
          <w:p w:rsidR="00804489" w:rsidRPr="00804489" w:rsidRDefault="00804489" w:rsidP="00804489">
            <w:pPr>
              <w:rPr>
                <w:sz w:val="22"/>
                <w:szCs w:val="22"/>
              </w:rPr>
            </w:pPr>
            <w:r w:rsidRPr="00804489">
              <w:rPr>
                <w:sz w:val="22"/>
                <w:szCs w:val="22"/>
              </w:rPr>
              <w:t>2015</w:t>
            </w:r>
          </w:p>
        </w:tc>
        <w:tc>
          <w:tcPr>
            <w:tcW w:w="1701" w:type="dxa"/>
            <w:vAlign w:val="center"/>
          </w:tcPr>
          <w:p w:rsidR="00804489" w:rsidRPr="00804489" w:rsidRDefault="00804489" w:rsidP="00804489">
            <w:pPr>
              <w:jc w:val="center"/>
              <w:rPr>
                <w:color w:val="000000"/>
                <w:sz w:val="22"/>
                <w:szCs w:val="22"/>
              </w:rPr>
            </w:pPr>
            <w:r w:rsidRPr="00804489">
              <w:rPr>
                <w:color w:val="000000"/>
                <w:sz w:val="22"/>
                <w:szCs w:val="22"/>
              </w:rPr>
              <w:t>2,4%</w:t>
            </w:r>
          </w:p>
        </w:tc>
        <w:tc>
          <w:tcPr>
            <w:tcW w:w="1701" w:type="dxa"/>
            <w:vAlign w:val="center"/>
          </w:tcPr>
          <w:p w:rsidR="00804489" w:rsidRPr="00804489" w:rsidRDefault="00804489" w:rsidP="00804489">
            <w:pPr>
              <w:jc w:val="center"/>
              <w:rPr>
                <w:color w:val="000000"/>
                <w:sz w:val="22"/>
                <w:szCs w:val="22"/>
              </w:rPr>
            </w:pPr>
            <w:r w:rsidRPr="00804489">
              <w:rPr>
                <w:color w:val="000000"/>
                <w:sz w:val="22"/>
                <w:szCs w:val="22"/>
              </w:rPr>
              <w:t>1,8%</w:t>
            </w:r>
          </w:p>
        </w:tc>
        <w:tc>
          <w:tcPr>
            <w:tcW w:w="1632" w:type="dxa"/>
            <w:vAlign w:val="center"/>
          </w:tcPr>
          <w:p w:rsidR="00804489" w:rsidRPr="00804489" w:rsidRDefault="00804489" w:rsidP="00804489">
            <w:pPr>
              <w:jc w:val="center"/>
              <w:rPr>
                <w:color w:val="000000"/>
                <w:sz w:val="22"/>
                <w:szCs w:val="22"/>
              </w:rPr>
            </w:pPr>
            <w:r w:rsidRPr="00804489">
              <w:rPr>
                <w:color w:val="000000"/>
                <w:sz w:val="22"/>
                <w:szCs w:val="22"/>
              </w:rPr>
              <w:t>1,2%</w:t>
            </w:r>
          </w:p>
        </w:tc>
      </w:tr>
      <w:tr w:rsidR="00804489" w:rsidRPr="00804489" w:rsidTr="00804489">
        <w:tc>
          <w:tcPr>
            <w:tcW w:w="3510" w:type="dxa"/>
            <w:vMerge/>
            <w:vAlign w:val="center"/>
          </w:tcPr>
          <w:p w:rsidR="00804489" w:rsidRPr="00804489" w:rsidRDefault="00804489" w:rsidP="00804489">
            <w:pPr>
              <w:rPr>
                <w:sz w:val="22"/>
                <w:szCs w:val="22"/>
                <w:highlight w:val="yellow"/>
              </w:rPr>
            </w:pPr>
          </w:p>
        </w:tc>
        <w:tc>
          <w:tcPr>
            <w:tcW w:w="1418" w:type="dxa"/>
            <w:vAlign w:val="center"/>
          </w:tcPr>
          <w:p w:rsidR="00804489" w:rsidRPr="00804489" w:rsidRDefault="00804489" w:rsidP="00804489">
            <w:pPr>
              <w:rPr>
                <w:sz w:val="22"/>
                <w:szCs w:val="22"/>
              </w:rPr>
            </w:pPr>
            <w:r w:rsidRPr="00804489">
              <w:rPr>
                <w:sz w:val="22"/>
                <w:szCs w:val="22"/>
              </w:rPr>
              <w:t>2016</w:t>
            </w:r>
          </w:p>
        </w:tc>
        <w:tc>
          <w:tcPr>
            <w:tcW w:w="1701" w:type="dxa"/>
            <w:vAlign w:val="center"/>
          </w:tcPr>
          <w:p w:rsidR="00804489" w:rsidRPr="00804489" w:rsidRDefault="00804489" w:rsidP="00804489">
            <w:pPr>
              <w:jc w:val="center"/>
              <w:rPr>
                <w:color w:val="000000"/>
                <w:sz w:val="22"/>
                <w:szCs w:val="22"/>
              </w:rPr>
            </w:pPr>
            <w:r w:rsidRPr="00804489">
              <w:rPr>
                <w:color w:val="000000"/>
                <w:sz w:val="22"/>
                <w:szCs w:val="22"/>
              </w:rPr>
              <w:t>2,5%</w:t>
            </w:r>
          </w:p>
        </w:tc>
        <w:tc>
          <w:tcPr>
            <w:tcW w:w="1701" w:type="dxa"/>
            <w:vAlign w:val="center"/>
          </w:tcPr>
          <w:p w:rsidR="00804489" w:rsidRPr="00804489" w:rsidRDefault="00804489" w:rsidP="00804489">
            <w:pPr>
              <w:jc w:val="center"/>
              <w:rPr>
                <w:color w:val="000000"/>
                <w:sz w:val="22"/>
                <w:szCs w:val="22"/>
              </w:rPr>
            </w:pPr>
            <w:r w:rsidRPr="00804489">
              <w:rPr>
                <w:color w:val="000000"/>
                <w:sz w:val="22"/>
                <w:szCs w:val="22"/>
              </w:rPr>
              <w:t>1,8%</w:t>
            </w:r>
          </w:p>
        </w:tc>
        <w:tc>
          <w:tcPr>
            <w:tcW w:w="1632" w:type="dxa"/>
            <w:vAlign w:val="center"/>
          </w:tcPr>
          <w:p w:rsidR="00804489" w:rsidRPr="00804489" w:rsidRDefault="00804489" w:rsidP="00804489">
            <w:pPr>
              <w:jc w:val="center"/>
              <w:rPr>
                <w:color w:val="000000"/>
                <w:sz w:val="22"/>
                <w:szCs w:val="22"/>
              </w:rPr>
            </w:pPr>
            <w:r w:rsidRPr="00804489">
              <w:rPr>
                <w:color w:val="000000"/>
                <w:sz w:val="22"/>
                <w:szCs w:val="22"/>
              </w:rPr>
              <w:t>1,2%</w:t>
            </w:r>
          </w:p>
        </w:tc>
      </w:tr>
      <w:tr w:rsidR="00804489" w:rsidRPr="00804489" w:rsidTr="006106B3">
        <w:tc>
          <w:tcPr>
            <w:tcW w:w="3510" w:type="dxa"/>
            <w:vMerge w:val="restart"/>
            <w:shd w:val="clear" w:color="auto" w:fill="D9D9D9" w:themeFill="background1" w:themeFillShade="D9"/>
            <w:vAlign w:val="center"/>
          </w:tcPr>
          <w:p w:rsidR="00804489" w:rsidRPr="00804489" w:rsidRDefault="00804489" w:rsidP="00804489">
            <w:pPr>
              <w:rPr>
                <w:color w:val="000000"/>
                <w:sz w:val="22"/>
                <w:szCs w:val="22"/>
              </w:rPr>
            </w:pPr>
            <w:r w:rsidRPr="00804489">
              <w:rPr>
                <w:color w:val="000000"/>
                <w:sz w:val="22"/>
                <w:szCs w:val="22"/>
              </w:rPr>
              <w:t>Izdienas pensija</w:t>
            </w:r>
          </w:p>
        </w:tc>
        <w:tc>
          <w:tcPr>
            <w:tcW w:w="1418" w:type="dxa"/>
            <w:shd w:val="clear" w:color="auto" w:fill="D9D9D9" w:themeFill="background1" w:themeFillShade="D9"/>
            <w:vAlign w:val="center"/>
          </w:tcPr>
          <w:p w:rsidR="00804489" w:rsidRPr="00804489" w:rsidRDefault="00804489" w:rsidP="00804489">
            <w:pPr>
              <w:rPr>
                <w:sz w:val="22"/>
                <w:szCs w:val="22"/>
              </w:rPr>
            </w:pPr>
            <w:r w:rsidRPr="00804489">
              <w:rPr>
                <w:sz w:val="22"/>
                <w:szCs w:val="22"/>
              </w:rPr>
              <w:t>2015</w:t>
            </w:r>
          </w:p>
        </w:tc>
        <w:tc>
          <w:tcPr>
            <w:tcW w:w="1701"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0,3%</w:t>
            </w:r>
          </w:p>
        </w:tc>
        <w:tc>
          <w:tcPr>
            <w:tcW w:w="1701"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0,3%</w:t>
            </w:r>
          </w:p>
        </w:tc>
        <w:tc>
          <w:tcPr>
            <w:tcW w:w="1632"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0,4%</w:t>
            </w:r>
          </w:p>
        </w:tc>
      </w:tr>
      <w:tr w:rsidR="00804489" w:rsidRPr="00804489" w:rsidTr="006106B3">
        <w:tc>
          <w:tcPr>
            <w:tcW w:w="3510" w:type="dxa"/>
            <w:vMerge/>
            <w:shd w:val="clear" w:color="auto" w:fill="D9D9D9" w:themeFill="background1" w:themeFillShade="D9"/>
            <w:vAlign w:val="center"/>
          </w:tcPr>
          <w:p w:rsidR="00804489" w:rsidRPr="00804489" w:rsidRDefault="00804489" w:rsidP="00804489">
            <w:pPr>
              <w:rPr>
                <w:sz w:val="22"/>
                <w:szCs w:val="22"/>
                <w:highlight w:val="yellow"/>
              </w:rPr>
            </w:pPr>
          </w:p>
        </w:tc>
        <w:tc>
          <w:tcPr>
            <w:tcW w:w="1418" w:type="dxa"/>
            <w:shd w:val="clear" w:color="auto" w:fill="D9D9D9" w:themeFill="background1" w:themeFillShade="D9"/>
            <w:vAlign w:val="center"/>
          </w:tcPr>
          <w:p w:rsidR="00804489" w:rsidRPr="00804489" w:rsidRDefault="00804489" w:rsidP="00804489">
            <w:pPr>
              <w:rPr>
                <w:sz w:val="22"/>
                <w:szCs w:val="22"/>
              </w:rPr>
            </w:pPr>
            <w:r w:rsidRPr="00804489">
              <w:rPr>
                <w:sz w:val="22"/>
                <w:szCs w:val="22"/>
              </w:rPr>
              <w:t>2016</w:t>
            </w:r>
          </w:p>
        </w:tc>
        <w:tc>
          <w:tcPr>
            <w:tcW w:w="1701" w:type="dxa"/>
            <w:shd w:val="clear" w:color="auto" w:fill="D9D9D9" w:themeFill="background1" w:themeFillShade="D9"/>
            <w:vAlign w:val="center"/>
          </w:tcPr>
          <w:p w:rsidR="00804489" w:rsidRPr="00655FE1" w:rsidRDefault="00804489" w:rsidP="00804489">
            <w:pPr>
              <w:jc w:val="center"/>
              <w:rPr>
                <w:color w:val="000000"/>
                <w:sz w:val="22"/>
                <w:szCs w:val="22"/>
              </w:rPr>
            </w:pPr>
            <w:r w:rsidRPr="00655FE1">
              <w:rPr>
                <w:color w:val="000000"/>
                <w:sz w:val="22"/>
                <w:szCs w:val="22"/>
              </w:rPr>
              <w:t>0,3%</w:t>
            </w:r>
          </w:p>
        </w:tc>
        <w:tc>
          <w:tcPr>
            <w:tcW w:w="1701" w:type="dxa"/>
            <w:shd w:val="clear" w:color="auto" w:fill="D9D9D9" w:themeFill="background1" w:themeFillShade="D9"/>
            <w:vAlign w:val="center"/>
          </w:tcPr>
          <w:p w:rsidR="00804489" w:rsidRPr="00655FE1" w:rsidRDefault="00804489" w:rsidP="00804489">
            <w:pPr>
              <w:jc w:val="center"/>
              <w:rPr>
                <w:color w:val="000000"/>
                <w:sz w:val="22"/>
                <w:szCs w:val="22"/>
              </w:rPr>
            </w:pPr>
            <w:r w:rsidRPr="00655FE1">
              <w:rPr>
                <w:color w:val="000000"/>
                <w:sz w:val="22"/>
                <w:szCs w:val="22"/>
              </w:rPr>
              <w:t>0,3%</w:t>
            </w:r>
          </w:p>
        </w:tc>
        <w:tc>
          <w:tcPr>
            <w:tcW w:w="1632" w:type="dxa"/>
            <w:shd w:val="clear" w:color="auto" w:fill="D9D9D9" w:themeFill="background1" w:themeFillShade="D9"/>
            <w:vAlign w:val="center"/>
          </w:tcPr>
          <w:p w:rsidR="00804489" w:rsidRPr="00655FE1" w:rsidRDefault="00804489" w:rsidP="00804489">
            <w:pPr>
              <w:jc w:val="center"/>
              <w:rPr>
                <w:color w:val="000000"/>
                <w:sz w:val="22"/>
                <w:szCs w:val="22"/>
              </w:rPr>
            </w:pPr>
            <w:r w:rsidRPr="00655FE1">
              <w:rPr>
                <w:color w:val="000000"/>
                <w:sz w:val="22"/>
                <w:szCs w:val="22"/>
              </w:rPr>
              <w:t>0,5%</w:t>
            </w:r>
          </w:p>
        </w:tc>
      </w:tr>
      <w:tr w:rsidR="00804489" w:rsidRPr="00804489" w:rsidTr="00804489">
        <w:tc>
          <w:tcPr>
            <w:tcW w:w="3510" w:type="dxa"/>
            <w:vMerge w:val="restart"/>
            <w:vAlign w:val="center"/>
          </w:tcPr>
          <w:p w:rsidR="00804489" w:rsidRPr="00804489" w:rsidRDefault="00804489" w:rsidP="00804489">
            <w:pPr>
              <w:rPr>
                <w:color w:val="000000"/>
                <w:sz w:val="22"/>
                <w:szCs w:val="22"/>
              </w:rPr>
            </w:pPr>
            <w:r w:rsidRPr="00804489">
              <w:rPr>
                <w:color w:val="000000"/>
                <w:sz w:val="22"/>
                <w:szCs w:val="22"/>
              </w:rPr>
              <w:t>Apdrošināšanas atlīdzība sakarā ar nelaimes gadījumu darbā</w:t>
            </w:r>
          </w:p>
        </w:tc>
        <w:tc>
          <w:tcPr>
            <w:tcW w:w="1418" w:type="dxa"/>
            <w:vAlign w:val="center"/>
          </w:tcPr>
          <w:p w:rsidR="00804489" w:rsidRPr="00804489" w:rsidRDefault="00804489" w:rsidP="00804489">
            <w:pPr>
              <w:rPr>
                <w:sz w:val="22"/>
                <w:szCs w:val="22"/>
              </w:rPr>
            </w:pPr>
            <w:r w:rsidRPr="00804489">
              <w:rPr>
                <w:sz w:val="22"/>
                <w:szCs w:val="22"/>
              </w:rPr>
              <w:t>2015</w:t>
            </w:r>
          </w:p>
        </w:tc>
        <w:tc>
          <w:tcPr>
            <w:tcW w:w="1701" w:type="dxa"/>
            <w:vAlign w:val="center"/>
          </w:tcPr>
          <w:p w:rsidR="00804489" w:rsidRPr="00804489" w:rsidRDefault="00804489" w:rsidP="00804489">
            <w:pPr>
              <w:jc w:val="center"/>
              <w:rPr>
                <w:color w:val="000000"/>
                <w:sz w:val="22"/>
                <w:szCs w:val="22"/>
              </w:rPr>
            </w:pPr>
            <w:r w:rsidRPr="00804489">
              <w:rPr>
                <w:color w:val="000000"/>
                <w:sz w:val="22"/>
                <w:szCs w:val="22"/>
              </w:rPr>
              <w:t>0,4%</w:t>
            </w:r>
          </w:p>
        </w:tc>
        <w:tc>
          <w:tcPr>
            <w:tcW w:w="1701" w:type="dxa"/>
            <w:vAlign w:val="center"/>
          </w:tcPr>
          <w:p w:rsidR="00804489" w:rsidRPr="00804489" w:rsidRDefault="00804489" w:rsidP="00804489">
            <w:pPr>
              <w:jc w:val="center"/>
              <w:rPr>
                <w:color w:val="000000"/>
                <w:sz w:val="22"/>
                <w:szCs w:val="22"/>
              </w:rPr>
            </w:pPr>
            <w:r w:rsidRPr="00804489">
              <w:rPr>
                <w:color w:val="000000"/>
                <w:sz w:val="22"/>
                <w:szCs w:val="22"/>
              </w:rPr>
              <w:t>1,3%</w:t>
            </w:r>
          </w:p>
        </w:tc>
        <w:tc>
          <w:tcPr>
            <w:tcW w:w="1632" w:type="dxa"/>
            <w:vAlign w:val="center"/>
          </w:tcPr>
          <w:p w:rsidR="00804489" w:rsidRPr="00804489" w:rsidRDefault="00804489" w:rsidP="00804489">
            <w:pPr>
              <w:jc w:val="center"/>
              <w:rPr>
                <w:color w:val="000000"/>
                <w:sz w:val="22"/>
                <w:szCs w:val="22"/>
              </w:rPr>
            </w:pPr>
            <w:r w:rsidRPr="00804489">
              <w:rPr>
                <w:color w:val="000000"/>
                <w:sz w:val="22"/>
                <w:szCs w:val="22"/>
              </w:rPr>
              <w:t>10,5%</w:t>
            </w:r>
          </w:p>
        </w:tc>
      </w:tr>
      <w:tr w:rsidR="00804489" w:rsidRPr="00804489" w:rsidTr="00804489">
        <w:tc>
          <w:tcPr>
            <w:tcW w:w="3510" w:type="dxa"/>
            <w:vMerge/>
            <w:vAlign w:val="center"/>
          </w:tcPr>
          <w:p w:rsidR="00804489" w:rsidRPr="00804489" w:rsidRDefault="00804489" w:rsidP="00804489">
            <w:pPr>
              <w:rPr>
                <w:sz w:val="22"/>
                <w:szCs w:val="22"/>
                <w:highlight w:val="yellow"/>
              </w:rPr>
            </w:pPr>
          </w:p>
        </w:tc>
        <w:tc>
          <w:tcPr>
            <w:tcW w:w="1418" w:type="dxa"/>
            <w:vAlign w:val="center"/>
          </w:tcPr>
          <w:p w:rsidR="00804489" w:rsidRPr="00804489" w:rsidRDefault="00804489" w:rsidP="00804489">
            <w:pPr>
              <w:rPr>
                <w:sz w:val="22"/>
                <w:szCs w:val="22"/>
              </w:rPr>
            </w:pPr>
            <w:r w:rsidRPr="00804489">
              <w:rPr>
                <w:sz w:val="22"/>
                <w:szCs w:val="22"/>
              </w:rPr>
              <w:t>2016</w:t>
            </w:r>
          </w:p>
        </w:tc>
        <w:tc>
          <w:tcPr>
            <w:tcW w:w="1701" w:type="dxa"/>
            <w:vAlign w:val="center"/>
          </w:tcPr>
          <w:p w:rsidR="00804489" w:rsidRPr="00804489" w:rsidRDefault="00804489" w:rsidP="00804489">
            <w:pPr>
              <w:jc w:val="center"/>
              <w:rPr>
                <w:color w:val="000000"/>
                <w:sz w:val="22"/>
                <w:szCs w:val="22"/>
              </w:rPr>
            </w:pPr>
            <w:r w:rsidRPr="00804489">
              <w:rPr>
                <w:color w:val="000000"/>
                <w:sz w:val="22"/>
                <w:szCs w:val="22"/>
              </w:rPr>
              <w:t>0,4%</w:t>
            </w:r>
          </w:p>
        </w:tc>
        <w:tc>
          <w:tcPr>
            <w:tcW w:w="1701" w:type="dxa"/>
            <w:vAlign w:val="center"/>
          </w:tcPr>
          <w:p w:rsidR="00804489" w:rsidRPr="00804489" w:rsidRDefault="00804489" w:rsidP="00804489">
            <w:pPr>
              <w:jc w:val="center"/>
              <w:rPr>
                <w:color w:val="000000"/>
                <w:sz w:val="22"/>
                <w:szCs w:val="22"/>
              </w:rPr>
            </w:pPr>
            <w:r w:rsidRPr="00804489">
              <w:rPr>
                <w:color w:val="000000"/>
                <w:sz w:val="22"/>
                <w:szCs w:val="22"/>
              </w:rPr>
              <w:t>1,3%</w:t>
            </w:r>
          </w:p>
        </w:tc>
        <w:tc>
          <w:tcPr>
            <w:tcW w:w="1632" w:type="dxa"/>
            <w:vAlign w:val="center"/>
          </w:tcPr>
          <w:p w:rsidR="00804489" w:rsidRPr="00804489" w:rsidRDefault="00804489" w:rsidP="00804489">
            <w:pPr>
              <w:jc w:val="center"/>
              <w:rPr>
                <w:color w:val="000000"/>
                <w:sz w:val="22"/>
                <w:szCs w:val="22"/>
              </w:rPr>
            </w:pPr>
            <w:r w:rsidRPr="00804489">
              <w:rPr>
                <w:color w:val="000000"/>
                <w:sz w:val="22"/>
                <w:szCs w:val="22"/>
              </w:rPr>
              <w:t>11,2%</w:t>
            </w:r>
          </w:p>
        </w:tc>
      </w:tr>
      <w:tr w:rsidR="00804489" w:rsidRPr="00804489" w:rsidTr="006106B3">
        <w:tc>
          <w:tcPr>
            <w:tcW w:w="3510" w:type="dxa"/>
            <w:vMerge w:val="restart"/>
            <w:shd w:val="clear" w:color="auto" w:fill="D9D9D9" w:themeFill="background1" w:themeFillShade="D9"/>
            <w:vAlign w:val="center"/>
          </w:tcPr>
          <w:p w:rsidR="00804489" w:rsidRPr="00804489" w:rsidRDefault="00804489" w:rsidP="006106B3">
            <w:pPr>
              <w:jc w:val="left"/>
              <w:rPr>
                <w:color w:val="000000"/>
                <w:sz w:val="22"/>
                <w:szCs w:val="22"/>
              </w:rPr>
            </w:pPr>
            <w:r w:rsidRPr="00804489">
              <w:rPr>
                <w:color w:val="000000"/>
                <w:sz w:val="22"/>
                <w:szCs w:val="22"/>
              </w:rPr>
              <w:t>Valsts sociālā nodrošinājuma pabalsts</w:t>
            </w:r>
          </w:p>
        </w:tc>
        <w:tc>
          <w:tcPr>
            <w:tcW w:w="1418" w:type="dxa"/>
            <w:shd w:val="clear" w:color="auto" w:fill="D9D9D9" w:themeFill="background1" w:themeFillShade="D9"/>
            <w:vAlign w:val="center"/>
          </w:tcPr>
          <w:p w:rsidR="00804489" w:rsidRPr="00804489" w:rsidRDefault="00804489" w:rsidP="00804489">
            <w:pPr>
              <w:rPr>
                <w:sz w:val="22"/>
                <w:szCs w:val="22"/>
              </w:rPr>
            </w:pPr>
            <w:r w:rsidRPr="00804489">
              <w:rPr>
                <w:sz w:val="22"/>
                <w:szCs w:val="22"/>
              </w:rPr>
              <w:t>2015</w:t>
            </w:r>
          </w:p>
        </w:tc>
        <w:tc>
          <w:tcPr>
            <w:tcW w:w="1701"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9,7%</w:t>
            </w:r>
          </w:p>
        </w:tc>
        <w:tc>
          <w:tcPr>
            <w:tcW w:w="1701"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10,6%</w:t>
            </w:r>
          </w:p>
        </w:tc>
        <w:tc>
          <w:tcPr>
            <w:tcW w:w="1632"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10,4%</w:t>
            </w:r>
          </w:p>
        </w:tc>
      </w:tr>
      <w:tr w:rsidR="00804489" w:rsidRPr="00804489" w:rsidTr="006106B3">
        <w:tc>
          <w:tcPr>
            <w:tcW w:w="3510" w:type="dxa"/>
            <w:vMerge/>
            <w:shd w:val="clear" w:color="auto" w:fill="D9D9D9" w:themeFill="background1" w:themeFillShade="D9"/>
            <w:vAlign w:val="center"/>
          </w:tcPr>
          <w:p w:rsidR="00804489" w:rsidRPr="00804489" w:rsidRDefault="00804489" w:rsidP="00804489">
            <w:pPr>
              <w:rPr>
                <w:sz w:val="22"/>
                <w:szCs w:val="22"/>
                <w:highlight w:val="yellow"/>
              </w:rPr>
            </w:pPr>
          </w:p>
        </w:tc>
        <w:tc>
          <w:tcPr>
            <w:tcW w:w="1418" w:type="dxa"/>
            <w:shd w:val="clear" w:color="auto" w:fill="D9D9D9" w:themeFill="background1" w:themeFillShade="D9"/>
            <w:vAlign w:val="center"/>
          </w:tcPr>
          <w:p w:rsidR="00804489" w:rsidRPr="00804489" w:rsidRDefault="00804489" w:rsidP="00804489">
            <w:pPr>
              <w:rPr>
                <w:sz w:val="22"/>
                <w:szCs w:val="22"/>
              </w:rPr>
            </w:pPr>
            <w:r w:rsidRPr="00804489">
              <w:rPr>
                <w:sz w:val="22"/>
                <w:szCs w:val="22"/>
              </w:rPr>
              <w:t>2016</w:t>
            </w:r>
          </w:p>
        </w:tc>
        <w:tc>
          <w:tcPr>
            <w:tcW w:w="1701"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9,6%</w:t>
            </w:r>
          </w:p>
        </w:tc>
        <w:tc>
          <w:tcPr>
            <w:tcW w:w="1701"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10,4%</w:t>
            </w:r>
          </w:p>
        </w:tc>
        <w:tc>
          <w:tcPr>
            <w:tcW w:w="1632"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10,3%</w:t>
            </w:r>
          </w:p>
        </w:tc>
      </w:tr>
      <w:tr w:rsidR="00804489" w:rsidRPr="00804489" w:rsidTr="00804489">
        <w:tc>
          <w:tcPr>
            <w:tcW w:w="3510" w:type="dxa"/>
            <w:vMerge w:val="restart"/>
            <w:vAlign w:val="center"/>
          </w:tcPr>
          <w:p w:rsidR="00804489" w:rsidRPr="00804489" w:rsidRDefault="00917A17" w:rsidP="006106B3">
            <w:pPr>
              <w:jc w:val="left"/>
              <w:rPr>
                <w:color w:val="000000"/>
                <w:sz w:val="22"/>
                <w:szCs w:val="22"/>
              </w:rPr>
            </w:pPr>
            <w:r>
              <w:rPr>
                <w:color w:val="000000"/>
                <w:sz w:val="22"/>
                <w:szCs w:val="22"/>
              </w:rPr>
              <w:lastRenderedPageBreak/>
              <w:t>Personas ar invaliditāti</w:t>
            </w:r>
            <w:r w:rsidR="00804489" w:rsidRPr="00804489">
              <w:rPr>
                <w:color w:val="000000"/>
                <w:sz w:val="22"/>
                <w:szCs w:val="22"/>
              </w:rPr>
              <w:t xml:space="preserve"> </w:t>
            </w:r>
            <w:r w:rsidR="0084779A">
              <w:rPr>
                <w:color w:val="000000"/>
                <w:sz w:val="22"/>
                <w:szCs w:val="22"/>
              </w:rPr>
              <w:t xml:space="preserve">īpašas </w:t>
            </w:r>
            <w:r w:rsidR="00804489" w:rsidRPr="00804489">
              <w:rPr>
                <w:color w:val="000000"/>
                <w:sz w:val="22"/>
                <w:szCs w:val="22"/>
              </w:rPr>
              <w:t>kopšanas pabalsts</w:t>
            </w:r>
          </w:p>
        </w:tc>
        <w:tc>
          <w:tcPr>
            <w:tcW w:w="1418" w:type="dxa"/>
            <w:vAlign w:val="center"/>
          </w:tcPr>
          <w:p w:rsidR="00804489" w:rsidRPr="00804489" w:rsidRDefault="00804489" w:rsidP="00804489">
            <w:pPr>
              <w:rPr>
                <w:sz w:val="22"/>
                <w:szCs w:val="22"/>
              </w:rPr>
            </w:pPr>
            <w:r w:rsidRPr="00804489">
              <w:rPr>
                <w:sz w:val="22"/>
                <w:szCs w:val="22"/>
              </w:rPr>
              <w:t>2015</w:t>
            </w:r>
          </w:p>
        </w:tc>
        <w:tc>
          <w:tcPr>
            <w:tcW w:w="1701" w:type="dxa"/>
            <w:vAlign w:val="center"/>
          </w:tcPr>
          <w:p w:rsidR="00804489" w:rsidRPr="00804489" w:rsidRDefault="00804489" w:rsidP="00804489">
            <w:pPr>
              <w:jc w:val="center"/>
              <w:rPr>
                <w:color w:val="000000"/>
                <w:sz w:val="22"/>
                <w:szCs w:val="22"/>
              </w:rPr>
            </w:pPr>
            <w:r w:rsidRPr="00804489">
              <w:rPr>
                <w:color w:val="000000"/>
                <w:sz w:val="22"/>
                <w:szCs w:val="22"/>
              </w:rPr>
              <w:t>63,4%</w:t>
            </w:r>
          </w:p>
        </w:tc>
        <w:tc>
          <w:tcPr>
            <w:tcW w:w="1701" w:type="dxa"/>
            <w:vAlign w:val="center"/>
          </w:tcPr>
          <w:p w:rsidR="00804489" w:rsidRPr="00804489" w:rsidRDefault="00804489" w:rsidP="00804489">
            <w:pPr>
              <w:jc w:val="center"/>
              <w:rPr>
                <w:color w:val="000000"/>
                <w:sz w:val="22"/>
                <w:szCs w:val="22"/>
              </w:rPr>
            </w:pPr>
            <w:r w:rsidRPr="00804489">
              <w:rPr>
                <w:color w:val="000000"/>
                <w:sz w:val="22"/>
                <w:szCs w:val="22"/>
              </w:rPr>
              <w:t>0,9%</w:t>
            </w:r>
          </w:p>
        </w:tc>
        <w:tc>
          <w:tcPr>
            <w:tcW w:w="1632" w:type="dxa"/>
            <w:vAlign w:val="center"/>
          </w:tcPr>
          <w:p w:rsidR="00804489" w:rsidRPr="00804489" w:rsidRDefault="00804489" w:rsidP="00804489">
            <w:pPr>
              <w:jc w:val="center"/>
              <w:rPr>
                <w:color w:val="000000"/>
                <w:sz w:val="22"/>
                <w:szCs w:val="22"/>
              </w:rPr>
            </w:pPr>
            <w:r w:rsidRPr="00804489">
              <w:rPr>
                <w:color w:val="000000"/>
                <w:sz w:val="22"/>
                <w:szCs w:val="22"/>
              </w:rPr>
              <w:t>0,2%</w:t>
            </w:r>
          </w:p>
        </w:tc>
      </w:tr>
      <w:tr w:rsidR="00804489" w:rsidRPr="00804489" w:rsidTr="00804489">
        <w:tc>
          <w:tcPr>
            <w:tcW w:w="3510" w:type="dxa"/>
            <w:vMerge/>
            <w:vAlign w:val="center"/>
          </w:tcPr>
          <w:p w:rsidR="00804489" w:rsidRPr="00804489" w:rsidRDefault="00804489" w:rsidP="006106B3">
            <w:pPr>
              <w:jc w:val="left"/>
              <w:rPr>
                <w:sz w:val="22"/>
                <w:szCs w:val="22"/>
                <w:highlight w:val="yellow"/>
              </w:rPr>
            </w:pPr>
          </w:p>
        </w:tc>
        <w:tc>
          <w:tcPr>
            <w:tcW w:w="1418" w:type="dxa"/>
            <w:vAlign w:val="center"/>
          </w:tcPr>
          <w:p w:rsidR="00804489" w:rsidRPr="00804489" w:rsidRDefault="00804489" w:rsidP="00804489">
            <w:pPr>
              <w:rPr>
                <w:sz w:val="22"/>
                <w:szCs w:val="22"/>
              </w:rPr>
            </w:pPr>
            <w:r w:rsidRPr="00804489">
              <w:rPr>
                <w:sz w:val="22"/>
                <w:szCs w:val="22"/>
              </w:rPr>
              <w:t>2016</w:t>
            </w:r>
          </w:p>
        </w:tc>
        <w:tc>
          <w:tcPr>
            <w:tcW w:w="1701" w:type="dxa"/>
            <w:vAlign w:val="center"/>
          </w:tcPr>
          <w:p w:rsidR="00804489" w:rsidRPr="00804489" w:rsidRDefault="00804489" w:rsidP="00804489">
            <w:pPr>
              <w:jc w:val="center"/>
              <w:rPr>
                <w:color w:val="000000"/>
                <w:sz w:val="22"/>
                <w:szCs w:val="22"/>
              </w:rPr>
            </w:pPr>
            <w:r w:rsidRPr="00804489">
              <w:rPr>
                <w:color w:val="000000"/>
                <w:sz w:val="22"/>
                <w:szCs w:val="22"/>
              </w:rPr>
              <w:t>63,9%</w:t>
            </w:r>
          </w:p>
        </w:tc>
        <w:tc>
          <w:tcPr>
            <w:tcW w:w="1701" w:type="dxa"/>
            <w:vAlign w:val="center"/>
          </w:tcPr>
          <w:p w:rsidR="00804489" w:rsidRPr="00804489" w:rsidRDefault="00804489" w:rsidP="00804489">
            <w:pPr>
              <w:jc w:val="center"/>
              <w:rPr>
                <w:color w:val="000000"/>
                <w:sz w:val="22"/>
                <w:szCs w:val="22"/>
              </w:rPr>
            </w:pPr>
            <w:r w:rsidRPr="00804489">
              <w:rPr>
                <w:color w:val="000000"/>
                <w:sz w:val="22"/>
                <w:szCs w:val="22"/>
              </w:rPr>
              <w:t>1,0%</w:t>
            </w:r>
          </w:p>
        </w:tc>
        <w:tc>
          <w:tcPr>
            <w:tcW w:w="1632" w:type="dxa"/>
            <w:vAlign w:val="center"/>
          </w:tcPr>
          <w:p w:rsidR="00804489" w:rsidRPr="00804489" w:rsidRDefault="00804489" w:rsidP="00804489">
            <w:pPr>
              <w:jc w:val="center"/>
              <w:rPr>
                <w:color w:val="000000"/>
                <w:sz w:val="22"/>
                <w:szCs w:val="22"/>
              </w:rPr>
            </w:pPr>
            <w:r w:rsidRPr="00804489">
              <w:rPr>
                <w:color w:val="000000"/>
                <w:sz w:val="22"/>
                <w:szCs w:val="22"/>
              </w:rPr>
              <w:t>0,2%</w:t>
            </w:r>
          </w:p>
        </w:tc>
      </w:tr>
      <w:tr w:rsidR="00804489" w:rsidRPr="00804489" w:rsidTr="006106B3">
        <w:tc>
          <w:tcPr>
            <w:tcW w:w="3510" w:type="dxa"/>
            <w:vMerge w:val="restart"/>
            <w:shd w:val="clear" w:color="auto" w:fill="D9D9D9" w:themeFill="background1" w:themeFillShade="D9"/>
            <w:vAlign w:val="center"/>
          </w:tcPr>
          <w:p w:rsidR="00804489" w:rsidRPr="00804489" w:rsidRDefault="00804489" w:rsidP="006106B3">
            <w:pPr>
              <w:jc w:val="left"/>
              <w:rPr>
                <w:color w:val="000000"/>
                <w:sz w:val="22"/>
                <w:szCs w:val="22"/>
              </w:rPr>
            </w:pPr>
            <w:r w:rsidRPr="00804489">
              <w:rPr>
                <w:color w:val="000000"/>
                <w:sz w:val="22"/>
                <w:szCs w:val="22"/>
              </w:rPr>
              <w:t>Transporta kompensācija</w:t>
            </w:r>
          </w:p>
        </w:tc>
        <w:tc>
          <w:tcPr>
            <w:tcW w:w="1418" w:type="dxa"/>
            <w:shd w:val="clear" w:color="auto" w:fill="D9D9D9" w:themeFill="background1" w:themeFillShade="D9"/>
            <w:vAlign w:val="center"/>
          </w:tcPr>
          <w:p w:rsidR="00804489" w:rsidRPr="00804489" w:rsidRDefault="00804489" w:rsidP="00804489">
            <w:pPr>
              <w:rPr>
                <w:sz w:val="22"/>
                <w:szCs w:val="22"/>
              </w:rPr>
            </w:pPr>
            <w:r w:rsidRPr="00804489">
              <w:rPr>
                <w:sz w:val="22"/>
                <w:szCs w:val="22"/>
              </w:rPr>
              <w:t>2015</w:t>
            </w:r>
          </w:p>
        </w:tc>
        <w:tc>
          <w:tcPr>
            <w:tcW w:w="1701"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51,0%</w:t>
            </w:r>
          </w:p>
        </w:tc>
        <w:tc>
          <w:tcPr>
            <w:tcW w:w="1701"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10,9%</w:t>
            </w:r>
          </w:p>
        </w:tc>
        <w:tc>
          <w:tcPr>
            <w:tcW w:w="1632"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1,7%</w:t>
            </w:r>
          </w:p>
        </w:tc>
      </w:tr>
      <w:tr w:rsidR="00804489" w:rsidRPr="00804489" w:rsidTr="006106B3">
        <w:tc>
          <w:tcPr>
            <w:tcW w:w="3510" w:type="dxa"/>
            <w:vMerge/>
            <w:shd w:val="clear" w:color="auto" w:fill="D9D9D9" w:themeFill="background1" w:themeFillShade="D9"/>
            <w:vAlign w:val="center"/>
          </w:tcPr>
          <w:p w:rsidR="00804489" w:rsidRPr="00804489" w:rsidRDefault="00804489" w:rsidP="006106B3">
            <w:pPr>
              <w:jc w:val="left"/>
              <w:rPr>
                <w:sz w:val="22"/>
                <w:szCs w:val="22"/>
                <w:highlight w:val="yellow"/>
              </w:rPr>
            </w:pPr>
          </w:p>
        </w:tc>
        <w:tc>
          <w:tcPr>
            <w:tcW w:w="1418" w:type="dxa"/>
            <w:shd w:val="clear" w:color="auto" w:fill="D9D9D9" w:themeFill="background1" w:themeFillShade="D9"/>
            <w:vAlign w:val="center"/>
          </w:tcPr>
          <w:p w:rsidR="00804489" w:rsidRPr="00804489" w:rsidRDefault="00804489" w:rsidP="00804489">
            <w:pPr>
              <w:rPr>
                <w:sz w:val="22"/>
                <w:szCs w:val="22"/>
              </w:rPr>
            </w:pPr>
            <w:r w:rsidRPr="00804489">
              <w:rPr>
                <w:sz w:val="22"/>
                <w:szCs w:val="22"/>
              </w:rPr>
              <w:t>2016</w:t>
            </w:r>
          </w:p>
        </w:tc>
        <w:tc>
          <w:tcPr>
            <w:tcW w:w="1701"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52,4%</w:t>
            </w:r>
          </w:p>
        </w:tc>
        <w:tc>
          <w:tcPr>
            <w:tcW w:w="1701"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11,7%</w:t>
            </w:r>
          </w:p>
        </w:tc>
        <w:tc>
          <w:tcPr>
            <w:tcW w:w="1632"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1,7%</w:t>
            </w:r>
          </w:p>
        </w:tc>
      </w:tr>
      <w:tr w:rsidR="00804489" w:rsidRPr="00804489" w:rsidTr="00804489">
        <w:tc>
          <w:tcPr>
            <w:tcW w:w="3510" w:type="dxa"/>
            <w:vMerge w:val="restart"/>
            <w:vAlign w:val="center"/>
          </w:tcPr>
          <w:p w:rsidR="00804489" w:rsidRPr="00804489" w:rsidRDefault="00804489" w:rsidP="006106B3">
            <w:pPr>
              <w:jc w:val="left"/>
              <w:rPr>
                <w:color w:val="000000"/>
                <w:sz w:val="22"/>
                <w:szCs w:val="22"/>
              </w:rPr>
            </w:pPr>
            <w:r w:rsidRPr="00804489">
              <w:rPr>
                <w:color w:val="000000"/>
                <w:sz w:val="22"/>
                <w:szCs w:val="22"/>
              </w:rPr>
              <w:t>Bezdarbnieka pabalsts</w:t>
            </w:r>
          </w:p>
        </w:tc>
        <w:tc>
          <w:tcPr>
            <w:tcW w:w="1418" w:type="dxa"/>
            <w:vAlign w:val="center"/>
          </w:tcPr>
          <w:p w:rsidR="00804489" w:rsidRPr="00804489" w:rsidRDefault="00804489" w:rsidP="00804489">
            <w:pPr>
              <w:rPr>
                <w:sz w:val="22"/>
                <w:szCs w:val="22"/>
              </w:rPr>
            </w:pPr>
            <w:r w:rsidRPr="00804489">
              <w:rPr>
                <w:sz w:val="22"/>
                <w:szCs w:val="22"/>
              </w:rPr>
              <w:t>2015</w:t>
            </w:r>
          </w:p>
        </w:tc>
        <w:tc>
          <w:tcPr>
            <w:tcW w:w="1701" w:type="dxa"/>
            <w:vAlign w:val="center"/>
          </w:tcPr>
          <w:p w:rsidR="00804489" w:rsidRPr="00804489" w:rsidRDefault="00804489" w:rsidP="00804489">
            <w:pPr>
              <w:jc w:val="center"/>
              <w:rPr>
                <w:color w:val="000000"/>
                <w:sz w:val="22"/>
                <w:szCs w:val="22"/>
              </w:rPr>
            </w:pPr>
            <w:r w:rsidRPr="00804489">
              <w:rPr>
                <w:color w:val="000000"/>
                <w:sz w:val="22"/>
                <w:szCs w:val="22"/>
              </w:rPr>
              <w:t>1,0%</w:t>
            </w:r>
          </w:p>
        </w:tc>
        <w:tc>
          <w:tcPr>
            <w:tcW w:w="1701" w:type="dxa"/>
            <w:vAlign w:val="center"/>
          </w:tcPr>
          <w:p w:rsidR="00804489" w:rsidRPr="00804489" w:rsidRDefault="00804489" w:rsidP="00804489">
            <w:pPr>
              <w:jc w:val="center"/>
              <w:rPr>
                <w:color w:val="000000"/>
                <w:sz w:val="22"/>
                <w:szCs w:val="22"/>
              </w:rPr>
            </w:pPr>
            <w:r w:rsidRPr="00804489">
              <w:rPr>
                <w:color w:val="000000"/>
                <w:sz w:val="22"/>
                <w:szCs w:val="22"/>
              </w:rPr>
              <w:t>3,8%</w:t>
            </w:r>
          </w:p>
        </w:tc>
        <w:tc>
          <w:tcPr>
            <w:tcW w:w="1632" w:type="dxa"/>
            <w:vAlign w:val="center"/>
          </w:tcPr>
          <w:p w:rsidR="00804489" w:rsidRPr="00804489" w:rsidRDefault="00804489" w:rsidP="00804489">
            <w:pPr>
              <w:jc w:val="center"/>
              <w:rPr>
                <w:color w:val="000000"/>
                <w:sz w:val="22"/>
                <w:szCs w:val="22"/>
              </w:rPr>
            </w:pPr>
            <w:r w:rsidRPr="00804489">
              <w:rPr>
                <w:color w:val="000000"/>
                <w:sz w:val="22"/>
                <w:szCs w:val="22"/>
              </w:rPr>
              <w:t>7,1%</w:t>
            </w:r>
          </w:p>
        </w:tc>
      </w:tr>
      <w:tr w:rsidR="00804489" w:rsidRPr="00804489" w:rsidTr="00804489">
        <w:tc>
          <w:tcPr>
            <w:tcW w:w="3510" w:type="dxa"/>
            <w:vMerge/>
            <w:vAlign w:val="center"/>
          </w:tcPr>
          <w:p w:rsidR="00804489" w:rsidRPr="00804489" w:rsidRDefault="00804489" w:rsidP="006106B3">
            <w:pPr>
              <w:jc w:val="left"/>
              <w:rPr>
                <w:sz w:val="22"/>
                <w:szCs w:val="22"/>
                <w:highlight w:val="yellow"/>
              </w:rPr>
            </w:pPr>
          </w:p>
        </w:tc>
        <w:tc>
          <w:tcPr>
            <w:tcW w:w="1418" w:type="dxa"/>
            <w:vAlign w:val="center"/>
          </w:tcPr>
          <w:p w:rsidR="00804489" w:rsidRPr="00804489" w:rsidRDefault="00804489" w:rsidP="00804489">
            <w:pPr>
              <w:rPr>
                <w:sz w:val="22"/>
                <w:szCs w:val="22"/>
              </w:rPr>
            </w:pPr>
            <w:r w:rsidRPr="00804489">
              <w:rPr>
                <w:sz w:val="22"/>
                <w:szCs w:val="22"/>
              </w:rPr>
              <w:t>2016</w:t>
            </w:r>
          </w:p>
        </w:tc>
        <w:tc>
          <w:tcPr>
            <w:tcW w:w="1701" w:type="dxa"/>
            <w:vAlign w:val="center"/>
          </w:tcPr>
          <w:p w:rsidR="00804489" w:rsidRPr="00804489" w:rsidRDefault="00804489" w:rsidP="00804489">
            <w:pPr>
              <w:jc w:val="center"/>
              <w:rPr>
                <w:color w:val="000000"/>
                <w:sz w:val="22"/>
                <w:szCs w:val="22"/>
              </w:rPr>
            </w:pPr>
            <w:r w:rsidRPr="00804489">
              <w:rPr>
                <w:color w:val="000000"/>
                <w:sz w:val="22"/>
                <w:szCs w:val="22"/>
              </w:rPr>
              <w:t>1,0%</w:t>
            </w:r>
          </w:p>
        </w:tc>
        <w:tc>
          <w:tcPr>
            <w:tcW w:w="1701" w:type="dxa"/>
            <w:vAlign w:val="center"/>
          </w:tcPr>
          <w:p w:rsidR="00804489" w:rsidRPr="00804489" w:rsidRDefault="00804489" w:rsidP="00804489">
            <w:pPr>
              <w:jc w:val="center"/>
              <w:rPr>
                <w:color w:val="000000"/>
                <w:sz w:val="22"/>
                <w:szCs w:val="22"/>
              </w:rPr>
            </w:pPr>
            <w:r w:rsidRPr="00804489">
              <w:rPr>
                <w:color w:val="000000"/>
                <w:sz w:val="22"/>
                <w:szCs w:val="22"/>
              </w:rPr>
              <w:t>3,9%</w:t>
            </w:r>
          </w:p>
        </w:tc>
        <w:tc>
          <w:tcPr>
            <w:tcW w:w="1632" w:type="dxa"/>
            <w:vAlign w:val="center"/>
          </w:tcPr>
          <w:p w:rsidR="00804489" w:rsidRPr="00804489" w:rsidRDefault="00804489" w:rsidP="00804489">
            <w:pPr>
              <w:jc w:val="center"/>
              <w:rPr>
                <w:color w:val="000000"/>
                <w:sz w:val="22"/>
                <w:szCs w:val="22"/>
              </w:rPr>
            </w:pPr>
            <w:r w:rsidRPr="00804489">
              <w:rPr>
                <w:color w:val="000000"/>
                <w:sz w:val="22"/>
                <w:szCs w:val="22"/>
              </w:rPr>
              <w:t>7,6%</w:t>
            </w:r>
          </w:p>
        </w:tc>
      </w:tr>
      <w:tr w:rsidR="00804489" w:rsidRPr="00804489" w:rsidTr="006106B3">
        <w:tc>
          <w:tcPr>
            <w:tcW w:w="3510" w:type="dxa"/>
            <w:vMerge w:val="restart"/>
            <w:shd w:val="clear" w:color="auto" w:fill="D9D9D9" w:themeFill="background1" w:themeFillShade="D9"/>
            <w:vAlign w:val="center"/>
          </w:tcPr>
          <w:p w:rsidR="00804489" w:rsidRPr="00804489" w:rsidRDefault="00804489" w:rsidP="006106B3">
            <w:pPr>
              <w:jc w:val="left"/>
              <w:rPr>
                <w:color w:val="000000"/>
                <w:sz w:val="22"/>
                <w:szCs w:val="22"/>
              </w:rPr>
            </w:pPr>
            <w:r w:rsidRPr="00804489">
              <w:rPr>
                <w:color w:val="000000"/>
                <w:sz w:val="22"/>
                <w:szCs w:val="22"/>
              </w:rPr>
              <w:t>Slimības pabalsts</w:t>
            </w:r>
          </w:p>
        </w:tc>
        <w:tc>
          <w:tcPr>
            <w:tcW w:w="1418" w:type="dxa"/>
            <w:shd w:val="clear" w:color="auto" w:fill="D9D9D9" w:themeFill="background1" w:themeFillShade="D9"/>
            <w:vAlign w:val="center"/>
          </w:tcPr>
          <w:p w:rsidR="00804489" w:rsidRPr="00804489" w:rsidRDefault="00804489" w:rsidP="00804489">
            <w:pPr>
              <w:rPr>
                <w:sz w:val="22"/>
                <w:szCs w:val="22"/>
              </w:rPr>
            </w:pPr>
            <w:r w:rsidRPr="00804489">
              <w:rPr>
                <w:sz w:val="22"/>
                <w:szCs w:val="22"/>
              </w:rPr>
              <w:t>2015</w:t>
            </w:r>
          </w:p>
        </w:tc>
        <w:tc>
          <w:tcPr>
            <w:tcW w:w="1701"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2,9%</w:t>
            </w:r>
          </w:p>
        </w:tc>
        <w:tc>
          <w:tcPr>
            <w:tcW w:w="1701"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8,7%</w:t>
            </w:r>
          </w:p>
        </w:tc>
        <w:tc>
          <w:tcPr>
            <w:tcW w:w="1632"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16,9%</w:t>
            </w:r>
          </w:p>
        </w:tc>
      </w:tr>
      <w:tr w:rsidR="00804489" w:rsidRPr="00804489" w:rsidTr="006106B3">
        <w:tc>
          <w:tcPr>
            <w:tcW w:w="3510" w:type="dxa"/>
            <w:vMerge/>
            <w:shd w:val="clear" w:color="auto" w:fill="D9D9D9" w:themeFill="background1" w:themeFillShade="D9"/>
            <w:vAlign w:val="center"/>
          </w:tcPr>
          <w:p w:rsidR="00804489" w:rsidRPr="00804489" w:rsidRDefault="00804489" w:rsidP="006106B3">
            <w:pPr>
              <w:jc w:val="left"/>
              <w:rPr>
                <w:sz w:val="22"/>
                <w:szCs w:val="22"/>
                <w:highlight w:val="yellow"/>
              </w:rPr>
            </w:pPr>
          </w:p>
        </w:tc>
        <w:tc>
          <w:tcPr>
            <w:tcW w:w="1418" w:type="dxa"/>
            <w:shd w:val="clear" w:color="auto" w:fill="D9D9D9" w:themeFill="background1" w:themeFillShade="D9"/>
            <w:vAlign w:val="center"/>
          </w:tcPr>
          <w:p w:rsidR="00804489" w:rsidRPr="00804489" w:rsidRDefault="00804489" w:rsidP="00804489">
            <w:pPr>
              <w:rPr>
                <w:sz w:val="22"/>
                <w:szCs w:val="22"/>
              </w:rPr>
            </w:pPr>
            <w:r w:rsidRPr="00804489">
              <w:rPr>
                <w:sz w:val="22"/>
                <w:szCs w:val="22"/>
              </w:rPr>
              <w:t>2016</w:t>
            </w:r>
          </w:p>
        </w:tc>
        <w:tc>
          <w:tcPr>
            <w:tcW w:w="1701"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2,8%</w:t>
            </w:r>
          </w:p>
        </w:tc>
        <w:tc>
          <w:tcPr>
            <w:tcW w:w="1701"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9,1%</w:t>
            </w:r>
          </w:p>
        </w:tc>
        <w:tc>
          <w:tcPr>
            <w:tcW w:w="1632"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17,8%</w:t>
            </w:r>
          </w:p>
        </w:tc>
      </w:tr>
      <w:tr w:rsidR="00804489" w:rsidRPr="00804489" w:rsidTr="00804489">
        <w:tc>
          <w:tcPr>
            <w:tcW w:w="3510" w:type="dxa"/>
            <w:vMerge w:val="restart"/>
            <w:vAlign w:val="center"/>
          </w:tcPr>
          <w:p w:rsidR="00804489" w:rsidRPr="00804489" w:rsidRDefault="00804489" w:rsidP="006106B3">
            <w:pPr>
              <w:jc w:val="left"/>
              <w:rPr>
                <w:color w:val="000000"/>
                <w:sz w:val="22"/>
                <w:szCs w:val="22"/>
              </w:rPr>
            </w:pPr>
            <w:r w:rsidRPr="00804489">
              <w:rPr>
                <w:color w:val="000000"/>
                <w:sz w:val="22"/>
                <w:szCs w:val="22"/>
              </w:rPr>
              <w:t>Papildu izdevumi saistībā ar nelaimes gadījumu darbā</w:t>
            </w:r>
          </w:p>
        </w:tc>
        <w:tc>
          <w:tcPr>
            <w:tcW w:w="1418" w:type="dxa"/>
            <w:vAlign w:val="center"/>
          </w:tcPr>
          <w:p w:rsidR="00804489" w:rsidRPr="00804489" w:rsidRDefault="00804489" w:rsidP="00804489">
            <w:pPr>
              <w:rPr>
                <w:sz w:val="22"/>
                <w:szCs w:val="22"/>
              </w:rPr>
            </w:pPr>
            <w:r w:rsidRPr="00804489">
              <w:rPr>
                <w:sz w:val="22"/>
                <w:szCs w:val="22"/>
              </w:rPr>
              <w:t>2015</w:t>
            </w:r>
          </w:p>
        </w:tc>
        <w:tc>
          <w:tcPr>
            <w:tcW w:w="1701" w:type="dxa"/>
            <w:vAlign w:val="center"/>
          </w:tcPr>
          <w:p w:rsidR="00804489" w:rsidRPr="00804489" w:rsidRDefault="00804489" w:rsidP="00804489">
            <w:pPr>
              <w:jc w:val="center"/>
              <w:rPr>
                <w:color w:val="000000"/>
                <w:sz w:val="22"/>
                <w:szCs w:val="22"/>
              </w:rPr>
            </w:pPr>
            <w:r w:rsidRPr="00804489">
              <w:rPr>
                <w:color w:val="000000"/>
                <w:sz w:val="22"/>
                <w:szCs w:val="22"/>
              </w:rPr>
              <w:t>0,1%</w:t>
            </w:r>
          </w:p>
        </w:tc>
        <w:tc>
          <w:tcPr>
            <w:tcW w:w="1701" w:type="dxa"/>
            <w:vAlign w:val="center"/>
          </w:tcPr>
          <w:p w:rsidR="00804489" w:rsidRPr="00804489" w:rsidRDefault="00804489" w:rsidP="00804489">
            <w:pPr>
              <w:jc w:val="center"/>
              <w:rPr>
                <w:color w:val="000000"/>
                <w:sz w:val="22"/>
                <w:szCs w:val="22"/>
              </w:rPr>
            </w:pPr>
            <w:r w:rsidRPr="00804489">
              <w:rPr>
                <w:color w:val="000000"/>
                <w:sz w:val="22"/>
                <w:szCs w:val="22"/>
              </w:rPr>
              <w:t>0,5%</w:t>
            </w:r>
          </w:p>
        </w:tc>
        <w:tc>
          <w:tcPr>
            <w:tcW w:w="1632" w:type="dxa"/>
            <w:vAlign w:val="center"/>
          </w:tcPr>
          <w:p w:rsidR="00804489" w:rsidRPr="00804489" w:rsidRDefault="00804489" w:rsidP="00804489">
            <w:pPr>
              <w:jc w:val="center"/>
              <w:rPr>
                <w:color w:val="000000"/>
                <w:sz w:val="22"/>
                <w:szCs w:val="22"/>
              </w:rPr>
            </w:pPr>
            <w:r w:rsidRPr="00804489">
              <w:rPr>
                <w:color w:val="000000"/>
                <w:sz w:val="22"/>
                <w:szCs w:val="22"/>
              </w:rPr>
              <w:t>5,1%</w:t>
            </w:r>
          </w:p>
        </w:tc>
      </w:tr>
      <w:tr w:rsidR="00804489" w:rsidRPr="00804489" w:rsidTr="00804489">
        <w:tc>
          <w:tcPr>
            <w:tcW w:w="3510" w:type="dxa"/>
            <w:vMerge/>
            <w:vAlign w:val="center"/>
          </w:tcPr>
          <w:p w:rsidR="00804489" w:rsidRPr="00804489" w:rsidRDefault="00804489" w:rsidP="006106B3">
            <w:pPr>
              <w:jc w:val="left"/>
              <w:rPr>
                <w:sz w:val="22"/>
                <w:szCs w:val="22"/>
                <w:highlight w:val="yellow"/>
              </w:rPr>
            </w:pPr>
          </w:p>
        </w:tc>
        <w:tc>
          <w:tcPr>
            <w:tcW w:w="1418" w:type="dxa"/>
            <w:vAlign w:val="center"/>
          </w:tcPr>
          <w:p w:rsidR="00804489" w:rsidRPr="00804489" w:rsidRDefault="00804489" w:rsidP="00804489">
            <w:pPr>
              <w:rPr>
                <w:sz w:val="22"/>
                <w:szCs w:val="22"/>
              </w:rPr>
            </w:pPr>
            <w:r w:rsidRPr="00804489">
              <w:rPr>
                <w:sz w:val="22"/>
                <w:szCs w:val="22"/>
              </w:rPr>
              <w:t>2016</w:t>
            </w:r>
          </w:p>
        </w:tc>
        <w:tc>
          <w:tcPr>
            <w:tcW w:w="1701" w:type="dxa"/>
            <w:vAlign w:val="center"/>
          </w:tcPr>
          <w:p w:rsidR="00804489" w:rsidRPr="00804489" w:rsidRDefault="00804489" w:rsidP="00804489">
            <w:pPr>
              <w:jc w:val="center"/>
              <w:rPr>
                <w:color w:val="000000"/>
                <w:sz w:val="22"/>
                <w:szCs w:val="22"/>
              </w:rPr>
            </w:pPr>
            <w:r w:rsidRPr="00804489">
              <w:rPr>
                <w:color w:val="000000"/>
                <w:sz w:val="22"/>
                <w:szCs w:val="22"/>
              </w:rPr>
              <w:t>0,1%</w:t>
            </w:r>
          </w:p>
        </w:tc>
        <w:tc>
          <w:tcPr>
            <w:tcW w:w="1701" w:type="dxa"/>
            <w:vAlign w:val="center"/>
          </w:tcPr>
          <w:p w:rsidR="00804489" w:rsidRPr="00804489" w:rsidRDefault="00804489" w:rsidP="00804489">
            <w:pPr>
              <w:jc w:val="center"/>
              <w:rPr>
                <w:color w:val="000000"/>
                <w:sz w:val="22"/>
                <w:szCs w:val="22"/>
              </w:rPr>
            </w:pPr>
            <w:r w:rsidRPr="00804489">
              <w:rPr>
                <w:color w:val="000000"/>
                <w:sz w:val="22"/>
                <w:szCs w:val="22"/>
              </w:rPr>
              <w:t>0,6%</w:t>
            </w:r>
          </w:p>
        </w:tc>
        <w:tc>
          <w:tcPr>
            <w:tcW w:w="1632" w:type="dxa"/>
            <w:vAlign w:val="center"/>
          </w:tcPr>
          <w:p w:rsidR="00804489" w:rsidRPr="00804489" w:rsidRDefault="00804489" w:rsidP="00804489">
            <w:pPr>
              <w:jc w:val="center"/>
              <w:rPr>
                <w:color w:val="000000"/>
                <w:sz w:val="22"/>
                <w:szCs w:val="22"/>
              </w:rPr>
            </w:pPr>
            <w:r w:rsidRPr="00804489">
              <w:rPr>
                <w:color w:val="000000"/>
                <w:sz w:val="22"/>
                <w:szCs w:val="22"/>
              </w:rPr>
              <w:t>5,5%</w:t>
            </w:r>
          </w:p>
        </w:tc>
      </w:tr>
      <w:tr w:rsidR="00804489" w:rsidRPr="00804489" w:rsidTr="006106B3">
        <w:tc>
          <w:tcPr>
            <w:tcW w:w="3510" w:type="dxa"/>
            <w:vMerge w:val="restart"/>
            <w:shd w:val="clear" w:color="auto" w:fill="D9D9D9" w:themeFill="background1" w:themeFillShade="D9"/>
            <w:vAlign w:val="center"/>
          </w:tcPr>
          <w:p w:rsidR="00804489" w:rsidRPr="00804489" w:rsidRDefault="00804489" w:rsidP="006106B3">
            <w:pPr>
              <w:jc w:val="left"/>
              <w:rPr>
                <w:color w:val="000000"/>
                <w:sz w:val="22"/>
                <w:szCs w:val="22"/>
              </w:rPr>
            </w:pPr>
            <w:r w:rsidRPr="00804489">
              <w:rPr>
                <w:color w:val="000000"/>
                <w:sz w:val="22"/>
                <w:szCs w:val="22"/>
              </w:rPr>
              <w:t>Kaitējuma atlīdzība ČAES seku likvidācijas dalībniekiem</w:t>
            </w:r>
          </w:p>
        </w:tc>
        <w:tc>
          <w:tcPr>
            <w:tcW w:w="1418" w:type="dxa"/>
            <w:shd w:val="clear" w:color="auto" w:fill="D9D9D9" w:themeFill="background1" w:themeFillShade="D9"/>
            <w:vAlign w:val="center"/>
          </w:tcPr>
          <w:p w:rsidR="00804489" w:rsidRPr="00804489" w:rsidRDefault="00804489" w:rsidP="00804489">
            <w:pPr>
              <w:rPr>
                <w:sz w:val="22"/>
                <w:szCs w:val="22"/>
              </w:rPr>
            </w:pPr>
            <w:r w:rsidRPr="00804489">
              <w:rPr>
                <w:sz w:val="22"/>
                <w:szCs w:val="22"/>
              </w:rPr>
              <w:t>2015</w:t>
            </w:r>
          </w:p>
        </w:tc>
        <w:tc>
          <w:tcPr>
            <w:tcW w:w="1701"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0,4%</w:t>
            </w:r>
          </w:p>
        </w:tc>
        <w:tc>
          <w:tcPr>
            <w:tcW w:w="1701"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1,5%</w:t>
            </w:r>
          </w:p>
        </w:tc>
        <w:tc>
          <w:tcPr>
            <w:tcW w:w="1632"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3,1%</w:t>
            </w:r>
          </w:p>
        </w:tc>
      </w:tr>
      <w:tr w:rsidR="00804489" w:rsidRPr="00804489" w:rsidTr="006106B3">
        <w:tc>
          <w:tcPr>
            <w:tcW w:w="3510" w:type="dxa"/>
            <w:vMerge/>
            <w:shd w:val="clear" w:color="auto" w:fill="D9D9D9" w:themeFill="background1" w:themeFillShade="D9"/>
            <w:vAlign w:val="center"/>
          </w:tcPr>
          <w:p w:rsidR="00804489" w:rsidRPr="00804489" w:rsidRDefault="00804489" w:rsidP="006106B3">
            <w:pPr>
              <w:jc w:val="left"/>
              <w:rPr>
                <w:sz w:val="22"/>
                <w:szCs w:val="22"/>
                <w:highlight w:val="yellow"/>
              </w:rPr>
            </w:pPr>
          </w:p>
        </w:tc>
        <w:tc>
          <w:tcPr>
            <w:tcW w:w="1418" w:type="dxa"/>
            <w:shd w:val="clear" w:color="auto" w:fill="D9D9D9" w:themeFill="background1" w:themeFillShade="D9"/>
            <w:vAlign w:val="center"/>
          </w:tcPr>
          <w:p w:rsidR="00804489" w:rsidRPr="00804489" w:rsidRDefault="00804489" w:rsidP="00804489">
            <w:pPr>
              <w:rPr>
                <w:sz w:val="22"/>
                <w:szCs w:val="22"/>
              </w:rPr>
            </w:pPr>
            <w:r w:rsidRPr="00804489">
              <w:rPr>
                <w:sz w:val="22"/>
                <w:szCs w:val="22"/>
              </w:rPr>
              <w:t>2016</w:t>
            </w:r>
          </w:p>
        </w:tc>
        <w:tc>
          <w:tcPr>
            <w:tcW w:w="1701"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0,4%</w:t>
            </w:r>
          </w:p>
        </w:tc>
        <w:tc>
          <w:tcPr>
            <w:tcW w:w="1701"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1,5%</w:t>
            </w:r>
          </w:p>
        </w:tc>
        <w:tc>
          <w:tcPr>
            <w:tcW w:w="1632"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2,9%</w:t>
            </w:r>
          </w:p>
        </w:tc>
      </w:tr>
      <w:tr w:rsidR="00804489" w:rsidRPr="00804489" w:rsidTr="00804489">
        <w:tc>
          <w:tcPr>
            <w:tcW w:w="3510" w:type="dxa"/>
            <w:vMerge w:val="restart"/>
            <w:vAlign w:val="center"/>
          </w:tcPr>
          <w:p w:rsidR="00804489" w:rsidRPr="00804489" w:rsidRDefault="00804489" w:rsidP="006106B3">
            <w:pPr>
              <w:jc w:val="left"/>
              <w:rPr>
                <w:color w:val="000000"/>
                <w:sz w:val="22"/>
                <w:szCs w:val="22"/>
              </w:rPr>
            </w:pPr>
            <w:r w:rsidRPr="00804489">
              <w:rPr>
                <w:color w:val="000000"/>
                <w:sz w:val="22"/>
                <w:szCs w:val="22"/>
              </w:rPr>
              <w:t xml:space="preserve">Pabalsts </w:t>
            </w:r>
            <w:r w:rsidR="00917A17">
              <w:rPr>
                <w:color w:val="000000"/>
                <w:sz w:val="22"/>
                <w:szCs w:val="22"/>
              </w:rPr>
              <w:t xml:space="preserve">personas ar </w:t>
            </w:r>
            <w:r w:rsidRPr="00804489">
              <w:rPr>
                <w:color w:val="000000"/>
                <w:sz w:val="22"/>
                <w:szCs w:val="22"/>
              </w:rPr>
              <w:t xml:space="preserve">redzes </w:t>
            </w:r>
            <w:r w:rsidR="00917A17">
              <w:rPr>
                <w:color w:val="000000"/>
                <w:sz w:val="22"/>
                <w:szCs w:val="22"/>
              </w:rPr>
              <w:t>invaliditāti</w:t>
            </w:r>
            <w:r w:rsidRPr="00804489">
              <w:rPr>
                <w:color w:val="000000"/>
                <w:sz w:val="22"/>
                <w:szCs w:val="22"/>
              </w:rPr>
              <w:t xml:space="preserve"> asistentam</w:t>
            </w:r>
          </w:p>
        </w:tc>
        <w:tc>
          <w:tcPr>
            <w:tcW w:w="1418" w:type="dxa"/>
            <w:vAlign w:val="center"/>
          </w:tcPr>
          <w:p w:rsidR="00804489" w:rsidRPr="00804489" w:rsidRDefault="00804489" w:rsidP="00804489">
            <w:pPr>
              <w:rPr>
                <w:sz w:val="22"/>
                <w:szCs w:val="22"/>
              </w:rPr>
            </w:pPr>
            <w:r w:rsidRPr="00804489">
              <w:rPr>
                <w:sz w:val="22"/>
                <w:szCs w:val="22"/>
              </w:rPr>
              <w:t>2015</w:t>
            </w:r>
          </w:p>
        </w:tc>
        <w:tc>
          <w:tcPr>
            <w:tcW w:w="1701" w:type="dxa"/>
            <w:vAlign w:val="center"/>
          </w:tcPr>
          <w:p w:rsidR="00804489" w:rsidRPr="00804489" w:rsidRDefault="00804489" w:rsidP="00804489">
            <w:pPr>
              <w:jc w:val="center"/>
              <w:rPr>
                <w:color w:val="000000"/>
                <w:sz w:val="22"/>
                <w:szCs w:val="22"/>
              </w:rPr>
            </w:pPr>
            <w:r w:rsidRPr="00804489">
              <w:rPr>
                <w:color w:val="000000"/>
                <w:sz w:val="22"/>
                <w:szCs w:val="22"/>
              </w:rPr>
              <w:t>8,0%</w:t>
            </w:r>
          </w:p>
        </w:tc>
        <w:tc>
          <w:tcPr>
            <w:tcW w:w="1701" w:type="dxa"/>
            <w:vAlign w:val="center"/>
          </w:tcPr>
          <w:p w:rsidR="00804489" w:rsidRPr="00804489" w:rsidRDefault="00804489" w:rsidP="00804489">
            <w:pPr>
              <w:jc w:val="center"/>
              <w:rPr>
                <w:color w:val="000000"/>
                <w:sz w:val="22"/>
                <w:szCs w:val="22"/>
              </w:rPr>
            </w:pPr>
            <w:r w:rsidRPr="00804489">
              <w:rPr>
                <w:color w:val="000000"/>
                <w:sz w:val="22"/>
                <w:szCs w:val="22"/>
              </w:rPr>
              <w:t>0,1%</w:t>
            </w:r>
          </w:p>
        </w:tc>
        <w:tc>
          <w:tcPr>
            <w:tcW w:w="1632" w:type="dxa"/>
            <w:vAlign w:val="center"/>
          </w:tcPr>
          <w:p w:rsidR="00804489" w:rsidRPr="00804489" w:rsidRDefault="00804489" w:rsidP="00804489">
            <w:pPr>
              <w:jc w:val="center"/>
              <w:rPr>
                <w:color w:val="000000"/>
                <w:sz w:val="22"/>
                <w:szCs w:val="22"/>
              </w:rPr>
            </w:pPr>
            <w:r w:rsidRPr="00804489">
              <w:rPr>
                <w:color w:val="000000"/>
                <w:sz w:val="22"/>
                <w:szCs w:val="22"/>
              </w:rPr>
              <w:t>0,0%</w:t>
            </w:r>
          </w:p>
        </w:tc>
      </w:tr>
      <w:tr w:rsidR="00804489" w:rsidRPr="00804489" w:rsidTr="00804489">
        <w:tc>
          <w:tcPr>
            <w:tcW w:w="3510" w:type="dxa"/>
            <w:vMerge/>
            <w:vAlign w:val="center"/>
          </w:tcPr>
          <w:p w:rsidR="00804489" w:rsidRPr="00804489" w:rsidRDefault="00804489" w:rsidP="006106B3">
            <w:pPr>
              <w:jc w:val="left"/>
              <w:rPr>
                <w:sz w:val="22"/>
                <w:szCs w:val="22"/>
                <w:highlight w:val="yellow"/>
              </w:rPr>
            </w:pPr>
          </w:p>
        </w:tc>
        <w:tc>
          <w:tcPr>
            <w:tcW w:w="1418" w:type="dxa"/>
            <w:vAlign w:val="center"/>
          </w:tcPr>
          <w:p w:rsidR="00804489" w:rsidRPr="00804489" w:rsidRDefault="00804489" w:rsidP="00804489">
            <w:pPr>
              <w:rPr>
                <w:sz w:val="22"/>
                <w:szCs w:val="22"/>
              </w:rPr>
            </w:pPr>
            <w:r w:rsidRPr="00804489">
              <w:rPr>
                <w:sz w:val="22"/>
                <w:szCs w:val="22"/>
              </w:rPr>
              <w:t>2016</w:t>
            </w:r>
          </w:p>
        </w:tc>
        <w:tc>
          <w:tcPr>
            <w:tcW w:w="1701" w:type="dxa"/>
            <w:vAlign w:val="center"/>
          </w:tcPr>
          <w:p w:rsidR="00804489" w:rsidRPr="00804489" w:rsidRDefault="00804489" w:rsidP="00804489">
            <w:pPr>
              <w:jc w:val="center"/>
              <w:rPr>
                <w:color w:val="000000"/>
                <w:sz w:val="22"/>
                <w:szCs w:val="22"/>
              </w:rPr>
            </w:pPr>
            <w:r w:rsidRPr="00804489">
              <w:rPr>
                <w:color w:val="000000"/>
                <w:sz w:val="22"/>
                <w:szCs w:val="22"/>
              </w:rPr>
              <w:t>7,6%</w:t>
            </w:r>
          </w:p>
        </w:tc>
        <w:tc>
          <w:tcPr>
            <w:tcW w:w="1701" w:type="dxa"/>
            <w:vAlign w:val="center"/>
          </w:tcPr>
          <w:p w:rsidR="00804489" w:rsidRPr="00804489" w:rsidRDefault="00804489" w:rsidP="00804489">
            <w:pPr>
              <w:jc w:val="center"/>
              <w:rPr>
                <w:color w:val="000000"/>
                <w:sz w:val="22"/>
                <w:szCs w:val="22"/>
              </w:rPr>
            </w:pPr>
            <w:r w:rsidRPr="00804489">
              <w:rPr>
                <w:color w:val="000000"/>
                <w:sz w:val="22"/>
                <w:szCs w:val="22"/>
              </w:rPr>
              <w:t>0,1%</w:t>
            </w:r>
          </w:p>
        </w:tc>
        <w:tc>
          <w:tcPr>
            <w:tcW w:w="1632" w:type="dxa"/>
            <w:vAlign w:val="center"/>
          </w:tcPr>
          <w:p w:rsidR="00804489" w:rsidRPr="00804489" w:rsidRDefault="00804489" w:rsidP="00804489">
            <w:pPr>
              <w:jc w:val="center"/>
              <w:rPr>
                <w:color w:val="000000"/>
                <w:sz w:val="22"/>
                <w:szCs w:val="22"/>
              </w:rPr>
            </w:pPr>
            <w:r w:rsidRPr="00804489">
              <w:rPr>
                <w:color w:val="000000"/>
                <w:sz w:val="22"/>
                <w:szCs w:val="22"/>
              </w:rPr>
              <w:t>0,0%</w:t>
            </w:r>
          </w:p>
        </w:tc>
      </w:tr>
      <w:tr w:rsidR="00804489" w:rsidRPr="00804489" w:rsidTr="006106B3">
        <w:tc>
          <w:tcPr>
            <w:tcW w:w="3510" w:type="dxa"/>
            <w:vMerge w:val="restart"/>
            <w:shd w:val="clear" w:color="auto" w:fill="D9D9D9" w:themeFill="background1" w:themeFillShade="D9"/>
            <w:vAlign w:val="center"/>
          </w:tcPr>
          <w:p w:rsidR="00804489" w:rsidRPr="00804489" w:rsidRDefault="00804489" w:rsidP="006106B3">
            <w:pPr>
              <w:jc w:val="left"/>
              <w:rPr>
                <w:color w:val="000000"/>
                <w:sz w:val="22"/>
                <w:szCs w:val="22"/>
              </w:rPr>
            </w:pPr>
            <w:r w:rsidRPr="00804489">
              <w:rPr>
                <w:color w:val="000000"/>
                <w:sz w:val="22"/>
                <w:szCs w:val="22"/>
              </w:rPr>
              <w:t>Citi ienākumi (t.sk. alga)</w:t>
            </w:r>
          </w:p>
        </w:tc>
        <w:tc>
          <w:tcPr>
            <w:tcW w:w="1418" w:type="dxa"/>
            <w:shd w:val="clear" w:color="auto" w:fill="D9D9D9" w:themeFill="background1" w:themeFillShade="D9"/>
            <w:vAlign w:val="center"/>
          </w:tcPr>
          <w:p w:rsidR="00804489" w:rsidRPr="00804489" w:rsidRDefault="00804489" w:rsidP="00804489">
            <w:pPr>
              <w:rPr>
                <w:sz w:val="22"/>
                <w:szCs w:val="22"/>
              </w:rPr>
            </w:pPr>
            <w:r w:rsidRPr="00804489">
              <w:rPr>
                <w:sz w:val="22"/>
                <w:szCs w:val="22"/>
              </w:rPr>
              <w:t>2015</w:t>
            </w:r>
          </w:p>
        </w:tc>
        <w:tc>
          <w:tcPr>
            <w:tcW w:w="1701"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5,9%</w:t>
            </w:r>
          </w:p>
        </w:tc>
        <w:tc>
          <w:tcPr>
            <w:tcW w:w="1701"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23,8%</w:t>
            </w:r>
          </w:p>
        </w:tc>
        <w:tc>
          <w:tcPr>
            <w:tcW w:w="1632"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46,2%</w:t>
            </w:r>
          </w:p>
        </w:tc>
      </w:tr>
      <w:tr w:rsidR="00804489" w:rsidRPr="00804489" w:rsidTr="006106B3">
        <w:tc>
          <w:tcPr>
            <w:tcW w:w="3510" w:type="dxa"/>
            <w:vMerge/>
            <w:shd w:val="clear" w:color="auto" w:fill="D9D9D9" w:themeFill="background1" w:themeFillShade="D9"/>
            <w:vAlign w:val="center"/>
          </w:tcPr>
          <w:p w:rsidR="00804489" w:rsidRPr="00804489" w:rsidRDefault="00804489" w:rsidP="00804489">
            <w:pPr>
              <w:rPr>
                <w:sz w:val="22"/>
                <w:szCs w:val="22"/>
                <w:highlight w:val="yellow"/>
              </w:rPr>
            </w:pPr>
          </w:p>
        </w:tc>
        <w:tc>
          <w:tcPr>
            <w:tcW w:w="1418" w:type="dxa"/>
            <w:shd w:val="clear" w:color="auto" w:fill="D9D9D9" w:themeFill="background1" w:themeFillShade="D9"/>
            <w:vAlign w:val="center"/>
          </w:tcPr>
          <w:p w:rsidR="00804489" w:rsidRPr="00804489" w:rsidRDefault="00804489" w:rsidP="00804489">
            <w:pPr>
              <w:rPr>
                <w:sz w:val="22"/>
                <w:szCs w:val="22"/>
              </w:rPr>
            </w:pPr>
            <w:r w:rsidRPr="00804489">
              <w:rPr>
                <w:sz w:val="22"/>
                <w:szCs w:val="22"/>
              </w:rPr>
              <w:t>2016</w:t>
            </w:r>
          </w:p>
        </w:tc>
        <w:tc>
          <w:tcPr>
            <w:tcW w:w="1701"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5,6%</w:t>
            </w:r>
          </w:p>
        </w:tc>
        <w:tc>
          <w:tcPr>
            <w:tcW w:w="1701"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24,2%</w:t>
            </w:r>
          </w:p>
        </w:tc>
        <w:tc>
          <w:tcPr>
            <w:tcW w:w="1632" w:type="dxa"/>
            <w:shd w:val="clear" w:color="auto" w:fill="D9D9D9" w:themeFill="background1" w:themeFillShade="D9"/>
            <w:vAlign w:val="center"/>
          </w:tcPr>
          <w:p w:rsidR="00804489" w:rsidRPr="00804489" w:rsidRDefault="00804489" w:rsidP="00804489">
            <w:pPr>
              <w:jc w:val="center"/>
              <w:rPr>
                <w:color w:val="000000"/>
                <w:sz w:val="22"/>
                <w:szCs w:val="22"/>
              </w:rPr>
            </w:pPr>
            <w:r w:rsidRPr="00804489">
              <w:rPr>
                <w:color w:val="000000"/>
                <w:sz w:val="22"/>
                <w:szCs w:val="22"/>
              </w:rPr>
              <w:t>47,3%</w:t>
            </w:r>
          </w:p>
        </w:tc>
      </w:tr>
    </w:tbl>
    <w:p w:rsidR="00804489" w:rsidRPr="0060559C" w:rsidRDefault="00AB36C6" w:rsidP="00804489">
      <w:pPr>
        <w:rPr>
          <w:sz w:val="20"/>
          <w:szCs w:val="20"/>
        </w:rPr>
      </w:pPr>
      <w:r>
        <w:rPr>
          <w:sz w:val="20"/>
          <w:szCs w:val="20"/>
        </w:rPr>
        <w:t>Avots</w:t>
      </w:r>
      <w:r w:rsidR="00804489" w:rsidRPr="0060559C">
        <w:rPr>
          <w:sz w:val="20"/>
          <w:szCs w:val="20"/>
        </w:rPr>
        <w:t>: Autoru aprēķini, izmantojot VSAA sagatavotos administratīvos mikrodatus</w:t>
      </w:r>
    </w:p>
    <w:p w:rsidR="00804489" w:rsidRDefault="00804489" w:rsidP="00804489">
      <w:pPr>
        <w:rPr>
          <w:highlight w:val="yellow"/>
        </w:rPr>
      </w:pPr>
    </w:p>
    <w:p w:rsidR="00804489" w:rsidRPr="00AD3EE9" w:rsidRDefault="00804489" w:rsidP="00804489">
      <w:r w:rsidRPr="00DD0DA5">
        <w:t>Atkarībā no funkcionālo traucējumu veida arī ir novērojamas atšķirības, kādus sociālos transfertus un citu ienākumu veidus ir saņēmusi persona ar invaliditāti (1.4</w:t>
      </w:r>
      <w:r w:rsidR="00DD0DA5" w:rsidRPr="00DD0DA5">
        <w:t>5</w:t>
      </w:r>
      <w:r w:rsidRPr="00DD0DA5">
        <w:t xml:space="preserve">. tabula). Redzams, ka visbiežāk 2015. – 2016. gadā vismaz vienu mēnesi gadā strādāja personas ar dzirdes traucējumiem (44,9-45,8%), kustību traucējumiem (38,1-38,7%) un personas ar citiem traucējumu veidiem (31,8-32,4%), visretāk – personas ar garīga rakstura traucējumiem (14,9-15,6%). Visnozīmīgākais nodarbinātības fakta pieaugums novērojums šādās personu ar invaliditāti grupās: dzirdes traucējumi (par 0,9 procentpunktiem) un garīga rakstura traucējumi (par 0,7 procentpunktiem). Nozīmīgākās atšķirīgas atkarībā no funkcionālo traucējumu veida ir novērojamas valsts sociālā nodrošinājuma pabalsta saņemšanā (visbiežāk to saņem personas ar garīga rakstura traucējumiem un dzirdes traucējumiem); transporta kompensāciju visbiežāk saņem personas ar kustību traucējumiem vai citiem traucējumu </w:t>
      </w:r>
      <w:r w:rsidR="00AD3EE9" w:rsidRPr="00DD0DA5">
        <w:t>veidiem;</w:t>
      </w:r>
      <w:r w:rsidRPr="00DD0DA5">
        <w:t xml:space="preserve"> pabalstu </w:t>
      </w:r>
      <w:r w:rsidR="00917A17" w:rsidRPr="00DD0DA5">
        <w:t>personas ar redzes invaliditāti</w:t>
      </w:r>
      <w:r w:rsidRPr="00DD0DA5">
        <w:t xml:space="preserve"> asistentam likumsakarīgi saņem </w:t>
      </w:r>
      <w:r w:rsidR="00AD3EE9" w:rsidRPr="00DD0DA5">
        <w:t xml:space="preserve">tikai </w:t>
      </w:r>
      <w:r w:rsidRPr="00DD0DA5">
        <w:t>personas ar redzes traucējumiem</w:t>
      </w:r>
      <w:r w:rsidR="00AD3EE9" w:rsidRPr="00DD0DA5">
        <w:t xml:space="preserve"> (tā kā atsevišķām personām šajā grupā ir noteikti arī citi traucējumi, attiecīgi 1.4</w:t>
      </w:r>
      <w:r w:rsidR="00DD0DA5" w:rsidRPr="00DD0DA5">
        <w:t>4</w:t>
      </w:r>
      <w:r w:rsidR="00AD3EE9" w:rsidRPr="00DD0DA5">
        <w:t>. tabulā redzams, ka šādu pakalpojumu saņem arī atsevišķas personas citās funkcionālo</w:t>
      </w:r>
      <w:r w:rsidR="00AD3EE9" w:rsidRPr="00AD3EE9">
        <w:t xml:space="preserve"> traucējumu grupās</w:t>
      </w:r>
      <w:r w:rsidR="00AD3EE9">
        <w:t>)</w:t>
      </w:r>
      <w:r w:rsidRPr="00AD3EE9">
        <w:t>.</w:t>
      </w:r>
    </w:p>
    <w:p w:rsidR="00917A17" w:rsidRPr="00AD3EE9" w:rsidRDefault="00917A17" w:rsidP="00804489">
      <w:pPr>
        <w:sectPr w:rsidR="00917A17" w:rsidRPr="00AD3EE9" w:rsidSect="00F0340A">
          <w:footerReference w:type="default" r:id="rId60"/>
          <w:pgSz w:w="11906" w:h="16838"/>
          <w:pgMar w:top="1440" w:right="1077" w:bottom="1077" w:left="1077" w:header="709" w:footer="709" w:gutter="0"/>
          <w:cols w:space="708"/>
          <w:titlePg/>
          <w:docGrid w:linePitch="360"/>
        </w:sectPr>
      </w:pPr>
    </w:p>
    <w:p w:rsidR="00804489" w:rsidRDefault="00804489" w:rsidP="000A7157">
      <w:pPr>
        <w:pStyle w:val="Caption"/>
      </w:pPr>
      <w:r w:rsidRPr="00814FBC">
        <w:lastRenderedPageBreak/>
        <w:t>1.</w:t>
      </w:r>
      <w:r>
        <w:t>4</w:t>
      </w:r>
      <w:r w:rsidR="00DD0DA5">
        <w:t>4</w:t>
      </w:r>
      <w:r w:rsidRPr="00814FBC">
        <w:t>. tabula. Personu – sociālās apdrošināšanas un sociālo pakalpojumu saņēmēju – īpatsvars (procentos) 2015. – 2016. gadā dalījumā pēc traucējuma veida</w:t>
      </w:r>
      <w:r>
        <w:t xml:space="preserve"> </w:t>
      </w:r>
    </w:p>
    <w:tbl>
      <w:tblPr>
        <w:tblStyle w:val="TableGrid"/>
        <w:tblW w:w="14884" w:type="dxa"/>
        <w:tblInd w:w="-601" w:type="dxa"/>
        <w:tblLook w:val="04A0"/>
      </w:tblPr>
      <w:tblGrid>
        <w:gridCol w:w="3970"/>
        <w:gridCol w:w="992"/>
        <w:gridCol w:w="1559"/>
        <w:gridCol w:w="1701"/>
        <w:gridCol w:w="1559"/>
        <w:gridCol w:w="1843"/>
        <w:gridCol w:w="1559"/>
        <w:gridCol w:w="1701"/>
      </w:tblGrid>
      <w:tr w:rsidR="00804489" w:rsidRPr="006106B3" w:rsidTr="006106B3">
        <w:tc>
          <w:tcPr>
            <w:tcW w:w="3970" w:type="dxa"/>
            <w:shd w:val="clear" w:color="auto" w:fill="B8CCE4" w:themeFill="accent1" w:themeFillTint="66"/>
            <w:vAlign w:val="center"/>
          </w:tcPr>
          <w:p w:rsidR="00804489" w:rsidRPr="006106B3" w:rsidRDefault="00804489" w:rsidP="00804489">
            <w:pPr>
              <w:rPr>
                <w:b/>
                <w:color w:val="002060"/>
                <w:sz w:val="22"/>
                <w:szCs w:val="22"/>
              </w:rPr>
            </w:pPr>
            <w:r w:rsidRPr="006106B3">
              <w:rPr>
                <w:b/>
                <w:color w:val="002060"/>
                <w:sz w:val="22"/>
                <w:szCs w:val="22"/>
              </w:rPr>
              <w:t>Ienākumu veids</w:t>
            </w:r>
          </w:p>
        </w:tc>
        <w:tc>
          <w:tcPr>
            <w:tcW w:w="992" w:type="dxa"/>
            <w:shd w:val="clear" w:color="auto" w:fill="B8CCE4" w:themeFill="accent1" w:themeFillTint="66"/>
            <w:vAlign w:val="center"/>
          </w:tcPr>
          <w:p w:rsidR="00804489" w:rsidRPr="006106B3" w:rsidRDefault="00804489" w:rsidP="00804489">
            <w:pPr>
              <w:rPr>
                <w:b/>
                <w:color w:val="002060"/>
                <w:sz w:val="22"/>
                <w:szCs w:val="22"/>
              </w:rPr>
            </w:pPr>
          </w:p>
          <w:p w:rsidR="00804489" w:rsidRPr="006106B3" w:rsidRDefault="00804489" w:rsidP="00804489">
            <w:pPr>
              <w:rPr>
                <w:b/>
                <w:color w:val="002060"/>
                <w:sz w:val="22"/>
                <w:szCs w:val="22"/>
              </w:rPr>
            </w:pPr>
            <w:r w:rsidRPr="006106B3">
              <w:rPr>
                <w:b/>
                <w:color w:val="002060"/>
                <w:sz w:val="22"/>
                <w:szCs w:val="22"/>
              </w:rPr>
              <w:t>Gads</w:t>
            </w:r>
          </w:p>
        </w:tc>
        <w:tc>
          <w:tcPr>
            <w:tcW w:w="1559" w:type="dxa"/>
            <w:shd w:val="clear" w:color="auto" w:fill="B8CCE4" w:themeFill="accent1" w:themeFillTint="66"/>
            <w:vAlign w:val="center"/>
          </w:tcPr>
          <w:p w:rsidR="00804489" w:rsidRPr="006106B3" w:rsidRDefault="00804489" w:rsidP="00804489">
            <w:pPr>
              <w:jc w:val="center"/>
              <w:rPr>
                <w:b/>
                <w:color w:val="002060"/>
                <w:sz w:val="22"/>
                <w:szCs w:val="22"/>
              </w:rPr>
            </w:pPr>
            <w:r w:rsidRPr="006106B3">
              <w:rPr>
                <w:b/>
                <w:color w:val="002060"/>
                <w:sz w:val="22"/>
                <w:szCs w:val="22"/>
              </w:rPr>
              <w:t>Redzes traucējumi</w:t>
            </w:r>
          </w:p>
        </w:tc>
        <w:tc>
          <w:tcPr>
            <w:tcW w:w="1701" w:type="dxa"/>
            <w:shd w:val="clear" w:color="auto" w:fill="B8CCE4" w:themeFill="accent1" w:themeFillTint="66"/>
            <w:vAlign w:val="center"/>
          </w:tcPr>
          <w:p w:rsidR="00804489" w:rsidRPr="006106B3" w:rsidRDefault="00804489" w:rsidP="00804489">
            <w:pPr>
              <w:jc w:val="center"/>
              <w:rPr>
                <w:b/>
                <w:color w:val="002060"/>
                <w:sz w:val="22"/>
                <w:szCs w:val="22"/>
              </w:rPr>
            </w:pPr>
            <w:r w:rsidRPr="006106B3">
              <w:rPr>
                <w:b/>
                <w:color w:val="002060"/>
                <w:sz w:val="22"/>
                <w:szCs w:val="22"/>
              </w:rPr>
              <w:t>Dzirdes traucējumi</w:t>
            </w:r>
          </w:p>
        </w:tc>
        <w:tc>
          <w:tcPr>
            <w:tcW w:w="1559" w:type="dxa"/>
            <w:shd w:val="clear" w:color="auto" w:fill="B8CCE4" w:themeFill="accent1" w:themeFillTint="66"/>
            <w:vAlign w:val="center"/>
          </w:tcPr>
          <w:p w:rsidR="00804489" w:rsidRPr="006106B3" w:rsidRDefault="00804489" w:rsidP="00804489">
            <w:pPr>
              <w:jc w:val="center"/>
              <w:rPr>
                <w:b/>
                <w:color w:val="002060"/>
                <w:sz w:val="22"/>
                <w:szCs w:val="22"/>
              </w:rPr>
            </w:pPr>
            <w:r w:rsidRPr="006106B3">
              <w:rPr>
                <w:b/>
                <w:color w:val="002060"/>
                <w:sz w:val="22"/>
                <w:szCs w:val="22"/>
              </w:rPr>
              <w:t>Kustību traucējumi</w:t>
            </w:r>
          </w:p>
        </w:tc>
        <w:tc>
          <w:tcPr>
            <w:tcW w:w="1843" w:type="dxa"/>
            <w:shd w:val="clear" w:color="auto" w:fill="B8CCE4" w:themeFill="accent1" w:themeFillTint="66"/>
            <w:vAlign w:val="center"/>
          </w:tcPr>
          <w:p w:rsidR="00804489" w:rsidRPr="006106B3" w:rsidRDefault="00804489" w:rsidP="00804489">
            <w:pPr>
              <w:jc w:val="center"/>
              <w:rPr>
                <w:b/>
                <w:color w:val="002060"/>
                <w:sz w:val="22"/>
                <w:szCs w:val="22"/>
              </w:rPr>
            </w:pPr>
            <w:r w:rsidRPr="006106B3">
              <w:rPr>
                <w:b/>
                <w:color w:val="002060"/>
                <w:sz w:val="22"/>
                <w:szCs w:val="22"/>
              </w:rPr>
              <w:t>Garīga rakstura traucējumi</w:t>
            </w:r>
          </w:p>
        </w:tc>
        <w:tc>
          <w:tcPr>
            <w:tcW w:w="1559" w:type="dxa"/>
            <w:shd w:val="clear" w:color="auto" w:fill="B8CCE4" w:themeFill="accent1" w:themeFillTint="66"/>
            <w:vAlign w:val="center"/>
          </w:tcPr>
          <w:p w:rsidR="00804489" w:rsidRPr="006106B3" w:rsidRDefault="00804489" w:rsidP="00804489">
            <w:pPr>
              <w:jc w:val="center"/>
              <w:rPr>
                <w:b/>
                <w:color w:val="002060"/>
                <w:sz w:val="22"/>
                <w:szCs w:val="22"/>
              </w:rPr>
            </w:pPr>
            <w:r w:rsidRPr="006106B3">
              <w:rPr>
                <w:b/>
                <w:color w:val="002060"/>
                <w:sz w:val="22"/>
                <w:szCs w:val="22"/>
              </w:rPr>
              <w:t>Citi traucējumi</w:t>
            </w:r>
          </w:p>
        </w:tc>
        <w:tc>
          <w:tcPr>
            <w:tcW w:w="1701" w:type="dxa"/>
            <w:shd w:val="clear" w:color="auto" w:fill="B8CCE4" w:themeFill="accent1" w:themeFillTint="66"/>
            <w:vAlign w:val="center"/>
          </w:tcPr>
          <w:p w:rsidR="00804489" w:rsidRPr="006106B3" w:rsidRDefault="00804489" w:rsidP="00804489">
            <w:pPr>
              <w:jc w:val="center"/>
              <w:rPr>
                <w:b/>
                <w:color w:val="002060"/>
                <w:sz w:val="22"/>
                <w:szCs w:val="22"/>
              </w:rPr>
            </w:pPr>
            <w:r w:rsidRPr="006106B3">
              <w:rPr>
                <w:b/>
                <w:color w:val="002060"/>
                <w:sz w:val="22"/>
                <w:szCs w:val="22"/>
              </w:rPr>
              <w:t>Nav zināms traucējumu veids</w:t>
            </w:r>
            <w:r w:rsidR="00AB36C6" w:rsidRPr="006106B3">
              <w:rPr>
                <w:b/>
                <w:color w:val="002060"/>
                <w:sz w:val="22"/>
                <w:szCs w:val="22"/>
              </w:rPr>
              <w:t>*</w:t>
            </w:r>
          </w:p>
        </w:tc>
      </w:tr>
      <w:tr w:rsidR="00804489" w:rsidRPr="00BC6DEE" w:rsidTr="00804489">
        <w:tc>
          <w:tcPr>
            <w:tcW w:w="3970" w:type="dxa"/>
            <w:vMerge w:val="restart"/>
            <w:vAlign w:val="center"/>
          </w:tcPr>
          <w:p w:rsidR="00804489" w:rsidRPr="00BC6DEE" w:rsidRDefault="00804489" w:rsidP="00804489">
            <w:pPr>
              <w:rPr>
                <w:color w:val="000000"/>
                <w:sz w:val="20"/>
                <w:szCs w:val="20"/>
              </w:rPr>
            </w:pPr>
            <w:r w:rsidRPr="00BC6DEE">
              <w:rPr>
                <w:color w:val="000000"/>
                <w:sz w:val="20"/>
                <w:szCs w:val="20"/>
              </w:rPr>
              <w:t>Vecuma pensija</w:t>
            </w:r>
          </w:p>
        </w:tc>
        <w:tc>
          <w:tcPr>
            <w:tcW w:w="992" w:type="dxa"/>
            <w:vAlign w:val="center"/>
          </w:tcPr>
          <w:p w:rsidR="00804489" w:rsidRPr="00BC6DEE" w:rsidRDefault="00804489" w:rsidP="00804489">
            <w:pPr>
              <w:rPr>
                <w:sz w:val="20"/>
                <w:szCs w:val="20"/>
              </w:rPr>
            </w:pPr>
            <w:r w:rsidRPr="00BC6DEE">
              <w:rPr>
                <w:sz w:val="20"/>
                <w:szCs w:val="20"/>
              </w:rPr>
              <w:t>2015</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53,1%</w:t>
            </w:r>
          </w:p>
        </w:tc>
        <w:tc>
          <w:tcPr>
            <w:tcW w:w="1701" w:type="dxa"/>
            <w:vAlign w:val="center"/>
          </w:tcPr>
          <w:p w:rsidR="00804489" w:rsidRPr="00BC6DEE" w:rsidRDefault="00804489" w:rsidP="00804489">
            <w:pPr>
              <w:jc w:val="center"/>
              <w:rPr>
                <w:color w:val="000000"/>
                <w:sz w:val="20"/>
                <w:szCs w:val="20"/>
              </w:rPr>
            </w:pPr>
            <w:r w:rsidRPr="00BC6DEE">
              <w:rPr>
                <w:color w:val="000000"/>
                <w:sz w:val="20"/>
                <w:szCs w:val="20"/>
              </w:rPr>
              <w:t>24,9%</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33,6%</w:t>
            </w:r>
          </w:p>
        </w:tc>
        <w:tc>
          <w:tcPr>
            <w:tcW w:w="1843" w:type="dxa"/>
            <w:vAlign w:val="center"/>
          </w:tcPr>
          <w:p w:rsidR="00804489" w:rsidRPr="00BC6DEE" w:rsidRDefault="00804489" w:rsidP="00804489">
            <w:pPr>
              <w:jc w:val="center"/>
              <w:rPr>
                <w:color w:val="000000"/>
                <w:sz w:val="20"/>
                <w:szCs w:val="20"/>
              </w:rPr>
            </w:pPr>
            <w:r w:rsidRPr="00BC6DEE">
              <w:rPr>
                <w:color w:val="000000"/>
                <w:sz w:val="20"/>
                <w:szCs w:val="20"/>
              </w:rPr>
              <w:t>22,1%</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46,1%</w:t>
            </w:r>
          </w:p>
        </w:tc>
        <w:tc>
          <w:tcPr>
            <w:tcW w:w="1701" w:type="dxa"/>
            <w:vAlign w:val="center"/>
          </w:tcPr>
          <w:p w:rsidR="00804489" w:rsidRPr="00BC6DEE" w:rsidRDefault="00804489" w:rsidP="00804489">
            <w:pPr>
              <w:jc w:val="center"/>
              <w:rPr>
                <w:color w:val="000000"/>
                <w:sz w:val="20"/>
                <w:szCs w:val="20"/>
              </w:rPr>
            </w:pPr>
            <w:r w:rsidRPr="00BC6DEE">
              <w:rPr>
                <w:color w:val="000000"/>
                <w:sz w:val="20"/>
                <w:szCs w:val="20"/>
              </w:rPr>
              <w:t>48,0%</w:t>
            </w:r>
          </w:p>
        </w:tc>
      </w:tr>
      <w:tr w:rsidR="00804489" w:rsidRPr="00BC6DEE" w:rsidTr="00804489">
        <w:tc>
          <w:tcPr>
            <w:tcW w:w="3970" w:type="dxa"/>
            <w:vMerge/>
            <w:vAlign w:val="center"/>
          </w:tcPr>
          <w:p w:rsidR="00804489" w:rsidRPr="00BC6DEE" w:rsidRDefault="00804489" w:rsidP="00804489">
            <w:pPr>
              <w:rPr>
                <w:sz w:val="20"/>
                <w:szCs w:val="20"/>
                <w:highlight w:val="yellow"/>
              </w:rPr>
            </w:pPr>
          </w:p>
        </w:tc>
        <w:tc>
          <w:tcPr>
            <w:tcW w:w="992" w:type="dxa"/>
            <w:vAlign w:val="center"/>
          </w:tcPr>
          <w:p w:rsidR="00804489" w:rsidRPr="00BC6DEE" w:rsidRDefault="00804489" w:rsidP="00804489">
            <w:pPr>
              <w:rPr>
                <w:sz w:val="20"/>
                <w:szCs w:val="20"/>
              </w:rPr>
            </w:pPr>
            <w:r w:rsidRPr="00BC6DEE">
              <w:rPr>
                <w:sz w:val="20"/>
                <w:szCs w:val="20"/>
              </w:rPr>
              <w:t>2016</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54,7%</w:t>
            </w:r>
          </w:p>
        </w:tc>
        <w:tc>
          <w:tcPr>
            <w:tcW w:w="1701" w:type="dxa"/>
            <w:vAlign w:val="center"/>
          </w:tcPr>
          <w:p w:rsidR="00804489" w:rsidRPr="00BC6DEE" w:rsidRDefault="00804489" w:rsidP="00804489">
            <w:pPr>
              <w:jc w:val="center"/>
              <w:rPr>
                <w:color w:val="000000"/>
                <w:sz w:val="20"/>
                <w:szCs w:val="20"/>
              </w:rPr>
            </w:pPr>
            <w:r w:rsidRPr="00BC6DEE">
              <w:rPr>
                <w:color w:val="000000"/>
                <w:sz w:val="20"/>
                <w:szCs w:val="20"/>
              </w:rPr>
              <w:t>25,6%</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34,9%</w:t>
            </w:r>
          </w:p>
        </w:tc>
        <w:tc>
          <w:tcPr>
            <w:tcW w:w="1843" w:type="dxa"/>
            <w:vAlign w:val="center"/>
          </w:tcPr>
          <w:p w:rsidR="00804489" w:rsidRPr="00BC6DEE" w:rsidRDefault="00804489" w:rsidP="00804489">
            <w:pPr>
              <w:jc w:val="center"/>
              <w:rPr>
                <w:color w:val="000000"/>
                <w:sz w:val="20"/>
                <w:szCs w:val="20"/>
              </w:rPr>
            </w:pPr>
            <w:r w:rsidRPr="00BC6DEE">
              <w:rPr>
                <w:color w:val="000000"/>
                <w:sz w:val="20"/>
                <w:szCs w:val="20"/>
              </w:rPr>
              <w:t>23,4%</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46,8%</w:t>
            </w:r>
          </w:p>
        </w:tc>
        <w:tc>
          <w:tcPr>
            <w:tcW w:w="1701" w:type="dxa"/>
            <w:vAlign w:val="center"/>
          </w:tcPr>
          <w:p w:rsidR="00804489" w:rsidRPr="00BC6DEE" w:rsidRDefault="00804489" w:rsidP="00804489">
            <w:pPr>
              <w:jc w:val="center"/>
              <w:rPr>
                <w:color w:val="000000"/>
                <w:sz w:val="20"/>
                <w:szCs w:val="20"/>
              </w:rPr>
            </w:pPr>
            <w:r w:rsidRPr="00BC6DEE">
              <w:rPr>
                <w:color w:val="000000"/>
                <w:sz w:val="20"/>
                <w:szCs w:val="20"/>
              </w:rPr>
              <w:t>48,5%</w:t>
            </w:r>
          </w:p>
        </w:tc>
      </w:tr>
      <w:tr w:rsidR="00804489" w:rsidRPr="00BC6DEE" w:rsidTr="006106B3">
        <w:tc>
          <w:tcPr>
            <w:tcW w:w="3970" w:type="dxa"/>
            <w:vMerge w:val="restart"/>
            <w:shd w:val="clear" w:color="auto" w:fill="D9D9D9" w:themeFill="background1" w:themeFillShade="D9"/>
            <w:vAlign w:val="center"/>
          </w:tcPr>
          <w:p w:rsidR="00804489" w:rsidRPr="00BC6DEE" w:rsidRDefault="00804489" w:rsidP="00804489">
            <w:pPr>
              <w:rPr>
                <w:color w:val="000000"/>
                <w:sz w:val="20"/>
                <w:szCs w:val="20"/>
              </w:rPr>
            </w:pPr>
            <w:r w:rsidRPr="00BC6DEE">
              <w:rPr>
                <w:color w:val="000000"/>
                <w:sz w:val="20"/>
                <w:szCs w:val="20"/>
              </w:rPr>
              <w:t>Invaliditātes pensija</w:t>
            </w:r>
          </w:p>
        </w:tc>
        <w:tc>
          <w:tcPr>
            <w:tcW w:w="992" w:type="dxa"/>
            <w:shd w:val="clear" w:color="auto" w:fill="D9D9D9" w:themeFill="background1" w:themeFillShade="D9"/>
            <w:vAlign w:val="center"/>
          </w:tcPr>
          <w:p w:rsidR="00804489" w:rsidRPr="00BC6DEE" w:rsidRDefault="00804489" w:rsidP="00804489">
            <w:pPr>
              <w:rPr>
                <w:sz w:val="20"/>
                <w:szCs w:val="20"/>
              </w:rPr>
            </w:pPr>
            <w:r w:rsidRPr="00BC6DEE">
              <w:rPr>
                <w:sz w:val="20"/>
                <w:szCs w:val="20"/>
              </w:rPr>
              <w:t>2015</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37,6%</w:t>
            </w:r>
          </w:p>
        </w:tc>
        <w:tc>
          <w:tcPr>
            <w:tcW w:w="1701"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49,4%</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62,1%</w:t>
            </w:r>
          </w:p>
        </w:tc>
        <w:tc>
          <w:tcPr>
            <w:tcW w:w="1843"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46,5%</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43,1%</w:t>
            </w:r>
          </w:p>
        </w:tc>
        <w:tc>
          <w:tcPr>
            <w:tcW w:w="1701"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39,7%</w:t>
            </w:r>
          </w:p>
        </w:tc>
      </w:tr>
      <w:tr w:rsidR="00804489" w:rsidRPr="00BC6DEE" w:rsidTr="006106B3">
        <w:tc>
          <w:tcPr>
            <w:tcW w:w="3970" w:type="dxa"/>
            <w:vMerge/>
            <w:shd w:val="clear" w:color="auto" w:fill="D9D9D9" w:themeFill="background1" w:themeFillShade="D9"/>
            <w:vAlign w:val="center"/>
          </w:tcPr>
          <w:p w:rsidR="00804489" w:rsidRPr="00BC6DEE" w:rsidRDefault="00804489" w:rsidP="00804489">
            <w:pPr>
              <w:rPr>
                <w:sz w:val="20"/>
                <w:szCs w:val="20"/>
                <w:highlight w:val="yellow"/>
              </w:rPr>
            </w:pPr>
          </w:p>
        </w:tc>
        <w:tc>
          <w:tcPr>
            <w:tcW w:w="992" w:type="dxa"/>
            <w:shd w:val="clear" w:color="auto" w:fill="D9D9D9" w:themeFill="background1" w:themeFillShade="D9"/>
            <w:vAlign w:val="center"/>
          </w:tcPr>
          <w:p w:rsidR="00804489" w:rsidRPr="00BC6DEE" w:rsidRDefault="00804489" w:rsidP="00804489">
            <w:pPr>
              <w:rPr>
                <w:sz w:val="20"/>
                <w:szCs w:val="20"/>
              </w:rPr>
            </w:pPr>
            <w:r w:rsidRPr="00BC6DEE">
              <w:rPr>
                <w:sz w:val="20"/>
                <w:szCs w:val="20"/>
              </w:rPr>
              <w:t>2016</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36,1%</w:t>
            </w:r>
          </w:p>
        </w:tc>
        <w:tc>
          <w:tcPr>
            <w:tcW w:w="1701"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48,9%</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61,0%</w:t>
            </w:r>
          </w:p>
        </w:tc>
        <w:tc>
          <w:tcPr>
            <w:tcW w:w="1843"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45,3%</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41,9%</w:t>
            </w:r>
          </w:p>
        </w:tc>
        <w:tc>
          <w:tcPr>
            <w:tcW w:w="1701"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38,8%</w:t>
            </w:r>
          </w:p>
        </w:tc>
      </w:tr>
      <w:tr w:rsidR="00804489" w:rsidRPr="00BC6DEE" w:rsidTr="00804489">
        <w:tc>
          <w:tcPr>
            <w:tcW w:w="3970" w:type="dxa"/>
            <w:vMerge w:val="restart"/>
            <w:vAlign w:val="center"/>
          </w:tcPr>
          <w:p w:rsidR="00804489" w:rsidRPr="00BC6DEE" w:rsidRDefault="00804489" w:rsidP="00804489">
            <w:pPr>
              <w:rPr>
                <w:color w:val="000000"/>
                <w:sz w:val="20"/>
                <w:szCs w:val="20"/>
              </w:rPr>
            </w:pPr>
            <w:r w:rsidRPr="00BC6DEE">
              <w:rPr>
                <w:color w:val="000000"/>
                <w:sz w:val="20"/>
                <w:szCs w:val="20"/>
              </w:rPr>
              <w:t>Apgādnieka zaudējuma pensija</w:t>
            </w:r>
          </w:p>
        </w:tc>
        <w:tc>
          <w:tcPr>
            <w:tcW w:w="992" w:type="dxa"/>
            <w:vAlign w:val="center"/>
          </w:tcPr>
          <w:p w:rsidR="00804489" w:rsidRPr="00BC6DEE" w:rsidRDefault="00804489" w:rsidP="00804489">
            <w:pPr>
              <w:rPr>
                <w:sz w:val="20"/>
                <w:szCs w:val="20"/>
              </w:rPr>
            </w:pPr>
            <w:r w:rsidRPr="00BC6DEE">
              <w:rPr>
                <w:sz w:val="20"/>
                <w:szCs w:val="20"/>
              </w:rPr>
              <w:t>2015</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1,4%</w:t>
            </w:r>
          </w:p>
        </w:tc>
        <w:tc>
          <w:tcPr>
            <w:tcW w:w="1701" w:type="dxa"/>
            <w:vAlign w:val="center"/>
          </w:tcPr>
          <w:p w:rsidR="00804489" w:rsidRPr="00BC6DEE" w:rsidRDefault="00804489" w:rsidP="00804489">
            <w:pPr>
              <w:jc w:val="center"/>
              <w:rPr>
                <w:color w:val="000000"/>
                <w:sz w:val="20"/>
                <w:szCs w:val="20"/>
              </w:rPr>
            </w:pPr>
            <w:r w:rsidRPr="00BC6DEE">
              <w:rPr>
                <w:color w:val="000000"/>
                <w:sz w:val="20"/>
                <w:szCs w:val="20"/>
              </w:rPr>
              <w:t>6,2%</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0,4%</w:t>
            </w:r>
          </w:p>
        </w:tc>
        <w:tc>
          <w:tcPr>
            <w:tcW w:w="1843" w:type="dxa"/>
            <w:vAlign w:val="center"/>
          </w:tcPr>
          <w:p w:rsidR="00804489" w:rsidRPr="00BC6DEE" w:rsidRDefault="00804489" w:rsidP="00804489">
            <w:pPr>
              <w:jc w:val="center"/>
              <w:rPr>
                <w:color w:val="000000"/>
                <w:sz w:val="20"/>
                <w:szCs w:val="20"/>
              </w:rPr>
            </w:pPr>
            <w:r w:rsidRPr="00BC6DEE">
              <w:rPr>
                <w:color w:val="000000"/>
                <w:sz w:val="20"/>
                <w:szCs w:val="20"/>
              </w:rPr>
              <w:t>6,4%</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0,7%</w:t>
            </w:r>
          </w:p>
        </w:tc>
        <w:tc>
          <w:tcPr>
            <w:tcW w:w="1701" w:type="dxa"/>
            <w:vAlign w:val="center"/>
          </w:tcPr>
          <w:p w:rsidR="00804489" w:rsidRPr="00BC6DEE" w:rsidRDefault="00804489" w:rsidP="00804489">
            <w:pPr>
              <w:jc w:val="center"/>
              <w:rPr>
                <w:color w:val="000000"/>
                <w:sz w:val="20"/>
                <w:szCs w:val="20"/>
              </w:rPr>
            </w:pPr>
            <w:r w:rsidRPr="00BC6DEE">
              <w:rPr>
                <w:color w:val="000000"/>
                <w:sz w:val="20"/>
                <w:szCs w:val="20"/>
              </w:rPr>
              <w:t>3,0%</w:t>
            </w:r>
          </w:p>
        </w:tc>
      </w:tr>
      <w:tr w:rsidR="00804489" w:rsidRPr="00BC6DEE" w:rsidTr="00804489">
        <w:tc>
          <w:tcPr>
            <w:tcW w:w="3970" w:type="dxa"/>
            <w:vMerge/>
            <w:vAlign w:val="center"/>
          </w:tcPr>
          <w:p w:rsidR="00804489" w:rsidRPr="00BC6DEE" w:rsidRDefault="00804489" w:rsidP="00804489">
            <w:pPr>
              <w:rPr>
                <w:sz w:val="20"/>
                <w:szCs w:val="20"/>
                <w:highlight w:val="yellow"/>
              </w:rPr>
            </w:pPr>
          </w:p>
        </w:tc>
        <w:tc>
          <w:tcPr>
            <w:tcW w:w="992" w:type="dxa"/>
            <w:vAlign w:val="center"/>
          </w:tcPr>
          <w:p w:rsidR="00804489" w:rsidRPr="00BC6DEE" w:rsidRDefault="00804489" w:rsidP="00804489">
            <w:pPr>
              <w:rPr>
                <w:sz w:val="20"/>
                <w:szCs w:val="20"/>
              </w:rPr>
            </w:pPr>
            <w:r w:rsidRPr="00BC6DEE">
              <w:rPr>
                <w:sz w:val="20"/>
                <w:szCs w:val="20"/>
              </w:rPr>
              <w:t>2016</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1,4%</w:t>
            </w:r>
          </w:p>
        </w:tc>
        <w:tc>
          <w:tcPr>
            <w:tcW w:w="1701" w:type="dxa"/>
            <w:vAlign w:val="center"/>
          </w:tcPr>
          <w:p w:rsidR="00804489" w:rsidRPr="00BC6DEE" w:rsidRDefault="00804489" w:rsidP="00804489">
            <w:pPr>
              <w:jc w:val="center"/>
              <w:rPr>
                <w:color w:val="000000"/>
                <w:sz w:val="20"/>
                <w:szCs w:val="20"/>
              </w:rPr>
            </w:pPr>
            <w:r w:rsidRPr="00BC6DEE">
              <w:rPr>
                <w:color w:val="000000"/>
                <w:sz w:val="20"/>
                <w:szCs w:val="20"/>
              </w:rPr>
              <w:t>6,6%</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0,4%</w:t>
            </w:r>
          </w:p>
        </w:tc>
        <w:tc>
          <w:tcPr>
            <w:tcW w:w="1843" w:type="dxa"/>
            <w:vAlign w:val="center"/>
          </w:tcPr>
          <w:p w:rsidR="00804489" w:rsidRPr="00BC6DEE" w:rsidRDefault="00804489" w:rsidP="00804489">
            <w:pPr>
              <w:jc w:val="center"/>
              <w:rPr>
                <w:color w:val="000000"/>
                <w:sz w:val="20"/>
                <w:szCs w:val="20"/>
              </w:rPr>
            </w:pPr>
            <w:r w:rsidRPr="00BC6DEE">
              <w:rPr>
                <w:color w:val="000000"/>
                <w:sz w:val="20"/>
                <w:szCs w:val="20"/>
              </w:rPr>
              <w:t>6,5%</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0,7%</w:t>
            </w:r>
          </w:p>
        </w:tc>
        <w:tc>
          <w:tcPr>
            <w:tcW w:w="1701" w:type="dxa"/>
            <w:vAlign w:val="center"/>
          </w:tcPr>
          <w:p w:rsidR="00804489" w:rsidRPr="00BC6DEE" w:rsidRDefault="00804489" w:rsidP="00804489">
            <w:pPr>
              <w:jc w:val="center"/>
              <w:rPr>
                <w:color w:val="000000"/>
                <w:sz w:val="20"/>
                <w:szCs w:val="20"/>
              </w:rPr>
            </w:pPr>
            <w:r w:rsidRPr="00BC6DEE">
              <w:rPr>
                <w:color w:val="000000"/>
                <w:sz w:val="20"/>
                <w:szCs w:val="20"/>
              </w:rPr>
              <w:t>3,3%</w:t>
            </w:r>
          </w:p>
        </w:tc>
      </w:tr>
      <w:tr w:rsidR="00804489" w:rsidRPr="00BC6DEE" w:rsidTr="006106B3">
        <w:tc>
          <w:tcPr>
            <w:tcW w:w="3970" w:type="dxa"/>
            <w:vMerge w:val="restart"/>
            <w:shd w:val="clear" w:color="auto" w:fill="D9D9D9" w:themeFill="background1" w:themeFillShade="D9"/>
            <w:vAlign w:val="center"/>
          </w:tcPr>
          <w:p w:rsidR="00804489" w:rsidRPr="00BC6DEE" w:rsidRDefault="00804489" w:rsidP="00804489">
            <w:pPr>
              <w:rPr>
                <w:color w:val="000000"/>
                <w:sz w:val="20"/>
                <w:szCs w:val="20"/>
              </w:rPr>
            </w:pPr>
            <w:r w:rsidRPr="00BC6DEE">
              <w:rPr>
                <w:color w:val="000000"/>
                <w:sz w:val="20"/>
                <w:szCs w:val="20"/>
              </w:rPr>
              <w:t>Izdienas pensija</w:t>
            </w:r>
          </w:p>
        </w:tc>
        <w:tc>
          <w:tcPr>
            <w:tcW w:w="992" w:type="dxa"/>
            <w:shd w:val="clear" w:color="auto" w:fill="D9D9D9" w:themeFill="background1" w:themeFillShade="D9"/>
            <w:vAlign w:val="center"/>
          </w:tcPr>
          <w:p w:rsidR="00804489" w:rsidRPr="00BC6DEE" w:rsidRDefault="00804489" w:rsidP="00804489">
            <w:pPr>
              <w:rPr>
                <w:sz w:val="20"/>
                <w:szCs w:val="20"/>
              </w:rPr>
            </w:pPr>
            <w:r w:rsidRPr="00BC6DEE">
              <w:rPr>
                <w:sz w:val="20"/>
                <w:szCs w:val="20"/>
              </w:rPr>
              <w:t>2015</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0,3%</w:t>
            </w:r>
          </w:p>
        </w:tc>
        <w:tc>
          <w:tcPr>
            <w:tcW w:w="1701"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0,1%</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0,3%</w:t>
            </w:r>
          </w:p>
        </w:tc>
        <w:tc>
          <w:tcPr>
            <w:tcW w:w="1843"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0,1%</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0,5%</w:t>
            </w:r>
          </w:p>
        </w:tc>
        <w:tc>
          <w:tcPr>
            <w:tcW w:w="1701"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0,1%</w:t>
            </w:r>
          </w:p>
        </w:tc>
      </w:tr>
      <w:tr w:rsidR="00804489" w:rsidRPr="00BC6DEE" w:rsidTr="006106B3">
        <w:tc>
          <w:tcPr>
            <w:tcW w:w="3970" w:type="dxa"/>
            <w:vMerge/>
            <w:shd w:val="clear" w:color="auto" w:fill="D9D9D9" w:themeFill="background1" w:themeFillShade="D9"/>
            <w:vAlign w:val="center"/>
          </w:tcPr>
          <w:p w:rsidR="00804489" w:rsidRPr="00BC6DEE" w:rsidRDefault="00804489" w:rsidP="00804489">
            <w:pPr>
              <w:rPr>
                <w:sz w:val="20"/>
                <w:szCs w:val="20"/>
                <w:highlight w:val="yellow"/>
              </w:rPr>
            </w:pPr>
          </w:p>
        </w:tc>
        <w:tc>
          <w:tcPr>
            <w:tcW w:w="992" w:type="dxa"/>
            <w:shd w:val="clear" w:color="auto" w:fill="D9D9D9" w:themeFill="background1" w:themeFillShade="D9"/>
            <w:vAlign w:val="center"/>
          </w:tcPr>
          <w:p w:rsidR="00804489" w:rsidRPr="00BC6DEE" w:rsidRDefault="00804489" w:rsidP="00804489">
            <w:pPr>
              <w:rPr>
                <w:sz w:val="20"/>
                <w:szCs w:val="20"/>
              </w:rPr>
            </w:pPr>
            <w:r w:rsidRPr="00BC6DEE">
              <w:rPr>
                <w:sz w:val="20"/>
                <w:szCs w:val="20"/>
              </w:rPr>
              <w:t>2016</w:t>
            </w:r>
          </w:p>
        </w:tc>
        <w:tc>
          <w:tcPr>
            <w:tcW w:w="1559" w:type="dxa"/>
            <w:shd w:val="clear" w:color="auto" w:fill="D9D9D9" w:themeFill="background1" w:themeFillShade="D9"/>
            <w:vAlign w:val="center"/>
          </w:tcPr>
          <w:p w:rsidR="00804489" w:rsidRPr="00655FE1" w:rsidRDefault="00804489" w:rsidP="00804489">
            <w:pPr>
              <w:jc w:val="center"/>
              <w:rPr>
                <w:color w:val="000000"/>
                <w:sz w:val="20"/>
                <w:szCs w:val="20"/>
              </w:rPr>
            </w:pPr>
            <w:r w:rsidRPr="00655FE1">
              <w:rPr>
                <w:color w:val="000000"/>
                <w:sz w:val="20"/>
                <w:szCs w:val="20"/>
              </w:rPr>
              <w:t>0,3%</w:t>
            </w:r>
          </w:p>
        </w:tc>
        <w:tc>
          <w:tcPr>
            <w:tcW w:w="1701" w:type="dxa"/>
            <w:shd w:val="clear" w:color="auto" w:fill="D9D9D9" w:themeFill="background1" w:themeFillShade="D9"/>
            <w:vAlign w:val="center"/>
          </w:tcPr>
          <w:p w:rsidR="00804489" w:rsidRPr="00655FE1" w:rsidRDefault="00804489" w:rsidP="00804489">
            <w:pPr>
              <w:jc w:val="center"/>
              <w:rPr>
                <w:color w:val="000000"/>
                <w:sz w:val="20"/>
                <w:szCs w:val="20"/>
              </w:rPr>
            </w:pPr>
            <w:r w:rsidRPr="00655FE1">
              <w:rPr>
                <w:color w:val="000000"/>
                <w:sz w:val="20"/>
                <w:szCs w:val="20"/>
              </w:rPr>
              <w:t>0,1%</w:t>
            </w:r>
          </w:p>
        </w:tc>
        <w:tc>
          <w:tcPr>
            <w:tcW w:w="1559" w:type="dxa"/>
            <w:shd w:val="clear" w:color="auto" w:fill="D9D9D9" w:themeFill="background1" w:themeFillShade="D9"/>
            <w:vAlign w:val="center"/>
          </w:tcPr>
          <w:p w:rsidR="00804489" w:rsidRPr="00655FE1" w:rsidRDefault="00804489" w:rsidP="00804489">
            <w:pPr>
              <w:jc w:val="center"/>
              <w:rPr>
                <w:color w:val="000000"/>
                <w:sz w:val="20"/>
                <w:szCs w:val="20"/>
              </w:rPr>
            </w:pPr>
            <w:r w:rsidRPr="00655FE1">
              <w:rPr>
                <w:color w:val="000000"/>
                <w:sz w:val="20"/>
                <w:szCs w:val="20"/>
              </w:rPr>
              <w:t>0,3%</w:t>
            </w:r>
          </w:p>
        </w:tc>
        <w:tc>
          <w:tcPr>
            <w:tcW w:w="1843" w:type="dxa"/>
            <w:shd w:val="clear" w:color="auto" w:fill="D9D9D9" w:themeFill="background1" w:themeFillShade="D9"/>
            <w:vAlign w:val="center"/>
          </w:tcPr>
          <w:p w:rsidR="00804489" w:rsidRPr="00655FE1" w:rsidRDefault="00804489" w:rsidP="00804489">
            <w:pPr>
              <w:jc w:val="center"/>
              <w:rPr>
                <w:color w:val="000000"/>
                <w:sz w:val="20"/>
                <w:szCs w:val="20"/>
              </w:rPr>
            </w:pPr>
            <w:r w:rsidRPr="00655FE1">
              <w:rPr>
                <w:color w:val="000000"/>
                <w:sz w:val="20"/>
                <w:szCs w:val="20"/>
              </w:rPr>
              <w:t>0,1%</w:t>
            </w:r>
          </w:p>
        </w:tc>
        <w:tc>
          <w:tcPr>
            <w:tcW w:w="1559" w:type="dxa"/>
            <w:shd w:val="clear" w:color="auto" w:fill="D9D9D9" w:themeFill="background1" w:themeFillShade="D9"/>
            <w:vAlign w:val="center"/>
          </w:tcPr>
          <w:p w:rsidR="00804489" w:rsidRPr="00655FE1" w:rsidRDefault="00804489" w:rsidP="00804489">
            <w:pPr>
              <w:jc w:val="center"/>
              <w:rPr>
                <w:color w:val="000000"/>
                <w:sz w:val="20"/>
                <w:szCs w:val="20"/>
              </w:rPr>
            </w:pPr>
            <w:r w:rsidRPr="00655FE1">
              <w:rPr>
                <w:color w:val="000000"/>
                <w:sz w:val="20"/>
                <w:szCs w:val="20"/>
              </w:rPr>
              <w:t>0,5%</w:t>
            </w:r>
          </w:p>
        </w:tc>
        <w:tc>
          <w:tcPr>
            <w:tcW w:w="1701" w:type="dxa"/>
            <w:shd w:val="clear" w:color="auto" w:fill="D9D9D9" w:themeFill="background1" w:themeFillShade="D9"/>
            <w:vAlign w:val="center"/>
          </w:tcPr>
          <w:p w:rsidR="00804489" w:rsidRPr="00655FE1" w:rsidRDefault="00804489" w:rsidP="00804489">
            <w:pPr>
              <w:jc w:val="center"/>
              <w:rPr>
                <w:color w:val="000000"/>
                <w:sz w:val="20"/>
                <w:szCs w:val="20"/>
              </w:rPr>
            </w:pPr>
            <w:r w:rsidRPr="00655FE1">
              <w:rPr>
                <w:color w:val="000000"/>
                <w:sz w:val="20"/>
                <w:szCs w:val="20"/>
              </w:rPr>
              <w:t>0,1%</w:t>
            </w:r>
          </w:p>
        </w:tc>
      </w:tr>
      <w:tr w:rsidR="00804489" w:rsidRPr="00BC6DEE" w:rsidTr="00804489">
        <w:tc>
          <w:tcPr>
            <w:tcW w:w="3970" w:type="dxa"/>
            <w:vMerge w:val="restart"/>
            <w:vAlign w:val="center"/>
          </w:tcPr>
          <w:p w:rsidR="00804489" w:rsidRPr="00BC6DEE" w:rsidRDefault="00804489" w:rsidP="00804489">
            <w:pPr>
              <w:rPr>
                <w:color w:val="000000"/>
                <w:sz w:val="20"/>
                <w:szCs w:val="20"/>
              </w:rPr>
            </w:pPr>
            <w:r w:rsidRPr="00BC6DEE">
              <w:rPr>
                <w:color w:val="000000"/>
                <w:sz w:val="20"/>
                <w:szCs w:val="20"/>
              </w:rPr>
              <w:t>Apdrošināšanas atlīdzība sakarā ar nelaimes gadījumu darbā</w:t>
            </w:r>
          </w:p>
        </w:tc>
        <w:tc>
          <w:tcPr>
            <w:tcW w:w="992" w:type="dxa"/>
            <w:vAlign w:val="center"/>
          </w:tcPr>
          <w:p w:rsidR="00804489" w:rsidRPr="00BC6DEE" w:rsidRDefault="00804489" w:rsidP="00804489">
            <w:pPr>
              <w:rPr>
                <w:sz w:val="20"/>
                <w:szCs w:val="20"/>
              </w:rPr>
            </w:pPr>
            <w:r w:rsidRPr="00BC6DEE">
              <w:rPr>
                <w:sz w:val="20"/>
                <w:szCs w:val="20"/>
              </w:rPr>
              <w:t>2015</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0,7%</w:t>
            </w:r>
          </w:p>
        </w:tc>
        <w:tc>
          <w:tcPr>
            <w:tcW w:w="1701" w:type="dxa"/>
            <w:vAlign w:val="center"/>
          </w:tcPr>
          <w:p w:rsidR="00804489" w:rsidRPr="00BC6DEE" w:rsidRDefault="00804489" w:rsidP="00804489">
            <w:pPr>
              <w:jc w:val="center"/>
              <w:rPr>
                <w:color w:val="000000"/>
                <w:sz w:val="20"/>
                <w:szCs w:val="20"/>
              </w:rPr>
            </w:pPr>
            <w:r w:rsidRPr="00BC6DEE">
              <w:rPr>
                <w:color w:val="000000"/>
                <w:sz w:val="20"/>
                <w:szCs w:val="20"/>
              </w:rPr>
              <w:t>0,6%</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2,7%</w:t>
            </w:r>
          </w:p>
        </w:tc>
        <w:tc>
          <w:tcPr>
            <w:tcW w:w="1843" w:type="dxa"/>
            <w:vAlign w:val="center"/>
          </w:tcPr>
          <w:p w:rsidR="00804489" w:rsidRPr="00BC6DEE" w:rsidRDefault="00804489" w:rsidP="00804489">
            <w:pPr>
              <w:jc w:val="center"/>
              <w:rPr>
                <w:color w:val="000000"/>
                <w:sz w:val="20"/>
                <w:szCs w:val="20"/>
              </w:rPr>
            </w:pPr>
            <w:r w:rsidRPr="00BC6DEE">
              <w:rPr>
                <w:color w:val="000000"/>
                <w:sz w:val="20"/>
                <w:szCs w:val="20"/>
              </w:rPr>
              <w:t>0,2%</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7,6%</w:t>
            </w:r>
          </w:p>
        </w:tc>
        <w:tc>
          <w:tcPr>
            <w:tcW w:w="1701" w:type="dxa"/>
            <w:vAlign w:val="center"/>
          </w:tcPr>
          <w:p w:rsidR="00804489" w:rsidRPr="00BC6DEE" w:rsidRDefault="00804489" w:rsidP="00804489">
            <w:pPr>
              <w:jc w:val="center"/>
              <w:rPr>
                <w:color w:val="000000"/>
                <w:sz w:val="20"/>
                <w:szCs w:val="20"/>
              </w:rPr>
            </w:pPr>
            <w:r w:rsidRPr="00BC6DEE">
              <w:rPr>
                <w:color w:val="000000"/>
                <w:sz w:val="20"/>
                <w:szCs w:val="20"/>
              </w:rPr>
              <w:t>1,6%</w:t>
            </w:r>
          </w:p>
        </w:tc>
      </w:tr>
      <w:tr w:rsidR="00804489" w:rsidRPr="00BC6DEE" w:rsidTr="00804489">
        <w:tc>
          <w:tcPr>
            <w:tcW w:w="3970" w:type="dxa"/>
            <w:vMerge/>
            <w:vAlign w:val="center"/>
          </w:tcPr>
          <w:p w:rsidR="00804489" w:rsidRPr="00BC6DEE" w:rsidRDefault="00804489" w:rsidP="00804489">
            <w:pPr>
              <w:rPr>
                <w:sz w:val="20"/>
                <w:szCs w:val="20"/>
                <w:highlight w:val="yellow"/>
              </w:rPr>
            </w:pPr>
          </w:p>
        </w:tc>
        <w:tc>
          <w:tcPr>
            <w:tcW w:w="992" w:type="dxa"/>
            <w:vAlign w:val="center"/>
          </w:tcPr>
          <w:p w:rsidR="00804489" w:rsidRPr="00BC6DEE" w:rsidRDefault="00804489" w:rsidP="00804489">
            <w:pPr>
              <w:rPr>
                <w:sz w:val="20"/>
                <w:szCs w:val="20"/>
              </w:rPr>
            </w:pPr>
            <w:r w:rsidRPr="00BC6DEE">
              <w:rPr>
                <w:sz w:val="20"/>
                <w:szCs w:val="20"/>
              </w:rPr>
              <w:t>2016</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0,7%</w:t>
            </w:r>
          </w:p>
        </w:tc>
        <w:tc>
          <w:tcPr>
            <w:tcW w:w="1701" w:type="dxa"/>
            <w:vAlign w:val="center"/>
          </w:tcPr>
          <w:p w:rsidR="00804489" w:rsidRPr="00BC6DEE" w:rsidRDefault="00804489" w:rsidP="00804489">
            <w:pPr>
              <w:jc w:val="center"/>
              <w:rPr>
                <w:color w:val="000000"/>
                <w:sz w:val="20"/>
                <w:szCs w:val="20"/>
              </w:rPr>
            </w:pPr>
            <w:r w:rsidRPr="00BC6DEE">
              <w:rPr>
                <w:color w:val="000000"/>
                <w:sz w:val="20"/>
                <w:szCs w:val="20"/>
              </w:rPr>
              <w:t>0,7%</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2,7%</w:t>
            </w:r>
          </w:p>
        </w:tc>
        <w:tc>
          <w:tcPr>
            <w:tcW w:w="1843" w:type="dxa"/>
            <w:vAlign w:val="center"/>
          </w:tcPr>
          <w:p w:rsidR="00804489" w:rsidRPr="00BC6DEE" w:rsidRDefault="00804489" w:rsidP="00804489">
            <w:pPr>
              <w:jc w:val="center"/>
              <w:rPr>
                <w:color w:val="000000"/>
                <w:sz w:val="20"/>
                <w:szCs w:val="20"/>
              </w:rPr>
            </w:pPr>
            <w:r w:rsidRPr="00BC6DEE">
              <w:rPr>
                <w:color w:val="000000"/>
                <w:sz w:val="20"/>
                <w:szCs w:val="20"/>
              </w:rPr>
              <w:t>0,2%</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8,1%</w:t>
            </w:r>
          </w:p>
        </w:tc>
        <w:tc>
          <w:tcPr>
            <w:tcW w:w="1701" w:type="dxa"/>
            <w:vAlign w:val="center"/>
          </w:tcPr>
          <w:p w:rsidR="00804489" w:rsidRPr="00BC6DEE" w:rsidRDefault="00804489" w:rsidP="00804489">
            <w:pPr>
              <w:jc w:val="center"/>
              <w:rPr>
                <w:color w:val="000000"/>
                <w:sz w:val="20"/>
                <w:szCs w:val="20"/>
              </w:rPr>
            </w:pPr>
            <w:r w:rsidRPr="00BC6DEE">
              <w:rPr>
                <w:color w:val="000000"/>
                <w:sz w:val="20"/>
                <w:szCs w:val="20"/>
              </w:rPr>
              <w:t>1,6%</w:t>
            </w:r>
          </w:p>
        </w:tc>
      </w:tr>
      <w:tr w:rsidR="00804489" w:rsidRPr="00BC6DEE" w:rsidTr="006106B3">
        <w:tc>
          <w:tcPr>
            <w:tcW w:w="3970" w:type="dxa"/>
            <w:vMerge w:val="restart"/>
            <w:shd w:val="clear" w:color="auto" w:fill="D9D9D9" w:themeFill="background1" w:themeFillShade="D9"/>
            <w:vAlign w:val="center"/>
          </w:tcPr>
          <w:p w:rsidR="00804489" w:rsidRPr="00BC6DEE" w:rsidRDefault="00804489" w:rsidP="00804489">
            <w:pPr>
              <w:rPr>
                <w:color w:val="000000"/>
                <w:sz w:val="20"/>
                <w:szCs w:val="20"/>
              </w:rPr>
            </w:pPr>
            <w:r w:rsidRPr="00BC6DEE">
              <w:rPr>
                <w:color w:val="000000"/>
                <w:sz w:val="20"/>
                <w:szCs w:val="20"/>
              </w:rPr>
              <w:t>Valsts sociālā nodrošinājuma pabalsts</w:t>
            </w:r>
          </w:p>
        </w:tc>
        <w:tc>
          <w:tcPr>
            <w:tcW w:w="992" w:type="dxa"/>
            <w:shd w:val="clear" w:color="auto" w:fill="D9D9D9" w:themeFill="background1" w:themeFillShade="D9"/>
            <w:vAlign w:val="center"/>
          </w:tcPr>
          <w:p w:rsidR="00804489" w:rsidRPr="00BC6DEE" w:rsidRDefault="00804489" w:rsidP="00804489">
            <w:pPr>
              <w:rPr>
                <w:sz w:val="20"/>
                <w:szCs w:val="20"/>
              </w:rPr>
            </w:pPr>
            <w:r w:rsidRPr="00BC6DEE">
              <w:rPr>
                <w:sz w:val="20"/>
                <w:szCs w:val="20"/>
              </w:rPr>
              <w:t>2015</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10,1%</w:t>
            </w:r>
          </w:p>
        </w:tc>
        <w:tc>
          <w:tcPr>
            <w:tcW w:w="1701"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27,1%</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5,3%</w:t>
            </w:r>
          </w:p>
        </w:tc>
        <w:tc>
          <w:tcPr>
            <w:tcW w:w="1843"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31,7%</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6,8%</w:t>
            </w:r>
          </w:p>
        </w:tc>
        <w:tc>
          <w:tcPr>
            <w:tcW w:w="1701"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13,2%</w:t>
            </w:r>
          </w:p>
        </w:tc>
      </w:tr>
      <w:tr w:rsidR="00804489" w:rsidRPr="00BC6DEE" w:rsidTr="006106B3">
        <w:tc>
          <w:tcPr>
            <w:tcW w:w="3970" w:type="dxa"/>
            <w:vMerge/>
            <w:shd w:val="clear" w:color="auto" w:fill="D9D9D9" w:themeFill="background1" w:themeFillShade="D9"/>
            <w:vAlign w:val="center"/>
          </w:tcPr>
          <w:p w:rsidR="00804489" w:rsidRPr="00BC6DEE" w:rsidRDefault="00804489" w:rsidP="00804489">
            <w:pPr>
              <w:rPr>
                <w:sz w:val="20"/>
                <w:szCs w:val="20"/>
                <w:highlight w:val="yellow"/>
              </w:rPr>
            </w:pPr>
          </w:p>
        </w:tc>
        <w:tc>
          <w:tcPr>
            <w:tcW w:w="992" w:type="dxa"/>
            <w:shd w:val="clear" w:color="auto" w:fill="D9D9D9" w:themeFill="background1" w:themeFillShade="D9"/>
            <w:vAlign w:val="center"/>
          </w:tcPr>
          <w:p w:rsidR="00804489" w:rsidRPr="00BC6DEE" w:rsidRDefault="00804489" w:rsidP="00804489">
            <w:pPr>
              <w:rPr>
                <w:sz w:val="20"/>
                <w:szCs w:val="20"/>
              </w:rPr>
            </w:pPr>
            <w:r w:rsidRPr="00BC6DEE">
              <w:rPr>
                <w:sz w:val="20"/>
                <w:szCs w:val="20"/>
              </w:rPr>
              <w:t>2016</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9,9%</w:t>
            </w:r>
          </w:p>
        </w:tc>
        <w:tc>
          <w:tcPr>
            <w:tcW w:w="1701"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27,4%</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5,2%</w:t>
            </w:r>
          </w:p>
        </w:tc>
        <w:tc>
          <w:tcPr>
            <w:tcW w:w="1843"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31,6%</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6,6%</w:t>
            </w:r>
          </w:p>
        </w:tc>
        <w:tc>
          <w:tcPr>
            <w:tcW w:w="1701"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13,4%</w:t>
            </w:r>
          </w:p>
        </w:tc>
      </w:tr>
      <w:tr w:rsidR="00804489" w:rsidRPr="00BC6DEE" w:rsidTr="00804489">
        <w:tc>
          <w:tcPr>
            <w:tcW w:w="3970" w:type="dxa"/>
            <w:vMerge w:val="restart"/>
            <w:vAlign w:val="center"/>
          </w:tcPr>
          <w:p w:rsidR="00804489" w:rsidRPr="00BC6DEE" w:rsidRDefault="00917A17" w:rsidP="00804489">
            <w:pPr>
              <w:rPr>
                <w:color w:val="000000"/>
                <w:sz w:val="20"/>
                <w:szCs w:val="20"/>
              </w:rPr>
            </w:pPr>
            <w:r>
              <w:rPr>
                <w:color w:val="000000"/>
                <w:sz w:val="20"/>
                <w:szCs w:val="20"/>
              </w:rPr>
              <w:t>Personu ar invaliditāti</w:t>
            </w:r>
            <w:r w:rsidR="00804489" w:rsidRPr="00BC6DEE">
              <w:rPr>
                <w:color w:val="000000"/>
                <w:sz w:val="20"/>
                <w:szCs w:val="20"/>
              </w:rPr>
              <w:t xml:space="preserve"> </w:t>
            </w:r>
            <w:r w:rsidR="00930F64" w:rsidRPr="00930F64">
              <w:rPr>
                <w:color w:val="000000"/>
                <w:sz w:val="20"/>
                <w:szCs w:val="20"/>
              </w:rPr>
              <w:t xml:space="preserve">īpašas </w:t>
            </w:r>
            <w:r w:rsidR="00804489" w:rsidRPr="00BC6DEE">
              <w:rPr>
                <w:color w:val="000000"/>
                <w:sz w:val="20"/>
                <w:szCs w:val="20"/>
              </w:rPr>
              <w:t>kopšanas pabalsts</w:t>
            </w:r>
          </w:p>
        </w:tc>
        <w:tc>
          <w:tcPr>
            <w:tcW w:w="992" w:type="dxa"/>
            <w:vAlign w:val="center"/>
          </w:tcPr>
          <w:p w:rsidR="00804489" w:rsidRPr="00BC6DEE" w:rsidRDefault="00804489" w:rsidP="00804489">
            <w:pPr>
              <w:rPr>
                <w:sz w:val="20"/>
                <w:szCs w:val="20"/>
              </w:rPr>
            </w:pPr>
            <w:r w:rsidRPr="00BC6DEE">
              <w:rPr>
                <w:sz w:val="20"/>
                <w:szCs w:val="20"/>
              </w:rPr>
              <w:t>2015</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3,7%</w:t>
            </w:r>
          </w:p>
        </w:tc>
        <w:tc>
          <w:tcPr>
            <w:tcW w:w="1701" w:type="dxa"/>
            <w:vAlign w:val="center"/>
          </w:tcPr>
          <w:p w:rsidR="00804489" w:rsidRPr="00BC6DEE" w:rsidRDefault="00804489" w:rsidP="00804489">
            <w:pPr>
              <w:jc w:val="center"/>
              <w:rPr>
                <w:color w:val="000000"/>
                <w:sz w:val="20"/>
                <w:szCs w:val="20"/>
              </w:rPr>
            </w:pPr>
            <w:r w:rsidRPr="00BC6DEE">
              <w:rPr>
                <w:color w:val="000000"/>
                <w:sz w:val="20"/>
                <w:szCs w:val="20"/>
              </w:rPr>
              <w:t>0,3%</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7,6%</w:t>
            </w:r>
          </w:p>
        </w:tc>
        <w:tc>
          <w:tcPr>
            <w:tcW w:w="1843" w:type="dxa"/>
            <w:vAlign w:val="center"/>
          </w:tcPr>
          <w:p w:rsidR="00804489" w:rsidRPr="00BC6DEE" w:rsidRDefault="00804489" w:rsidP="00804489">
            <w:pPr>
              <w:jc w:val="center"/>
              <w:rPr>
                <w:color w:val="000000"/>
                <w:sz w:val="20"/>
                <w:szCs w:val="20"/>
              </w:rPr>
            </w:pPr>
            <w:r w:rsidRPr="00BC6DEE">
              <w:rPr>
                <w:color w:val="000000"/>
                <w:sz w:val="20"/>
                <w:szCs w:val="20"/>
              </w:rPr>
              <w:t>14,3%</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12,8%</w:t>
            </w:r>
          </w:p>
        </w:tc>
        <w:tc>
          <w:tcPr>
            <w:tcW w:w="1701" w:type="dxa"/>
            <w:vAlign w:val="center"/>
          </w:tcPr>
          <w:p w:rsidR="00804489" w:rsidRPr="00BC6DEE" w:rsidRDefault="00804489" w:rsidP="00804489">
            <w:pPr>
              <w:jc w:val="center"/>
              <w:rPr>
                <w:color w:val="000000"/>
                <w:sz w:val="20"/>
                <w:szCs w:val="20"/>
              </w:rPr>
            </w:pPr>
            <w:r w:rsidRPr="00BC6DEE">
              <w:rPr>
                <w:color w:val="000000"/>
                <w:sz w:val="20"/>
                <w:szCs w:val="20"/>
              </w:rPr>
              <w:t>6,5%</w:t>
            </w:r>
          </w:p>
        </w:tc>
      </w:tr>
      <w:tr w:rsidR="00804489" w:rsidRPr="00BC6DEE" w:rsidTr="00804489">
        <w:tc>
          <w:tcPr>
            <w:tcW w:w="3970" w:type="dxa"/>
            <w:vMerge/>
            <w:vAlign w:val="center"/>
          </w:tcPr>
          <w:p w:rsidR="00804489" w:rsidRPr="00BC6DEE" w:rsidRDefault="00804489" w:rsidP="00804489">
            <w:pPr>
              <w:rPr>
                <w:sz w:val="20"/>
                <w:szCs w:val="20"/>
                <w:highlight w:val="yellow"/>
              </w:rPr>
            </w:pPr>
          </w:p>
        </w:tc>
        <w:tc>
          <w:tcPr>
            <w:tcW w:w="992" w:type="dxa"/>
            <w:vAlign w:val="center"/>
          </w:tcPr>
          <w:p w:rsidR="00804489" w:rsidRPr="00BC6DEE" w:rsidRDefault="00804489" w:rsidP="00804489">
            <w:pPr>
              <w:rPr>
                <w:sz w:val="20"/>
                <w:szCs w:val="20"/>
              </w:rPr>
            </w:pPr>
            <w:r w:rsidRPr="00BC6DEE">
              <w:rPr>
                <w:sz w:val="20"/>
                <w:szCs w:val="20"/>
              </w:rPr>
              <w:t>2016</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4,3%</w:t>
            </w:r>
          </w:p>
        </w:tc>
        <w:tc>
          <w:tcPr>
            <w:tcW w:w="1701" w:type="dxa"/>
            <w:vAlign w:val="center"/>
          </w:tcPr>
          <w:p w:rsidR="00804489" w:rsidRPr="00BC6DEE" w:rsidRDefault="00804489" w:rsidP="00804489">
            <w:pPr>
              <w:jc w:val="center"/>
              <w:rPr>
                <w:color w:val="000000"/>
                <w:sz w:val="20"/>
                <w:szCs w:val="20"/>
              </w:rPr>
            </w:pPr>
            <w:r w:rsidRPr="00BC6DEE">
              <w:rPr>
                <w:color w:val="000000"/>
                <w:sz w:val="20"/>
                <w:szCs w:val="20"/>
              </w:rPr>
              <w:t>0,4%</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7,4%</w:t>
            </w:r>
          </w:p>
        </w:tc>
        <w:tc>
          <w:tcPr>
            <w:tcW w:w="1843" w:type="dxa"/>
            <w:vAlign w:val="center"/>
          </w:tcPr>
          <w:p w:rsidR="00804489" w:rsidRPr="00BC6DEE" w:rsidRDefault="00804489" w:rsidP="00804489">
            <w:pPr>
              <w:jc w:val="center"/>
              <w:rPr>
                <w:color w:val="000000"/>
                <w:sz w:val="20"/>
                <w:szCs w:val="20"/>
              </w:rPr>
            </w:pPr>
            <w:r w:rsidRPr="00BC6DEE">
              <w:rPr>
                <w:color w:val="000000"/>
                <w:sz w:val="20"/>
                <w:szCs w:val="20"/>
              </w:rPr>
              <w:t>15,3%</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12,9%</w:t>
            </w:r>
          </w:p>
        </w:tc>
        <w:tc>
          <w:tcPr>
            <w:tcW w:w="1701" w:type="dxa"/>
            <w:vAlign w:val="center"/>
          </w:tcPr>
          <w:p w:rsidR="00804489" w:rsidRPr="00BC6DEE" w:rsidRDefault="00804489" w:rsidP="00804489">
            <w:pPr>
              <w:jc w:val="center"/>
              <w:rPr>
                <w:color w:val="000000"/>
                <w:sz w:val="20"/>
                <w:szCs w:val="20"/>
              </w:rPr>
            </w:pPr>
            <w:r w:rsidRPr="00BC6DEE">
              <w:rPr>
                <w:color w:val="000000"/>
                <w:sz w:val="20"/>
                <w:szCs w:val="20"/>
              </w:rPr>
              <w:t>6,6%</w:t>
            </w:r>
          </w:p>
        </w:tc>
      </w:tr>
      <w:tr w:rsidR="00804489" w:rsidRPr="00BC6DEE" w:rsidTr="006106B3">
        <w:tc>
          <w:tcPr>
            <w:tcW w:w="3970" w:type="dxa"/>
            <w:vMerge w:val="restart"/>
            <w:shd w:val="clear" w:color="auto" w:fill="D9D9D9" w:themeFill="background1" w:themeFillShade="D9"/>
            <w:vAlign w:val="center"/>
          </w:tcPr>
          <w:p w:rsidR="00804489" w:rsidRPr="00BC6DEE" w:rsidRDefault="00804489" w:rsidP="00804489">
            <w:pPr>
              <w:rPr>
                <w:color w:val="000000"/>
                <w:sz w:val="20"/>
                <w:szCs w:val="20"/>
              </w:rPr>
            </w:pPr>
            <w:r w:rsidRPr="00BC6DEE">
              <w:rPr>
                <w:color w:val="000000"/>
                <w:sz w:val="20"/>
                <w:szCs w:val="20"/>
              </w:rPr>
              <w:t>Transporta kompensācija</w:t>
            </w:r>
          </w:p>
        </w:tc>
        <w:tc>
          <w:tcPr>
            <w:tcW w:w="992" w:type="dxa"/>
            <w:shd w:val="clear" w:color="auto" w:fill="D9D9D9" w:themeFill="background1" w:themeFillShade="D9"/>
            <w:vAlign w:val="center"/>
          </w:tcPr>
          <w:p w:rsidR="00804489" w:rsidRPr="00BC6DEE" w:rsidRDefault="00804489" w:rsidP="00804489">
            <w:pPr>
              <w:rPr>
                <w:sz w:val="20"/>
                <w:szCs w:val="20"/>
              </w:rPr>
            </w:pPr>
            <w:r w:rsidRPr="00BC6DEE">
              <w:rPr>
                <w:sz w:val="20"/>
                <w:szCs w:val="20"/>
              </w:rPr>
              <w:t>2015</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2,6%</w:t>
            </w:r>
          </w:p>
        </w:tc>
        <w:tc>
          <w:tcPr>
            <w:tcW w:w="1701"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0,7%</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19,8%</w:t>
            </w:r>
          </w:p>
        </w:tc>
        <w:tc>
          <w:tcPr>
            <w:tcW w:w="1843"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2,3%</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17,3%</w:t>
            </w:r>
          </w:p>
        </w:tc>
        <w:tc>
          <w:tcPr>
            <w:tcW w:w="1701"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10,4%</w:t>
            </w:r>
          </w:p>
        </w:tc>
      </w:tr>
      <w:tr w:rsidR="00804489" w:rsidRPr="00BC6DEE" w:rsidTr="006106B3">
        <w:tc>
          <w:tcPr>
            <w:tcW w:w="3970" w:type="dxa"/>
            <w:vMerge/>
            <w:shd w:val="clear" w:color="auto" w:fill="D9D9D9" w:themeFill="background1" w:themeFillShade="D9"/>
            <w:vAlign w:val="center"/>
          </w:tcPr>
          <w:p w:rsidR="00804489" w:rsidRPr="00BC6DEE" w:rsidRDefault="00804489" w:rsidP="00804489">
            <w:pPr>
              <w:rPr>
                <w:sz w:val="20"/>
                <w:szCs w:val="20"/>
                <w:highlight w:val="yellow"/>
              </w:rPr>
            </w:pPr>
          </w:p>
        </w:tc>
        <w:tc>
          <w:tcPr>
            <w:tcW w:w="992" w:type="dxa"/>
            <w:shd w:val="clear" w:color="auto" w:fill="D9D9D9" w:themeFill="background1" w:themeFillShade="D9"/>
            <w:vAlign w:val="center"/>
          </w:tcPr>
          <w:p w:rsidR="00804489" w:rsidRPr="00BC6DEE" w:rsidRDefault="00804489" w:rsidP="00804489">
            <w:pPr>
              <w:rPr>
                <w:sz w:val="20"/>
                <w:szCs w:val="20"/>
              </w:rPr>
            </w:pPr>
            <w:r w:rsidRPr="00BC6DEE">
              <w:rPr>
                <w:sz w:val="20"/>
                <w:szCs w:val="20"/>
              </w:rPr>
              <w:t>2016</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3,2%</w:t>
            </w:r>
          </w:p>
        </w:tc>
        <w:tc>
          <w:tcPr>
            <w:tcW w:w="1701"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0,8%</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20,3%</w:t>
            </w:r>
          </w:p>
        </w:tc>
        <w:tc>
          <w:tcPr>
            <w:tcW w:w="1843"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2,6%</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18,0%</w:t>
            </w:r>
          </w:p>
        </w:tc>
        <w:tc>
          <w:tcPr>
            <w:tcW w:w="1701"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10,4%</w:t>
            </w:r>
          </w:p>
        </w:tc>
      </w:tr>
      <w:tr w:rsidR="00804489" w:rsidRPr="00BC6DEE" w:rsidTr="00804489">
        <w:tc>
          <w:tcPr>
            <w:tcW w:w="3970" w:type="dxa"/>
            <w:vMerge w:val="restart"/>
            <w:vAlign w:val="center"/>
          </w:tcPr>
          <w:p w:rsidR="00804489" w:rsidRPr="00BC6DEE" w:rsidRDefault="00804489" w:rsidP="00804489">
            <w:pPr>
              <w:rPr>
                <w:color w:val="000000"/>
                <w:sz w:val="20"/>
                <w:szCs w:val="20"/>
              </w:rPr>
            </w:pPr>
            <w:r w:rsidRPr="00BC6DEE">
              <w:rPr>
                <w:color w:val="000000"/>
                <w:sz w:val="20"/>
                <w:szCs w:val="20"/>
              </w:rPr>
              <w:t>Bezdarbnieka pabalsts</w:t>
            </w:r>
          </w:p>
        </w:tc>
        <w:tc>
          <w:tcPr>
            <w:tcW w:w="992" w:type="dxa"/>
            <w:vAlign w:val="center"/>
          </w:tcPr>
          <w:p w:rsidR="00804489" w:rsidRPr="00BC6DEE" w:rsidRDefault="00804489" w:rsidP="00804489">
            <w:pPr>
              <w:rPr>
                <w:sz w:val="20"/>
                <w:szCs w:val="20"/>
              </w:rPr>
            </w:pPr>
            <w:r w:rsidRPr="00BC6DEE">
              <w:rPr>
                <w:sz w:val="20"/>
                <w:szCs w:val="20"/>
              </w:rPr>
              <w:t>2015</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3,1%</w:t>
            </w:r>
          </w:p>
        </w:tc>
        <w:tc>
          <w:tcPr>
            <w:tcW w:w="1701" w:type="dxa"/>
            <w:vAlign w:val="center"/>
          </w:tcPr>
          <w:p w:rsidR="00804489" w:rsidRPr="00BC6DEE" w:rsidRDefault="00804489" w:rsidP="00804489">
            <w:pPr>
              <w:jc w:val="center"/>
              <w:rPr>
                <w:color w:val="000000"/>
                <w:sz w:val="20"/>
                <w:szCs w:val="20"/>
              </w:rPr>
            </w:pPr>
            <w:r w:rsidRPr="00BC6DEE">
              <w:rPr>
                <w:color w:val="000000"/>
                <w:sz w:val="20"/>
                <w:szCs w:val="20"/>
              </w:rPr>
              <w:t>4,5%</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8,2%</w:t>
            </w:r>
          </w:p>
        </w:tc>
        <w:tc>
          <w:tcPr>
            <w:tcW w:w="1843" w:type="dxa"/>
            <w:vAlign w:val="center"/>
          </w:tcPr>
          <w:p w:rsidR="00804489" w:rsidRPr="00BC6DEE" w:rsidRDefault="00804489" w:rsidP="00804489">
            <w:pPr>
              <w:jc w:val="center"/>
              <w:rPr>
                <w:color w:val="000000"/>
                <w:sz w:val="20"/>
                <w:szCs w:val="20"/>
              </w:rPr>
            </w:pPr>
            <w:r w:rsidRPr="00BC6DEE">
              <w:rPr>
                <w:color w:val="000000"/>
                <w:sz w:val="20"/>
                <w:szCs w:val="20"/>
              </w:rPr>
              <w:t>3,0%</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4,4%</w:t>
            </w:r>
          </w:p>
        </w:tc>
        <w:tc>
          <w:tcPr>
            <w:tcW w:w="1701" w:type="dxa"/>
            <w:vAlign w:val="center"/>
          </w:tcPr>
          <w:p w:rsidR="00804489" w:rsidRPr="00BC6DEE" w:rsidRDefault="00804489" w:rsidP="00804489">
            <w:pPr>
              <w:jc w:val="center"/>
              <w:rPr>
                <w:color w:val="000000"/>
                <w:sz w:val="20"/>
                <w:szCs w:val="20"/>
              </w:rPr>
            </w:pPr>
            <w:r w:rsidRPr="00BC6DEE">
              <w:rPr>
                <w:color w:val="000000"/>
                <w:sz w:val="20"/>
                <w:szCs w:val="20"/>
              </w:rPr>
              <w:t>2,2%</w:t>
            </w:r>
          </w:p>
        </w:tc>
      </w:tr>
      <w:tr w:rsidR="00804489" w:rsidRPr="00BC6DEE" w:rsidTr="00804489">
        <w:tc>
          <w:tcPr>
            <w:tcW w:w="3970" w:type="dxa"/>
            <w:vMerge/>
            <w:vAlign w:val="center"/>
          </w:tcPr>
          <w:p w:rsidR="00804489" w:rsidRPr="00BC6DEE" w:rsidRDefault="00804489" w:rsidP="00804489">
            <w:pPr>
              <w:rPr>
                <w:sz w:val="20"/>
                <w:szCs w:val="20"/>
                <w:highlight w:val="yellow"/>
              </w:rPr>
            </w:pPr>
          </w:p>
        </w:tc>
        <w:tc>
          <w:tcPr>
            <w:tcW w:w="992" w:type="dxa"/>
            <w:vAlign w:val="center"/>
          </w:tcPr>
          <w:p w:rsidR="00804489" w:rsidRPr="00BC6DEE" w:rsidRDefault="00804489" w:rsidP="00804489">
            <w:pPr>
              <w:rPr>
                <w:sz w:val="20"/>
                <w:szCs w:val="20"/>
              </w:rPr>
            </w:pPr>
            <w:r w:rsidRPr="00BC6DEE">
              <w:rPr>
                <w:sz w:val="20"/>
                <w:szCs w:val="20"/>
              </w:rPr>
              <w:t>2016</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3,3%</w:t>
            </w:r>
          </w:p>
        </w:tc>
        <w:tc>
          <w:tcPr>
            <w:tcW w:w="1701" w:type="dxa"/>
            <w:vAlign w:val="center"/>
          </w:tcPr>
          <w:p w:rsidR="00804489" w:rsidRPr="00BC6DEE" w:rsidRDefault="00804489" w:rsidP="00804489">
            <w:pPr>
              <w:jc w:val="center"/>
              <w:rPr>
                <w:color w:val="000000"/>
                <w:sz w:val="20"/>
                <w:szCs w:val="20"/>
              </w:rPr>
            </w:pPr>
            <w:r w:rsidRPr="00BC6DEE">
              <w:rPr>
                <w:color w:val="000000"/>
                <w:sz w:val="20"/>
                <w:szCs w:val="20"/>
              </w:rPr>
              <w:t>5,5%</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8,7%</w:t>
            </w:r>
          </w:p>
        </w:tc>
        <w:tc>
          <w:tcPr>
            <w:tcW w:w="1843" w:type="dxa"/>
            <w:vAlign w:val="center"/>
          </w:tcPr>
          <w:p w:rsidR="00804489" w:rsidRPr="00BC6DEE" w:rsidRDefault="00804489" w:rsidP="00804489">
            <w:pPr>
              <w:jc w:val="center"/>
              <w:rPr>
                <w:color w:val="000000"/>
                <w:sz w:val="20"/>
                <w:szCs w:val="20"/>
              </w:rPr>
            </w:pPr>
            <w:r w:rsidRPr="00BC6DEE">
              <w:rPr>
                <w:color w:val="000000"/>
                <w:sz w:val="20"/>
                <w:szCs w:val="20"/>
              </w:rPr>
              <w:t>3,1%</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4,7%</w:t>
            </w:r>
          </w:p>
        </w:tc>
        <w:tc>
          <w:tcPr>
            <w:tcW w:w="1701" w:type="dxa"/>
            <w:vAlign w:val="center"/>
          </w:tcPr>
          <w:p w:rsidR="00804489" w:rsidRPr="00BC6DEE" w:rsidRDefault="00804489" w:rsidP="00804489">
            <w:pPr>
              <w:jc w:val="center"/>
              <w:rPr>
                <w:color w:val="000000"/>
                <w:sz w:val="20"/>
                <w:szCs w:val="20"/>
              </w:rPr>
            </w:pPr>
            <w:r w:rsidRPr="00BC6DEE">
              <w:rPr>
                <w:color w:val="000000"/>
                <w:sz w:val="20"/>
                <w:szCs w:val="20"/>
              </w:rPr>
              <w:t>2,3%</w:t>
            </w:r>
          </w:p>
        </w:tc>
      </w:tr>
      <w:tr w:rsidR="00804489" w:rsidRPr="00BC6DEE" w:rsidTr="006106B3">
        <w:tc>
          <w:tcPr>
            <w:tcW w:w="3970" w:type="dxa"/>
            <w:vMerge w:val="restart"/>
            <w:shd w:val="clear" w:color="auto" w:fill="D9D9D9" w:themeFill="background1" w:themeFillShade="D9"/>
            <w:vAlign w:val="center"/>
          </w:tcPr>
          <w:p w:rsidR="00804489" w:rsidRPr="00BC6DEE" w:rsidRDefault="00804489" w:rsidP="00804489">
            <w:pPr>
              <w:rPr>
                <w:color w:val="000000"/>
                <w:sz w:val="20"/>
                <w:szCs w:val="20"/>
              </w:rPr>
            </w:pPr>
            <w:r w:rsidRPr="00BC6DEE">
              <w:rPr>
                <w:color w:val="000000"/>
                <w:sz w:val="20"/>
                <w:szCs w:val="20"/>
              </w:rPr>
              <w:t>Slimības pabalsts</w:t>
            </w:r>
          </w:p>
        </w:tc>
        <w:tc>
          <w:tcPr>
            <w:tcW w:w="992" w:type="dxa"/>
            <w:shd w:val="clear" w:color="auto" w:fill="D9D9D9" w:themeFill="background1" w:themeFillShade="D9"/>
            <w:vAlign w:val="center"/>
          </w:tcPr>
          <w:p w:rsidR="00804489" w:rsidRPr="00BC6DEE" w:rsidRDefault="00804489" w:rsidP="00804489">
            <w:pPr>
              <w:rPr>
                <w:sz w:val="20"/>
                <w:szCs w:val="20"/>
              </w:rPr>
            </w:pPr>
            <w:r w:rsidRPr="00BC6DEE">
              <w:rPr>
                <w:sz w:val="20"/>
                <w:szCs w:val="20"/>
              </w:rPr>
              <w:t>2015</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5,2%</w:t>
            </w:r>
          </w:p>
        </w:tc>
        <w:tc>
          <w:tcPr>
            <w:tcW w:w="1701"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9,3%</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16,4%</w:t>
            </w:r>
          </w:p>
        </w:tc>
        <w:tc>
          <w:tcPr>
            <w:tcW w:w="1843"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3,7%</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12,5%</w:t>
            </w:r>
          </w:p>
        </w:tc>
        <w:tc>
          <w:tcPr>
            <w:tcW w:w="1701"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4,5%</w:t>
            </w:r>
          </w:p>
        </w:tc>
      </w:tr>
      <w:tr w:rsidR="00804489" w:rsidRPr="00BC6DEE" w:rsidTr="006106B3">
        <w:tc>
          <w:tcPr>
            <w:tcW w:w="3970" w:type="dxa"/>
            <w:vMerge/>
            <w:shd w:val="clear" w:color="auto" w:fill="D9D9D9" w:themeFill="background1" w:themeFillShade="D9"/>
            <w:vAlign w:val="center"/>
          </w:tcPr>
          <w:p w:rsidR="00804489" w:rsidRPr="00BC6DEE" w:rsidRDefault="00804489" w:rsidP="00804489">
            <w:pPr>
              <w:rPr>
                <w:sz w:val="20"/>
                <w:szCs w:val="20"/>
                <w:highlight w:val="yellow"/>
              </w:rPr>
            </w:pPr>
          </w:p>
        </w:tc>
        <w:tc>
          <w:tcPr>
            <w:tcW w:w="992" w:type="dxa"/>
            <w:shd w:val="clear" w:color="auto" w:fill="D9D9D9" w:themeFill="background1" w:themeFillShade="D9"/>
            <w:vAlign w:val="center"/>
          </w:tcPr>
          <w:p w:rsidR="00804489" w:rsidRPr="00BC6DEE" w:rsidRDefault="00804489" w:rsidP="00804489">
            <w:pPr>
              <w:rPr>
                <w:sz w:val="20"/>
                <w:szCs w:val="20"/>
              </w:rPr>
            </w:pPr>
            <w:r w:rsidRPr="00BC6DEE">
              <w:rPr>
                <w:sz w:val="20"/>
                <w:szCs w:val="20"/>
              </w:rPr>
              <w:t>2016</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6,1%</w:t>
            </w:r>
          </w:p>
        </w:tc>
        <w:tc>
          <w:tcPr>
            <w:tcW w:w="1701"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9,4%</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16,5%</w:t>
            </w:r>
          </w:p>
        </w:tc>
        <w:tc>
          <w:tcPr>
            <w:tcW w:w="1843"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3,9%</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13,2%</w:t>
            </w:r>
          </w:p>
        </w:tc>
        <w:tc>
          <w:tcPr>
            <w:tcW w:w="1701"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4,6%</w:t>
            </w:r>
          </w:p>
        </w:tc>
      </w:tr>
      <w:tr w:rsidR="00804489" w:rsidRPr="00BC6DEE" w:rsidTr="00804489">
        <w:tc>
          <w:tcPr>
            <w:tcW w:w="3970" w:type="dxa"/>
            <w:vMerge w:val="restart"/>
            <w:vAlign w:val="center"/>
          </w:tcPr>
          <w:p w:rsidR="00804489" w:rsidRPr="00BC6DEE" w:rsidRDefault="00804489" w:rsidP="00804489">
            <w:pPr>
              <w:rPr>
                <w:color w:val="000000"/>
                <w:sz w:val="20"/>
                <w:szCs w:val="20"/>
              </w:rPr>
            </w:pPr>
            <w:r w:rsidRPr="00BC6DEE">
              <w:rPr>
                <w:color w:val="000000"/>
                <w:sz w:val="20"/>
                <w:szCs w:val="20"/>
              </w:rPr>
              <w:t>Papildu izdevumi saistībā ar nelaimes gadījumu darbā</w:t>
            </w:r>
          </w:p>
        </w:tc>
        <w:tc>
          <w:tcPr>
            <w:tcW w:w="992" w:type="dxa"/>
            <w:vAlign w:val="center"/>
          </w:tcPr>
          <w:p w:rsidR="00804489" w:rsidRPr="00BC6DEE" w:rsidRDefault="00804489" w:rsidP="00804489">
            <w:pPr>
              <w:rPr>
                <w:sz w:val="20"/>
                <w:szCs w:val="20"/>
              </w:rPr>
            </w:pPr>
            <w:r w:rsidRPr="00BC6DEE">
              <w:rPr>
                <w:sz w:val="20"/>
                <w:szCs w:val="20"/>
              </w:rPr>
              <w:t>2015</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0,2%</w:t>
            </w:r>
          </w:p>
        </w:tc>
        <w:tc>
          <w:tcPr>
            <w:tcW w:w="1701" w:type="dxa"/>
            <w:vAlign w:val="center"/>
          </w:tcPr>
          <w:p w:rsidR="00804489" w:rsidRPr="00BC6DEE" w:rsidRDefault="00804489" w:rsidP="00804489">
            <w:pPr>
              <w:jc w:val="center"/>
              <w:rPr>
                <w:color w:val="000000"/>
                <w:sz w:val="20"/>
                <w:szCs w:val="20"/>
              </w:rPr>
            </w:pPr>
            <w:r w:rsidRPr="00BC6DEE">
              <w:rPr>
                <w:color w:val="000000"/>
                <w:sz w:val="20"/>
                <w:szCs w:val="20"/>
              </w:rPr>
              <w:t>0,2%</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1,4%</w:t>
            </w:r>
          </w:p>
        </w:tc>
        <w:tc>
          <w:tcPr>
            <w:tcW w:w="1843" w:type="dxa"/>
            <w:vAlign w:val="center"/>
          </w:tcPr>
          <w:p w:rsidR="00804489" w:rsidRPr="00BC6DEE" w:rsidRDefault="00804489" w:rsidP="00804489">
            <w:pPr>
              <w:jc w:val="center"/>
              <w:rPr>
                <w:color w:val="000000"/>
                <w:sz w:val="20"/>
                <w:szCs w:val="20"/>
              </w:rPr>
            </w:pPr>
            <w:r w:rsidRPr="00BC6DEE">
              <w:rPr>
                <w:color w:val="000000"/>
                <w:sz w:val="20"/>
                <w:szCs w:val="20"/>
              </w:rPr>
              <w:t>0,1%</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3,6%</w:t>
            </w:r>
          </w:p>
        </w:tc>
        <w:tc>
          <w:tcPr>
            <w:tcW w:w="1701" w:type="dxa"/>
            <w:vAlign w:val="center"/>
          </w:tcPr>
          <w:p w:rsidR="00804489" w:rsidRPr="00BC6DEE" w:rsidRDefault="00804489" w:rsidP="00804489">
            <w:pPr>
              <w:jc w:val="center"/>
              <w:rPr>
                <w:color w:val="000000"/>
                <w:sz w:val="20"/>
                <w:szCs w:val="20"/>
              </w:rPr>
            </w:pPr>
            <w:r w:rsidRPr="00BC6DEE">
              <w:rPr>
                <w:color w:val="000000"/>
                <w:sz w:val="20"/>
                <w:szCs w:val="20"/>
              </w:rPr>
              <w:t>0,1%</w:t>
            </w:r>
          </w:p>
        </w:tc>
      </w:tr>
      <w:tr w:rsidR="00804489" w:rsidRPr="00BC6DEE" w:rsidTr="00804489">
        <w:tc>
          <w:tcPr>
            <w:tcW w:w="3970" w:type="dxa"/>
            <w:vMerge/>
            <w:vAlign w:val="center"/>
          </w:tcPr>
          <w:p w:rsidR="00804489" w:rsidRPr="00BC6DEE" w:rsidRDefault="00804489" w:rsidP="00804489">
            <w:pPr>
              <w:rPr>
                <w:sz w:val="20"/>
                <w:szCs w:val="20"/>
                <w:highlight w:val="yellow"/>
              </w:rPr>
            </w:pPr>
          </w:p>
        </w:tc>
        <w:tc>
          <w:tcPr>
            <w:tcW w:w="992" w:type="dxa"/>
            <w:vAlign w:val="center"/>
          </w:tcPr>
          <w:p w:rsidR="00804489" w:rsidRPr="00BC6DEE" w:rsidRDefault="00804489" w:rsidP="00804489">
            <w:pPr>
              <w:rPr>
                <w:sz w:val="20"/>
                <w:szCs w:val="20"/>
              </w:rPr>
            </w:pPr>
            <w:r w:rsidRPr="00BC6DEE">
              <w:rPr>
                <w:sz w:val="20"/>
                <w:szCs w:val="20"/>
              </w:rPr>
              <w:t>2016</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0,3%</w:t>
            </w:r>
          </w:p>
        </w:tc>
        <w:tc>
          <w:tcPr>
            <w:tcW w:w="1701" w:type="dxa"/>
            <w:vAlign w:val="center"/>
          </w:tcPr>
          <w:p w:rsidR="00804489" w:rsidRPr="00BC6DEE" w:rsidRDefault="00804489" w:rsidP="00804489">
            <w:pPr>
              <w:jc w:val="center"/>
              <w:rPr>
                <w:color w:val="000000"/>
                <w:sz w:val="20"/>
                <w:szCs w:val="20"/>
              </w:rPr>
            </w:pPr>
            <w:r w:rsidRPr="00BC6DEE">
              <w:rPr>
                <w:color w:val="000000"/>
                <w:sz w:val="20"/>
                <w:szCs w:val="20"/>
              </w:rPr>
              <w:t>0,3%</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1,6%</w:t>
            </w:r>
          </w:p>
        </w:tc>
        <w:tc>
          <w:tcPr>
            <w:tcW w:w="1843" w:type="dxa"/>
            <w:vAlign w:val="center"/>
          </w:tcPr>
          <w:p w:rsidR="00804489" w:rsidRPr="00BC6DEE" w:rsidRDefault="00804489" w:rsidP="00804489">
            <w:pPr>
              <w:jc w:val="center"/>
              <w:rPr>
                <w:color w:val="000000"/>
                <w:sz w:val="20"/>
                <w:szCs w:val="20"/>
              </w:rPr>
            </w:pPr>
            <w:r w:rsidRPr="00BC6DEE">
              <w:rPr>
                <w:color w:val="000000"/>
                <w:sz w:val="20"/>
                <w:szCs w:val="20"/>
              </w:rPr>
              <w:t>0,1%</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3,9%</w:t>
            </w:r>
          </w:p>
        </w:tc>
        <w:tc>
          <w:tcPr>
            <w:tcW w:w="1701" w:type="dxa"/>
            <w:vAlign w:val="center"/>
          </w:tcPr>
          <w:p w:rsidR="00804489" w:rsidRPr="00BC6DEE" w:rsidRDefault="00804489" w:rsidP="00804489">
            <w:pPr>
              <w:jc w:val="center"/>
              <w:rPr>
                <w:color w:val="000000"/>
                <w:sz w:val="20"/>
                <w:szCs w:val="20"/>
              </w:rPr>
            </w:pPr>
            <w:r w:rsidRPr="00BC6DEE">
              <w:rPr>
                <w:color w:val="000000"/>
                <w:sz w:val="20"/>
                <w:szCs w:val="20"/>
              </w:rPr>
              <w:t>0,2%</w:t>
            </w:r>
          </w:p>
        </w:tc>
      </w:tr>
      <w:tr w:rsidR="00804489" w:rsidRPr="00BC6DEE" w:rsidTr="006106B3">
        <w:tc>
          <w:tcPr>
            <w:tcW w:w="3970" w:type="dxa"/>
            <w:vMerge w:val="restart"/>
            <w:shd w:val="clear" w:color="auto" w:fill="D9D9D9" w:themeFill="background1" w:themeFillShade="D9"/>
            <w:vAlign w:val="center"/>
          </w:tcPr>
          <w:p w:rsidR="00804489" w:rsidRPr="00BC6DEE" w:rsidRDefault="00804489" w:rsidP="00804489">
            <w:pPr>
              <w:rPr>
                <w:color w:val="000000"/>
                <w:sz w:val="20"/>
                <w:szCs w:val="20"/>
              </w:rPr>
            </w:pPr>
            <w:r w:rsidRPr="00BC6DEE">
              <w:rPr>
                <w:color w:val="000000"/>
                <w:sz w:val="20"/>
                <w:szCs w:val="20"/>
              </w:rPr>
              <w:t>Kaitējuma atlīdzība ČAES seku likvidācijas dalībniekiem</w:t>
            </w:r>
          </w:p>
        </w:tc>
        <w:tc>
          <w:tcPr>
            <w:tcW w:w="992" w:type="dxa"/>
            <w:shd w:val="clear" w:color="auto" w:fill="D9D9D9" w:themeFill="background1" w:themeFillShade="D9"/>
            <w:vAlign w:val="center"/>
          </w:tcPr>
          <w:p w:rsidR="00804489" w:rsidRPr="00BC6DEE" w:rsidRDefault="00804489" w:rsidP="00804489">
            <w:pPr>
              <w:rPr>
                <w:sz w:val="20"/>
                <w:szCs w:val="20"/>
              </w:rPr>
            </w:pPr>
            <w:r w:rsidRPr="00BC6DEE">
              <w:rPr>
                <w:sz w:val="20"/>
                <w:szCs w:val="20"/>
              </w:rPr>
              <w:t>2015</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0,1%</w:t>
            </w:r>
          </w:p>
        </w:tc>
        <w:tc>
          <w:tcPr>
            <w:tcW w:w="1701"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0,1%</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0,0%</w:t>
            </w:r>
          </w:p>
        </w:tc>
        <w:tc>
          <w:tcPr>
            <w:tcW w:w="1843"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0,1%</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2,5%</w:t>
            </w:r>
          </w:p>
        </w:tc>
        <w:tc>
          <w:tcPr>
            <w:tcW w:w="1701"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5,8%</w:t>
            </w:r>
          </w:p>
        </w:tc>
      </w:tr>
      <w:tr w:rsidR="00804489" w:rsidRPr="00BC6DEE" w:rsidTr="006106B3">
        <w:tc>
          <w:tcPr>
            <w:tcW w:w="3970" w:type="dxa"/>
            <w:vMerge/>
            <w:shd w:val="clear" w:color="auto" w:fill="D9D9D9" w:themeFill="background1" w:themeFillShade="D9"/>
            <w:vAlign w:val="center"/>
          </w:tcPr>
          <w:p w:rsidR="00804489" w:rsidRPr="00BC6DEE" w:rsidRDefault="00804489" w:rsidP="00804489">
            <w:pPr>
              <w:rPr>
                <w:sz w:val="20"/>
                <w:szCs w:val="20"/>
                <w:highlight w:val="yellow"/>
              </w:rPr>
            </w:pPr>
          </w:p>
        </w:tc>
        <w:tc>
          <w:tcPr>
            <w:tcW w:w="992" w:type="dxa"/>
            <w:shd w:val="clear" w:color="auto" w:fill="D9D9D9" w:themeFill="background1" w:themeFillShade="D9"/>
            <w:vAlign w:val="center"/>
          </w:tcPr>
          <w:p w:rsidR="00804489" w:rsidRPr="00BC6DEE" w:rsidRDefault="00804489" w:rsidP="00804489">
            <w:pPr>
              <w:rPr>
                <w:sz w:val="20"/>
                <w:szCs w:val="20"/>
              </w:rPr>
            </w:pPr>
            <w:r w:rsidRPr="00BC6DEE">
              <w:rPr>
                <w:sz w:val="20"/>
                <w:szCs w:val="20"/>
              </w:rPr>
              <w:t>2016</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0,1%</w:t>
            </w:r>
          </w:p>
        </w:tc>
        <w:tc>
          <w:tcPr>
            <w:tcW w:w="1701"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0,1%</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0,0%</w:t>
            </w:r>
          </w:p>
        </w:tc>
        <w:tc>
          <w:tcPr>
            <w:tcW w:w="1843"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0,1%</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2,4%</w:t>
            </w:r>
          </w:p>
        </w:tc>
        <w:tc>
          <w:tcPr>
            <w:tcW w:w="1701"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5,9%</w:t>
            </w:r>
          </w:p>
        </w:tc>
      </w:tr>
      <w:tr w:rsidR="00804489" w:rsidRPr="00BC6DEE" w:rsidTr="00804489">
        <w:tc>
          <w:tcPr>
            <w:tcW w:w="3970" w:type="dxa"/>
            <w:vMerge w:val="restart"/>
            <w:vAlign w:val="center"/>
          </w:tcPr>
          <w:p w:rsidR="00804489" w:rsidRPr="00BC6DEE" w:rsidRDefault="00804489" w:rsidP="00917A17">
            <w:pPr>
              <w:rPr>
                <w:color w:val="000000"/>
                <w:sz w:val="20"/>
                <w:szCs w:val="20"/>
              </w:rPr>
            </w:pPr>
            <w:r w:rsidRPr="00BC6DEE">
              <w:rPr>
                <w:color w:val="000000"/>
                <w:sz w:val="20"/>
                <w:szCs w:val="20"/>
              </w:rPr>
              <w:t xml:space="preserve">Pabalsts </w:t>
            </w:r>
            <w:r w:rsidR="00917A17">
              <w:rPr>
                <w:color w:val="000000"/>
                <w:sz w:val="20"/>
                <w:szCs w:val="20"/>
              </w:rPr>
              <w:t xml:space="preserve">personas ar </w:t>
            </w:r>
            <w:r w:rsidRPr="00BC6DEE">
              <w:rPr>
                <w:color w:val="000000"/>
                <w:sz w:val="20"/>
                <w:szCs w:val="20"/>
              </w:rPr>
              <w:t>redzes inval</w:t>
            </w:r>
            <w:r w:rsidR="00917A17">
              <w:rPr>
                <w:color w:val="000000"/>
                <w:sz w:val="20"/>
                <w:szCs w:val="20"/>
              </w:rPr>
              <w:t>iditāti</w:t>
            </w:r>
            <w:r w:rsidRPr="00BC6DEE">
              <w:rPr>
                <w:color w:val="000000"/>
                <w:sz w:val="20"/>
                <w:szCs w:val="20"/>
              </w:rPr>
              <w:t xml:space="preserve"> asistentam</w:t>
            </w:r>
          </w:p>
        </w:tc>
        <w:tc>
          <w:tcPr>
            <w:tcW w:w="992" w:type="dxa"/>
            <w:vAlign w:val="center"/>
          </w:tcPr>
          <w:p w:rsidR="00804489" w:rsidRPr="00BC6DEE" w:rsidRDefault="00804489" w:rsidP="00804489">
            <w:pPr>
              <w:rPr>
                <w:sz w:val="20"/>
                <w:szCs w:val="20"/>
              </w:rPr>
            </w:pPr>
            <w:r w:rsidRPr="00BC6DEE">
              <w:rPr>
                <w:sz w:val="20"/>
                <w:szCs w:val="20"/>
              </w:rPr>
              <w:t>2015</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23,0%</w:t>
            </w:r>
          </w:p>
        </w:tc>
        <w:tc>
          <w:tcPr>
            <w:tcW w:w="1701" w:type="dxa"/>
            <w:vAlign w:val="center"/>
          </w:tcPr>
          <w:p w:rsidR="00804489" w:rsidRPr="00BC6DEE" w:rsidRDefault="00804489" w:rsidP="00804489">
            <w:pPr>
              <w:jc w:val="center"/>
              <w:rPr>
                <w:color w:val="000000"/>
                <w:sz w:val="20"/>
                <w:szCs w:val="20"/>
              </w:rPr>
            </w:pPr>
            <w:r w:rsidRPr="00BC6DEE">
              <w:rPr>
                <w:color w:val="000000"/>
                <w:sz w:val="20"/>
                <w:szCs w:val="20"/>
              </w:rPr>
              <w:t>0,2%</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0,0%</w:t>
            </w:r>
          </w:p>
        </w:tc>
        <w:tc>
          <w:tcPr>
            <w:tcW w:w="1843" w:type="dxa"/>
            <w:vAlign w:val="center"/>
          </w:tcPr>
          <w:p w:rsidR="00804489" w:rsidRPr="00BC6DEE" w:rsidRDefault="00804489" w:rsidP="00804489">
            <w:pPr>
              <w:jc w:val="center"/>
              <w:rPr>
                <w:color w:val="000000"/>
                <w:sz w:val="20"/>
                <w:szCs w:val="20"/>
              </w:rPr>
            </w:pPr>
            <w:r w:rsidRPr="00BC6DEE">
              <w:rPr>
                <w:color w:val="000000"/>
                <w:sz w:val="20"/>
                <w:szCs w:val="20"/>
              </w:rPr>
              <w:t>0,0%</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0,1%</w:t>
            </w:r>
          </w:p>
        </w:tc>
        <w:tc>
          <w:tcPr>
            <w:tcW w:w="1701" w:type="dxa"/>
            <w:vAlign w:val="center"/>
          </w:tcPr>
          <w:p w:rsidR="00804489" w:rsidRPr="00BC6DEE" w:rsidRDefault="00804489" w:rsidP="00804489">
            <w:pPr>
              <w:jc w:val="center"/>
              <w:rPr>
                <w:color w:val="000000"/>
                <w:sz w:val="20"/>
                <w:szCs w:val="20"/>
              </w:rPr>
            </w:pPr>
            <w:r w:rsidRPr="00BC6DEE">
              <w:rPr>
                <w:color w:val="000000"/>
                <w:sz w:val="20"/>
                <w:szCs w:val="20"/>
              </w:rPr>
              <w:t>1,8%</w:t>
            </w:r>
          </w:p>
        </w:tc>
      </w:tr>
      <w:tr w:rsidR="00804489" w:rsidRPr="00BC6DEE" w:rsidTr="00804489">
        <w:tc>
          <w:tcPr>
            <w:tcW w:w="3970" w:type="dxa"/>
            <w:vMerge/>
            <w:vAlign w:val="center"/>
          </w:tcPr>
          <w:p w:rsidR="00804489" w:rsidRPr="00BC6DEE" w:rsidRDefault="00804489" w:rsidP="00804489">
            <w:pPr>
              <w:rPr>
                <w:sz w:val="20"/>
                <w:szCs w:val="20"/>
                <w:highlight w:val="yellow"/>
              </w:rPr>
            </w:pPr>
          </w:p>
        </w:tc>
        <w:tc>
          <w:tcPr>
            <w:tcW w:w="992" w:type="dxa"/>
            <w:vAlign w:val="center"/>
          </w:tcPr>
          <w:p w:rsidR="00804489" w:rsidRPr="00BC6DEE" w:rsidRDefault="00804489" w:rsidP="00804489">
            <w:pPr>
              <w:rPr>
                <w:sz w:val="20"/>
                <w:szCs w:val="20"/>
              </w:rPr>
            </w:pPr>
            <w:r w:rsidRPr="00BC6DEE">
              <w:rPr>
                <w:sz w:val="20"/>
                <w:szCs w:val="20"/>
              </w:rPr>
              <w:t>2016</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22,5%</w:t>
            </w:r>
          </w:p>
        </w:tc>
        <w:tc>
          <w:tcPr>
            <w:tcW w:w="1701" w:type="dxa"/>
            <w:vAlign w:val="center"/>
          </w:tcPr>
          <w:p w:rsidR="00804489" w:rsidRPr="00BC6DEE" w:rsidRDefault="00804489" w:rsidP="00804489">
            <w:pPr>
              <w:jc w:val="center"/>
              <w:rPr>
                <w:color w:val="000000"/>
                <w:sz w:val="20"/>
                <w:szCs w:val="20"/>
              </w:rPr>
            </w:pPr>
            <w:r w:rsidRPr="00BC6DEE">
              <w:rPr>
                <w:color w:val="000000"/>
                <w:sz w:val="20"/>
                <w:szCs w:val="20"/>
              </w:rPr>
              <w:t>0,2%</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0,0%</w:t>
            </w:r>
          </w:p>
        </w:tc>
        <w:tc>
          <w:tcPr>
            <w:tcW w:w="1843" w:type="dxa"/>
            <w:vAlign w:val="center"/>
          </w:tcPr>
          <w:p w:rsidR="00804489" w:rsidRPr="00BC6DEE" w:rsidRDefault="00804489" w:rsidP="00804489">
            <w:pPr>
              <w:jc w:val="center"/>
              <w:rPr>
                <w:color w:val="000000"/>
                <w:sz w:val="20"/>
                <w:szCs w:val="20"/>
              </w:rPr>
            </w:pPr>
            <w:r w:rsidRPr="00BC6DEE">
              <w:rPr>
                <w:color w:val="000000"/>
                <w:sz w:val="20"/>
                <w:szCs w:val="20"/>
              </w:rPr>
              <w:t>0,0%</w:t>
            </w:r>
          </w:p>
        </w:tc>
        <w:tc>
          <w:tcPr>
            <w:tcW w:w="1559" w:type="dxa"/>
            <w:vAlign w:val="center"/>
          </w:tcPr>
          <w:p w:rsidR="00804489" w:rsidRPr="00BC6DEE" w:rsidRDefault="00804489" w:rsidP="00804489">
            <w:pPr>
              <w:jc w:val="center"/>
              <w:rPr>
                <w:color w:val="000000"/>
                <w:sz w:val="20"/>
                <w:szCs w:val="20"/>
              </w:rPr>
            </w:pPr>
            <w:r w:rsidRPr="00BC6DEE">
              <w:rPr>
                <w:color w:val="000000"/>
                <w:sz w:val="20"/>
                <w:szCs w:val="20"/>
              </w:rPr>
              <w:t>0,1%</w:t>
            </w:r>
          </w:p>
        </w:tc>
        <w:tc>
          <w:tcPr>
            <w:tcW w:w="1701" w:type="dxa"/>
            <w:vAlign w:val="center"/>
          </w:tcPr>
          <w:p w:rsidR="00804489" w:rsidRPr="00BC6DEE" w:rsidRDefault="00804489" w:rsidP="00804489">
            <w:pPr>
              <w:jc w:val="center"/>
              <w:rPr>
                <w:color w:val="000000"/>
                <w:sz w:val="20"/>
                <w:szCs w:val="20"/>
              </w:rPr>
            </w:pPr>
            <w:r w:rsidRPr="00BC6DEE">
              <w:rPr>
                <w:color w:val="000000"/>
                <w:sz w:val="20"/>
                <w:szCs w:val="20"/>
              </w:rPr>
              <w:t>1,7%</w:t>
            </w:r>
          </w:p>
        </w:tc>
      </w:tr>
      <w:tr w:rsidR="00804489" w:rsidRPr="00BC6DEE" w:rsidTr="006106B3">
        <w:tc>
          <w:tcPr>
            <w:tcW w:w="3970" w:type="dxa"/>
            <w:vMerge w:val="restart"/>
            <w:shd w:val="clear" w:color="auto" w:fill="D9D9D9" w:themeFill="background1" w:themeFillShade="D9"/>
            <w:vAlign w:val="center"/>
          </w:tcPr>
          <w:p w:rsidR="00804489" w:rsidRPr="00BC6DEE" w:rsidRDefault="00804489" w:rsidP="00804489">
            <w:pPr>
              <w:rPr>
                <w:color w:val="000000"/>
                <w:sz w:val="20"/>
                <w:szCs w:val="20"/>
              </w:rPr>
            </w:pPr>
            <w:r w:rsidRPr="00BC6DEE">
              <w:rPr>
                <w:color w:val="000000"/>
                <w:sz w:val="20"/>
                <w:szCs w:val="20"/>
              </w:rPr>
              <w:t>Citi ienākumi (t.sk., alga)</w:t>
            </w:r>
          </w:p>
        </w:tc>
        <w:tc>
          <w:tcPr>
            <w:tcW w:w="992" w:type="dxa"/>
            <w:shd w:val="clear" w:color="auto" w:fill="D9D9D9" w:themeFill="background1" w:themeFillShade="D9"/>
            <w:vAlign w:val="center"/>
          </w:tcPr>
          <w:p w:rsidR="00804489" w:rsidRPr="00BC6DEE" w:rsidRDefault="00804489" w:rsidP="00804489">
            <w:pPr>
              <w:rPr>
                <w:sz w:val="20"/>
                <w:szCs w:val="20"/>
              </w:rPr>
            </w:pPr>
            <w:r w:rsidRPr="00BC6DEE">
              <w:rPr>
                <w:sz w:val="20"/>
                <w:szCs w:val="20"/>
              </w:rPr>
              <w:t>2015</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25,0%</w:t>
            </w:r>
          </w:p>
        </w:tc>
        <w:tc>
          <w:tcPr>
            <w:tcW w:w="1701"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44,9%</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38,1%</w:t>
            </w:r>
          </w:p>
        </w:tc>
        <w:tc>
          <w:tcPr>
            <w:tcW w:w="1843"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14,9%</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31,8%</w:t>
            </w:r>
          </w:p>
        </w:tc>
        <w:tc>
          <w:tcPr>
            <w:tcW w:w="1701"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20,2%</w:t>
            </w:r>
          </w:p>
        </w:tc>
      </w:tr>
      <w:tr w:rsidR="00804489" w:rsidRPr="00BC6DEE" w:rsidTr="006106B3">
        <w:tc>
          <w:tcPr>
            <w:tcW w:w="3970" w:type="dxa"/>
            <w:vMerge/>
            <w:shd w:val="clear" w:color="auto" w:fill="D9D9D9" w:themeFill="background1" w:themeFillShade="D9"/>
            <w:vAlign w:val="center"/>
          </w:tcPr>
          <w:p w:rsidR="00804489" w:rsidRPr="00BC6DEE" w:rsidRDefault="00804489" w:rsidP="00804489">
            <w:pPr>
              <w:rPr>
                <w:sz w:val="20"/>
                <w:szCs w:val="20"/>
                <w:highlight w:val="yellow"/>
              </w:rPr>
            </w:pPr>
          </w:p>
        </w:tc>
        <w:tc>
          <w:tcPr>
            <w:tcW w:w="992" w:type="dxa"/>
            <w:shd w:val="clear" w:color="auto" w:fill="D9D9D9" w:themeFill="background1" w:themeFillShade="D9"/>
            <w:vAlign w:val="center"/>
          </w:tcPr>
          <w:p w:rsidR="00804489" w:rsidRPr="00BC6DEE" w:rsidRDefault="00804489" w:rsidP="00804489">
            <w:pPr>
              <w:rPr>
                <w:sz w:val="20"/>
                <w:szCs w:val="20"/>
              </w:rPr>
            </w:pPr>
            <w:r w:rsidRPr="00BC6DEE">
              <w:rPr>
                <w:sz w:val="20"/>
                <w:szCs w:val="20"/>
              </w:rPr>
              <w:t>2016</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24,7%</w:t>
            </w:r>
          </w:p>
        </w:tc>
        <w:tc>
          <w:tcPr>
            <w:tcW w:w="1701"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45,8%</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38,7%</w:t>
            </w:r>
          </w:p>
        </w:tc>
        <w:tc>
          <w:tcPr>
            <w:tcW w:w="1843"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15,6%</w:t>
            </w:r>
          </w:p>
        </w:tc>
        <w:tc>
          <w:tcPr>
            <w:tcW w:w="1559"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32,4%</w:t>
            </w:r>
          </w:p>
        </w:tc>
        <w:tc>
          <w:tcPr>
            <w:tcW w:w="1701" w:type="dxa"/>
            <w:shd w:val="clear" w:color="auto" w:fill="D9D9D9" w:themeFill="background1" w:themeFillShade="D9"/>
            <w:vAlign w:val="center"/>
          </w:tcPr>
          <w:p w:rsidR="00804489" w:rsidRPr="00BC6DEE" w:rsidRDefault="00804489" w:rsidP="00804489">
            <w:pPr>
              <w:jc w:val="center"/>
              <w:rPr>
                <w:color w:val="000000"/>
                <w:sz w:val="20"/>
                <w:szCs w:val="20"/>
              </w:rPr>
            </w:pPr>
            <w:r w:rsidRPr="00BC6DEE">
              <w:rPr>
                <w:color w:val="000000"/>
                <w:sz w:val="20"/>
                <w:szCs w:val="20"/>
              </w:rPr>
              <w:t>20,5%</w:t>
            </w:r>
          </w:p>
        </w:tc>
      </w:tr>
    </w:tbl>
    <w:p w:rsidR="00804489" w:rsidRPr="00F47DA8" w:rsidRDefault="00AB36C6" w:rsidP="00804489">
      <w:pPr>
        <w:rPr>
          <w:sz w:val="20"/>
          <w:szCs w:val="20"/>
        </w:rPr>
      </w:pPr>
      <w:r>
        <w:rPr>
          <w:sz w:val="20"/>
          <w:szCs w:val="20"/>
        </w:rPr>
        <w:t>Avots</w:t>
      </w:r>
      <w:r w:rsidR="00804489" w:rsidRPr="0060559C">
        <w:rPr>
          <w:sz w:val="20"/>
          <w:szCs w:val="20"/>
        </w:rPr>
        <w:t>: Autoru aprēķini, izmantojot VSAA sagatavotos administratīvos mikrodatus</w:t>
      </w:r>
    </w:p>
    <w:p w:rsidR="00AB36C6" w:rsidRPr="007D44F8" w:rsidRDefault="00AB36C6" w:rsidP="00AB36C6">
      <w:pPr>
        <w:rPr>
          <w:sz w:val="20"/>
          <w:szCs w:val="20"/>
        </w:rPr>
      </w:pPr>
      <w:r>
        <w:rPr>
          <w:sz w:val="20"/>
          <w:szCs w:val="20"/>
        </w:rPr>
        <w:t>Piezīme: * P</w:t>
      </w:r>
      <w:r w:rsidRPr="00AB36C6">
        <w:rPr>
          <w:sz w:val="20"/>
          <w:szCs w:val="20"/>
        </w:rPr>
        <w:t>ersonai invaliditāte uz mūžu ir noteikta līdz 20</w:t>
      </w:r>
      <w:r w:rsidR="00DF3D81">
        <w:rPr>
          <w:sz w:val="20"/>
          <w:szCs w:val="20"/>
        </w:rPr>
        <w:t>12</w:t>
      </w:r>
      <w:r w:rsidRPr="00AB36C6">
        <w:rPr>
          <w:sz w:val="20"/>
          <w:szCs w:val="20"/>
        </w:rPr>
        <w:t>. gadam</w:t>
      </w:r>
    </w:p>
    <w:p w:rsidR="00804489" w:rsidRDefault="00804489" w:rsidP="00804489">
      <w:pPr>
        <w:rPr>
          <w:highlight w:val="yellow"/>
        </w:rPr>
        <w:sectPr w:rsidR="00804489" w:rsidSect="00BC6DEE">
          <w:pgSz w:w="16838" w:h="11906" w:orient="landscape"/>
          <w:pgMar w:top="284" w:right="1440" w:bottom="284" w:left="1440" w:header="709" w:footer="709" w:gutter="0"/>
          <w:cols w:space="708"/>
          <w:docGrid w:linePitch="360"/>
        </w:sectPr>
      </w:pPr>
    </w:p>
    <w:p w:rsidR="00804489" w:rsidRPr="00082031" w:rsidRDefault="00804489" w:rsidP="00082031">
      <w:pPr>
        <w:spacing w:before="240" w:after="120"/>
        <w:jc w:val="left"/>
        <w:rPr>
          <w:b/>
          <w:color w:val="002060"/>
        </w:rPr>
      </w:pPr>
      <w:r w:rsidRPr="00082031">
        <w:rPr>
          <w:b/>
          <w:color w:val="002060"/>
        </w:rPr>
        <w:lastRenderedPageBreak/>
        <w:t xml:space="preserve">1.38.attēls. Saņemto sociālo transfertu kopējais īpatsvars (procentos) no visiem personas ienākumiem 2014. – 2017. gadā dalījumā pēc invaliditātes grupas un funkcionālo traucējumu veida </w:t>
      </w:r>
    </w:p>
    <w:p w:rsidR="00804489" w:rsidRDefault="00804489" w:rsidP="00804489">
      <w:pPr>
        <w:rPr>
          <w:highlight w:val="yellow"/>
        </w:rPr>
      </w:pPr>
      <w:r w:rsidRPr="00B44AA0">
        <w:rPr>
          <w:noProof/>
        </w:rPr>
        <w:drawing>
          <wp:inline distT="0" distB="0" distL="0" distR="0">
            <wp:extent cx="6188710" cy="2375960"/>
            <wp:effectExtent l="0" t="0" r="0" b="0"/>
            <wp:docPr id="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8710" cy="2375960"/>
                    </a:xfrm>
                    <a:prstGeom prst="rect">
                      <a:avLst/>
                    </a:prstGeom>
                    <a:noFill/>
                    <a:ln>
                      <a:noFill/>
                    </a:ln>
                  </pic:spPr>
                </pic:pic>
              </a:graphicData>
            </a:graphic>
          </wp:inline>
        </w:drawing>
      </w:r>
    </w:p>
    <w:p w:rsidR="00804489" w:rsidRPr="00E6306C" w:rsidRDefault="00AB36C6" w:rsidP="00C33A64">
      <w:pPr>
        <w:rPr>
          <w:sz w:val="20"/>
          <w:szCs w:val="20"/>
        </w:rPr>
      </w:pPr>
      <w:r w:rsidRPr="00E6306C">
        <w:rPr>
          <w:sz w:val="20"/>
          <w:szCs w:val="20"/>
        </w:rPr>
        <w:t>Avots</w:t>
      </w:r>
      <w:r w:rsidR="00804489" w:rsidRPr="00E6306C">
        <w:rPr>
          <w:sz w:val="20"/>
          <w:szCs w:val="20"/>
        </w:rPr>
        <w:t>: Autoru aprēķini, izmantojot VSAA sagatavotos administratīvos mikrodatus</w:t>
      </w:r>
    </w:p>
    <w:p w:rsidR="00AB36C6" w:rsidRPr="007D44F8" w:rsidRDefault="00AB36C6" w:rsidP="00AB36C6">
      <w:pPr>
        <w:rPr>
          <w:sz w:val="20"/>
          <w:szCs w:val="20"/>
        </w:rPr>
      </w:pPr>
      <w:r>
        <w:rPr>
          <w:sz w:val="20"/>
          <w:szCs w:val="20"/>
        </w:rPr>
        <w:t>Piezīme: Nav zināms traucējumu veids = p</w:t>
      </w:r>
      <w:r w:rsidRPr="00AB36C6">
        <w:rPr>
          <w:sz w:val="20"/>
          <w:szCs w:val="20"/>
        </w:rPr>
        <w:t>ersonai invaliditāte uz mūžu ir noteikta līdz 20</w:t>
      </w:r>
      <w:r w:rsidR="00DF3D81">
        <w:rPr>
          <w:sz w:val="20"/>
          <w:szCs w:val="20"/>
        </w:rPr>
        <w:t>12</w:t>
      </w:r>
      <w:r w:rsidRPr="00AB36C6">
        <w:rPr>
          <w:sz w:val="20"/>
          <w:szCs w:val="20"/>
        </w:rPr>
        <w:t>. gadam</w:t>
      </w:r>
    </w:p>
    <w:p w:rsidR="00804489" w:rsidRPr="00224533" w:rsidRDefault="00804489" w:rsidP="00804489"/>
    <w:p w:rsidR="00804489" w:rsidRDefault="00804489" w:rsidP="00804489">
      <w:pPr>
        <w:rPr>
          <w:highlight w:val="yellow"/>
        </w:rPr>
      </w:pPr>
      <w:r w:rsidRPr="00224533">
        <w:t>Iepriekš minētie sociālie transferti veido noteiktu daudzumu no kopējiem personas ienākumiem</w:t>
      </w:r>
      <w:r>
        <w:t xml:space="preserve"> (1.38. attēls)</w:t>
      </w:r>
      <w:r w:rsidRPr="00224533">
        <w:t>, par kuriem VSAA pieejami dati (tie neietver informāciju par saņemt</w:t>
      </w:r>
      <w:r>
        <w:t>o pašvaldības sociālās palīdzības pabalstus</w:t>
      </w:r>
      <w:r w:rsidRPr="00224533">
        <w:t>).</w:t>
      </w:r>
      <w:r>
        <w:t xml:space="preserve"> Redzams, ka vidēji un praktiski visos dalījumos pēc invaliditātes grupas un funkcionālo traucējumu veida sociālie transferti veido vismaz pusi no personas ar invaliditāti ienākumiem. Vislielākā mērā no sociālajiem transfertiem ir atkarīgas personas ar I grupas invaliditāti – 2017. gadā 91,6% ienākumu veidoja sociālie transferti (pensijas u.c. valsts sociālie pakalpojumi). Dalījumā pēc funkcionālo traucējumu veida vislielāko ienākumu daļu sociālie transferti veidoja personām ar garīga rakstura traucējumiem (82,3%), personām, kurām invaliditāte piešķirta uz mūžu un traucējuma veids nav zināms (72,4%). Kaut arī nozīmīgs, tomēr zemāks sociālo transfertu īpatsvars ir personu ar III grupas invaliditāti (43,4%) un personu ar dzirdes traucējumiem ienākumos (47,2%). Sociālo transfertu īpatsvars no visiem personas ienākumiem aplūkoto četru gadu posmā ir samazinājies, palielinoties ienākumiem no nodarbinātības vai saimnieciskās darbības. Vidēji 2014. gadā sociālie transferti no visiem ienākumiem veidoja 65,8%, savukārt 2017. gadā – 62,5% (par 3,3 procentpunktiem), tādējādi personu ar invaliditāti atkarība tikai no valsts izmaksātajiem sociālajiem transfertiem ir mazinājusies, tomēr tā joprojām ir augsta.</w:t>
      </w:r>
    </w:p>
    <w:p w:rsidR="00804489" w:rsidRDefault="00804489" w:rsidP="00804489">
      <w:pPr>
        <w:rPr>
          <w:highlight w:val="yellow"/>
        </w:rPr>
      </w:pPr>
    </w:p>
    <w:p w:rsidR="00804489" w:rsidRPr="00735CEB" w:rsidRDefault="00804489" w:rsidP="00804489">
      <w:r w:rsidRPr="00735CEB">
        <w:t xml:space="preserve">Vidējie personu ar invaliditāti ienākumi no sociāliem transfertiem un citiem ienākumu veidiem </w:t>
      </w:r>
      <w:r w:rsidRPr="00DD0DA5">
        <w:t>(darba algas, saimnieciskās darbības), kā arī kopējie ienākumi 2014. – 2017. gadā ir attēloti 1.4</w:t>
      </w:r>
      <w:r w:rsidR="00DD0DA5" w:rsidRPr="00DD0DA5">
        <w:t>5</w:t>
      </w:r>
      <w:r w:rsidRPr="00DD0DA5">
        <w:t>.</w:t>
      </w:r>
      <w:r w:rsidRPr="00735CEB">
        <w:t xml:space="preserve"> tabulā.</w:t>
      </w:r>
      <w:r>
        <w:t xml:space="preserve"> Vērtējot iegūtos datus, ir jāņem vērā atšķirīgā nodokļu piemērošanas politika dažāda veida ienākumiem, t.i., vairums sociālo transfertu ar IIN netiek aplikti, kamēr ienākumi no nodarbinātības un saimnieciskās darbības – noteiktā apmērā tiek aplikti gan ar IIN, gan VSAOI atbilstoši katrā gadā spēkā esošajām likmēm. Ņemot vērā analīzē iekļautos daudzveidīgos sociālo transfertu un citu ienākumu veidus, analīzes nolūkiem visvienkāršāk pieņemt, ka 1.4</w:t>
      </w:r>
      <w:r w:rsidR="00A02780">
        <w:t>4</w:t>
      </w:r>
      <w:r>
        <w:t>. tabulā ir attēloti personas bruto ienākumi, t.i., pirms IIN un VSAOI atvilkšanas, ja kādam no ienākumu veidiem vai tiem sasniedzot noteiktu līmeni, principā šie atskaitījumi var tikt piemēroti.</w:t>
      </w:r>
    </w:p>
    <w:p w:rsidR="00804489" w:rsidRDefault="00804489" w:rsidP="00804489">
      <w:r w:rsidRPr="00814FBC">
        <w:rPr>
          <w:b/>
          <w:bCs/>
          <w:color w:val="244061" w:themeColor="accent1" w:themeShade="80"/>
          <w:szCs w:val="18"/>
        </w:rPr>
        <w:lastRenderedPageBreak/>
        <w:t>1.</w:t>
      </w:r>
      <w:r>
        <w:rPr>
          <w:b/>
          <w:bCs/>
          <w:color w:val="244061" w:themeColor="accent1" w:themeShade="80"/>
          <w:szCs w:val="18"/>
        </w:rPr>
        <w:t>4</w:t>
      </w:r>
      <w:r w:rsidR="00DD0DA5">
        <w:rPr>
          <w:b/>
          <w:bCs/>
          <w:color w:val="244061" w:themeColor="accent1" w:themeShade="80"/>
          <w:szCs w:val="18"/>
        </w:rPr>
        <w:t>5</w:t>
      </w:r>
      <w:r w:rsidRPr="00814FBC">
        <w:rPr>
          <w:b/>
          <w:bCs/>
          <w:color w:val="244061" w:themeColor="accent1" w:themeShade="80"/>
          <w:szCs w:val="18"/>
        </w:rPr>
        <w:t>. tabula. Personu ar invaliditāti vidējie ienākumi (mēnesī, EUR) dalījumā pa ienākumu veidiem (sociālie transferti, nodarbinātība, kopējie ienākumi) un personas raksturojuma – invaliditātes veida un funkcionāli traucējumu veida 2014. – 2017. gads</w:t>
      </w:r>
      <w:r>
        <w:t xml:space="preserve"> </w:t>
      </w:r>
    </w:p>
    <w:tbl>
      <w:tblPr>
        <w:tblStyle w:val="TableGrid"/>
        <w:tblW w:w="0" w:type="auto"/>
        <w:tblLook w:val="04A0"/>
      </w:tblPr>
      <w:tblGrid>
        <w:gridCol w:w="3207"/>
        <w:gridCol w:w="2232"/>
        <w:gridCol w:w="2237"/>
        <w:gridCol w:w="2232"/>
      </w:tblGrid>
      <w:tr w:rsidR="00804489" w:rsidRPr="00804489" w:rsidTr="006106B3">
        <w:trPr>
          <w:tblHeader/>
        </w:trPr>
        <w:tc>
          <w:tcPr>
            <w:tcW w:w="3227" w:type="dxa"/>
            <w:shd w:val="clear" w:color="auto" w:fill="B8CCE4" w:themeFill="accent1" w:themeFillTint="66"/>
            <w:vAlign w:val="center"/>
          </w:tcPr>
          <w:p w:rsidR="00804489" w:rsidRPr="00804489" w:rsidRDefault="00804489" w:rsidP="00804489">
            <w:pPr>
              <w:rPr>
                <w:b/>
                <w:sz w:val="22"/>
                <w:szCs w:val="22"/>
              </w:rPr>
            </w:pPr>
            <w:r w:rsidRPr="00804489">
              <w:rPr>
                <w:b/>
                <w:sz w:val="22"/>
                <w:szCs w:val="22"/>
              </w:rPr>
              <w:t>Gads/ invaliditātes veids</w:t>
            </w:r>
          </w:p>
        </w:tc>
        <w:tc>
          <w:tcPr>
            <w:tcW w:w="2245" w:type="dxa"/>
            <w:shd w:val="clear" w:color="auto" w:fill="B8CCE4" w:themeFill="accent1" w:themeFillTint="66"/>
            <w:vAlign w:val="center"/>
          </w:tcPr>
          <w:p w:rsidR="00804489" w:rsidRPr="00804489" w:rsidRDefault="00804489" w:rsidP="00804489">
            <w:pPr>
              <w:jc w:val="center"/>
              <w:rPr>
                <w:b/>
                <w:sz w:val="22"/>
                <w:szCs w:val="22"/>
              </w:rPr>
            </w:pPr>
            <w:r w:rsidRPr="00804489">
              <w:rPr>
                <w:b/>
                <w:sz w:val="22"/>
                <w:szCs w:val="22"/>
              </w:rPr>
              <w:t>Vidēji sociālie transferti mēnesī</w:t>
            </w:r>
          </w:p>
        </w:tc>
        <w:tc>
          <w:tcPr>
            <w:tcW w:w="2245" w:type="dxa"/>
            <w:shd w:val="clear" w:color="auto" w:fill="B8CCE4" w:themeFill="accent1" w:themeFillTint="66"/>
            <w:vAlign w:val="center"/>
          </w:tcPr>
          <w:p w:rsidR="00804489" w:rsidRPr="00804489" w:rsidRDefault="00804489" w:rsidP="00804489">
            <w:pPr>
              <w:jc w:val="center"/>
              <w:rPr>
                <w:b/>
                <w:sz w:val="22"/>
                <w:szCs w:val="22"/>
              </w:rPr>
            </w:pPr>
            <w:r w:rsidRPr="00804489">
              <w:rPr>
                <w:b/>
                <w:sz w:val="22"/>
                <w:szCs w:val="22"/>
              </w:rPr>
              <w:t>Vidēji ienākumi no darba vai saimnieciskās darbības</w:t>
            </w:r>
          </w:p>
        </w:tc>
        <w:tc>
          <w:tcPr>
            <w:tcW w:w="2245" w:type="dxa"/>
            <w:shd w:val="clear" w:color="auto" w:fill="B8CCE4" w:themeFill="accent1" w:themeFillTint="66"/>
            <w:vAlign w:val="center"/>
          </w:tcPr>
          <w:p w:rsidR="00804489" w:rsidRPr="00804489" w:rsidRDefault="00804489" w:rsidP="00804489">
            <w:pPr>
              <w:jc w:val="center"/>
              <w:rPr>
                <w:b/>
                <w:sz w:val="22"/>
                <w:szCs w:val="22"/>
              </w:rPr>
            </w:pPr>
            <w:r w:rsidRPr="00804489">
              <w:rPr>
                <w:b/>
                <w:sz w:val="22"/>
                <w:szCs w:val="22"/>
              </w:rPr>
              <w:t>Vidējie ienākumi</w:t>
            </w:r>
          </w:p>
        </w:tc>
      </w:tr>
      <w:tr w:rsidR="00804489" w:rsidRPr="00804489" w:rsidTr="00804489">
        <w:tc>
          <w:tcPr>
            <w:tcW w:w="3227" w:type="dxa"/>
            <w:vAlign w:val="center"/>
          </w:tcPr>
          <w:p w:rsidR="00804489" w:rsidRPr="00804489" w:rsidRDefault="00804489" w:rsidP="00804489">
            <w:pPr>
              <w:rPr>
                <w:b/>
                <w:sz w:val="22"/>
                <w:szCs w:val="22"/>
              </w:rPr>
            </w:pPr>
            <w:r w:rsidRPr="00804489">
              <w:rPr>
                <w:b/>
                <w:sz w:val="22"/>
                <w:szCs w:val="22"/>
              </w:rPr>
              <w:t>2014</w:t>
            </w:r>
          </w:p>
        </w:tc>
        <w:tc>
          <w:tcPr>
            <w:tcW w:w="2245" w:type="dxa"/>
            <w:vAlign w:val="center"/>
          </w:tcPr>
          <w:p w:rsidR="00804489" w:rsidRPr="00804489" w:rsidRDefault="00804489" w:rsidP="00804489">
            <w:pPr>
              <w:jc w:val="center"/>
              <w:rPr>
                <w:b/>
                <w:sz w:val="22"/>
                <w:szCs w:val="22"/>
              </w:rPr>
            </w:pPr>
          </w:p>
        </w:tc>
        <w:tc>
          <w:tcPr>
            <w:tcW w:w="2245" w:type="dxa"/>
            <w:vAlign w:val="center"/>
          </w:tcPr>
          <w:p w:rsidR="00804489" w:rsidRPr="00804489" w:rsidRDefault="00804489" w:rsidP="00804489">
            <w:pPr>
              <w:jc w:val="center"/>
              <w:rPr>
                <w:b/>
                <w:sz w:val="22"/>
                <w:szCs w:val="22"/>
              </w:rPr>
            </w:pPr>
          </w:p>
        </w:tc>
        <w:tc>
          <w:tcPr>
            <w:tcW w:w="2245" w:type="dxa"/>
            <w:vAlign w:val="center"/>
          </w:tcPr>
          <w:p w:rsidR="00804489" w:rsidRPr="00804489" w:rsidRDefault="00804489" w:rsidP="00804489">
            <w:pPr>
              <w:jc w:val="center"/>
              <w:rPr>
                <w:b/>
                <w:sz w:val="22"/>
                <w:szCs w:val="22"/>
              </w:rPr>
            </w:pP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Vidēji</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217,28</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113,05</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330,33</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I invaliditātes grupa</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280,72</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17,40</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308,44</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II invaliditātes grupa</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214,41</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85,39</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306,60</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III invaliditātes grupa</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175,43</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191,13</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373,28</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Redzes traucējumi</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204,25</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107,53</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311,78</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Dzirdes traucējumi</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179,98</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150,92</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330,90</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Kustību traucējumi</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190,65</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135,20</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325,85</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Garīga rakstura traucējumi</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187,85</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31,20</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219,05</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Citi traucējumi</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232,58</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133,71</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366,29</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Nav zināms traucējumu veids</w:t>
            </w:r>
            <w:r w:rsidR="00AB36C6">
              <w:rPr>
                <w:sz w:val="22"/>
                <w:szCs w:val="22"/>
              </w:rPr>
              <w:t>*</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241,05</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84,01</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325,06</w:t>
            </w:r>
          </w:p>
        </w:tc>
      </w:tr>
      <w:tr w:rsidR="00804489" w:rsidRPr="00804489" w:rsidTr="00804489">
        <w:tc>
          <w:tcPr>
            <w:tcW w:w="3227" w:type="dxa"/>
            <w:vAlign w:val="center"/>
          </w:tcPr>
          <w:p w:rsidR="00804489" w:rsidRPr="00804489" w:rsidRDefault="00804489" w:rsidP="00804489">
            <w:pPr>
              <w:rPr>
                <w:b/>
                <w:sz w:val="22"/>
                <w:szCs w:val="22"/>
              </w:rPr>
            </w:pPr>
            <w:r w:rsidRPr="00804489">
              <w:rPr>
                <w:b/>
                <w:sz w:val="22"/>
                <w:szCs w:val="22"/>
              </w:rPr>
              <w:t>2015</w:t>
            </w:r>
          </w:p>
        </w:tc>
        <w:tc>
          <w:tcPr>
            <w:tcW w:w="2245" w:type="dxa"/>
            <w:vAlign w:val="center"/>
          </w:tcPr>
          <w:p w:rsidR="00804489" w:rsidRPr="00804489" w:rsidRDefault="00804489" w:rsidP="00804489">
            <w:pPr>
              <w:jc w:val="center"/>
              <w:rPr>
                <w:b/>
                <w:sz w:val="22"/>
                <w:szCs w:val="22"/>
              </w:rPr>
            </w:pPr>
          </w:p>
        </w:tc>
        <w:tc>
          <w:tcPr>
            <w:tcW w:w="2245" w:type="dxa"/>
            <w:vAlign w:val="center"/>
          </w:tcPr>
          <w:p w:rsidR="00804489" w:rsidRPr="00804489" w:rsidRDefault="00804489" w:rsidP="00804489">
            <w:pPr>
              <w:jc w:val="center"/>
              <w:rPr>
                <w:b/>
                <w:sz w:val="22"/>
                <w:szCs w:val="22"/>
              </w:rPr>
            </w:pPr>
          </w:p>
        </w:tc>
        <w:tc>
          <w:tcPr>
            <w:tcW w:w="2245" w:type="dxa"/>
            <w:vAlign w:val="center"/>
          </w:tcPr>
          <w:p w:rsidR="00804489" w:rsidRPr="00804489" w:rsidRDefault="00804489" w:rsidP="00804489">
            <w:pPr>
              <w:jc w:val="center"/>
              <w:rPr>
                <w:b/>
                <w:sz w:val="22"/>
                <w:szCs w:val="22"/>
              </w:rPr>
            </w:pP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Vidēji</w:t>
            </w:r>
          </w:p>
        </w:tc>
        <w:tc>
          <w:tcPr>
            <w:tcW w:w="2245" w:type="dxa"/>
            <w:vAlign w:val="center"/>
          </w:tcPr>
          <w:p w:rsidR="00804489" w:rsidRPr="00804489" w:rsidRDefault="00804489" w:rsidP="00804489">
            <w:pPr>
              <w:jc w:val="center"/>
              <w:rPr>
                <w:color w:val="000000"/>
                <w:sz w:val="22"/>
                <w:szCs w:val="22"/>
              </w:rPr>
            </w:pPr>
            <w:r w:rsidRPr="00804489">
              <w:rPr>
                <w:color w:val="000000"/>
                <w:sz w:val="22"/>
                <w:szCs w:val="22"/>
              </w:rPr>
              <w:t>228,32</w:t>
            </w:r>
          </w:p>
        </w:tc>
        <w:tc>
          <w:tcPr>
            <w:tcW w:w="2245" w:type="dxa"/>
            <w:vAlign w:val="center"/>
          </w:tcPr>
          <w:p w:rsidR="00804489" w:rsidRPr="00804489" w:rsidRDefault="00804489" w:rsidP="00804489">
            <w:pPr>
              <w:jc w:val="center"/>
              <w:rPr>
                <w:color w:val="000000"/>
                <w:sz w:val="22"/>
                <w:szCs w:val="22"/>
              </w:rPr>
            </w:pPr>
            <w:r w:rsidRPr="00804489">
              <w:rPr>
                <w:color w:val="000000"/>
                <w:sz w:val="22"/>
                <w:szCs w:val="22"/>
              </w:rPr>
              <w:t>123,31</w:t>
            </w:r>
          </w:p>
        </w:tc>
        <w:tc>
          <w:tcPr>
            <w:tcW w:w="2245" w:type="dxa"/>
            <w:vAlign w:val="center"/>
          </w:tcPr>
          <w:p w:rsidR="00804489" w:rsidRPr="00804489" w:rsidRDefault="00804489" w:rsidP="00804489">
            <w:pPr>
              <w:jc w:val="center"/>
              <w:rPr>
                <w:color w:val="000000"/>
                <w:sz w:val="22"/>
                <w:szCs w:val="22"/>
              </w:rPr>
            </w:pPr>
            <w:r w:rsidRPr="00804489">
              <w:rPr>
                <w:color w:val="000000"/>
                <w:sz w:val="22"/>
                <w:szCs w:val="22"/>
              </w:rPr>
              <w:t>351,63</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I invaliditātes grupa</w:t>
            </w:r>
          </w:p>
        </w:tc>
        <w:tc>
          <w:tcPr>
            <w:tcW w:w="2245" w:type="dxa"/>
            <w:vAlign w:val="center"/>
          </w:tcPr>
          <w:p w:rsidR="00804489" w:rsidRPr="00804489" w:rsidRDefault="00804489" w:rsidP="00804489">
            <w:pPr>
              <w:jc w:val="center"/>
              <w:rPr>
                <w:color w:val="000000"/>
                <w:sz w:val="22"/>
                <w:szCs w:val="22"/>
              </w:rPr>
            </w:pPr>
            <w:r w:rsidRPr="00804489">
              <w:rPr>
                <w:color w:val="000000"/>
                <w:sz w:val="22"/>
                <w:szCs w:val="22"/>
              </w:rPr>
              <w:t>311,54</w:t>
            </w:r>
          </w:p>
        </w:tc>
        <w:tc>
          <w:tcPr>
            <w:tcW w:w="2245" w:type="dxa"/>
            <w:vAlign w:val="center"/>
          </w:tcPr>
          <w:p w:rsidR="00804489" w:rsidRPr="00804489" w:rsidRDefault="00804489" w:rsidP="00804489">
            <w:pPr>
              <w:jc w:val="center"/>
              <w:rPr>
                <w:color w:val="000000"/>
                <w:sz w:val="22"/>
                <w:szCs w:val="22"/>
              </w:rPr>
            </w:pPr>
            <w:r w:rsidRPr="00804489">
              <w:rPr>
                <w:color w:val="000000"/>
                <w:sz w:val="22"/>
                <w:szCs w:val="22"/>
              </w:rPr>
              <w:t>18,59</w:t>
            </w:r>
          </w:p>
        </w:tc>
        <w:tc>
          <w:tcPr>
            <w:tcW w:w="2245" w:type="dxa"/>
            <w:vAlign w:val="center"/>
          </w:tcPr>
          <w:p w:rsidR="00804489" w:rsidRPr="00804489" w:rsidRDefault="00804489" w:rsidP="00804489">
            <w:pPr>
              <w:jc w:val="center"/>
              <w:rPr>
                <w:color w:val="000000"/>
                <w:sz w:val="22"/>
                <w:szCs w:val="22"/>
              </w:rPr>
            </w:pPr>
            <w:r w:rsidRPr="00804489">
              <w:rPr>
                <w:color w:val="000000"/>
                <w:sz w:val="22"/>
                <w:szCs w:val="22"/>
              </w:rPr>
              <w:t>339,39</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II invaliditātes grupa</w:t>
            </w:r>
          </w:p>
        </w:tc>
        <w:tc>
          <w:tcPr>
            <w:tcW w:w="2245" w:type="dxa"/>
            <w:vAlign w:val="center"/>
          </w:tcPr>
          <w:p w:rsidR="00804489" w:rsidRPr="00804489" w:rsidRDefault="00804489" w:rsidP="00804489">
            <w:pPr>
              <w:jc w:val="center"/>
              <w:rPr>
                <w:color w:val="000000"/>
                <w:sz w:val="22"/>
                <w:szCs w:val="22"/>
              </w:rPr>
            </w:pPr>
            <w:r w:rsidRPr="00804489">
              <w:rPr>
                <w:color w:val="000000"/>
                <w:sz w:val="22"/>
                <w:szCs w:val="22"/>
              </w:rPr>
              <w:t>221,53</w:t>
            </w:r>
          </w:p>
        </w:tc>
        <w:tc>
          <w:tcPr>
            <w:tcW w:w="2245" w:type="dxa"/>
            <w:vAlign w:val="center"/>
          </w:tcPr>
          <w:p w:rsidR="00804489" w:rsidRPr="00804489" w:rsidRDefault="00804489" w:rsidP="00804489">
            <w:pPr>
              <w:jc w:val="center"/>
              <w:rPr>
                <w:color w:val="000000"/>
                <w:sz w:val="22"/>
                <w:szCs w:val="22"/>
              </w:rPr>
            </w:pPr>
            <w:r w:rsidRPr="00804489">
              <w:rPr>
                <w:color w:val="000000"/>
                <w:sz w:val="22"/>
                <w:szCs w:val="22"/>
              </w:rPr>
              <w:t>93,08</w:t>
            </w:r>
          </w:p>
        </w:tc>
        <w:tc>
          <w:tcPr>
            <w:tcW w:w="2245" w:type="dxa"/>
            <w:vAlign w:val="center"/>
          </w:tcPr>
          <w:p w:rsidR="00804489" w:rsidRPr="00804489" w:rsidRDefault="00804489" w:rsidP="00804489">
            <w:pPr>
              <w:jc w:val="center"/>
              <w:rPr>
                <w:color w:val="000000"/>
                <w:sz w:val="22"/>
                <w:szCs w:val="22"/>
              </w:rPr>
            </w:pPr>
            <w:r w:rsidRPr="00804489">
              <w:rPr>
                <w:color w:val="000000"/>
                <w:sz w:val="22"/>
                <w:szCs w:val="22"/>
              </w:rPr>
              <w:t>321,64</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III invaliditātes grupa</w:t>
            </w:r>
          </w:p>
        </w:tc>
        <w:tc>
          <w:tcPr>
            <w:tcW w:w="2245" w:type="dxa"/>
            <w:vAlign w:val="center"/>
          </w:tcPr>
          <w:p w:rsidR="00804489" w:rsidRPr="00804489" w:rsidRDefault="00804489" w:rsidP="00804489">
            <w:pPr>
              <w:jc w:val="center"/>
              <w:rPr>
                <w:color w:val="000000"/>
                <w:sz w:val="22"/>
                <w:szCs w:val="22"/>
              </w:rPr>
            </w:pPr>
            <w:r w:rsidRPr="00804489">
              <w:rPr>
                <w:color w:val="000000"/>
                <w:sz w:val="22"/>
                <w:szCs w:val="22"/>
              </w:rPr>
              <w:t>181,78</w:t>
            </w:r>
          </w:p>
        </w:tc>
        <w:tc>
          <w:tcPr>
            <w:tcW w:w="2245" w:type="dxa"/>
            <w:vAlign w:val="center"/>
          </w:tcPr>
          <w:p w:rsidR="00804489" w:rsidRPr="00804489" w:rsidRDefault="00804489" w:rsidP="00804489">
            <w:pPr>
              <w:jc w:val="center"/>
              <w:rPr>
                <w:color w:val="000000"/>
                <w:sz w:val="22"/>
                <w:szCs w:val="22"/>
              </w:rPr>
            </w:pPr>
            <w:r w:rsidRPr="00804489">
              <w:rPr>
                <w:color w:val="000000"/>
                <w:sz w:val="22"/>
                <w:szCs w:val="22"/>
              </w:rPr>
              <w:t>208,65</w:t>
            </w:r>
          </w:p>
        </w:tc>
        <w:tc>
          <w:tcPr>
            <w:tcW w:w="2245" w:type="dxa"/>
            <w:vAlign w:val="center"/>
          </w:tcPr>
          <w:p w:rsidR="00804489" w:rsidRPr="00804489" w:rsidRDefault="00804489" w:rsidP="00804489">
            <w:pPr>
              <w:jc w:val="center"/>
              <w:rPr>
                <w:color w:val="000000"/>
                <w:sz w:val="22"/>
                <w:szCs w:val="22"/>
              </w:rPr>
            </w:pPr>
            <w:r w:rsidRPr="00804489">
              <w:rPr>
                <w:color w:val="000000"/>
                <w:sz w:val="22"/>
                <w:szCs w:val="22"/>
              </w:rPr>
              <w:t>397,46</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Redzes traucējumi</w:t>
            </w:r>
          </w:p>
        </w:tc>
        <w:tc>
          <w:tcPr>
            <w:tcW w:w="2245" w:type="dxa"/>
            <w:vAlign w:val="center"/>
          </w:tcPr>
          <w:p w:rsidR="00804489" w:rsidRPr="00804489" w:rsidRDefault="00804489" w:rsidP="00804489">
            <w:pPr>
              <w:jc w:val="center"/>
              <w:rPr>
                <w:color w:val="000000"/>
                <w:sz w:val="22"/>
                <w:szCs w:val="22"/>
              </w:rPr>
            </w:pPr>
            <w:r w:rsidRPr="00804489">
              <w:rPr>
                <w:color w:val="000000"/>
                <w:sz w:val="22"/>
                <w:szCs w:val="22"/>
              </w:rPr>
              <w:t>225,59</w:t>
            </w:r>
          </w:p>
        </w:tc>
        <w:tc>
          <w:tcPr>
            <w:tcW w:w="2245" w:type="dxa"/>
            <w:vAlign w:val="center"/>
          </w:tcPr>
          <w:p w:rsidR="00804489" w:rsidRPr="00804489" w:rsidRDefault="00804489" w:rsidP="00804489">
            <w:pPr>
              <w:jc w:val="center"/>
              <w:rPr>
                <w:color w:val="000000"/>
                <w:sz w:val="22"/>
                <w:szCs w:val="22"/>
              </w:rPr>
            </w:pPr>
            <w:r w:rsidRPr="00804489">
              <w:rPr>
                <w:color w:val="000000"/>
                <w:sz w:val="22"/>
                <w:szCs w:val="22"/>
              </w:rPr>
              <w:t>114,13</w:t>
            </w:r>
          </w:p>
        </w:tc>
        <w:tc>
          <w:tcPr>
            <w:tcW w:w="2245" w:type="dxa"/>
            <w:vAlign w:val="center"/>
          </w:tcPr>
          <w:p w:rsidR="00804489" w:rsidRPr="00804489" w:rsidRDefault="00804489" w:rsidP="00804489">
            <w:pPr>
              <w:jc w:val="center"/>
              <w:rPr>
                <w:color w:val="000000"/>
                <w:sz w:val="22"/>
                <w:szCs w:val="22"/>
              </w:rPr>
            </w:pPr>
            <w:r w:rsidRPr="00804489">
              <w:rPr>
                <w:color w:val="000000"/>
                <w:sz w:val="22"/>
                <w:szCs w:val="22"/>
              </w:rPr>
              <w:t>339,71</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Dzirdes traucējumi</w:t>
            </w:r>
          </w:p>
        </w:tc>
        <w:tc>
          <w:tcPr>
            <w:tcW w:w="2245" w:type="dxa"/>
            <w:vAlign w:val="center"/>
          </w:tcPr>
          <w:p w:rsidR="00804489" w:rsidRPr="00804489" w:rsidRDefault="00804489" w:rsidP="00804489">
            <w:pPr>
              <w:jc w:val="center"/>
              <w:rPr>
                <w:color w:val="000000"/>
                <w:sz w:val="22"/>
                <w:szCs w:val="22"/>
              </w:rPr>
            </w:pPr>
            <w:r w:rsidRPr="00804489">
              <w:rPr>
                <w:color w:val="000000"/>
                <w:sz w:val="22"/>
                <w:szCs w:val="22"/>
              </w:rPr>
              <w:t>184,05</w:t>
            </w:r>
          </w:p>
        </w:tc>
        <w:tc>
          <w:tcPr>
            <w:tcW w:w="2245" w:type="dxa"/>
            <w:vAlign w:val="center"/>
          </w:tcPr>
          <w:p w:rsidR="00804489" w:rsidRPr="00804489" w:rsidRDefault="00804489" w:rsidP="00804489">
            <w:pPr>
              <w:jc w:val="center"/>
              <w:rPr>
                <w:color w:val="000000"/>
                <w:sz w:val="22"/>
                <w:szCs w:val="22"/>
              </w:rPr>
            </w:pPr>
            <w:r w:rsidRPr="00804489">
              <w:rPr>
                <w:color w:val="000000"/>
                <w:sz w:val="22"/>
                <w:szCs w:val="22"/>
              </w:rPr>
              <w:t>174,33</w:t>
            </w:r>
          </w:p>
        </w:tc>
        <w:tc>
          <w:tcPr>
            <w:tcW w:w="2245" w:type="dxa"/>
            <w:vAlign w:val="center"/>
          </w:tcPr>
          <w:p w:rsidR="00804489" w:rsidRPr="00804489" w:rsidRDefault="00804489" w:rsidP="00804489">
            <w:pPr>
              <w:jc w:val="center"/>
              <w:rPr>
                <w:color w:val="000000"/>
                <w:sz w:val="22"/>
                <w:szCs w:val="22"/>
              </w:rPr>
            </w:pPr>
            <w:r w:rsidRPr="00804489">
              <w:rPr>
                <w:color w:val="000000"/>
                <w:sz w:val="22"/>
                <w:szCs w:val="22"/>
              </w:rPr>
              <w:t>358,38</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Kustību traucējumi</w:t>
            </w:r>
          </w:p>
        </w:tc>
        <w:tc>
          <w:tcPr>
            <w:tcW w:w="2245" w:type="dxa"/>
            <w:vAlign w:val="center"/>
          </w:tcPr>
          <w:p w:rsidR="00804489" w:rsidRPr="00804489" w:rsidRDefault="00804489" w:rsidP="00804489">
            <w:pPr>
              <w:jc w:val="center"/>
              <w:rPr>
                <w:color w:val="000000"/>
                <w:sz w:val="22"/>
                <w:szCs w:val="22"/>
              </w:rPr>
            </w:pPr>
            <w:r w:rsidRPr="00804489">
              <w:rPr>
                <w:color w:val="000000"/>
                <w:sz w:val="22"/>
                <w:szCs w:val="22"/>
              </w:rPr>
              <w:t>198,46</w:t>
            </w:r>
          </w:p>
        </w:tc>
        <w:tc>
          <w:tcPr>
            <w:tcW w:w="2245" w:type="dxa"/>
            <w:vAlign w:val="center"/>
          </w:tcPr>
          <w:p w:rsidR="00804489" w:rsidRPr="00804489" w:rsidRDefault="00804489" w:rsidP="00804489">
            <w:pPr>
              <w:jc w:val="center"/>
              <w:rPr>
                <w:color w:val="000000"/>
                <w:sz w:val="22"/>
                <w:szCs w:val="22"/>
              </w:rPr>
            </w:pPr>
            <w:r w:rsidRPr="00804489">
              <w:rPr>
                <w:color w:val="000000"/>
                <w:sz w:val="22"/>
                <w:szCs w:val="22"/>
              </w:rPr>
              <w:t>148,05</w:t>
            </w:r>
          </w:p>
        </w:tc>
        <w:tc>
          <w:tcPr>
            <w:tcW w:w="2245" w:type="dxa"/>
            <w:vAlign w:val="center"/>
          </w:tcPr>
          <w:p w:rsidR="00804489" w:rsidRPr="00804489" w:rsidRDefault="00804489" w:rsidP="00804489">
            <w:pPr>
              <w:jc w:val="center"/>
              <w:rPr>
                <w:color w:val="000000"/>
                <w:sz w:val="22"/>
                <w:szCs w:val="22"/>
              </w:rPr>
            </w:pPr>
            <w:r w:rsidRPr="00804489">
              <w:rPr>
                <w:color w:val="000000"/>
                <w:sz w:val="22"/>
                <w:szCs w:val="22"/>
              </w:rPr>
              <w:t>346,52</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Garīga rakstura traucējumi</w:t>
            </w:r>
          </w:p>
        </w:tc>
        <w:tc>
          <w:tcPr>
            <w:tcW w:w="2245" w:type="dxa"/>
            <w:vAlign w:val="center"/>
          </w:tcPr>
          <w:p w:rsidR="00804489" w:rsidRPr="00804489" w:rsidRDefault="00804489" w:rsidP="00804489">
            <w:pPr>
              <w:jc w:val="center"/>
              <w:rPr>
                <w:color w:val="000000"/>
                <w:sz w:val="22"/>
                <w:szCs w:val="22"/>
              </w:rPr>
            </w:pPr>
            <w:r w:rsidRPr="00804489">
              <w:rPr>
                <w:color w:val="000000"/>
                <w:sz w:val="22"/>
                <w:szCs w:val="22"/>
              </w:rPr>
              <w:t>200,46</w:t>
            </w:r>
          </w:p>
        </w:tc>
        <w:tc>
          <w:tcPr>
            <w:tcW w:w="2245" w:type="dxa"/>
            <w:vAlign w:val="center"/>
          </w:tcPr>
          <w:p w:rsidR="00804489" w:rsidRPr="00804489" w:rsidRDefault="00804489" w:rsidP="00804489">
            <w:pPr>
              <w:jc w:val="center"/>
              <w:rPr>
                <w:color w:val="000000"/>
                <w:sz w:val="22"/>
                <w:szCs w:val="22"/>
              </w:rPr>
            </w:pPr>
            <w:r w:rsidRPr="00804489">
              <w:rPr>
                <w:color w:val="000000"/>
                <w:sz w:val="22"/>
                <w:szCs w:val="22"/>
              </w:rPr>
              <w:t>36,36</w:t>
            </w:r>
          </w:p>
        </w:tc>
        <w:tc>
          <w:tcPr>
            <w:tcW w:w="2245" w:type="dxa"/>
            <w:vAlign w:val="center"/>
          </w:tcPr>
          <w:p w:rsidR="00804489" w:rsidRPr="00804489" w:rsidRDefault="00804489" w:rsidP="00804489">
            <w:pPr>
              <w:jc w:val="center"/>
              <w:rPr>
                <w:color w:val="000000"/>
                <w:sz w:val="22"/>
                <w:szCs w:val="22"/>
              </w:rPr>
            </w:pPr>
            <w:r w:rsidRPr="00804489">
              <w:rPr>
                <w:color w:val="000000"/>
                <w:sz w:val="22"/>
                <w:szCs w:val="22"/>
              </w:rPr>
              <w:t>236,83</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Citi traucējumi</w:t>
            </w:r>
          </w:p>
        </w:tc>
        <w:tc>
          <w:tcPr>
            <w:tcW w:w="2245" w:type="dxa"/>
            <w:vAlign w:val="center"/>
          </w:tcPr>
          <w:p w:rsidR="00804489" w:rsidRPr="00804489" w:rsidRDefault="00804489" w:rsidP="00804489">
            <w:pPr>
              <w:jc w:val="center"/>
              <w:rPr>
                <w:color w:val="000000"/>
                <w:sz w:val="22"/>
                <w:szCs w:val="22"/>
              </w:rPr>
            </w:pPr>
            <w:r w:rsidRPr="00804489">
              <w:rPr>
                <w:color w:val="000000"/>
                <w:sz w:val="22"/>
                <w:szCs w:val="22"/>
              </w:rPr>
              <w:t>244,52</w:t>
            </w:r>
          </w:p>
        </w:tc>
        <w:tc>
          <w:tcPr>
            <w:tcW w:w="2245" w:type="dxa"/>
            <w:vAlign w:val="center"/>
          </w:tcPr>
          <w:p w:rsidR="00804489" w:rsidRPr="00804489" w:rsidRDefault="00804489" w:rsidP="00804489">
            <w:pPr>
              <w:jc w:val="center"/>
              <w:rPr>
                <w:color w:val="000000"/>
                <w:sz w:val="22"/>
                <w:szCs w:val="22"/>
              </w:rPr>
            </w:pPr>
            <w:r w:rsidRPr="00804489">
              <w:rPr>
                <w:color w:val="000000"/>
                <w:sz w:val="22"/>
                <w:szCs w:val="22"/>
              </w:rPr>
              <w:t>143,90</w:t>
            </w:r>
          </w:p>
        </w:tc>
        <w:tc>
          <w:tcPr>
            <w:tcW w:w="2245" w:type="dxa"/>
            <w:vAlign w:val="center"/>
          </w:tcPr>
          <w:p w:rsidR="00804489" w:rsidRPr="00804489" w:rsidRDefault="00804489" w:rsidP="00804489">
            <w:pPr>
              <w:jc w:val="center"/>
              <w:rPr>
                <w:color w:val="000000"/>
                <w:sz w:val="22"/>
                <w:szCs w:val="22"/>
              </w:rPr>
            </w:pPr>
            <w:r w:rsidRPr="00804489">
              <w:rPr>
                <w:color w:val="000000"/>
                <w:sz w:val="22"/>
                <w:szCs w:val="22"/>
              </w:rPr>
              <w:t>388,42</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Nav zināms traucējumu veids</w:t>
            </w:r>
            <w:r w:rsidR="00AB36C6">
              <w:rPr>
                <w:sz w:val="22"/>
                <w:szCs w:val="22"/>
              </w:rPr>
              <w:t>*</w:t>
            </w:r>
          </w:p>
        </w:tc>
        <w:tc>
          <w:tcPr>
            <w:tcW w:w="2245" w:type="dxa"/>
            <w:vAlign w:val="center"/>
          </w:tcPr>
          <w:p w:rsidR="00804489" w:rsidRPr="00804489" w:rsidRDefault="00804489" w:rsidP="00804489">
            <w:pPr>
              <w:jc w:val="center"/>
              <w:rPr>
                <w:color w:val="000000"/>
                <w:sz w:val="22"/>
                <w:szCs w:val="22"/>
              </w:rPr>
            </w:pPr>
            <w:r w:rsidRPr="00804489">
              <w:rPr>
                <w:color w:val="000000"/>
                <w:sz w:val="22"/>
                <w:szCs w:val="22"/>
              </w:rPr>
              <w:t>251,94</w:t>
            </w:r>
          </w:p>
        </w:tc>
        <w:tc>
          <w:tcPr>
            <w:tcW w:w="2245" w:type="dxa"/>
            <w:vAlign w:val="center"/>
          </w:tcPr>
          <w:p w:rsidR="00804489" w:rsidRPr="00804489" w:rsidRDefault="00804489" w:rsidP="00804489">
            <w:pPr>
              <w:jc w:val="center"/>
              <w:rPr>
                <w:color w:val="000000"/>
                <w:sz w:val="22"/>
                <w:szCs w:val="22"/>
              </w:rPr>
            </w:pPr>
            <w:r w:rsidRPr="00804489">
              <w:rPr>
                <w:color w:val="000000"/>
                <w:sz w:val="22"/>
                <w:szCs w:val="22"/>
              </w:rPr>
              <w:t>89,95</w:t>
            </w:r>
          </w:p>
        </w:tc>
        <w:tc>
          <w:tcPr>
            <w:tcW w:w="2245" w:type="dxa"/>
            <w:vAlign w:val="center"/>
          </w:tcPr>
          <w:p w:rsidR="00804489" w:rsidRPr="00804489" w:rsidRDefault="00804489" w:rsidP="00804489">
            <w:pPr>
              <w:jc w:val="center"/>
              <w:rPr>
                <w:color w:val="000000"/>
                <w:sz w:val="22"/>
                <w:szCs w:val="22"/>
              </w:rPr>
            </w:pPr>
            <w:r w:rsidRPr="00804489">
              <w:rPr>
                <w:color w:val="000000"/>
                <w:sz w:val="22"/>
                <w:szCs w:val="22"/>
              </w:rPr>
              <w:t>341,89</w:t>
            </w:r>
          </w:p>
        </w:tc>
      </w:tr>
      <w:tr w:rsidR="00804489" w:rsidRPr="00804489" w:rsidTr="00804489">
        <w:tc>
          <w:tcPr>
            <w:tcW w:w="3227" w:type="dxa"/>
            <w:vAlign w:val="center"/>
          </w:tcPr>
          <w:p w:rsidR="00804489" w:rsidRPr="00804489" w:rsidRDefault="00804489" w:rsidP="00804489">
            <w:pPr>
              <w:rPr>
                <w:b/>
                <w:sz w:val="22"/>
                <w:szCs w:val="22"/>
              </w:rPr>
            </w:pPr>
            <w:r w:rsidRPr="00804489">
              <w:rPr>
                <w:b/>
                <w:sz w:val="22"/>
                <w:szCs w:val="22"/>
              </w:rPr>
              <w:t>2016</w:t>
            </w:r>
          </w:p>
        </w:tc>
        <w:tc>
          <w:tcPr>
            <w:tcW w:w="2245" w:type="dxa"/>
            <w:vAlign w:val="center"/>
          </w:tcPr>
          <w:p w:rsidR="00804489" w:rsidRPr="00804489" w:rsidRDefault="00804489" w:rsidP="00804489">
            <w:pPr>
              <w:jc w:val="center"/>
              <w:rPr>
                <w:b/>
                <w:sz w:val="22"/>
                <w:szCs w:val="22"/>
              </w:rPr>
            </w:pPr>
          </w:p>
        </w:tc>
        <w:tc>
          <w:tcPr>
            <w:tcW w:w="2245" w:type="dxa"/>
            <w:vAlign w:val="center"/>
          </w:tcPr>
          <w:p w:rsidR="00804489" w:rsidRPr="00804489" w:rsidRDefault="00804489" w:rsidP="00804489">
            <w:pPr>
              <w:jc w:val="center"/>
              <w:rPr>
                <w:b/>
                <w:sz w:val="22"/>
                <w:szCs w:val="22"/>
              </w:rPr>
            </w:pPr>
          </w:p>
        </w:tc>
        <w:tc>
          <w:tcPr>
            <w:tcW w:w="2245" w:type="dxa"/>
            <w:vAlign w:val="center"/>
          </w:tcPr>
          <w:p w:rsidR="00804489" w:rsidRPr="00804489" w:rsidRDefault="00804489" w:rsidP="00804489">
            <w:pPr>
              <w:jc w:val="center"/>
              <w:rPr>
                <w:b/>
                <w:sz w:val="22"/>
                <w:szCs w:val="22"/>
              </w:rPr>
            </w:pP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Vidēji</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233,99</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132,77</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366,76</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I invaliditātes grupa</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316,26</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19,16</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344,81</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II invaliditātes grupa</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228,74</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99,47</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335,35</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III invaliditātes grupa</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186,36</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225,32</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418,33</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Redzes traucējumi</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232,02</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117,66</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349,68</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Dzirdes traucējumi</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186,52</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189,58</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376,10</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Kustību traucējumi</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203,93</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160,05</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363,98</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Garīga rakstura traucējumi</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202,97</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40,34</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243,32</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Citi traucējumi</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251,89</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154,32</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406,21</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Nav zināms traucējumu veids</w:t>
            </w:r>
            <w:r w:rsidR="00AB36C6">
              <w:rPr>
                <w:sz w:val="22"/>
                <w:szCs w:val="22"/>
              </w:rPr>
              <w:t>*</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256,42</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95,18</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351,61</w:t>
            </w:r>
          </w:p>
        </w:tc>
      </w:tr>
      <w:tr w:rsidR="00804489" w:rsidRPr="00804489" w:rsidTr="00804489">
        <w:tc>
          <w:tcPr>
            <w:tcW w:w="3227" w:type="dxa"/>
            <w:vAlign w:val="center"/>
          </w:tcPr>
          <w:p w:rsidR="00804489" w:rsidRPr="00804489" w:rsidRDefault="00804489" w:rsidP="00804489">
            <w:pPr>
              <w:rPr>
                <w:b/>
                <w:sz w:val="22"/>
                <w:szCs w:val="22"/>
              </w:rPr>
            </w:pPr>
            <w:r w:rsidRPr="00804489">
              <w:rPr>
                <w:b/>
                <w:sz w:val="22"/>
                <w:szCs w:val="22"/>
              </w:rPr>
              <w:t>2017</w:t>
            </w:r>
          </w:p>
        </w:tc>
        <w:tc>
          <w:tcPr>
            <w:tcW w:w="2245" w:type="dxa"/>
            <w:vAlign w:val="center"/>
          </w:tcPr>
          <w:p w:rsidR="00804489" w:rsidRPr="00804489" w:rsidRDefault="00804489" w:rsidP="00804489">
            <w:pPr>
              <w:jc w:val="center"/>
              <w:rPr>
                <w:b/>
                <w:sz w:val="22"/>
                <w:szCs w:val="22"/>
              </w:rPr>
            </w:pPr>
          </w:p>
        </w:tc>
        <w:tc>
          <w:tcPr>
            <w:tcW w:w="2245" w:type="dxa"/>
            <w:vAlign w:val="center"/>
          </w:tcPr>
          <w:p w:rsidR="00804489" w:rsidRPr="00804489" w:rsidRDefault="00804489" w:rsidP="00804489">
            <w:pPr>
              <w:jc w:val="center"/>
              <w:rPr>
                <w:b/>
                <w:sz w:val="22"/>
                <w:szCs w:val="22"/>
              </w:rPr>
            </w:pPr>
          </w:p>
        </w:tc>
        <w:tc>
          <w:tcPr>
            <w:tcW w:w="2245" w:type="dxa"/>
            <w:vAlign w:val="center"/>
          </w:tcPr>
          <w:p w:rsidR="00804489" w:rsidRPr="00804489" w:rsidRDefault="00804489" w:rsidP="00804489">
            <w:pPr>
              <w:jc w:val="center"/>
              <w:rPr>
                <w:b/>
                <w:sz w:val="22"/>
                <w:szCs w:val="22"/>
              </w:rPr>
            </w:pP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Vidēji</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242,92</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145,47</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388,39</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I invaliditātes grupa</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326,56</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20,72</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356,57</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II invaliditātes grupa</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238,03</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107,87</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353,37</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III invaliditātes grupa</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194,61</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247,02</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448,82</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Redzes traucējumi</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239,32</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125,57</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364,89</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lastRenderedPageBreak/>
              <w:t>Dzirdes traucējumi</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190,67</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212,96</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403,63</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Kustību traucējumi</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210,59</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174,11</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384,70</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Garīga rakstura traucējumi</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209,41</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45,05</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254,46</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Citi traucējumi</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262,70</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168,76</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431,46</w:t>
            </w:r>
          </w:p>
        </w:tc>
      </w:tr>
      <w:tr w:rsidR="00804489" w:rsidRPr="00804489" w:rsidTr="00804489">
        <w:tc>
          <w:tcPr>
            <w:tcW w:w="3227" w:type="dxa"/>
            <w:vAlign w:val="center"/>
          </w:tcPr>
          <w:p w:rsidR="00804489" w:rsidRPr="00804489" w:rsidRDefault="00804489" w:rsidP="00804489">
            <w:pPr>
              <w:rPr>
                <w:sz w:val="22"/>
                <w:szCs w:val="22"/>
              </w:rPr>
            </w:pPr>
            <w:r w:rsidRPr="00804489">
              <w:rPr>
                <w:sz w:val="22"/>
                <w:szCs w:val="22"/>
              </w:rPr>
              <w:t>Nav zināms traucējumu veids</w:t>
            </w:r>
            <w:r w:rsidR="00AB36C6">
              <w:rPr>
                <w:sz w:val="22"/>
                <w:szCs w:val="22"/>
              </w:rPr>
              <w:t>*</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267,02</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101,74</w:t>
            </w:r>
          </w:p>
        </w:tc>
        <w:tc>
          <w:tcPr>
            <w:tcW w:w="2245" w:type="dxa"/>
            <w:vAlign w:val="bottom"/>
          </w:tcPr>
          <w:p w:rsidR="00804489" w:rsidRPr="00804489" w:rsidRDefault="00804489" w:rsidP="00804489">
            <w:pPr>
              <w:jc w:val="center"/>
              <w:rPr>
                <w:color w:val="000000"/>
                <w:sz w:val="22"/>
                <w:szCs w:val="22"/>
              </w:rPr>
            </w:pPr>
            <w:r w:rsidRPr="00804489">
              <w:rPr>
                <w:color w:val="000000"/>
                <w:sz w:val="22"/>
                <w:szCs w:val="22"/>
              </w:rPr>
              <w:t>368,76</w:t>
            </w:r>
          </w:p>
        </w:tc>
      </w:tr>
    </w:tbl>
    <w:p w:rsidR="00804489" w:rsidRPr="0060559C" w:rsidRDefault="00AB36C6" w:rsidP="00804489">
      <w:pPr>
        <w:rPr>
          <w:sz w:val="20"/>
          <w:szCs w:val="20"/>
        </w:rPr>
      </w:pPr>
      <w:r>
        <w:rPr>
          <w:sz w:val="20"/>
          <w:szCs w:val="20"/>
        </w:rPr>
        <w:t>Avots</w:t>
      </w:r>
      <w:r w:rsidR="00804489" w:rsidRPr="0060559C">
        <w:rPr>
          <w:sz w:val="20"/>
          <w:szCs w:val="20"/>
        </w:rPr>
        <w:t>: Autoru aprēķini, izmantojot VSAA sagatavotos administratīvos mikrodatus</w:t>
      </w:r>
    </w:p>
    <w:p w:rsidR="00AB36C6" w:rsidRPr="007D44F8" w:rsidRDefault="00AB36C6" w:rsidP="00AB36C6">
      <w:pPr>
        <w:rPr>
          <w:sz w:val="20"/>
          <w:szCs w:val="20"/>
        </w:rPr>
      </w:pPr>
      <w:r>
        <w:rPr>
          <w:sz w:val="20"/>
          <w:szCs w:val="20"/>
        </w:rPr>
        <w:t>Piezīme: * p</w:t>
      </w:r>
      <w:r w:rsidRPr="00AB36C6">
        <w:rPr>
          <w:sz w:val="20"/>
          <w:szCs w:val="20"/>
        </w:rPr>
        <w:t>ersonai invaliditāte uz mūžu ir noteikta līdz 20</w:t>
      </w:r>
      <w:r w:rsidR="00DF3D81">
        <w:rPr>
          <w:sz w:val="20"/>
          <w:szCs w:val="20"/>
        </w:rPr>
        <w:t>12</w:t>
      </w:r>
      <w:r w:rsidRPr="00AB36C6">
        <w:rPr>
          <w:sz w:val="20"/>
          <w:szCs w:val="20"/>
        </w:rPr>
        <w:t>. gadam</w:t>
      </w:r>
    </w:p>
    <w:p w:rsidR="00663CA9" w:rsidRDefault="00663CA9" w:rsidP="00804489"/>
    <w:p w:rsidR="00804489" w:rsidRDefault="00804489" w:rsidP="00804489">
      <w:r w:rsidRPr="006C656B">
        <w:t>Aplūkojot 1.4</w:t>
      </w:r>
      <w:r w:rsidR="00DD0DA5">
        <w:t>5</w:t>
      </w:r>
      <w:r w:rsidRPr="006C656B">
        <w:t xml:space="preserve">. tabulā redzamos datus, secināms, ka laika posmā 2014. – 2017. gads personu ar invaliditāti ienākumi palēnām pieaug gan sociālo transfertu jomā, gan citu ienākumu veidu jomā. </w:t>
      </w:r>
      <w:r>
        <w:t>V</w:t>
      </w:r>
      <w:r w:rsidRPr="006C656B">
        <w:t>ienlaikus jāņem vērā, ka aprēķinus ietekmē dažādas pieejamo datu īpatnības, piemēram, fakts, ka persona nav saņēmusi ienākumus pilnu gadu, ienākumi no nodarbinātības gada garumā var būt vairāk vai mazāk stabili, personu ar invaliditāti starpā ir gan atsevišķi augstus ienākumus saņemošas personas, gan personas ar ļoti zemiem ienākumiem (t.s. ekstrēmās vērtības</w:t>
      </w:r>
      <w:r>
        <w:t>, kas var novirzīt aprēķināto vidējo rādītāju</w:t>
      </w:r>
      <w:r w:rsidRPr="006C656B">
        <w:t>)</w:t>
      </w:r>
      <w:r>
        <w:t>.</w:t>
      </w:r>
      <w:r w:rsidR="00663CA9">
        <w:t xml:space="preserve"> </w:t>
      </w:r>
      <w:r>
        <w:t>Kopumā 1.4</w:t>
      </w:r>
      <w:r w:rsidR="00A02780">
        <w:t>4</w:t>
      </w:r>
      <w:r>
        <w:t xml:space="preserve">. tabulā attēlotie dati rāda, ka vidējie ienākumi no visiem sociālajiem transfertiem kopā katrā aplūkotajā gadā ir zemāki par vienas personas nabadzības riska sliekšņa vērtību. 2014. gadā nabadzības riska slieksnis bija 294 EUR mēnesī, savukārt valsts sociālo transfertu veidotie ienākumi vidēji sasniedza aptuveni 217 EUR. 2015. gadā nabadzības riska sliekšņa vērtība bija 318 EUR, vidējie personas ar invaliditāti ienākumi no sociālajiem transfertiem – 228 EUR, 2016. gadā nabadzības riska slieksnis bija 330 EUR, personu ar invaliditāti vidējie ienākumi no sociālajiem transfertiem – 234 EUR. </w:t>
      </w:r>
    </w:p>
    <w:p w:rsidR="00804489" w:rsidRDefault="00804489" w:rsidP="00804489"/>
    <w:p w:rsidR="00804489" w:rsidRDefault="00804489" w:rsidP="00804489">
      <w:r>
        <w:t>Personas ar invaliditāti vidējie ienākumi pārsniedz nabadzības riska slieksni tikai tad, ja tā saņem arī ienākumus no nodarbinātības vai saimnieciskās darbības. Tādā gadījumā nosacīti vislabvēlīgākajā situācijā no ienākumu viedokļa ir personas ar III invaliditātes grupu, kuru kopējie vidējie ienākumi 2014. gadā bija 373 EUR, 2015. gadā – 397 EUR, 2016. gadā – 418 EUR. Visos aplūkotajos gados personu ar I grupas invaliditāti kopējie ienākumi ir mazliet augstāki par personu ar II grupas invaliditāti. Savukārt aplūkojot ienākumus atkarībā no personas traucējuma veida, redzams, ka nosacīti augstāki ienākumi ir personām ar cita veida traucējumiem, savukārt viszemākie – personām ar garīga rakstura traucējumiem, kuras visvairāk ir atkarīgas no valsts izmaksātajiem sociālajiem transfertiem.</w:t>
      </w:r>
    </w:p>
    <w:p w:rsidR="00B957D9" w:rsidRDefault="00B957D9" w:rsidP="00804489"/>
    <w:p w:rsidR="00655FE1" w:rsidRDefault="00655FE1" w:rsidP="00804489">
      <w:r>
        <w:t>Iepriekš identificētais ieguvums no nodarbinātības redzams, salīdzinot strādājošu un nestrādājošu personu ar invaliditāti ienākumus 2015. un 2016. gadā (sk. 1.46. tabulu).</w:t>
      </w:r>
      <w:r w:rsidR="00212F5A">
        <w:t xml:space="preserve"> Vidēji strādājošas personas 2015. gadā ienākumi mēnesī (ieskaitot sociālos transfertus un ienākumus no nodarbinātības) bija 642,10 EUR un 2016. gadā – 672,00 EUR. 1.42. tabulā redzams, ka vidēji 2015. gadā strādāja 29% personu ar invaliditāti un 2016. gadā – 29,6% personas ar invaliditāti, tādējādi šie ienākumi attiecas uz mazāko daļu no mērķa grupas. Nestrādājošu personu vidējie ienākumi, ko veido sociālie transferti, ir attiecīgi 232,97 EUR 2015. gadā un 238,33% EUR 2016. gadā.</w:t>
      </w:r>
    </w:p>
    <w:p w:rsidR="00655FE1" w:rsidRDefault="00655FE1" w:rsidP="00804489"/>
    <w:p w:rsidR="00655FE1" w:rsidRDefault="00655FE1" w:rsidP="00655FE1">
      <w:r w:rsidRPr="00814FBC">
        <w:rPr>
          <w:b/>
          <w:bCs/>
          <w:color w:val="244061" w:themeColor="accent1" w:themeShade="80"/>
          <w:szCs w:val="18"/>
        </w:rPr>
        <w:lastRenderedPageBreak/>
        <w:t>1.</w:t>
      </w:r>
      <w:r>
        <w:rPr>
          <w:b/>
          <w:bCs/>
          <w:color w:val="244061" w:themeColor="accent1" w:themeShade="80"/>
          <w:szCs w:val="18"/>
        </w:rPr>
        <w:t>46</w:t>
      </w:r>
      <w:r w:rsidRPr="00814FBC">
        <w:rPr>
          <w:b/>
          <w:bCs/>
          <w:color w:val="244061" w:themeColor="accent1" w:themeShade="80"/>
          <w:szCs w:val="18"/>
        </w:rPr>
        <w:t xml:space="preserve">. tabula. </w:t>
      </w:r>
      <w:r>
        <w:rPr>
          <w:b/>
          <w:bCs/>
          <w:color w:val="244061" w:themeColor="accent1" w:themeShade="80"/>
          <w:szCs w:val="18"/>
        </w:rPr>
        <w:t>Strādājošu un nestrādājošu p</w:t>
      </w:r>
      <w:r w:rsidRPr="00814FBC">
        <w:rPr>
          <w:b/>
          <w:bCs/>
          <w:color w:val="244061" w:themeColor="accent1" w:themeShade="80"/>
          <w:szCs w:val="18"/>
        </w:rPr>
        <w:t xml:space="preserve">ersonu ar invaliditāti vidējie ienākumi (mēnesī, EUR) dalījumā </w:t>
      </w:r>
      <w:r>
        <w:rPr>
          <w:b/>
          <w:bCs/>
          <w:color w:val="244061" w:themeColor="accent1" w:themeShade="80"/>
          <w:szCs w:val="18"/>
        </w:rPr>
        <w:t>pēc</w:t>
      </w:r>
      <w:r w:rsidRPr="00814FBC">
        <w:rPr>
          <w:b/>
          <w:bCs/>
          <w:color w:val="244061" w:themeColor="accent1" w:themeShade="80"/>
          <w:szCs w:val="18"/>
        </w:rPr>
        <w:t xml:space="preserve"> personas raksturojuma – invaliditātes veida un funkcionāli traucējumu veida 201</w:t>
      </w:r>
      <w:r>
        <w:rPr>
          <w:b/>
          <w:bCs/>
          <w:color w:val="244061" w:themeColor="accent1" w:themeShade="80"/>
          <w:szCs w:val="18"/>
        </w:rPr>
        <w:t>5</w:t>
      </w:r>
      <w:r w:rsidRPr="00814FBC">
        <w:rPr>
          <w:b/>
          <w:bCs/>
          <w:color w:val="244061" w:themeColor="accent1" w:themeShade="80"/>
          <w:szCs w:val="18"/>
        </w:rPr>
        <w:t>. – 201</w:t>
      </w:r>
      <w:r>
        <w:rPr>
          <w:b/>
          <w:bCs/>
          <w:color w:val="244061" w:themeColor="accent1" w:themeShade="80"/>
          <w:szCs w:val="18"/>
        </w:rPr>
        <w:t>6</w:t>
      </w:r>
      <w:r w:rsidRPr="00814FBC">
        <w:rPr>
          <w:b/>
          <w:bCs/>
          <w:color w:val="244061" w:themeColor="accent1" w:themeShade="80"/>
          <w:szCs w:val="18"/>
        </w:rPr>
        <w:t>. gads</w:t>
      </w:r>
      <w:r>
        <w:t xml:space="preserve"> </w:t>
      </w:r>
    </w:p>
    <w:tbl>
      <w:tblPr>
        <w:tblStyle w:val="TableGrid"/>
        <w:tblW w:w="0" w:type="auto"/>
        <w:tblLook w:val="04A0"/>
      </w:tblPr>
      <w:tblGrid>
        <w:gridCol w:w="2943"/>
        <w:gridCol w:w="1741"/>
        <w:gridCol w:w="1741"/>
        <w:gridCol w:w="1741"/>
        <w:gridCol w:w="1742"/>
      </w:tblGrid>
      <w:tr w:rsidR="00655FE1" w:rsidRPr="00037D97" w:rsidTr="006106B3">
        <w:tc>
          <w:tcPr>
            <w:tcW w:w="2943" w:type="dxa"/>
            <w:vMerge w:val="restart"/>
            <w:shd w:val="clear" w:color="auto" w:fill="B8CCE4" w:themeFill="accent1" w:themeFillTint="66"/>
            <w:vAlign w:val="center"/>
          </w:tcPr>
          <w:p w:rsidR="00655FE1" w:rsidRPr="00037D97" w:rsidRDefault="00655FE1" w:rsidP="00655FE1">
            <w:pPr>
              <w:jc w:val="left"/>
              <w:rPr>
                <w:b/>
                <w:color w:val="002060"/>
                <w:sz w:val="22"/>
                <w:szCs w:val="22"/>
              </w:rPr>
            </w:pPr>
            <w:r w:rsidRPr="00037D97">
              <w:rPr>
                <w:b/>
                <w:color w:val="002060"/>
                <w:sz w:val="22"/>
                <w:szCs w:val="22"/>
              </w:rPr>
              <w:t>Traucējuma veids</w:t>
            </w:r>
          </w:p>
        </w:tc>
        <w:tc>
          <w:tcPr>
            <w:tcW w:w="3482" w:type="dxa"/>
            <w:gridSpan w:val="2"/>
            <w:shd w:val="clear" w:color="auto" w:fill="B8CCE4" w:themeFill="accent1" w:themeFillTint="66"/>
          </w:tcPr>
          <w:p w:rsidR="00655FE1" w:rsidRPr="00037D97" w:rsidRDefault="00655FE1" w:rsidP="00655FE1">
            <w:pPr>
              <w:jc w:val="center"/>
              <w:rPr>
                <w:b/>
                <w:color w:val="002060"/>
                <w:sz w:val="22"/>
                <w:szCs w:val="22"/>
              </w:rPr>
            </w:pPr>
            <w:r w:rsidRPr="00037D97">
              <w:rPr>
                <w:b/>
                <w:color w:val="002060"/>
                <w:sz w:val="22"/>
                <w:szCs w:val="22"/>
              </w:rPr>
              <w:t>2015</w:t>
            </w:r>
          </w:p>
        </w:tc>
        <w:tc>
          <w:tcPr>
            <w:tcW w:w="3483" w:type="dxa"/>
            <w:gridSpan w:val="2"/>
            <w:shd w:val="clear" w:color="auto" w:fill="B8CCE4" w:themeFill="accent1" w:themeFillTint="66"/>
          </w:tcPr>
          <w:p w:rsidR="00655FE1" w:rsidRPr="00037D97" w:rsidRDefault="00655FE1" w:rsidP="00655FE1">
            <w:pPr>
              <w:jc w:val="center"/>
              <w:rPr>
                <w:b/>
                <w:color w:val="002060"/>
                <w:sz w:val="22"/>
                <w:szCs w:val="22"/>
              </w:rPr>
            </w:pPr>
            <w:r w:rsidRPr="00037D97">
              <w:rPr>
                <w:b/>
                <w:color w:val="002060"/>
                <w:sz w:val="22"/>
                <w:szCs w:val="22"/>
              </w:rPr>
              <w:t>2016</w:t>
            </w:r>
          </w:p>
        </w:tc>
      </w:tr>
      <w:tr w:rsidR="00655FE1" w:rsidRPr="00037D97" w:rsidTr="006106B3">
        <w:tc>
          <w:tcPr>
            <w:tcW w:w="2943" w:type="dxa"/>
            <w:vMerge/>
            <w:shd w:val="clear" w:color="auto" w:fill="B8CCE4" w:themeFill="accent1" w:themeFillTint="66"/>
          </w:tcPr>
          <w:p w:rsidR="00655FE1" w:rsidRPr="00037D97" w:rsidRDefault="00655FE1" w:rsidP="00804489">
            <w:pPr>
              <w:rPr>
                <w:color w:val="002060"/>
                <w:sz w:val="22"/>
                <w:szCs w:val="22"/>
              </w:rPr>
            </w:pPr>
          </w:p>
        </w:tc>
        <w:tc>
          <w:tcPr>
            <w:tcW w:w="1741" w:type="dxa"/>
            <w:shd w:val="clear" w:color="auto" w:fill="B8CCE4" w:themeFill="accent1" w:themeFillTint="66"/>
          </w:tcPr>
          <w:p w:rsidR="00655FE1" w:rsidRPr="00037D97" w:rsidRDefault="00655FE1" w:rsidP="00804489">
            <w:pPr>
              <w:rPr>
                <w:b/>
                <w:color w:val="002060"/>
                <w:sz w:val="22"/>
                <w:szCs w:val="22"/>
              </w:rPr>
            </w:pPr>
            <w:r w:rsidRPr="00037D97">
              <w:rPr>
                <w:b/>
                <w:color w:val="002060"/>
                <w:sz w:val="22"/>
                <w:szCs w:val="22"/>
              </w:rPr>
              <w:t>Strādājošie</w:t>
            </w:r>
          </w:p>
        </w:tc>
        <w:tc>
          <w:tcPr>
            <w:tcW w:w="1741" w:type="dxa"/>
            <w:shd w:val="clear" w:color="auto" w:fill="B8CCE4" w:themeFill="accent1" w:themeFillTint="66"/>
          </w:tcPr>
          <w:p w:rsidR="00655FE1" w:rsidRPr="00037D97" w:rsidRDefault="00655FE1" w:rsidP="00655FE1">
            <w:pPr>
              <w:jc w:val="center"/>
              <w:rPr>
                <w:b/>
                <w:color w:val="002060"/>
                <w:sz w:val="22"/>
                <w:szCs w:val="22"/>
              </w:rPr>
            </w:pPr>
            <w:r w:rsidRPr="00037D97">
              <w:rPr>
                <w:b/>
                <w:color w:val="002060"/>
                <w:sz w:val="22"/>
                <w:szCs w:val="22"/>
              </w:rPr>
              <w:t>Nestrādājošie</w:t>
            </w:r>
          </w:p>
        </w:tc>
        <w:tc>
          <w:tcPr>
            <w:tcW w:w="1741" w:type="dxa"/>
            <w:shd w:val="clear" w:color="auto" w:fill="B8CCE4" w:themeFill="accent1" w:themeFillTint="66"/>
          </w:tcPr>
          <w:p w:rsidR="00655FE1" w:rsidRPr="00037D97" w:rsidRDefault="00655FE1" w:rsidP="00655FE1">
            <w:pPr>
              <w:jc w:val="center"/>
              <w:rPr>
                <w:b/>
                <w:color w:val="002060"/>
                <w:sz w:val="22"/>
                <w:szCs w:val="22"/>
              </w:rPr>
            </w:pPr>
            <w:r w:rsidRPr="00037D97">
              <w:rPr>
                <w:b/>
                <w:color w:val="002060"/>
                <w:sz w:val="22"/>
                <w:szCs w:val="22"/>
              </w:rPr>
              <w:t>Strādājošie</w:t>
            </w:r>
          </w:p>
        </w:tc>
        <w:tc>
          <w:tcPr>
            <w:tcW w:w="1742" w:type="dxa"/>
            <w:shd w:val="clear" w:color="auto" w:fill="B8CCE4" w:themeFill="accent1" w:themeFillTint="66"/>
          </w:tcPr>
          <w:p w:rsidR="00655FE1" w:rsidRPr="00037D97" w:rsidRDefault="00655FE1" w:rsidP="00655FE1">
            <w:pPr>
              <w:jc w:val="center"/>
              <w:rPr>
                <w:b/>
                <w:color w:val="002060"/>
                <w:sz w:val="22"/>
                <w:szCs w:val="22"/>
              </w:rPr>
            </w:pPr>
            <w:r w:rsidRPr="00037D97">
              <w:rPr>
                <w:b/>
                <w:color w:val="002060"/>
                <w:sz w:val="22"/>
                <w:szCs w:val="22"/>
              </w:rPr>
              <w:t>Nestrādājošie</w:t>
            </w:r>
          </w:p>
        </w:tc>
      </w:tr>
      <w:tr w:rsidR="00655FE1" w:rsidRPr="00655FE1" w:rsidTr="00655FE1">
        <w:tc>
          <w:tcPr>
            <w:tcW w:w="2943" w:type="dxa"/>
            <w:vAlign w:val="center"/>
          </w:tcPr>
          <w:p w:rsidR="00655FE1" w:rsidRPr="00655FE1" w:rsidRDefault="00655FE1" w:rsidP="00655FE1">
            <w:pPr>
              <w:rPr>
                <w:sz w:val="22"/>
                <w:szCs w:val="22"/>
              </w:rPr>
            </w:pPr>
            <w:r w:rsidRPr="00655FE1">
              <w:rPr>
                <w:sz w:val="22"/>
                <w:szCs w:val="22"/>
              </w:rPr>
              <w:t>Vidēji</w:t>
            </w:r>
          </w:p>
        </w:tc>
        <w:tc>
          <w:tcPr>
            <w:tcW w:w="1741" w:type="dxa"/>
            <w:vAlign w:val="bottom"/>
          </w:tcPr>
          <w:p w:rsidR="00655FE1" w:rsidRPr="00655FE1" w:rsidRDefault="00655FE1" w:rsidP="00655FE1">
            <w:pPr>
              <w:jc w:val="center"/>
              <w:rPr>
                <w:color w:val="000000"/>
                <w:sz w:val="22"/>
                <w:szCs w:val="22"/>
              </w:rPr>
            </w:pPr>
            <w:r w:rsidRPr="00655FE1">
              <w:rPr>
                <w:color w:val="000000"/>
                <w:sz w:val="22"/>
                <w:szCs w:val="22"/>
              </w:rPr>
              <w:t>642,10</w:t>
            </w:r>
          </w:p>
        </w:tc>
        <w:tc>
          <w:tcPr>
            <w:tcW w:w="1741" w:type="dxa"/>
            <w:vAlign w:val="bottom"/>
          </w:tcPr>
          <w:p w:rsidR="00655FE1" w:rsidRPr="00655FE1" w:rsidRDefault="00655FE1" w:rsidP="00655FE1">
            <w:pPr>
              <w:jc w:val="center"/>
              <w:rPr>
                <w:color w:val="000000"/>
                <w:sz w:val="22"/>
                <w:szCs w:val="22"/>
              </w:rPr>
            </w:pPr>
            <w:r w:rsidRPr="00655FE1">
              <w:rPr>
                <w:color w:val="000000"/>
                <w:sz w:val="22"/>
                <w:szCs w:val="22"/>
              </w:rPr>
              <w:t>232,97</w:t>
            </w:r>
          </w:p>
        </w:tc>
        <w:tc>
          <w:tcPr>
            <w:tcW w:w="1741" w:type="dxa"/>
            <w:vAlign w:val="bottom"/>
          </w:tcPr>
          <w:p w:rsidR="00655FE1" w:rsidRPr="00655FE1" w:rsidRDefault="00655FE1" w:rsidP="00655FE1">
            <w:pPr>
              <w:jc w:val="center"/>
              <w:rPr>
                <w:color w:val="000000"/>
                <w:sz w:val="22"/>
                <w:szCs w:val="22"/>
              </w:rPr>
            </w:pPr>
            <w:r w:rsidRPr="00655FE1">
              <w:rPr>
                <w:color w:val="000000"/>
                <w:sz w:val="22"/>
                <w:szCs w:val="22"/>
              </w:rPr>
              <w:t>672,00</w:t>
            </w:r>
          </w:p>
        </w:tc>
        <w:tc>
          <w:tcPr>
            <w:tcW w:w="1742" w:type="dxa"/>
            <w:vAlign w:val="bottom"/>
          </w:tcPr>
          <w:p w:rsidR="00655FE1" w:rsidRPr="00655FE1" w:rsidRDefault="00655FE1" w:rsidP="00655FE1">
            <w:pPr>
              <w:jc w:val="center"/>
              <w:rPr>
                <w:color w:val="000000"/>
                <w:sz w:val="22"/>
                <w:szCs w:val="22"/>
              </w:rPr>
            </w:pPr>
            <w:r w:rsidRPr="00655FE1">
              <w:rPr>
                <w:color w:val="000000"/>
                <w:sz w:val="22"/>
                <w:szCs w:val="22"/>
              </w:rPr>
              <w:t>238,33</w:t>
            </w:r>
          </w:p>
        </w:tc>
      </w:tr>
      <w:tr w:rsidR="00655FE1" w:rsidRPr="00655FE1" w:rsidTr="00655FE1">
        <w:tc>
          <w:tcPr>
            <w:tcW w:w="2943" w:type="dxa"/>
            <w:vAlign w:val="center"/>
          </w:tcPr>
          <w:p w:rsidR="00655FE1" w:rsidRPr="00655FE1" w:rsidRDefault="00655FE1" w:rsidP="00655FE1">
            <w:pPr>
              <w:rPr>
                <w:sz w:val="22"/>
                <w:szCs w:val="22"/>
              </w:rPr>
            </w:pPr>
            <w:r w:rsidRPr="00655FE1">
              <w:rPr>
                <w:sz w:val="22"/>
                <w:szCs w:val="22"/>
              </w:rPr>
              <w:t>I invaliditātes grupa</w:t>
            </w:r>
          </w:p>
        </w:tc>
        <w:tc>
          <w:tcPr>
            <w:tcW w:w="1741" w:type="dxa"/>
            <w:vAlign w:val="bottom"/>
          </w:tcPr>
          <w:p w:rsidR="00655FE1" w:rsidRPr="00655FE1" w:rsidRDefault="00655FE1" w:rsidP="00655FE1">
            <w:pPr>
              <w:jc w:val="center"/>
              <w:rPr>
                <w:color w:val="000000"/>
                <w:sz w:val="22"/>
                <w:szCs w:val="22"/>
              </w:rPr>
            </w:pPr>
            <w:r w:rsidRPr="00655FE1">
              <w:rPr>
                <w:color w:val="000000"/>
                <w:sz w:val="22"/>
                <w:szCs w:val="22"/>
              </w:rPr>
              <w:t>621,82</w:t>
            </w:r>
          </w:p>
        </w:tc>
        <w:tc>
          <w:tcPr>
            <w:tcW w:w="1741" w:type="dxa"/>
            <w:vAlign w:val="bottom"/>
          </w:tcPr>
          <w:p w:rsidR="00655FE1" w:rsidRPr="00655FE1" w:rsidRDefault="00655FE1" w:rsidP="00655FE1">
            <w:pPr>
              <w:jc w:val="center"/>
              <w:rPr>
                <w:color w:val="000000"/>
                <w:sz w:val="22"/>
                <w:szCs w:val="22"/>
              </w:rPr>
            </w:pPr>
            <w:r w:rsidRPr="00655FE1">
              <w:rPr>
                <w:color w:val="000000"/>
                <w:sz w:val="22"/>
                <w:szCs w:val="22"/>
              </w:rPr>
              <w:t>321,66</w:t>
            </w:r>
          </w:p>
        </w:tc>
        <w:tc>
          <w:tcPr>
            <w:tcW w:w="1741" w:type="dxa"/>
            <w:vAlign w:val="bottom"/>
          </w:tcPr>
          <w:p w:rsidR="00655FE1" w:rsidRPr="00655FE1" w:rsidRDefault="00655FE1" w:rsidP="00655FE1">
            <w:pPr>
              <w:jc w:val="center"/>
              <w:rPr>
                <w:color w:val="000000"/>
                <w:sz w:val="22"/>
                <w:szCs w:val="22"/>
              </w:rPr>
            </w:pPr>
            <w:r w:rsidRPr="00655FE1">
              <w:rPr>
                <w:color w:val="000000"/>
                <w:sz w:val="22"/>
                <w:szCs w:val="22"/>
              </w:rPr>
              <w:t>668,71</w:t>
            </w:r>
          </w:p>
        </w:tc>
        <w:tc>
          <w:tcPr>
            <w:tcW w:w="1742" w:type="dxa"/>
            <w:vAlign w:val="bottom"/>
          </w:tcPr>
          <w:p w:rsidR="00655FE1" w:rsidRPr="00655FE1" w:rsidRDefault="00655FE1" w:rsidP="00655FE1">
            <w:pPr>
              <w:jc w:val="center"/>
              <w:rPr>
                <w:color w:val="000000"/>
                <w:sz w:val="22"/>
                <w:szCs w:val="22"/>
              </w:rPr>
            </w:pPr>
            <w:r w:rsidRPr="00655FE1">
              <w:rPr>
                <w:color w:val="000000"/>
                <w:sz w:val="22"/>
                <w:szCs w:val="22"/>
              </w:rPr>
              <w:t>325,52</w:t>
            </w:r>
          </w:p>
        </w:tc>
      </w:tr>
      <w:tr w:rsidR="00655FE1" w:rsidRPr="00655FE1" w:rsidTr="00655FE1">
        <w:tc>
          <w:tcPr>
            <w:tcW w:w="2943" w:type="dxa"/>
            <w:vAlign w:val="center"/>
          </w:tcPr>
          <w:p w:rsidR="00655FE1" w:rsidRPr="00655FE1" w:rsidRDefault="00655FE1" w:rsidP="00655FE1">
            <w:pPr>
              <w:rPr>
                <w:sz w:val="22"/>
                <w:szCs w:val="22"/>
              </w:rPr>
            </w:pPr>
            <w:r w:rsidRPr="00655FE1">
              <w:rPr>
                <w:sz w:val="22"/>
                <w:szCs w:val="22"/>
              </w:rPr>
              <w:t>II invaliditātes grupa</w:t>
            </w:r>
          </w:p>
        </w:tc>
        <w:tc>
          <w:tcPr>
            <w:tcW w:w="1741" w:type="dxa"/>
            <w:vAlign w:val="bottom"/>
          </w:tcPr>
          <w:p w:rsidR="00655FE1" w:rsidRPr="00655FE1" w:rsidRDefault="00655FE1" w:rsidP="00655FE1">
            <w:pPr>
              <w:jc w:val="center"/>
              <w:rPr>
                <w:color w:val="000000"/>
                <w:sz w:val="22"/>
                <w:szCs w:val="22"/>
              </w:rPr>
            </w:pPr>
            <w:r w:rsidRPr="00655FE1">
              <w:rPr>
                <w:color w:val="000000"/>
                <w:sz w:val="22"/>
                <w:szCs w:val="22"/>
              </w:rPr>
              <w:t>648,62</w:t>
            </w:r>
          </w:p>
        </w:tc>
        <w:tc>
          <w:tcPr>
            <w:tcW w:w="1741" w:type="dxa"/>
            <w:vAlign w:val="bottom"/>
          </w:tcPr>
          <w:p w:rsidR="00655FE1" w:rsidRPr="00655FE1" w:rsidRDefault="00655FE1" w:rsidP="00655FE1">
            <w:pPr>
              <w:jc w:val="center"/>
              <w:rPr>
                <w:color w:val="000000"/>
                <w:sz w:val="22"/>
                <w:szCs w:val="22"/>
              </w:rPr>
            </w:pPr>
            <w:r w:rsidRPr="00655FE1">
              <w:rPr>
                <w:color w:val="000000"/>
                <w:sz w:val="22"/>
                <w:szCs w:val="22"/>
              </w:rPr>
              <w:t>219,47</w:t>
            </w:r>
          </w:p>
        </w:tc>
        <w:tc>
          <w:tcPr>
            <w:tcW w:w="1741" w:type="dxa"/>
            <w:vAlign w:val="bottom"/>
          </w:tcPr>
          <w:p w:rsidR="00655FE1" w:rsidRPr="00655FE1" w:rsidRDefault="00655FE1" w:rsidP="00655FE1">
            <w:pPr>
              <w:jc w:val="center"/>
              <w:rPr>
                <w:color w:val="000000"/>
                <w:sz w:val="22"/>
                <w:szCs w:val="22"/>
              </w:rPr>
            </w:pPr>
            <w:r w:rsidRPr="00655FE1">
              <w:rPr>
                <w:color w:val="000000"/>
                <w:sz w:val="22"/>
                <w:szCs w:val="22"/>
              </w:rPr>
              <w:t>680,91</w:t>
            </w:r>
          </w:p>
        </w:tc>
        <w:tc>
          <w:tcPr>
            <w:tcW w:w="1742" w:type="dxa"/>
            <w:vAlign w:val="bottom"/>
          </w:tcPr>
          <w:p w:rsidR="00655FE1" w:rsidRPr="00655FE1" w:rsidRDefault="00655FE1" w:rsidP="00655FE1">
            <w:pPr>
              <w:jc w:val="center"/>
              <w:rPr>
                <w:color w:val="000000"/>
                <w:sz w:val="22"/>
                <w:szCs w:val="22"/>
              </w:rPr>
            </w:pPr>
            <w:r w:rsidRPr="00655FE1">
              <w:rPr>
                <w:color w:val="000000"/>
                <w:sz w:val="22"/>
                <w:szCs w:val="22"/>
              </w:rPr>
              <w:t>225,25</w:t>
            </w:r>
          </w:p>
        </w:tc>
      </w:tr>
      <w:tr w:rsidR="00655FE1" w:rsidRPr="00655FE1" w:rsidTr="00655FE1">
        <w:tc>
          <w:tcPr>
            <w:tcW w:w="2943" w:type="dxa"/>
            <w:vAlign w:val="center"/>
          </w:tcPr>
          <w:p w:rsidR="00655FE1" w:rsidRPr="00655FE1" w:rsidRDefault="00655FE1" w:rsidP="00655FE1">
            <w:pPr>
              <w:rPr>
                <w:sz w:val="22"/>
                <w:szCs w:val="22"/>
              </w:rPr>
            </w:pPr>
            <w:r w:rsidRPr="00655FE1">
              <w:rPr>
                <w:sz w:val="22"/>
                <w:szCs w:val="22"/>
              </w:rPr>
              <w:t>III invaliditātes grupa</w:t>
            </w:r>
          </w:p>
        </w:tc>
        <w:tc>
          <w:tcPr>
            <w:tcW w:w="1741" w:type="dxa"/>
            <w:vAlign w:val="bottom"/>
          </w:tcPr>
          <w:p w:rsidR="00655FE1" w:rsidRPr="00655FE1" w:rsidRDefault="00655FE1" w:rsidP="00655FE1">
            <w:pPr>
              <w:jc w:val="center"/>
              <w:rPr>
                <w:color w:val="000000"/>
                <w:sz w:val="22"/>
                <w:szCs w:val="22"/>
              </w:rPr>
            </w:pPr>
            <w:r w:rsidRPr="00655FE1">
              <w:rPr>
                <w:color w:val="000000"/>
                <w:sz w:val="22"/>
                <w:szCs w:val="22"/>
              </w:rPr>
              <w:t>638,53</w:t>
            </w:r>
          </w:p>
        </w:tc>
        <w:tc>
          <w:tcPr>
            <w:tcW w:w="1741" w:type="dxa"/>
            <w:vAlign w:val="bottom"/>
          </w:tcPr>
          <w:p w:rsidR="00655FE1" w:rsidRPr="00655FE1" w:rsidRDefault="00655FE1" w:rsidP="00655FE1">
            <w:pPr>
              <w:jc w:val="center"/>
              <w:rPr>
                <w:color w:val="000000"/>
                <w:sz w:val="22"/>
                <w:szCs w:val="22"/>
              </w:rPr>
            </w:pPr>
            <w:r w:rsidRPr="00655FE1">
              <w:rPr>
                <w:color w:val="000000"/>
                <w:sz w:val="22"/>
                <w:szCs w:val="22"/>
              </w:rPr>
              <w:t>190,11</w:t>
            </w:r>
          </w:p>
        </w:tc>
        <w:tc>
          <w:tcPr>
            <w:tcW w:w="1741" w:type="dxa"/>
            <w:vAlign w:val="bottom"/>
          </w:tcPr>
          <w:p w:rsidR="00655FE1" w:rsidRPr="00655FE1" w:rsidRDefault="00655FE1" w:rsidP="00655FE1">
            <w:pPr>
              <w:jc w:val="center"/>
              <w:rPr>
                <w:color w:val="000000"/>
                <w:sz w:val="22"/>
                <w:szCs w:val="22"/>
              </w:rPr>
            </w:pPr>
            <w:r w:rsidRPr="00655FE1">
              <w:rPr>
                <w:color w:val="000000"/>
                <w:sz w:val="22"/>
                <w:szCs w:val="22"/>
              </w:rPr>
              <w:t>667,71</w:t>
            </w:r>
          </w:p>
        </w:tc>
        <w:tc>
          <w:tcPr>
            <w:tcW w:w="1742" w:type="dxa"/>
            <w:vAlign w:val="bottom"/>
          </w:tcPr>
          <w:p w:rsidR="00655FE1" w:rsidRPr="00655FE1" w:rsidRDefault="00655FE1" w:rsidP="00655FE1">
            <w:pPr>
              <w:jc w:val="center"/>
              <w:rPr>
                <w:color w:val="000000"/>
                <w:sz w:val="22"/>
                <w:szCs w:val="22"/>
              </w:rPr>
            </w:pPr>
            <w:r w:rsidRPr="00655FE1">
              <w:rPr>
                <w:color w:val="000000"/>
                <w:sz w:val="22"/>
                <w:szCs w:val="22"/>
              </w:rPr>
              <w:t>194,10</w:t>
            </w:r>
          </w:p>
        </w:tc>
      </w:tr>
      <w:tr w:rsidR="00655FE1" w:rsidRPr="00655FE1" w:rsidTr="00655FE1">
        <w:tc>
          <w:tcPr>
            <w:tcW w:w="2943" w:type="dxa"/>
            <w:vAlign w:val="center"/>
          </w:tcPr>
          <w:p w:rsidR="00655FE1" w:rsidRPr="00655FE1" w:rsidRDefault="00655FE1" w:rsidP="00655FE1">
            <w:pPr>
              <w:rPr>
                <w:sz w:val="22"/>
                <w:szCs w:val="22"/>
              </w:rPr>
            </w:pPr>
            <w:r w:rsidRPr="00655FE1">
              <w:rPr>
                <w:sz w:val="22"/>
                <w:szCs w:val="22"/>
              </w:rPr>
              <w:t>Redzes traucējumi</w:t>
            </w:r>
          </w:p>
        </w:tc>
        <w:tc>
          <w:tcPr>
            <w:tcW w:w="1741" w:type="dxa"/>
            <w:vAlign w:val="bottom"/>
          </w:tcPr>
          <w:p w:rsidR="00655FE1" w:rsidRPr="00655FE1" w:rsidRDefault="00655FE1" w:rsidP="00655FE1">
            <w:pPr>
              <w:jc w:val="center"/>
              <w:rPr>
                <w:color w:val="000000"/>
                <w:sz w:val="22"/>
                <w:szCs w:val="22"/>
              </w:rPr>
            </w:pPr>
            <w:r w:rsidRPr="00655FE1">
              <w:rPr>
                <w:color w:val="000000"/>
                <w:sz w:val="22"/>
                <w:szCs w:val="22"/>
              </w:rPr>
              <w:t>642,18</w:t>
            </w:r>
          </w:p>
        </w:tc>
        <w:tc>
          <w:tcPr>
            <w:tcW w:w="1741" w:type="dxa"/>
            <w:vAlign w:val="bottom"/>
          </w:tcPr>
          <w:p w:rsidR="00655FE1" w:rsidRPr="00655FE1" w:rsidRDefault="00655FE1" w:rsidP="00655FE1">
            <w:pPr>
              <w:jc w:val="center"/>
              <w:rPr>
                <w:color w:val="000000"/>
                <w:sz w:val="22"/>
                <w:szCs w:val="22"/>
              </w:rPr>
            </w:pPr>
            <w:r w:rsidRPr="00655FE1">
              <w:rPr>
                <w:color w:val="000000"/>
                <w:sz w:val="22"/>
                <w:szCs w:val="22"/>
              </w:rPr>
              <w:t>238,81</w:t>
            </w:r>
          </w:p>
        </w:tc>
        <w:tc>
          <w:tcPr>
            <w:tcW w:w="1741" w:type="dxa"/>
            <w:vAlign w:val="bottom"/>
          </w:tcPr>
          <w:p w:rsidR="00655FE1" w:rsidRPr="00655FE1" w:rsidRDefault="00655FE1" w:rsidP="00655FE1">
            <w:pPr>
              <w:jc w:val="center"/>
              <w:rPr>
                <w:color w:val="000000"/>
                <w:sz w:val="22"/>
                <w:szCs w:val="22"/>
              </w:rPr>
            </w:pPr>
            <w:r w:rsidRPr="00655FE1">
              <w:rPr>
                <w:color w:val="000000"/>
                <w:sz w:val="22"/>
                <w:szCs w:val="22"/>
              </w:rPr>
              <w:t>667,78</w:t>
            </w:r>
          </w:p>
        </w:tc>
        <w:tc>
          <w:tcPr>
            <w:tcW w:w="1742" w:type="dxa"/>
            <w:vAlign w:val="bottom"/>
          </w:tcPr>
          <w:p w:rsidR="00655FE1" w:rsidRPr="00655FE1" w:rsidRDefault="00655FE1" w:rsidP="00655FE1">
            <w:pPr>
              <w:jc w:val="center"/>
              <w:rPr>
                <w:color w:val="000000"/>
                <w:sz w:val="22"/>
                <w:szCs w:val="22"/>
              </w:rPr>
            </w:pPr>
            <w:r w:rsidRPr="00655FE1">
              <w:rPr>
                <w:color w:val="000000"/>
                <w:sz w:val="22"/>
                <w:szCs w:val="22"/>
              </w:rPr>
              <w:t>245,28</w:t>
            </w:r>
          </w:p>
        </w:tc>
      </w:tr>
      <w:tr w:rsidR="00655FE1" w:rsidRPr="00655FE1" w:rsidTr="00655FE1">
        <w:tc>
          <w:tcPr>
            <w:tcW w:w="2943" w:type="dxa"/>
            <w:vAlign w:val="center"/>
          </w:tcPr>
          <w:p w:rsidR="00655FE1" w:rsidRPr="00655FE1" w:rsidRDefault="00655FE1" w:rsidP="00655FE1">
            <w:pPr>
              <w:rPr>
                <w:sz w:val="22"/>
                <w:szCs w:val="22"/>
              </w:rPr>
            </w:pPr>
            <w:r w:rsidRPr="00655FE1">
              <w:rPr>
                <w:sz w:val="22"/>
                <w:szCs w:val="22"/>
              </w:rPr>
              <w:t>Dzirdes traucējumi</w:t>
            </w:r>
          </w:p>
        </w:tc>
        <w:tc>
          <w:tcPr>
            <w:tcW w:w="1741" w:type="dxa"/>
            <w:vAlign w:val="bottom"/>
          </w:tcPr>
          <w:p w:rsidR="00655FE1" w:rsidRPr="00655FE1" w:rsidRDefault="00655FE1" w:rsidP="00655FE1">
            <w:pPr>
              <w:jc w:val="center"/>
              <w:rPr>
                <w:color w:val="000000"/>
                <w:sz w:val="22"/>
                <w:szCs w:val="22"/>
              </w:rPr>
            </w:pPr>
            <w:r w:rsidRPr="00655FE1">
              <w:rPr>
                <w:color w:val="000000"/>
                <w:sz w:val="22"/>
                <w:szCs w:val="22"/>
              </w:rPr>
              <w:t>556,99</w:t>
            </w:r>
          </w:p>
        </w:tc>
        <w:tc>
          <w:tcPr>
            <w:tcW w:w="1741" w:type="dxa"/>
            <w:vAlign w:val="bottom"/>
          </w:tcPr>
          <w:p w:rsidR="00655FE1" w:rsidRPr="00655FE1" w:rsidRDefault="00655FE1" w:rsidP="00655FE1">
            <w:pPr>
              <w:jc w:val="center"/>
              <w:rPr>
                <w:color w:val="000000"/>
                <w:sz w:val="22"/>
                <w:szCs w:val="22"/>
              </w:rPr>
            </w:pPr>
            <w:r w:rsidRPr="00655FE1">
              <w:rPr>
                <w:color w:val="000000"/>
                <w:sz w:val="22"/>
                <w:szCs w:val="22"/>
              </w:rPr>
              <w:t>196,65</w:t>
            </w:r>
          </w:p>
        </w:tc>
        <w:tc>
          <w:tcPr>
            <w:tcW w:w="1741" w:type="dxa"/>
            <w:vAlign w:val="bottom"/>
          </w:tcPr>
          <w:p w:rsidR="00655FE1" w:rsidRPr="00655FE1" w:rsidRDefault="00655FE1" w:rsidP="00655FE1">
            <w:pPr>
              <w:jc w:val="center"/>
              <w:rPr>
                <w:color w:val="000000"/>
                <w:sz w:val="22"/>
                <w:szCs w:val="22"/>
              </w:rPr>
            </w:pPr>
            <w:r w:rsidRPr="00655FE1">
              <w:rPr>
                <w:color w:val="000000"/>
                <w:sz w:val="22"/>
                <w:szCs w:val="22"/>
              </w:rPr>
              <w:t>585,58</w:t>
            </w:r>
          </w:p>
        </w:tc>
        <w:tc>
          <w:tcPr>
            <w:tcW w:w="1742" w:type="dxa"/>
            <w:vAlign w:val="bottom"/>
          </w:tcPr>
          <w:p w:rsidR="00655FE1" w:rsidRPr="00655FE1" w:rsidRDefault="00655FE1" w:rsidP="00655FE1">
            <w:pPr>
              <w:jc w:val="center"/>
              <w:rPr>
                <w:color w:val="000000"/>
                <w:sz w:val="22"/>
                <w:szCs w:val="22"/>
              </w:rPr>
            </w:pPr>
            <w:r w:rsidRPr="00655FE1">
              <w:rPr>
                <w:color w:val="000000"/>
                <w:sz w:val="22"/>
                <w:szCs w:val="22"/>
              </w:rPr>
              <w:t>199,32</w:t>
            </w:r>
          </w:p>
        </w:tc>
      </w:tr>
      <w:tr w:rsidR="00655FE1" w:rsidRPr="00655FE1" w:rsidTr="00655FE1">
        <w:tc>
          <w:tcPr>
            <w:tcW w:w="2943" w:type="dxa"/>
            <w:vAlign w:val="center"/>
          </w:tcPr>
          <w:p w:rsidR="00655FE1" w:rsidRPr="00655FE1" w:rsidRDefault="00655FE1" w:rsidP="00655FE1">
            <w:pPr>
              <w:rPr>
                <w:sz w:val="22"/>
                <w:szCs w:val="22"/>
              </w:rPr>
            </w:pPr>
            <w:r w:rsidRPr="00655FE1">
              <w:rPr>
                <w:sz w:val="22"/>
                <w:szCs w:val="22"/>
              </w:rPr>
              <w:t>Kustību traucējumi</w:t>
            </w:r>
          </w:p>
        </w:tc>
        <w:tc>
          <w:tcPr>
            <w:tcW w:w="1741" w:type="dxa"/>
            <w:vAlign w:val="bottom"/>
          </w:tcPr>
          <w:p w:rsidR="00655FE1" w:rsidRPr="00655FE1" w:rsidRDefault="00655FE1" w:rsidP="00655FE1">
            <w:pPr>
              <w:jc w:val="center"/>
              <w:rPr>
                <w:color w:val="000000"/>
                <w:sz w:val="22"/>
                <w:szCs w:val="22"/>
              </w:rPr>
            </w:pPr>
            <w:r w:rsidRPr="00655FE1">
              <w:rPr>
                <w:color w:val="000000"/>
                <w:sz w:val="22"/>
                <w:szCs w:val="22"/>
              </w:rPr>
              <w:t>563,26</w:t>
            </w:r>
          </w:p>
        </w:tc>
        <w:tc>
          <w:tcPr>
            <w:tcW w:w="1741" w:type="dxa"/>
            <w:vAlign w:val="bottom"/>
          </w:tcPr>
          <w:p w:rsidR="00655FE1" w:rsidRPr="00655FE1" w:rsidRDefault="00655FE1" w:rsidP="00655FE1">
            <w:pPr>
              <w:jc w:val="center"/>
              <w:rPr>
                <w:color w:val="000000"/>
                <w:sz w:val="22"/>
                <w:szCs w:val="22"/>
              </w:rPr>
            </w:pPr>
            <w:r w:rsidRPr="00655FE1">
              <w:rPr>
                <w:color w:val="000000"/>
                <w:sz w:val="22"/>
                <w:szCs w:val="22"/>
              </w:rPr>
              <w:t>213,02</w:t>
            </w:r>
          </w:p>
        </w:tc>
        <w:tc>
          <w:tcPr>
            <w:tcW w:w="1741" w:type="dxa"/>
            <w:vAlign w:val="bottom"/>
          </w:tcPr>
          <w:p w:rsidR="00655FE1" w:rsidRPr="00655FE1" w:rsidRDefault="00655FE1" w:rsidP="00655FE1">
            <w:pPr>
              <w:jc w:val="center"/>
              <w:rPr>
                <w:color w:val="000000"/>
                <w:sz w:val="22"/>
                <w:szCs w:val="22"/>
              </w:rPr>
            </w:pPr>
            <w:r w:rsidRPr="00655FE1">
              <w:rPr>
                <w:color w:val="000000"/>
                <w:sz w:val="22"/>
                <w:szCs w:val="22"/>
              </w:rPr>
              <w:t>595,13</w:t>
            </w:r>
          </w:p>
        </w:tc>
        <w:tc>
          <w:tcPr>
            <w:tcW w:w="1742" w:type="dxa"/>
            <w:vAlign w:val="bottom"/>
          </w:tcPr>
          <w:p w:rsidR="00655FE1" w:rsidRPr="00655FE1" w:rsidRDefault="00655FE1" w:rsidP="00655FE1">
            <w:pPr>
              <w:jc w:val="center"/>
              <w:rPr>
                <w:color w:val="000000"/>
                <w:sz w:val="22"/>
                <w:szCs w:val="22"/>
              </w:rPr>
            </w:pPr>
            <w:r w:rsidRPr="00655FE1">
              <w:rPr>
                <w:color w:val="000000"/>
                <w:sz w:val="22"/>
                <w:szCs w:val="22"/>
              </w:rPr>
              <w:t>218,11</w:t>
            </w:r>
          </w:p>
        </w:tc>
      </w:tr>
      <w:tr w:rsidR="00655FE1" w:rsidRPr="00655FE1" w:rsidTr="00655FE1">
        <w:tc>
          <w:tcPr>
            <w:tcW w:w="2943" w:type="dxa"/>
            <w:vAlign w:val="center"/>
          </w:tcPr>
          <w:p w:rsidR="00655FE1" w:rsidRPr="00655FE1" w:rsidRDefault="00655FE1" w:rsidP="00655FE1">
            <w:pPr>
              <w:rPr>
                <w:sz w:val="22"/>
                <w:szCs w:val="22"/>
              </w:rPr>
            </w:pPr>
            <w:r w:rsidRPr="00655FE1">
              <w:rPr>
                <w:sz w:val="22"/>
                <w:szCs w:val="22"/>
              </w:rPr>
              <w:t>Garīga rakstura traucējumi</w:t>
            </w:r>
          </w:p>
        </w:tc>
        <w:tc>
          <w:tcPr>
            <w:tcW w:w="1741" w:type="dxa"/>
            <w:vAlign w:val="bottom"/>
          </w:tcPr>
          <w:p w:rsidR="00655FE1" w:rsidRPr="00655FE1" w:rsidRDefault="00655FE1" w:rsidP="00655FE1">
            <w:pPr>
              <w:jc w:val="center"/>
              <w:rPr>
                <w:color w:val="000000"/>
                <w:sz w:val="22"/>
                <w:szCs w:val="22"/>
              </w:rPr>
            </w:pPr>
            <w:r w:rsidRPr="00655FE1">
              <w:rPr>
                <w:color w:val="000000"/>
                <w:sz w:val="22"/>
                <w:szCs w:val="22"/>
              </w:rPr>
              <w:t>417,17</w:t>
            </w:r>
          </w:p>
        </w:tc>
        <w:tc>
          <w:tcPr>
            <w:tcW w:w="1741" w:type="dxa"/>
            <w:vAlign w:val="bottom"/>
          </w:tcPr>
          <w:p w:rsidR="00655FE1" w:rsidRPr="00655FE1" w:rsidRDefault="00655FE1" w:rsidP="00655FE1">
            <w:pPr>
              <w:jc w:val="center"/>
              <w:rPr>
                <w:color w:val="000000"/>
                <w:sz w:val="22"/>
                <w:szCs w:val="22"/>
              </w:rPr>
            </w:pPr>
            <w:r w:rsidRPr="00655FE1">
              <w:rPr>
                <w:color w:val="000000"/>
                <w:sz w:val="22"/>
                <w:szCs w:val="22"/>
              </w:rPr>
              <w:t>205,18</w:t>
            </w:r>
          </w:p>
        </w:tc>
        <w:tc>
          <w:tcPr>
            <w:tcW w:w="1741" w:type="dxa"/>
            <w:vAlign w:val="bottom"/>
          </w:tcPr>
          <w:p w:rsidR="00655FE1" w:rsidRPr="00655FE1" w:rsidRDefault="00655FE1" w:rsidP="00655FE1">
            <w:pPr>
              <w:jc w:val="center"/>
              <w:rPr>
                <w:color w:val="000000"/>
                <w:sz w:val="22"/>
                <w:szCs w:val="22"/>
              </w:rPr>
            </w:pPr>
            <w:r w:rsidRPr="00655FE1">
              <w:rPr>
                <w:color w:val="000000"/>
                <w:sz w:val="22"/>
                <w:szCs w:val="22"/>
              </w:rPr>
              <w:t>433,54</w:t>
            </w:r>
          </w:p>
        </w:tc>
        <w:tc>
          <w:tcPr>
            <w:tcW w:w="1742" w:type="dxa"/>
            <w:vAlign w:val="bottom"/>
          </w:tcPr>
          <w:p w:rsidR="00655FE1" w:rsidRPr="00655FE1" w:rsidRDefault="00655FE1" w:rsidP="00655FE1">
            <w:pPr>
              <w:jc w:val="center"/>
              <w:rPr>
                <w:color w:val="000000"/>
                <w:sz w:val="22"/>
                <w:szCs w:val="22"/>
              </w:rPr>
            </w:pPr>
            <w:r w:rsidRPr="00655FE1">
              <w:rPr>
                <w:color w:val="000000"/>
                <w:sz w:val="22"/>
                <w:szCs w:val="22"/>
              </w:rPr>
              <w:t>208,19</w:t>
            </w:r>
          </w:p>
        </w:tc>
      </w:tr>
      <w:tr w:rsidR="00655FE1" w:rsidRPr="00655FE1" w:rsidTr="00655FE1">
        <w:tc>
          <w:tcPr>
            <w:tcW w:w="2943" w:type="dxa"/>
            <w:vAlign w:val="center"/>
          </w:tcPr>
          <w:p w:rsidR="00655FE1" w:rsidRPr="00655FE1" w:rsidRDefault="00655FE1" w:rsidP="00655FE1">
            <w:pPr>
              <w:rPr>
                <w:sz w:val="22"/>
                <w:szCs w:val="22"/>
              </w:rPr>
            </w:pPr>
            <w:r w:rsidRPr="00655FE1">
              <w:rPr>
                <w:sz w:val="22"/>
                <w:szCs w:val="22"/>
              </w:rPr>
              <w:t>Citi traucējumi</w:t>
            </w:r>
          </w:p>
        </w:tc>
        <w:tc>
          <w:tcPr>
            <w:tcW w:w="1741" w:type="dxa"/>
            <w:vAlign w:val="bottom"/>
          </w:tcPr>
          <w:p w:rsidR="00655FE1" w:rsidRPr="00655FE1" w:rsidRDefault="00655FE1" w:rsidP="00655FE1">
            <w:pPr>
              <w:jc w:val="center"/>
              <w:rPr>
                <w:color w:val="000000"/>
                <w:sz w:val="22"/>
                <w:szCs w:val="22"/>
              </w:rPr>
            </w:pPr>
            <w:r w:rsidRPr="00655FE1">
              <w:rPr>
                <w:color w:val="000000"/>
                <w:sz w:val="22"/>
                <w:szCs w:val="22"/>
              </w:rPr>
              <w:t>690,78</w:t>
            </w:r>
          </w:p>
        </w:tc>
        <w:tc>
          <w:tcPr>
            <w:tcW w:w="1741" w:type="dxa"/>
            <w:vAlign w:val="bottom"/>
          </w:tcPr>
          <w:p w:rsidR="00655FE1" w:rsidRPr="00655FE1" w:rsidRDefault="00655FE1" w:rsidP="00655FE1">
            <w:pPr>
              <w:jc w:val="center"/>
              <w:rPr>
                <w:color w:val="000000"/>
                <w:sz w:val="22"/>
                <w:szCs w:val="22"/>
              </w:rPr>
            </w:pPr>
            <w:r w:rsidRPr="00655FE1">
              <w:rPr>
                <w:color w:val="000000"/>
                <w:sz w:val="22"/>
                <w:szCs w:val="22"/>
              </w:rPr>
              <w:t>247,16</w:t>
            </w:r>
          </w:p>
        </w:tc>
        <w:tc>
          <w:tcPr>
            <w:tcW w:w="1741" w:type="dxa"/>
            <w:vAlign w:val="bottom"/>
          </w:tcPr>
          <w:p w:rsidR="00655FE1" w:rsidRPr="00655FE1" w:rsidRDefault="00655FE1" w:rsidP="00655FE1">
            <w:pPr>
              <w:jc w:val="center"/>
              <w:rPr>
                <w:color w:val="000000"/>
                <w:sz w:val="22"/>
                <w:szCs w:val="22"/>
              </w:rPr>
            </w:pPr>
            <w:r w:rsidRPr="00655FE1">
              <w:rPr>
                <w:color w:val="000000"/>
                <w:sz w:val="22"/>
                <w:szCs w:val="22"/>
              </w:rPr>
              <w:t>724,45</w:t>
            </w:r>
          </w:p>
        </w:tc>
        <w:tc>
          <w:tcPr>
            <w:tcW w:w="1742" w:type="dxa"/>
            <w:vAlign w:val="bottom"/>
          </w:tcPr>
          <w:p w:rsidR="00655FE1" w:rsidRPr="00655FE1" w:rsidRDefault="00655FE1" w:rsidP="00655FE1">
            <w:pPr>
              <w:jc w:val="center"/>
              <w:rPr>
                <w:color w:val="000000"/>
                <w:sz w:val="22"/>
                <w:szCs w:val="22"/>
              </w:rPr>
            </w:pPr>
            <w:r w:rsidRPr="00655FE1">
              <w:rPr>
                <w:color w:val="000000"/>
                <w:sz w:val="22"/>
                <w:szCs w:val="22"/>
              </w:rPr>
              <w:t>253,84</w:t>
            </w:r>
          </w:p>
        </w:tc>
      </w:tr>
      <w:tr w:rsidR="00655FE1" w:rsidRPr="00655FE1" w:rsidTr="00655FE1">
        <w:tc>
          <w:tcPr>
            <w:tcW w:w="2943" w:type="dxa"/>
            <w:vAlign w:val="center"/>
          </w:tcPr>
          <w:p w:rsidR="00655FE1" w:rsidRPr="00655FE1" w:rsidRDefault="00655FE1" w:rsidP="00655FE1">
            <w:pPr>
              <w:rPr>
                <w:sz w:val="22"/>
                <w:szCs w:val="22"/>
              </w:rPr>
            </w:pPr>
            <w:r w:rsidRPr="00655FE1">
              <w:rPr>
                <w:sz w:val="22"/>
                <w:szCs w:val="22"/>
              </w:rPr>
              <w:t>Nav zināms traucējumu veids*</w:t>
            </w:r>
          </w:p>
        </w:tc>
        <w:tc>
          <w:tcPr>
            <w:tcW w:w="1741" w:type="dxa"/>
            <w:vAlign w:val="bottom"/>
          </w:tcPr>
          <w:p w:rsidR="00655FE1" w:rsidRPr="00655FE1" w:rsidRDefault="00655FE1" w:rsidP="00655FE1">
            <w:pPr>
              <w:jc w:val="center"/>
              <w:rPr>
                <w:color w:val="000000"/>
                <w:sz w:val="22"/>
                <w:szCs w:val="22"/>
              </w:rPr>
            </w:pPr>
            <w:r w:rsidRPr="00655FE1">
              <w:rPr>
                <w:color w:val="000000"/>
                <w:sz w:val="22"/>
                <w:szCs w:val="22"/>
              </w:rPr>
              <w:t>684,79</w:t>
            </w:r>
          </w:p>
        </w:tc>
        <w:tc>
          <w:tcPr>
            <w:tcW w:w="1741" w:type="dxa"/>
            <w:vAlign w:val="bottom"/>
          </w:tcPr>
          <w:p w:rsidR="00655FE1" w:rsidRPr="00655FE1" w:rsidRDefault="00655FE1" w:rsidP="00655FE1">
            <w:pPr>
              <w:jc w:val="center"/>
              <w:rPr>
                <w:color w:val="000000"/>
                <w:sz w:val="22"/>
                <w:szCs w:val="22"/>
              </w:rPr>
            </w:pPr>
            <w:r w:rsidRPr="00655FE1">
              <w:rPr>
                <w:color w:val="000000"/>
                <w:sz w:val="22"/>
                <w:szCs w:val="22"/>
              </w:rPr>
              <w:t>255,06</w:t>
            </w:r>
          </w:p>
        </w:tc>
        <w:tc>
          <w:tcPr>
            <w:tcW w:w="1741" w:type="dxa"/>
            <w:vAlign w:val="bottom"/>
          </w:tcPr>
          <w:p w:rsidR="00655FE1" w:rsidRPr="00655FE1" w:rsidRDefault="00655FE1" w:rsidP="00655FE1">
            <w:pPr>
              <w:jc w:val="center"/>
              <w:rPr>
                <w:color w:val="000000"/>
                <w:sz w:val="22"/>
                <w:szCs w:val="22"/>
              </w:rPr>
            </w:pPr>
            <w:r w:rsidRPr="00655FE1">
              <w:rPr>
                <w:color w:val="000000"/>
                <w:sz w:val="22"/>
                <w:szCs w:val="22"/>
              </w:rPr>
              <w:t>708,67</w:t>
            </w:r>
          </w:p>
        </w:tc>
        <w:tc>
          <w:tcPr>
            <w:tcW w:w="1742" w:type="dxa"/>
            <w:vAlign w:val="bottom"/>
          </w:tcPr>
          <w:p w:rsidR="00655FE1" w:rsidRPr="00655FE1" w:rsidRDefault="00655FE1" w:rsidP="00655FE1">
            <w:pPr>
              <w:jc w:val="center"/>
              <w:rPr>
                <w:color w:val="000000"/>
                <w:sz w:val="22"/>
                <w:szCs w:val="22"/>
              </w:rPr>
            </w:pPr>
            <w:r w:rsidRPr="00655FE1">
              <w:rPr>
                <w:color w:val="000000"/>
                <w:sz w:val="22"/>
                <w:szCs w:val="22"/>
              </w:rPr>
              <w:t>259,46</w:t>
            </w:r>
          </w:p>
        </w:tc>
      </w:tr>
    </w:tbl>
    <w:p w:rsidR="00655FE1" w:rsidRPr="0060559C" w:rsidRDefault="00655FE1" w:rsidP="00655FE1">
      <w:pPr>
        <w:rPr>
          <w:sz w:val="20"/>
          <w:szCs w:val="20"/>
        </w:rPr>
      </w:pPr>
      <w:r>
        <w:rPr>
          <w:sz w:val="20"/>
          <w:szCs w:val="20"/>
        </w:rPr>
        <w:t>Avots</w:t>
      </w:r>
      <w:r w:rsidRPr="0060559C">
        <w:rPr>
          <w:sz w:val="20"/>
          <w:szCs w:val="20"/>
        </w:rPr>
        <w:t>: Autoru aprēķini, izmantojot VSAA sagatavotos administratīvos mikrodatus</w:t>
      </w:r>
    </w:p>
    <w:p w:rsidR="00655FE1" w:rsidRPr="007D44F8" w:rsidRDefault="00655FE1" w:rsidP="00655FE1">
      <w:pPr>
        <w:rPr>
          <w:sz w:val="20"/>
          <w:szCs w:val="20"/>
        </w:rPr>
      </w:pPr>
      <w:r>
        <w:rPr>
          <w:sz w:val="20"/>
          <w:szCs w:val="20"/>
        </w:rPr>
        <w:t>Piezīme: * p</w:t>
      </w:r>
      <w:r w:rsidRPr="00AB36C6">
        <w:rPr>
          <w:sz w:val="20"/>
          <w:szCs w:val="20"/>
        </w:rPr>
        <w:t>ersonai invaliditāte uz mūžu ir noteikta līdz 20</w:t>
      </w:r>
      <w:r w:rsidR="00DF3D81">
        <w:rPr>
          <w:sz w:val="20"/>
          <w:szCs w:val="20"/>
        </w:rPr>
        <w:t>12</w:t>
      </w:r>
      <w:r w:rsidRPr="00AB36C6">
        <w:rPr>
          <w:sz w:val="20"/>
          <w:szCs w:val="20"/>
        </w:rPr>
        <w:t>. gadam</w:t>
      </w:r>
    </w:p>
    <w:p w:rsidR="00655FE1" w:rsidRDefault="00655FE1" w:rsidP="00804489"/>
    <w:p w:rsidR="00B957D9" w:rsidRDefault="00B957D9" w:rsidP="00804489">
      <w:r>
        <w:t>Ņemot vērā šos indikatīvos rezultātus, Izvērtējuma ietvaros tika veikta papildu analīze, cik personas 2015. un 2016. gadā ir reāli atradušās zem nabadzības riska sliekšņa. Šim nolūkam VSAA mikro datos katras personas gada ienākumi, ja tie tika saņemti visā 12 mēnešu periodā, tika salīdzināti ar attiecīgā gada nabadzības riska slieksni vienas personas mājsaimniecībai. Šis rādītājs 2015. gadā bija 3819 EUR un 2016. gadā – 3964 EUR. Turpinājumā katras personas ienākumiem tika pievienots identifikators, vai tie ir augstāki vai zemāki par attiecīgā gana nabadzības riska slieksni. Tā kā VSAA mikro datos nav iespējams identificēt, vai persona pieder vienas vai vairāku personu mājsaimniecībai (šis aspekts uzskatāms par datu analīzes ierobežojumu), tika pieņemts, ka visas personas ar invaliditāti ir vienas personas mājsaimniecības.</w:t>
      </w:r>
      <w:r w:rsidR="00F211A5">
        <w:t xml:space="preserve"> </w:t>
      </w:r>
      <w:r w:rsidR="00212F5A">
        <w:t>Nodarbinātības ietekmes raksturojumam šie rādītāji ir aplūkoti divos veidos, pirmkārt, ja nabadzības riska slieksni salīdzina tikai ar personas ienākumiem no sociālajiem transfertiem (1.39. attēls), un, otrkārt, ja ņem vērā visus reāli personas gūtos ienākumus, sociālajiem transfertiem pieskaitot ienākumus no saimnieciskās darbības vai nodarbinātības</w:t>
      </w:r>
      <w:r w:rsidR="00F225C3">
        <w:t xml:space="preserve"> (1.40. attēls)</w:t>
      </w:r>
      <w:r w:rsidR="00212F5A">
        <w:t>.</w:t>
      </w:r>
    </w:p>
    <w:p w:rsidR="00F225C3" w:rsidRDefault="00F225C3" w:rsidP="00804489"/>
    <w:p w:rsidR="00F225C3" w:rsidRDefault="00F225C3" w:rsidP="00804489">
      <w:r>
        <w:t>Aplūkojot ienākumus tikai no sociālajiem transfertiem, redzams, ka vidēji 2015. un 2016. gadā 77% personu ar invaliditāti ienākumi bija zem attiecīgā gada nabadzības riska sliekšņa (1.39. attēls). Šis rādītājs atšķiras, aplūkojot datus dalījumā pēc invaliditātes grupas un funkcionālo traucējumu veida. Salīdzinoši visretāk zem nabadzības riska sliekšņa atrodas personu ar I grupas invaliditāti ienākumi no sociālajiem transfertiem – zem sliekšņa atradās 30% personu ienākumi 2015. gadā un 32% personu ienākumi 2016. gadā. Vienlaikus šī grupa ir tā, kura strādā visretāk, attiecīgi sociālie transferti ir arī vienīgie personu ar I grupas invaliditāti ienākumi. Personu ar II un III grupas invaliditāti īpatsvars, kuru ienākumi tikai pēc sociālo transfertu saņemšanu bija zem nabadzības riska sliekšņa ir praktiski vienāds – gan 2015., gan 2016. gadā tie bija vidēji 84% personu ar attiecīgo invaliditātes grupu.</w:t>
      </w:r>
    </w:p>
    <w:p w:rsidR="00082031" w:rsidRDefault="00082031" w:rsidP="00082031">
      <w:pPr>
        <w:spacing w:before="240" w:after="120"/>
        <w:jc w:val="left"/>
        <w:rPr>
          <w:b/>
          <w:color w:val="002060"/>
        </w:rPr>
      </w:pPr>
    </w:p>
    <w:p w:rsidR="00655FE1" w:rsidRPr="00082031" w:rsidRDefault="00655FE1" w:rsidP="00082031">
      <w:pPr>
        <w:spacing w:before="240" w:after="120"/>
        <w:jc w:val="left"/>
        <w:rPr>
          <w:b/>
          <w:color w:val="002060"/>
        </w:rPr>
      </w:pPr>
      <w:r w:rsidRPr="00082031">
        <w:rPr>
          <w:b/>
          <w:color w:val="002060"/>
        </w:rPr>
        <w:lastRenderedPageBreak/>
        <w:t xml:space="preserve">1.39.attēls. </w:t>
      </w:r>
      <w:r w:rsidR="00212F5A" w:rsidRPr="00082031">
        <w:rPr>
          <w:b/>
          <w:color w:val="002060"/>
        </w:rPr>
        <w:t xml:space="preserve">Personu ar invaliditāti īpatsvars (procentos), kuru </w:t>
      </w:r>
      <w:r w:rsidR="00212F5A" w:rsidRPr="00082031">
        <w:rPr>
          <w:b/>
          <w:color w:val="002060"/>
          <w:u w:val="single"/>
        </w:rPr>
        <w:t>ienākumi no sociālajiem transfertiem</w:t>
      </w:r>
      <w:r w:rsidR="00212F5A" w:rsidRPr="00082031">
        <w:rPr>
          <w:b/>
          <w:color w:val="002060"/>
        </w:rPr>
        <w:t xml:space="preserve"> nepārsniedz nabadzības riska slieksni 2015. un 2016. gadā  </w:t>
      </w:r>
      <w:r w:rsidRPr="00082031">
        <w:rPr>
          <w:b/>
          <w:color w:val="002060"/>
        </w:rPr>
        <w:t xml:space="preserve"> </w:t>
      </w:r>
    </w:p>
    <w:p w:rsidR="008F02F2" w:rsidRDefault="008F02F2" w:rsidP="00E6306C">
      <w:pPr>
        <w:rPr>
          <w:sz w:val="20"/>
          <w:szCs w:val="20"/>
        </w:rPr>
      </w:pPr>
      <w:r w:rsidRPr="008F02F2">
        <w:rPr>
          <w:noProof/>
        </w:rPr>
        <w:drawing>
          <wp:inline distT="0" distB="0" distL="0" distR="0">
            <wp:extent cx="6154420" cy="200425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4420" cy="2004259"/>
                    </a:xfrm>
                    <a:prstGeom prst="rect">
                      <a:avLst/>
                    </a:prstGeom>
                    <a:noFill/>
                    <a:ln>
                      <a:noFill/>
                    </a:ln>
                  </pic:spPr>
                </pic:pic>
              </a:graphicData>
            </a:graphic>
          </wp:inline>
        </w:drawing>
      </w:r>
    </w:p>
    <w:p w:rsidR="00E6306C" w:rsidRPr="00E6306C" w:rsidRDefault="00E6306C" w:rsidP="00E6306C">
      <w:pPr>
        <w:rPr>
          <w:sz w:val="20"/>
          <w:szCs w:val="20"/>
        </w:rPr>
      </w:pPr>
      <w:r w:rsidRPr="00E6306C">
        <w:rPr>
          <w:sz w:val="20"/>
          <w:szCs w:val="20"/>
        </w:rPr>
        <w:t>Avots: Autoru aprēķini, izmantojot VSAA sagatavotos administratīvos mikrodatus</w:t>
      </w:r>
    </w:p>
    <w:p w:rsidR="00E6306C" w:rsidRPr="007D44F8" w:rsidRDefault="00E6306C" w:rsidP="00E6306C">
      <w:pPr>
        <w:rPr>
          <w:sz w:val="20"/>
          <w:szCs w:val="20"/>
        </w:rPr>
      </w:pPr>
      <w:r>
        <w:rPr>
          <w:sz w:val="20"/>
          <w:szCs w:val="20"/>
        </w:rPr>
        <w:t>Piezīme: Nav zināms traucējumu veids = p</w:t>
      </w:r>
      <w:r w:rsidRPr="00AB36C6">
        <w:rPr>
          <w:sz w:val="20"/>
          <w:szCs w:val="20"/>
        </w:rPr>
        <w:t>ersonai invaliditāte uz mūžu ir noteikta līdz 20</w:t>
      </w:r>
      <w:r w:rsidR="00DF3D81">
        <w:rPr>
          <w:sz w:val="20"/>
          <w:szCs w:val="20"/>
        </w:rPr>
        <w:t>12</w:t>
      </w:r>
      <w:r w:rsidRPr="00AB36C6">
        <w:rPr>
          <w:sz w:val="20"/>
          <w:szCs w:val="20"/>
        </w:rPr>
        <w:t>. gadam</w:t>
      </w:r>
    </w:p>
    <w:p w:rsidR="00655FE1" w:rsidRPr="00082031" w:rsidRDefault="00655FE1" w:rsidP="00082031">
      <w:pPr>
        <w:spacing w:before="240" w:after="120"/>
        <w:jc w:val="left"/>
        <w:rPr>
          <w:b/>
          <w:color w:val="002060"/>
        </w:rPr>
      </w:pPr>
      <w:r w:rsidRPr="00082031">
        <w:rPr>
          <w:b/>
          <w:color w:val="002060"/>
        </w:rPr>
        <w:t xml:space="preserve">1.40.attēls. </w:t>
      </w:r>
      <w:r w:rsidR="00212F5A" w:rsidRPr="00082031">
        <w:rPr>
          <w:b/>
          <w:color w:val="002060"/>
        </w:rPr>
        <w:t xml:space="preserve">Personu ar invaliditāti īpatsvars (procentos), kuru </w:t>
      </w:r>
      <w:r w:rsidR="00212F5A" w:rsidRPr="00082031">
        <w:rPr>
          <w:b/>
          <w:color w:val="002060"/>
          <w:u w:val="single"/>
        </w:rPr>
        <w:t>kopējie ienākumi</w:t>
      </w:r>
      <w:r w:rsidR="00212F5A" w:rsidRPr="00082031">
        <w:rPr>
          <w:b/>
          <w:color w:val="002060"/>
        </w:rPr>
        <w:t xml:space="preserve"> nepārsniedz nabadzības riska slieksni 2015. un 2016. gadā   </w:t>
      </w:r>
    </w:p>
    <w:p w:rsidR="008F02F2" w:rsidRDefault="008F02F2" w:rsidP="00E6306C">
      <w:pPr>
        <w:rPr>
          <w:sz w:val="20"/>
          <w:szCs w:val="20"/>
        </w:rPr>
      </w:pPr>
      <w:r w:rsidRPr="008F02F2">
        <w:rPr>
          <w:noProof/>
        </w:rPr>
        <w:drawing>
          <wp:inline distT="0" distB="0" distL="0" distR="0">
            <wp:extent cx="6154420" cy="200425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4420" cy="2004259"/>
                    </a:xfrm>
                    <a:prstGeom prst="rect">
                      <a:avLst/>
                    </a:prstGeom>
                    <a:noFill/>
                    <a:ln>
                      <a:noFill/>
                    </a:ln>
                  </pic:spPr>
                </pic:pic>
              </a:graphicData>
            </a:graphic>
          </wp:inline>
        </w:drawing>
      </w:r>
    </w:p>
    <w:p w:rsidR="00E6306C" w:rsidRPr="00E6306C" w:rsidRDefault="00E6306C" w:rsidP="00E6306C">
      <w:pPr>
        <w:rPr>
          <w:sz w:val="20"/>
          <w:szCs w:val="20"/>
        </w:rPr>
      </w:pPr>
      <w:r w:rsidRPr="00E6306C">
        <w:rPr>
          <w:sz w:val="20"/>
          <w:szCs w:val="20"/>
        </w:rPr>
        <w:t>Avots: Autoru aprēķini, izmantojot VSAA sagatavotos administratīvos mikrodatus</w:t>
      </w:r>
    </w:p>
    <w:p w:rsidR="00E6306C" w:rsidRPr="007D44F8" w:rsidRDefault="00E6306C" w:rsidP="00E6306C">
      <w:pPr>
        <w:rPr>
          <w:sz w:val="20"/>
          <w:szCs w:val="20"/>
        </w:rPr>
      </w:pPr>
      <w:r>
        <w:rPr>
          <w:sz w:val="20"/>
          <w:szCs w:val="20"/>
        </w:rPr>
        <w:t>Piezīme: Nav zināms traucējumu veids = p</w:t>
      </w:r>
      <w:r w:rsidRPr="00AB36C6">
        <w:rPr>
          <w:sz w:val="20"/>
          <w:szCs w:val="20"/>
        </w:rPr>
        <w:t>ersonai invaliditāte uz mūžu ir noteikta līdz 20</w:t>
      </w:r>
      <w:r w:rsidR="00DF3D81">
        <w:rPr>
          <w:sz w:val="20"/>
          <w:szCs w:val="20"/>
        </w:rPr>
        <w:t>12</w:t>
      </w:r>
      <w:r w:rsidRPr="00AB36C6">
        <w:rPr>
          <w:sz w:val="20"/>
          <w:szCs w:val="20"/>
        </w:rPr>
        <w:t>. gadam</w:t>
      </w:r>
    </w:p>
    <w:p w:rsidR="00655FE1" w:rsidRDefault="00655FE1" w:rsidP="00804489"/>
    <w:p w:rsidR="008F02F2" w:rsidRPr="006C656B" w:rsidRDefault="00F225C3" w:rsidP="00804489">
      <w:r>
        <w:t>1.40. attēlā, salīdzinot ar 1.39. attēlu, ir uzskatāmi redzama nodarbinātības ietekme uz nabadzības riska samazināšanu personām ar invaliditāti. Vidēji nabadzības riskam pakļauto personu skaits samazinās par 17 procentpunktiem, attiecīgi, vērtējot visus personas ar invaliditāti ienākumus, nabadzības riskam 2015. un 2016. gadā vidēji bija pakļautas 60% personu ar invaliditāti.</w:t>
      </w:r>
      <w:r w:rsidR="00753E1E">
        <w:t xml:space="preserve"> Vērtējot situāciju kopumā, visaugstākais nabadzības risks ir personām ar II grupas invaliditāti (72% pakļauti šim riskam). Vērtējot pēc traucējumu veida, visaugstākais nabadzības risks ir personām ar garīga rakstura traucējumiem (76-77%) un personām, kurām nav zināms traucējuma veids (68%).</w:t>
      </w:r>
    </w:p>
    <w:p w:rsidR="00E258AC" w:rsidRPr="00D3739C" w:rsidRDefault="00E258AC" w:rsidP="00F23726">
      <w:pPr>
        <w:pStyle w:val="Heading3"/>
      </w:pPr>
      <w:bookmarkStart w:id="363" w:name="_Toc6841563"/>
      <w:r w:rsidRPr="00D3739C">
        <w:t>Datu kvalitātes novērtējums nabadzības un sociālās atstumtības jomā</w:t>
      </w:r>
      <w:bookmarkEnd w:id="363"/>
    </w:p>
    <w:p w:rsidR="004565D2" w:rsidRDefault="004565D2" w:rsidP="004565D2">
      <w:r>
        <w:t xml:space="preserve">Datu kvalitātes novērtējums nabadzības un sociālās atstumtības jomā kopumā aplūko četrus aspektus: datu vākšanas veidu, regularitāti, mērāmos parametrus un iespējas tos analizēt mērķa grupu situācijas raksturošanai nabadzības un sociālās atstumtības jomā. Tā kā nabadzības un sociālās atstumtības jomā Latvijā tiek veikti gan lietišķi, gan zinātniski pētījumi, turpinājumā apkopota informācija par nozīmīgākajiem informācijas avotiem, kas šobrīd pilnībā atbilst </w:t>
      </w:r>
      <w:r>
        <w:lastRenderedPageBreak/>
        <w:t>regularitātes kritērijam, t.i., tiek vākti ar noteiktu periodizāciju (piemēram, reizi gadā). Sistematizējot šos datus, turpinājumā sīkāk aplūkotas trīs analīzes dimensijas:</w:t>
      </w:r>
    </w:p>
    <w:p w:rsidR="004565D2" w:rsidRDefault="004565D2" w:rsidP="003F469F">
      <w:pPr>
        <w:pStyle w:val="ListParagraph"/>
        <w:numPr>
          <w:ilvl w:val="0"/>
          <w:numId w:val="171"/>
        </w:numPr>
        <w:spacing w:line="276" w:lineRule="auto"/>
        <w:jc w:val="both"/>
      </w:pPr>
      <w:r w:rsidRPr="000F5241">
        <w:rPr>
          <w:b/>
          <w:u w:val="single"/>
        </w:rPr>
        <w:t>Datu ievākšanas veids</w:t>
      </w:r>
      <w:r>
        <w:t>:</w:t>
      </w:r>
    </w:p>
    <w:p w:rsidR="004565D2" w:rsidRDefault="004565D2" w:rsidP="003F469F">
      <w:pPr>
        <w:pStyle w:val="ListParagraph"/>
        <w:numPr>
          <w:ilvl w:val="1"/>
          <w:numId w:val="171"/>
        </w:numPr>
        <w:spacing w:line="276" w:lineRule="auto"/>
        <w:jc w:val="both"/>
      </w:pPr>
      <w:r>
        <w:t>aptaujas vai apsekojumi, t.i., dati, kas iegūti, balstoties uz izlases veida iedzīvotāju apsekojumiem par viņu nodarbinātību, detalizētu izpēti par ienākumu struktūru un apmēru, nekustamo īpašumu, mājsaimniecības raksturojumu, sociāli demogrāfiskajiem parametriem u.tml.</w:t>
      </w:r>
    </w:p>
    <w:p w:rsidR="004565D2" w:rsidRDefault="004565D2" w:rsidP="003F469F">
      <w:pPr>
        <w:pStyle w:val="ListParagraph"/>
        <w:numPr>
          <w:ilvl w:val="1"/>
          <w:numId w:val="171"/>
        </w:numPr>
        <w:spacing w:line="276" w:lineRule="auto"/>
        <w:jc w:val="both"/>
      </w:pPr>
      <w:r>
        <w:t>administratīvie (statistikas) dati, kas iegūti, balstoties uz Labklājības ministrijas padotības iestāžu (VSAA, VDEĀ</w:t>
      </w:r>
      <w:r w:rsidR="00297B78">
        <w:t>V</w:t>
      </w:r>
      <w:r>
        <w:t xml:space="preserve">K) un pašvaldību uzturētajos reģistros uzkrāto informāciju un no tām sniegtajiem pārskatiem par personu skaitu, kas saņēmušas </w:t>
      </w:r>
      <w:r w:rsidRPr="00C10141">
        <w:t>sociālās apdrošināšanas un sociālo</w:t>
      </w:r>
      <w:r>
        <w:t>s</w:t>
      </w:r>
      <w:r w:rsidRPr="00C10141">
        <w:t xml:space="preserve"> pakalpojumu</w:t>
      </w:r>
      <w:r>
        <w:t>s vai sociālo palīdzību un kādā apmērā;</w:t>
      </w:r>
    </w:p>
    <w:p w:rsidR="004565D2" w:rsidRDefault="004565D2" w:rsidP="003F469F">
      <w:pPr>
        <w:pStyle w:val="ListParagraph"/>
        <w:numPr>
          <w:ilvl w:val="0"/>
          <w:numId w:val="171"/>
        </w:numPr>
        <w:spacing w:line="276" w:lineRule="auto"/>
        <w:jc w:val="both"/>
      </w:pPr>
      <w:r w:rsidRPr="00C10141">
        <w:rPr>
          <w:b/>
          <w:u w:val="single"/>
        </w:rPr>
        <w:t>Mērāmie parametri:</w:t>
      </w:r>
      <w:r>
        <w:t xml:space="preserve"> datos pieejamās informācijas (aprēķināto un analizēto indikatoru)</w:t>
      </w:r>
      <w:r w:rsidRPr="00C10141">
        <w:t xml:space="preserve"> </w:t>
      </w:r>
      <w:r>
        <w:t>iespējas raksturot nevienlīdzību, nabadzību un sociālo atstumtību, to jūtīgums pret dažādām politikas intervencēm, piemēram:</w:t>
      </w:r>
    </w:p>
    <w:p w:rsidR="004565D2" w:rsidRDefault="004565D2" w:rsidP="003F469F">
      <w:pPr>
        <w:pStyle w:val="ListParagraph"/>
        <w:numPr>
          <w:ilvl w:val="1"/>
          <w:numId w:val="171"/>
        </w:numPr>
        <w:spacing w:line="276" w:lineRule="auto"/>
        <w:jc w:val="both"/>
      </w:pPr>
      <w:r>
        <w:t>a</w:t>
      </w:r>
      <w:r w:rsidRPr="00C10141">
        <w:t xml:space="preserve">prēķinātie relatīvie indikatori, </w:t>
      </w:r>
      <w:r>
        <w:t>piemērojot</w:t>
      </w:r>
      <w:r w:rsidRPr="00C10141">
        <w:t xml:space="preserve"> starptautisku metodoloģiju</w:t>
      </w:r>
      <w:r>
        <w:t>, kas ļauj salīdzināt rādītājus noteiktā laika posmā un valstu starpā;</w:t>
      </w:r>
    </w:p>
    <w:p w:rsidR="004565D2" w:rsidRPr="00C10141" w:rsidRDefault="004565D2" w:rsidP="003F469F">
      <w:pPr>
        <w:pStyle w:val="ListParagraph"/>
        <w:numPr>
          <w:ilvl w:val="1"/>
          <w:numId w:val="171"/>
        </w:numPr>
        <w:spacing w:line="276" w:lineRule="auto"/>
        <w:jc w:val="both"/>
      </w:pPr>
      <w:r>
        <w:t>sniegtās palīdzības faktiskais apmērs absolūtos skaitļos</w:t>
      </w:r>
      <w:r w:rsidRPr="009C0EDC">
        <w:t xml:space="preserve"> </w:t>
      </w:r>
      <w:r>
        <w:t>un atbalstu saņēmušo personu skaits;</w:t>
      </w:r>
    </w:p>
    <w:p w:rsidR="004565D2" w:rsidRDefault="004565D2" w:rsidP="003F469F">
      <w:pPr>
        <w:pStyle w:val="ListParagraph"/>
        <w:numPr>
          <w:ilvl w:val="0"/>
          <w:numId w:val="171"/>
        </w:numPr>
        <w:spacing w:line="276" w:lineRule="auto"/>
        <w:jc w:val="both"/>
      </w:pPr>
      <w:r w:rsidRPr="009C0EDC">
        <w:rPr>
          <w:b/>
          <w:u w:val="single"/>
        </w:rPr>
        <w:t>Iespējas izmantot datus mērķa grupu situācijas analīzei</w:t>
      </w:r>
      <w:r>
        <w:t>, proti, personu raksturojošo sociāli demogrāfisko parametru detalizācijas līmenis, kāds pieejams, izmantojot konkrētu datu avotu (apsekojumu vai administratīvos datus).</w:t>
      </w:r>
    </w:p>
    <w:p w:rsidR="003F469F" w:rsidRDefault="003F469F" w:rsidP="004565D2"/>
    <w:p w:rsidR="004565D2" w:rsidRDefault="004565D2" w:rsidP="004565D2">
      <w:r w:rsidRPr="00E965F1">
        <w:t>Galvenais</w:t>
      </w:r>
      <w:r>
        <w:t xml:space="preserve"> kvantitatīvais</w:t>
      </w:r>
      <w:r w:rsidRPr="00E965F1">
        <w:t xml:space="preserve"> informācijas avots</w:t>
      </w:r>
      <w:r>
        <w:t>, lai raksturotu</w:t>
      </w:r>
      <w:r w:rsidRPr="00E965F1">
        <w:t xml:space="preserve"> nevienlīdzību, nabadzību un sociālo atstumtību gan Latvijas, gan ES līmenī ir EU-SILC apsekojum</w:t>
      </w:r>
      <w:r>
        <w:t>s</w:t>
      </w:r>
      <w:r w:rsidRPr="00E965F1">
        <w:t>. Tāds ir šīs aptaujas</w:t>
      </w:r>
      <w:r>
        <w:t xml:space="preserve"> </w:t>
      </w:r>
      <w:r w:rsidRPr="00E965F1">
        <w:t>mērķis un ga</w:t>
      </w:r>
      <w:r>
        <w:t xml:space="preserve">lvenais uzdevums, kas tādējādi </w:t>
      </w:r>
      <w:r w:rsidRPr="00E965F1">
        <w:t>nosaka apsekojuma ietvaros ikgadēji mērītos parametrus, kā arī atsevišķu moduļu pievienošanu katrā no apsekojuma gadiem</w:t>
      </w:r>
      <w:r>
        <w:rPr>
          <w:rStyle w:val="FootnoteReference"/>
        </w:rPr>
        <w:footnoteReference w:id="122"/>
      </w:r>
      <w:r w:rsidRPr="00E965F1">
        <w:t>. EU-SILC tiek izmantots visu valsts līmenī, kā arī noteiktu mērķa grupu līmenī esošo nevienlīdzību raksturojošo parametru aprēķināšanai un salīdzināšanai</w:t>
      </w:r>
      <w:r>
        <w:t>, t.sk., šī Izvērtējuma ietvaros</w:t>
      </w:r>
      <w:r w:rsidRPr="00E965F1">
        <w:t xml:space="preserve">. Šim nolūkam tiek izmantota starptautiski </w:t>
      </w:r>
      <w:r>
        <w:t xml:space="preserve">(ES līmenī) </w:t>
      </w:r>
      <w:r w:rsidRPr="00E965F1">
        <w:t xml:space="preserve">vienota metodoloģija, kas tādējādi var būt nepietiekami jūtīga pret vietējā līmenī (Latvijā) īstenoto nabadzības un sociālās atstumtības mazināšanas rīcībpolitiku. </w:t>
      </w:r>
      <w:r>
        <w:t>No nevienlīdzības, nabadzības un sociālās atstumtības novērtēšanas metodoloģijas starptautiskā rakstura izriet vairākas šī Izvērtējuma izstrādē konstatētās problēmas.</w:t>
      </w:r>
    </w:p>
    <w:p w:rsidR="004565D2" w:rsidRDefault="004565D2" w:rsidP="004565D2"/>
    <w:p w:rsidR="009577B2" w:rsidRDefault="004565D2" w:rsidP="009577B2">
      <w:pPr>
        <w:rPr>
          <w:highlight w:val="yellow"/>
        </w:rPr>
      </w:pPr>
      <w:r w:rsidRPr="002B4B4E">
        <w:t xml:space="preserve">Pirmkārt, lai gan EU-SILC apsekojums ir kopīgs datu avots gan CSP, gan </w:t>
      </w:r>
      <w:r w:rsidRPr="000D064B">
        <w:rPr>
          <w:i/>
        </w:rPr>
        <w:t>Eurostat</w:t>
      </w:r>
      <w:r w:rsidRPr="002B4B4E">
        <w:t xml:space="preserve"> aprēķinātajiem nevienlīdzības rādītājiem, tomēr datu salīdzināšanai dinamikā būtiski svarīgi ir izmantot </w:t>
      </w:r>
      <w:r w:rsidRPr="002B4B4E">
        <w:rPr>
          <w:b/>
        </w:rPr>
        <w:t>viena turētāja datus</w:t>
      </w:r>
      <w:r w:rsidRPr="002B4B4E">
        <w:t xml:space="preserve"> (CSP vai </w:t>
      </w:r>
      <w:r w:rsidRPr="000D064B">
        <w:rPr>
          <w:i/>
        </w:rPr>
        <w:t>Eurostat</w:t>
      </w:r>
      <w:r w:rsidRPr="002B4B4E">
        <w:t xml:space="preserve">). Tas tāpēc, ka atkarībā no datu turētāja – CSP vai </w:t>
      </w:r>
      <w:r w:rsidRPr="002B4B4E">
        <w:rPr>
          <w:i/>
        </w:rPr>
        <w:t>Eurostat</w:t>
      </w:r>
      <w:r w:rsidRPr="002B4B4E">
        <w:t xml:space="preserve"> – piemērotajām </w:t>
      </w:r>
      <w:r w:rsidR="009577B2">
        <w:t xml:space="preserve">atšķirīgajām </w:t>
      </w:r>
      <w:r w:rsidRPr="002B4B4E">
        <w:t>datu apstrādes</w:t>
      </w:r>
      <w:r w:rsidR="009577B2">
        <w:t>/ aprēķināšanas</w:t>
      </w:r>
      <w:r w:rsidRPr="002B4B4E">
        <w:t xml:space="preserve"> metodikām</w:t>
      </w:r>
      <w:r w:rsidR="009577B2" w:rsidRPr="009577B2">
        <w:t xml:space="preserve"> </w:t>
      </w:r>
      <w:r w:rsidR="009577B2">
        <w:t xml:space="preserve">iegūto </w:t>
      </w:r>
      <w:r w:rsidR="009577B2" w:rsidRPr="002B4B4E">
        <w:t>rādītāj</w:t>
      </w:r>
      <w:r w:rsidR="009577B2">
        <w:t>u vērtības nedaudz variē</w:t>
      </w:r>
      <w:r w:rsidRPr="002B4B4E">
        <w:t>. Piemēram, 1.</w:t>
      </w:r>
      <w:r>
        <w:t xml:space="preserve"> </w:t>
      </w:r>
      <w:r w:rsidRPr="002B4B4E">
        <w:t xml:space="preserve">ienākumu kvintiles augstākā robeža atbilstoši </w:t>
      </w:r>
      <w:r w:rsidRPr="002B4B4E">
        <w:rPr>
          <w:i/>
        </w:rPr>
        <w:t>Eurostat</w:t>
      </w:r>
      <w:r w:rsidRPr="002B4B4E">
        <w:t xml:space="preserve"> datiem </w:t>
      </w:r>
      <w:r w:rsidRPr="002B4B4E">
        <w:lastRenderedPageBreak/>
        <w:t>2015.gadā ir 275 EUR</w:t>
      </w:r>
      <w:r w:rsidRPr="002B4B4E">
        <w:rPr>
          <w:rStyle w:val="FootnoteReference"/>
        </w:rPr>
        <w:footnoteReference w:id="123"/>
      </w:r>
      <w:r w:rsidRPr="002B4B4E">
        <w:t>, kamēr atbilstoši CSP datiem – 225 EUR.</w:t>
      </w:r>
      <w:r>
        <w:t xml:space="preserve"> </w:t>
      </w:r>
      <w:r w:rsidR="009577B2">
        <w:t xml:space="preserve">Galvenās atšķirības CSP un </w:t>
      </w:r>
      <w:r w:rsidR="009577B2" w:rsidRPr="008475E4">
        <w:rPr>
          <w:i/>
        </w:rPr>
        <w:t>Eurostat</w:t>
      </w:r>
      <w:r w:rsidR="009577B2">
        <w:t xml:space="preserve"> rādītāju aprēķināšanas metodikā ir šādas:</w:t>
      </w:r>
      <w:r w:rsidR="009577B2" w:rsidRPr="009577B2">
        <w:rPr>
          <w:highlight w:val="yellow"/>
        </w:rPr>
        <w:t xml:space="preserve"> </w:t>
      </w:r>
    </w:p>
    <w:p w:rsidR="009577B2" w:rsidRPr="00E80D19" w:rsidRDefault="009577B2" w:rsidP="00E80D19">
      <w:pPr>
        <w:pStyle w:val="ListParagraph"/>
        <w:numPr>
          <w:ilvl w:val="0"/>
          <w:numId w:val="176"/>
        </w:numPr>
        <w:spacing w:line="276" w:lineRule="auto"/>
        <w:ind w:left="714" w:hanging="357"/>
        <w:contextualSpacing w:val="0"/>
        <w:jc w:val="both"/>
      </w:pPr>
      <w:r w:rsidRPr="00E80D19">
        <w:rPr>
          <w:i/>
        </w:rPr>
        <w:t>Eurostat</w:t>
      </w:r>
      <w:r w:rsidRPr="00E80D19">
        <w:t xml:space="preserve"> kvintiļu sadalei izmanto ekvivalentus ienākumus, CSP – ienākumus uz vienu mājsaimniecības locekli;</w:t>
      </w:r>
    </w:p>
    <w:p w:rsidR="009577B2" w:rsidRPr="00E80D19" w:rsidRDefault="009577B2" w:rsidP="00E80D19">
      <w:pPr>
        <w:pStyle w:val="ListParagraph"/>
        <w:numPr>
          <w:ilvl w:val="0"/>
          <w:numId w:val="176"/>
        </w:numPr>
        <w:spacing w:line="276" w:lineRule="auto"/>
        <w:ind w:left="714" w:hanging="357"/>
        <w:contextualSpacing w:val="0"/>
        <w:jc w:val="both"/>
      </w:pPr>
      <w:r w:rsidRPr="00E80D19">
        <w:rPr>
          <w:i/>
        </w:rPr>
        <w:t>Eurostat</w:t>
      </w:r>
      <w:r w:rsidRPr="00E80D19">
        <w:t xml:space="preserve"> vienādās grupās pēc ienākuma līmeņa (kvintiļu grupās, deciļu grupās u</w:t>
      </w:r>
      <w:r w:rsidR="00E80D19" w:rsidRPr="00E80D19">
        <w:t>.</w:t>
      </w:r>
      <w:r w:rsidRPr="00E80D19">
        <w:t>tml</w:t>
      </w:r>
      <w:r w:rsidR="00E80D19" w:rsidRPr="00E80D19">
        <w:t>.</w:t>
      </w:r>
      <w:r w:rsidRPr="00E80D19">
        <w:t xml:space="preserve">) sadala personas, CSP </w:t>
      </w:r>
      <w:r w:rsidR="00E80D19" w:rsidRPr="00E80D19">
        <w:t>–</w:t>
      </w:r>
      <w:r w:rsidRPr="00E80D19">
        <w:t xml:space="preserve"> mājsaimniecības;</w:t>
      </w:r>
    </w:p>
    <w:p w:rsidR="009577B2" w:rsidRPr="00E80D19" w:rsidRDefault="009577B2" w:rsidP="00E80D19">
      <w:pPr>
        <w:pStyle w:val="ListParagraph"/>
        <w:numPr>
          <w:ilvl w:val="0"/>
          <w:numId w:val="176"/>
        </w:numPr>
        <w:spacing w:line="276" w:lineRule="auto"/>
        <w:ind w:left="714" w:hanging="357"/>
        <w:contextualSpacing w:val="0"/>
        <w:jc w:val="both"/>
      </w:pPr>
      <w:r w:rsidRPr="00E80D19">
        <w:rPr>
          <w:i/>
        </w:rPr>
        <w:t>Eurostat</w:t>
      </w:r>
      <w:r w:rsidRPr="00E80D19">
        <w:t xml:space="preserve"> publicē datus ar atsauci uz apsekojuma gadu, CSP – ar atsauci uz ienākumu atskaites periodu (</w:t>
      </w:r>
      <w:r w:rsidR="00E80D19" w:rsidRPr="00E80D19">
        <w:t>t.i., no apsekojuma gada atņemot vienu gadu, piemēram, 2016. gadā veiktā apsekojuma dati raksturo 2015. gada ienākumus); šis pēdējais aspekts ir ņemts vērā, izstrādājot šo Izvērtējumu</w:t>
      </w:r>
      <w:r w:rsidR="008475E4">
        <w:t xml:space="preserve">, </w:t>
      </w:r>
      <w:r w:rsidR="008475E4" w:rsidRPr="008475E4">
        <w:rPr>
          <w:u w:val="single"/>
        </w:rPr>
        <w:t>atsaucēs zem tabulām un attēliem norādot ienākumu gūšanas gadu</w:t>
      </w:r>
      <w:r w:rsidR="008475E4">
        <w:t xml:space="preserve">. </w:t>
      </w:r>
    </w:p>
    <w:p w:rsidR="009577B2" w:rsidRDefault="009577B2" w:rsidP="009577B2"/>
    <w:p w:rsidR="004565D2" w:rsidRPr="002B4B4E" w:rsidRDefault="004565D2" w:rsidP="004565D2">
      <w:r w:rsidRPr="00E80D19">
        <w:t xml:space="preserve">Tā kā plašāku ieskatu nabadzības raksturošanai Latvijā sniedz CSP apkopotie dati un publikācijas, tad turpmākajos izvērtējumos nozīmīgi ir saglabāt sasaisti ar </w:t>
      </w:r>
      <w:r w:rsidR="00E80D19" w:rsidRPr="00E80D19">
        <w:t>nacionālo</w:t>
      </w:r>
      <w:r w:rsidRPr="00E80D19">
        <w:t xml:space="preserve"> datu avotu (it sevišķi situācijās, kad papildus aprēķiniem tiek izmantoti EU-SILC mikro līmeņa dati). </w:t>
      </w:r>
      <w:r w:rsidR="00E80D19" w:rsidRPr="00E80D19">
        <w:t>Tomēr š</w:t>
      </w:r>
      <w:r w:rsidRPr="00E80D19">
        <w:t xml:space="preserve">is aspekts ir </w:t>
      </w:r>
      <w:r w:rsidR="00E80D19" w:rsidRPr="00E80D19">
        <w:t xml:space="preserve">būtisks un noteikti </w:t>
      </w:r>
      <w:r w:rsidRPr="00E80D19">
        <w:t>jāņem vērā, veicot datu salīdzinājumu starptautiskā</w:t>
      </w:r>
      <w:r w:rsidR="00E80D19" w:rsidRPr="00E80D19">
        <w:t xml:space="preserve"> (ES)</w:t>
      </w:r>
      <w:r w:rsidRPr="00E80D19">
        <w:t xml:space="preserve"> perspektīvā.</w:t>
      </w:r>
    </w:p>
    <w:p w:rsidR="009577B2" w:rsidRDefault="009577B2" w:rsidP="004565D2"/>
    <w:p w:rsidR="004565D2" w:rsidRPr="0086005A" w:rsidRDefault="004565D2" w:rsidP="004565D2">
      <w:r>
        <w:t xml:space="preserve">Otrkārt, nozīmīga problēma nabadzības novērtējumā, īpaši attiecībā uz mājsaimniecībām ar vairākiem ģimenes locekļiem, tostarp bērniem, Latvijā ir pielietotās skalas katra mājsaimniecības locekļa patēriņa daļas noteikšanai (tā sauktās ekvivalences skalas), kas attiecīgi rezultātus parāda pozitīvākus par reālo situāciju valstī. Kopumā šī Izvērtējuma ietvaros, sekojot starptautiskajai metodoloģijai un Latvijas dalībai ES un OECD valstu grupā, ienākumu </w:t>
      </w:r>
      <w:r w:rsidRPr="0086005A">
        <w:t xml:space="preserve">analīzē ir izmantota </w:t>
      </w:r>
      <w:r w:rsidRPr="005D0767">
        <w:rPr>
          <w:i/>
        </w:rPr>
        <w:t>Eurostat</w:t>
      </w:r>
      <w:r w:rsidRPr="0086005A">
        <w:t xml:space="preserve"> pieeja, lietojot OECD modificēt</w:t>
      </w:r>
      <w:r w:rsidR="005D0767">
        <w:t>o</w:t>
      </w:r>
      <w:r w:rsidRPr="0086005A">
        <w:t xml:space="preserve"> ekvivalences skalu. Tā paredz, ka pirmajam pieaugušajam mājsaimniecībā ekvivalentais svars ir 1, otrajam un katram nākamajam mājsaimniecības loceklim virs 14 gadu vecuma – 0,5 (patēriņš 50% apmērā no pirmā mājsaimniecības locekļa) un bērniem līdz 14 gadu vecumam – 0,3 (patēriņš 30% apmērā no pirmā mājsaimniecības locekļa). Tādējādi bērnu līdz 14 gadu vecumam patēriņa īpatsvars tiek aprēķināts salīdzinoši mazs, un, ņemot vērā Latvijas situāciju, nepietiekami zems. Otra praksē izmantota skala ir OECD (nemodificētā) ekvivalences skala, kur</w:t>
      </w:r>
      <w:r>
        <w:t>a paredz lielāku koeficientu piešķiršanu katram nākamajam mājsaimniecības loceklim. Tā šīs skalas ietvaros</w:t>
      </w:r>
      <w:r w:rsidRPr="0086005A">
        <w:t xml:space="preserve"> pirmajam pieaugušajam tiek piešķirta vērtība 1, mājsaimniecību locekļiem virs 14 gadu vecuma – 0,7 (patēriņš 70% apmērā no pirmā mājsaimniecības locekļa) un bērniem līdz 14 gadu vecumam – 0,5 (patēriņš 50% apmērā no pirmā mājsaimniecības locekļa). </w:t>
      </w:r>
      <w:r>
        <w:t xml:space="preserve">Ņemot vērā abu skalu atšķirību, vērtējot nabadzības un sociālās atstumtības indikatorus, jārēķinās ar to, ka noteiktās iedzīvotāju grupās, piemēram, daudzbērnu ģimenēs, kuru situācijas izvērtējumu īpaši ietekmē modificētās ekvivalences skalā lietotie koeficienti, nabadzības riski </w:t>
      </w:r>
      <w:r w:rsidR="005D0767">
        <w:t>var būt</w:t>
      </w:r>
      <w:r>
        <w:t xml:space="preserve"> augstāki, nekā tie ir aprēķināti, balstoties uz starptautiskajiem </w:t>
      </w:r>
      <w:r w:rsidR="00941067">
        <w:t xml:space="preserve">statistikas </w:t>
      </w:r>
      <w:r>
        <w:t>standartiem.</w:t>
      </w:r>
    </w:p>
    <w:p w:rsidR="004565D2" w:rsidRDefault="004565D2" w:rsidP="004565D2">
      <w:pPr>
        <w:rPr>
          <w:highlight w:val="yellow"/>
        </w:rPr>
      </w:pPr>
    </w:p>
    <w:p w:rsidR="004565D2" w:rsidRPr="00C63821" w:rsidRDefault="004565D2" w:rsidP="004565D2">
      <w:r w:rsidRPr="002B4B4E">
        <w:t>Treškārt, kā minēts datu aprakstā 1.2. sadaļas apakšnodaļās, sociālie zinātnieki, analizējot nabadzības</w:t>
      </w:r>
      <w:r>
        <w:t xml:space="preserve"> un sociālās atstumtības rādītāju piemērotību situācijas raksturošanai, vērš uzmanību uz šobrīd lietoto indikatoru ierobežojumiem un uz nepieciešamību nevienlīdzību un nabadzību analizēt plašākā kontekstā. Piemēram, </w:t>
      </w:r>
      <w:r w:rsidRPr="00C63821">
        <w:t>LU Sociālo un politisko pētījumu institūta pētnieks</w:t>
      </w:r>
      <w:r>
        <w:t xml:space="preserve"> M.Niklass norāda, </w:t>
      </w:r>
      <w:r>
        <w:lastRenderedPageBreak/>
        <w:t xml:space="preserve">ka nabadzības riska indekss nav pietiekami informatīvs rādītājs gan situācijas raksturošanai Latvijā, gan starptautiskajam salīdzinājumam, jo ir par daudz atkarīgs no iedzīvotāju ienākumu līmeņa un struktūras savstarpējām attiecībām un ekonomiskas lejupslīdes apstākļos var būt zemāks, nekā situācijai uzlabojoties. Vienlaikus nabadzības riska indekss neļauj izvērtēt, cik lieli ir personas ierobežojumi iegādāties nepieciešamās preces un pakalpojumus. Autors secina, ka jēgpilnāk </w:t>
      </w:r>
      <w:r w:rsidRPr="00C63821">
        <w:t>situācijas raksturošanai ir izmantot materiālās nenodrošinātības un dziļas materiālās nenodrošinātības indeksus. Vienlaikus M.Niklass kritiski vērtē šī indeksa aprēķināšanā iekļautās izmaksu pozīcijas, kuru segšanas iespējas tiek noteiktas mērījumā, norādot, ka vairākas preču grupas, vismaz Latvijas</w:t>
      </w:r>
      <w:r>
        <w:t xml:space="preserve"> ietvaros, nav informatīvas</w:t>
      </w:r>
      <w:r w:rsidRPr="00C63821">
        <w:t>.</w:t>
      </w:r>
      <w:r>
        <w:t xml:space="preserve"> Šeit M.Niklass norāda, ka, ņemot vērā Latvijas kontekstu, proti, augsto pacientu tiešmaksājumu īpatsvaru veselības aprūpē, šie izdevumi būtu viena no pozīcijām, kas iekļaujama indeksa aprēķināšanā</w:t>
      </w:r>
      <w:r>
        <w:rPr>
          <w:rStyle w:val="FootnoteReference"/>
        </w:rPr>
        <w:footnoteReference w:id="124"/>
      </w:r>
      <w:r>
        <w:t>. Ņemot vērā autora veiktos aprēķinus (sk. materiālās nenodrošinātības indeksa analīzes apakšnodaļā), ieteicams izvērtēt, vai Latvijas EU-SILC apsekojuma anketā būtu iespējams iekļaut veselības aprūpes pakalpojumu aspektu, it sevišķi ņemot vērā šī Izvērtējuma 2. sadaļas rezultātus par sastaptās nevienlīdzības veselības aprūpes jomā saistību ar personas ienākumiem.</w:t>
      </w:r>
    </w:p>
    <w:p w:rsidR="004D7F49" w:rsidRDefault="004D7F49" w:rsidP="004565D2"/>
    <w:p w:rsidR="004565D2" w:rsidRDefault="004565D2" w:rsidP="004565D2">
      <w:r w:rsidRPr="00E965F1">
        <w:t xml:space="preserve">Lai gan EU-SILC </w:t>
      </w:r>
      <w:r w:rsidRPr="00391DF1">
        <w:rPr>
          <w:b/>
        </w:rPr>
        <w:t xml:space="preserve">ļauj novērtēt nabadzības indikatorus sabiedrībā kopumā, informāciju par </w:t>
      </w:r>
      <w:r>
        <w:rPr>
          <w:b/>
        </w:rPr>
        <w:t xml:space="preserve">šaurākām </w:t>
      </w:r>
      <w:r w:rsidRPr="00391DF1">
        <w:rPr>
          <w:b/>
        </w:rPr>
        <w:t>specifiskām mērķa grupām, kuras var tikt pakļautas nabadzības riskam</w:t>
      </w:r>
      <w:r w:rsidRPr="00E965F1">
        <w:t xml:space="preserve"> (piemēram, noteiktas etniskās grupas, </w:t>
      </w:r>
      <w:r>
        <w:t xml:space="preserve">no ieslodzījuma vietām atbrīvotas personas, </w:t>
      </w:r>
      <w:r w:rsidRPr="00E965F1">
        <w:t xml:space="preserve">personas ar invaliditāti u.tml.), </w:t>
      </w:r>
      <w:r w:rsidRPr="00391DF1">
        <w:rPr>
          <w:b/>
        </w:rPr>
        <w:t>apsekojums iegūt neļauj</w:t>
      </w:r>
      <w:r w:rsidRPr="00E965F1">
        <w:t>. Kopumā attiecībā uz šādām mērķa grupām ir raksturīgs īstenot ES un vietēja līmeņa specifiskas aptaujas, kas Latvijā pēdējo gadu laikā nav īstenotas (izņem</w:t>
      </w:r>
      <w:r>
        <w:t>o</w:t>
      </w:r>
      <w:r w:rsidRPr="00E965F1">
        <w:t>t attiecībā uz personām ar invaliditāti, kuru situācij</w:t>
      </w:r>
      <w:r>
        <w:t>as</w:t>
      </w:r>
      <w:r w:rsidRPr="00E965F1">
        <w:t xml:space="preserve"> izpēti dažādā regularitātē veic Tiesībsarga birojs).</w:t>
      </w:r>
      <w:r>
        <w:t xml:space="preserve"> Šie dati iztrūkst ne tikai Izvērtējuma autoriem, bet arī Izvērtējumā intervētajiem ekspertiem, it sevišķi par personām ar invaliditāti dalījumā pēc traucējumu veidiem, kā arī iedalījumā pēc ļoti specifiskām mērķa grupām, piemēram, pensijas vecuma romi.</w:t>
      </w:r>
    </w:p>
    <w:p w:rsidR="004565D2" w:rsidRPr="00F438DF" w:rsidRDefault="004565D2" w:rsidP="004565D2"/>
    <w:p w:rsidR="004565D2" w:rsidRPr="00F438DF" w:rsidRDefault="004565D2" w:rsidP="004565D2">
      <w:r w:rsidRPr="00F438DF">
        <w:t>Otrs nozīmīgs datu avots par situāciju nabadzības un tās mazināšanas jomā ir administratīvie dati. Tie iegūstami no dažādiem datu turētājiem. Šī Izvērtējuma kontekstā nozīmīgākie ir VSAA par sociālās apdrošināšanas un sociālos pakalpojumus saņēmušajām personām un pašvaldības, no kurām tiek iegūta informācija par personu skaitu, kas saņēmušas sociālo palīdzību un kādā apmērā. Tā kā noteiktas mērķa grupas, piemēram, personas ar invaliditāti, ir gan VSAA sociālās apdrošināšanas un sociālo pakalpojumu saņēmējas, gan pašvaldības sociālās palīdzības saņēmējas, iegūt vienotu pārskatu par palīdzību, kas iegūta no abiem (visiem) resursiem, nav iespējams. Tādējādi šī informācija dod ierobežotu priekšstatu – vai nu par personas ienākumiem, kas izriet no VSAA datiem, vai par personu ienākumiem agregētā līmenī, kas izriet no pašvaldību iesniegtajiem datiem LM. Līdz ar to šādu datu iegūšana mikro līmenī un analizēšana ir administratīvi sarežģīta un laikietilpīga, attiecīgi tā tiek veikta reizi vidējā termiņā (piecu līdz septiņu gadu posmā), parasti iesaistoties starptautiskām institūcijām (Pasaules Banka, OECD). Pēdējais šādu vairāku administratīvo datu savienošanas un vienotas analīzes piemērs ir OECD izvērtējums Latvijas aktīvo nodarbinātības pasākumu izvērtējumam</w:t>
      </w:r>
      <w:r w:rsidRPr="00F438DF">
        <w:rPr>
          <w:rStyle w:val="FootnoteReference"/>
        </w:rPr>
        <w:footnoteReference w:id="125"/>
      </w:r>
      <w:r w:rsidRPr="00F438DF">
        <w:t>.</w:t>
      </w:r>
    </w:p>
    <w:p w:rsidR="004565D2" w:rsidRDefault="00AA32A2" w:rsidP="004565D2">
      <w:r>
        <w:lastRenderedPageBreak/>
        <w:t>Šī I</w:t>
      </w:r>
      <w:r w:rsidR="004565D2" w:rsidRPr="00F438DF">
        <w:t xml:space="preserve">zvērtējuma ietvaros personu ar invaliditāti ienākumu raksturošanai ir izmantoti tikai VSAA dati, kuru analīze sniedz būtisku ieskatu tajā ienākumu struktūras daļā, kuru uzkrāj šī institūcija. Kā viens no būtiskākajiem datu analīzes ierobežojumiem ir personas invaliditātes statusa maiņa gada ietvaros – pāriešana no invaliditātes pensijas uz vecuma pensijas saņemšanu, invaliditātes grupas maiņa u.tml., kas tādējādi padara neviendabīgāku analizējamo personu kopumu. Jāatzīmē, ka datu kvalitātes izprašanai būtu noderīga papildu informācija par noteiktu sociālo transfertu zemo apmēru iemesliem vai ienākumiem no saimnieciskās darbības vai algas rakstura (piemēram, vai persona ir darbinieks kādā iestādē vai gūst ienākumus kā saimnieciskās darbības veicējs). Tas tādēļ, ka mikro datu masīvā ir gan ļoti zemas, gan ļoti augstas (galējas) vērtības, kas ietekmē iegūtos vidējos rezultātus, un reālās situācijas izprašanai būtu lietderīga informācija, kas paskaidro šo galējo vērtību rašanās iemeslus. Tā kā iepriekšējā posma nabadzības un sociālās atstumtības mazināšanas rīcībpolitiku ietekmes izvērtējums šādu VSAA datu analīzi neietvēra, lai turpmākie Izvērtējumi būtu salīdzināmi, svarīgi </w:t>
      </w:r>
      <w:r w:rsidR="004565D2">
        <w:t xml:space="preserve">ir </w:t>
      </w:r>
      <w:r w:rsidR="004565D2" w:rsidRPr="00F438DF">
        <w:t>izstrādāt vienotu datu analīzes metodiku, kas tiktu ievērota arī turpmāk, piemēram, ietverot instrukcijas, kādā veidā notiek kopējā mikro datu masīva par katru gadu apstrāde (instrukcija par gada griezumā nepilno datu iekļaušanu vai izslēgšanu, personu ar mainīgiem statusiem uzskaitīšana, galējo vērtību iekļaušana vai izslēgšana u.tml.).</w:t>
      </w:r>
    </w:p>
    <w:p w:rsidR="004565D2" w:rsidRPr="00F438DF" w:rsidRDefault="004565D2" w:rsidP="004565D2"/>
    <w:p w:rsidR="00A835E5" w:rsidRDefault="00A835E5" w:rsidP="003945E0">
      <w:pPr>
        <w:pStyle w:val="Heading2"/>
      </w:pPr>
      <w:bookmarkStart w:id="364" w:name="_Toc6841564"/>
      <w:r w:rsidRPr="00082655">
        <w:t xml:space="preserve">Secinājumi par galvenajām tendencēm nabadzības un sociālās atstumtības jomā </w:t>
      </w:r>
      <w:r w:rsidR="001605F9" w:rsidRPr="00082655">
        <w:t>2015.-2016.</w:t>
      </w:r>
      <w:r w:rsidR="00DE1C08">
        <w:t xml:space="preserve"> </w:t>
      </w:r>
      <w:r w:rsidR="00774AB1">
        <w:t>g</w:t>
      </w:r>
      <w:r w:rsidR="001605F9" w:rsidRPr="00082655">
        <w:t>adā</w:t>
      </w:r>
      <w:bookmarkEnd w:id="364"/>
    </w:p>
    <w:p w:rsidR="003F469F" w:rsidRDefault="003F469F" w:rsidP="003F469F">
      <w:r>
        <w:t>Izvērtējuma periodā – 2015., 2016. gadā - aizsāktās vai notikušās i</w:t>
      </w:r>
      <w:r w:rsidRPr="002267DE">
        <w:t>zmaiņas, kas ietekmē</w:t>
      </w:r>
      <w:r>
        <w:t>ja</w:t>
      </w:r>
      <w:r w:rsidRPr="002267DE">
        <w:t xml:space="preserve"> iedzīvotāju ienākumus, nabadzības un sociālās atstumtības riskus</w:t>
      </w:r>
      <w:r>
        <w:t>,</w:t>
      </w:r>
      <w:r w:rsidRPr="002267DE">
        <w:t xml:space="preserve"> </w:t>
      </w:r>
      <w:r>
        <w:t>tika</w:t>
      </w:r>
      <w:r w:rsidRPr="002267DE">
        <w:t xml:space="preserve"> </w:t>
      </w:r>
      <w:r w:rsidRPr="002B31A7">
        <w:t>veiktas dažādās politikas nozarēs –</w:t>
      </w:r>
      <w:r w:rsidRPr="002267DE">
        <w:t xml:space="preserve"> sociālās aizsardzības, sociālās iekļaušanas, bērnu un ģimenes, darba, finanšu, nodokļu un enerģētikas politikas nozarēs.</w:t>
      </w:r>
      <w:r>
        <w:t xml:space="preserve"> Salīdzinot 2015. gadā un 2016. gadā uzsāktos un/ vai īstenotos rīcībpolitikas pasākumus, jāsecina, ka 2015. gada izmaiņām ir bijusi plašāka ietekme uz nabadzības un sociālās atstumtības riska grupu tiešajiem ienākumiem. Vairākiem rīcībpolitikas pasākumiem to ietekme Izvērtējuma periodā vēl nebija novērtējama (diferencētā neapliekamā minimuma ieviešana, solidaritātes nodoklis). </w:t>
      </w:r>
      <w:r w:rsidRPr="00DE09E2">
        <w:t xml:space="preserve">Jāņem gan vērā, ka ikvienas izmaiņas rada kā tūlītēju, tā vidēja termiņa un ilgtermiņa efektu, tāpēc </w:t>
      </w:r>
      <w:r>
        <w:t xml:space="preserve">reizēm </w:t>
      </w:r>
      <w:r w:rsidRPr="00DE09E2">
        <w:t>ir grūti apgalvot, ka konkrētā gadā veiktās izmaiņas ir vai nav radījušas tiešu ietekmi uz konkrētu mērķa grupu situāciju attiecīgajā periodā.</w:t>
      </w:r>
    </w:p>
    <w:p w:rsidR="003F469F" w:rsidRDefault="003F469F" w:rsidP="003F469F"/>
    <w:p w:rsidR="003F469F" w:rsidRDefault="003F469F" w:rsidP="003F469F">
      <w:r>
        <w:t xml:space="preserve">2015. gadā veiktās izmaiņas lielākā mērā bija vērstas uz nabadzības un sociālās atstumtības riskam pakļauto mērķa grupu tiešo ienākumu palielināšanu, nekā tas bija 2016. gadā. Vairākiem pasākumiem Izvērtējuma periodā nav novērojama ietekme nedz uz tiešajiem, nedz netiešajiem ienākumiem – piemēram, Kredītinformācijas biroju likuma pieņemšana, Maksātnespējas likuma izmaiņas, apjomīgie grozījumi Darba likumā, solidaritātes nodokļa ieviešana, diferencētā neapliekamā minimuma ieviešana, IIN atvieglojumu ierobežojumu noteikšana attiecībā uz pieaugušām apgādībā esošām personām. </w:t>
      </w:r>
    </w:p>
    <w:p w:rsidR="003F469F" w:rsidRDefault="003F469F" w:rsidP="003F469F"/>
    <w:p w:rsidR="00725B08" w:rsidRDefault="003F469F" w:rsidP="00725B08">
      <w:r>
        <w:t>1.</w:t>
      </w:r>
      <w:r w:rsidR="00E21C32">
        <w:t>4</w:t>
      </w:r>
      <w:r w:rsidR="00725B08">
        <w:t>7</w:t>
      </w:r>
      <w:r>
        <w:t xml:space="preserve">. tabulā </w:t>
      </w:r>
      <w:r w:rsidR="00663CA9">
        <w:t xml:space="preserve">(sk. nākamajā lapā) </w:t>
      </w:r>
      <w:r>
        <w:t>ir apkopoti galvenie rīcībpolitikas pasākumi, kas ietekmēja nabadzības un sociālās atstumtības riskam pakļautās iedzīvotāju grupas</w:t>
      </w:r>
      <w:r w:rsidR="004D160C">
        <w:t xml:space="preserve"> (definētas atbilstoši TS)</w:t>
      </w:r>
      <w:r>
        <w:t xml:space="preserve">, </w:t>
      </w:r>
      <w:r>
        <w:lastRenderedPageBreak/>
        <w:t xml:space="preserve">norādot, vai konkrētais pasākums ietekmēja šo grupu tiešos vai netiešos ienākumus (sk. jēdzienu un terminu skaidrojumu). </w:t>
      </w:r>
    </w:p>
    <w:p w:rsidR="003F469F" w:rsidRDefault="003F469F" w:rsidP="003F469F">
      <w:pPr>
        <w:pStyle w:val="Caption"/>
      </w:pPr>
      <w:r>
        <w:t>1.</w:t>
      </w:r>
      <w:r w:rsidR="000A7157">
        <w:t>4</w:t>
      </w:r>
      <w:r w:rsidR="00260FD3">
        <w:t>7</w:t>
      </w:r>
      <w:r>
        <w:t>. tabula. Rīcībpolitikas pasākumi nabadzības un sociālās atstumtības riskam pakļauto mērķa grupu ienākumu palielināšanai 2015.-2016. gadā</w:t>
      </w:r>
    </w:p>
    <w:tbl>
      <w:tblPr>
        <w:tblStyle w:val="TableGrid"/>
        <w:tblW w:w="0" w:type="auto"/>
        <w:tblLook w:val="04A0"/>
      </w:tblPr>
      <w:tblGrid>
        <w:gridCol w:w="3510"/>
        <w:gridCol w:w="4253"/>
        <w:gridCol w:w="2145"/>
      </w:tblGrid>
      <w:tr w:rsidR="003F469F" w:rsidRPr="00037D97" w:rsidTr="006106B3">
        <w:tc>
          <w:tcPr>
            <w:tcW w:w="3510" w:type="dxa"/>
            <w:shd w:val="clear" w:color="auto" w:fill="B8CCE4" w:themeFill="accent1" w:themeFillTint="66"/>
            <w:vAlign w:val="center"/>
          </w:tcPr>
          <w:p w:rsidR="003F469F" w:rsidRPr="00037D97" w:rsidRDefault="003F469F" w:rsidP="006D1607">
            <w:pPr>
              <w:jc w:val="center"/>
              <w:rPr>
                <w:b/>
                <w:color w:val="002060"/>
                <w:sz w:val="22"/>
                <w:szCs w:val="22"/>
              </w:rPr>
            </w:pPr>
            <w:r w:rsidRPr="00037D97">
              <w:rPr>
                <w:b/>
                <w:color w:val="002060"/>
                <w:sz w:val="22"/>
                <w:szCs w:val="22"/>
              </w:rPr>
              <w:t>Mērķētā atbalsta veids</w:t>
            </w:r>
          </w:p>
        </w:tc>
        <w:tc>
          <w:tcPr>
            <w:tcW w:w="4253" w:type="dxa"/>
            <w:shd w:val="clear" w:color="auto" w:fill="B8CCE4" w:themeFill="accent1" w:themeFillTint="66"/>
            <w:vAlign w:val="center"/>
          </w:tcPr>
          <w:p w:rsidR="006106B3" w:rsidRPr="00037D97" w:rsidRDefault="003F469F" w:rsidP="006D1607">
            <w:pPr>
              <w:jc w:val="center"/>
              <w:rPr>
                <w:b/>
                <w:color w:val="002060"/>
                <w:sz w:val="22"/>
                <w:szCs w:val="22"/>
              </w:rPr>
            </w:pPr>
            <w:r w:rsidRPr="00037D97">
              <w:rPr>
                <w:b/>
                <w:color w:val="002060"/>
                <w:sz w:val="22"/>
                <w:szCs w:val="22"/>
              </w:rPr>
              <w:t>Nabadzības un sociālās atstumtības riskam pakļautās mērķa grupas</w:t>
            </w:r>
            <w:r w:rsidR="004D160C" w:rsidRPr="00037D97">
              <w:rPr>
                <w:b/>
                <w:color w:val="002060"/>
                <w:sz w:val="22"/>
                <w:szCs w:val="22"/>
              </w:rPr>
              <w:t xml:space="preserve"> </w:t>
            </w:r>
          </w:p>
          <w:p w:rsidR="003F469F" w:rsidRPr="00037D97" w:rsidRDefault="004D160C" w:rsidP="006D1607">
            <w:pPr>
              <w:jc w:val="center"/>
              <w:rPr>
                <w:b/>
                <w:color w:val="002060"/>
                <w:sz w:val="22"/>
                <w:szCs w:val="22"/>
              </w:rPr>
            </w:pPr>
            <w:r w:rsidRPr="00037D97">
              <w:rPr>
                <w:b/>
                <w:color w:val="002060"/>
                <w:sz w:val="22"/>
                <w:szCs w:val="22"/>
              </w:rPr>
              <w:t>(atbilstoši TS)</w:t>
            </w:r>
          </w:p>
        </w:tc>
        <w:tc>
          <w:tcPr>
            <w:tcW w:w="2145" w:type="dxa"/>
            <w:shd w:val="clear" w:color="auto" w:fill="B8CCE4" w:themeFill="accent1" w:themeFillTint="66"/>
            <w:vAlign w:val="center"/>
          </w:tcPr>
          <w:p w:rsidR="003F469F" w:rsidRPr="00037D97" w:rsidRDefault="003F469F" w:rsidP="006D1607">
            <w:pPr>
              <w:jc w:val="center"/>
              <w:rPr>
                <w:b/>
                <w:color w:val="002060"/>
                <w:sz w:val="22"/>
                <w:szCs w:val="22"/>
              </w:rPr>
            </w:pPr>
            <w:r w:rsidRPr="00037D97">
              <w:rPr>
                <w:b/>
                <w:color w:val="002060"/>
                <w:sz w:val="22"/>
                <w:szCs w:val="22"/>
              </w:rPr>
              <w:t>Ietekme uz tiešajiem/ netiešajiem ienākumiem</w:t>
            </w:r>
          </w:p>
        </w:tc>
      </w:tr>
      <w:tr w:rsidR="003F469F" w:rsidRPr="00D10361" w:rsidTr="00FA1B47">
        <w:tc>
          <w:tcPr>
            <w:tcW w:w="3510" w:type="dxa"/>
            <w:vAlign w:val="center"/>
          </w:tcPr>
          <w:p w:rsidR="003F469F" w:rsidRPr="00FA1B47" w:rsidRDefault="003F469F" w:rsidP="006D1607">
            <w:pPr>
              <w:spacing w:line="240" w:lineRule="auto"/>
              <w:rPr>
                <w:sz w:val="22"/>
                <w:szCs w:val="22"/>
              </w:rPr>
            </w:pPr>
            <w:r w:rsidRPr="00FA1B47">
              <w:rPr>
                <w:sz w:val="22"/>
                <w:szCs w:val="22"/>
              </w:rPr>
              <w:t>Minimālās algas palielināšana</w:t>
            </w:r>
          </w:p>
        </w:tc>
        <w:tc>
          <w:tcPr>
            <w:tcW w:w="4253" w:type="dxa"/>
            <w:vAlign w:val="center"/>
          </w:tcPr>
          <w:p w:rsidR="003F469F" w:rsidRPr="00FA1B47" w:rsidRDefault="003F469F" w:rsidP="006D1607">
            <w:pPr>
              <w:spacing w:line="240" w:lineRule="auto"/>
              <w:jc w:val="left"/>
              <w:rPr>
                <w:sz w:val="22"/>
                <w:szCs w:val="22"/>
              </w:rPr>
            </w:pPr>
            <w:r w:rsidRPr="00FA1B47">
              <w:rPr>
                <w:sz w:val="22"/>
                <w:szCs w:val="22"/>
              </w:rPr>
              <w:t xml:space="preserve">Strādājošie ar zemiem ienākumiem (līdz minimālajai algai), t.sk. ģimenes ar bērniem, īpaši viena </w:t>
            </w:r>
            <w:r w:rsidR="00BA1727">
              <w:t>vecāka mājsaimniecības</w:t>
            </w:r>
          </w:p>
          <w:p w:rsidR="003F469F" w:rsidRPr="00FA1B47" w:rsidRDefault="003F469F" w:rsidP="006D1607">
            <w:pPr>
              <w:spacing w:line="240" w:lineRule="auto"/>
              <w:jc w:val="left"/>
              <w:rPr>
                <w:sz w:val="22"/>
                <w:szCs w:val="22"/>
              </w:rPr>
            </w:pPr>
            <w:r w:rsidRPr="00FA1B47">
              <w:rPr>
                <w:sz w:val="22"/>
                <w:szCs w:val="22"/>
              </w:rPr>
              <w:t>Bērni</w:t>
            </w:r>
          </w:p>
          <w:p w:rsidR="003F469F" w:rsidRPr="00FA1B47" w:rsidRDefault="003F469F" w:rsidP="006D1607">
            <w:pPr>
              <w:spacing w:line="240" w:lineRule="auto"/>
              <w:jc w:val="left"/>
              <w:rPr>
                <w:sz w:val="22"/>
                <w:szCs w:val="22"/>
              </w:rPr>
            </w:pPr>
            <w:r w:rsidRPr="00FA1B47">
              <w:rPr>
                <w:sz w:val="22"/>
                <w:szCs w:val="22"/>
              </w:rPr>
              <w:t xml:space="preserve">Maznodrošinātas personas </w:t>
            </w:r>
          </w:p>
        </w:tc>
        <w:tc>
          <w:tcPr>
            <w:tcW w:w="2145" w:type="dxa"/>
            <w:vAlign w:val="center"/>
          </w:tcPr>
          <w:p w:rsidR="003F469F" w:rsidRPr="00FA1B47" w:rsidRDefault="003F469F" w:rsidP="006D1607">
            <w:pPr>
              <w:spacing w:line="240" w:lineRule="auto"/>
              <w:jc w:val="left"/>
              <w:rPr>
                <w:sz w:val="22"/>
                <w:szCs w:val="22"/>
              </w:rPr>
            </w:pPr>
            <w:r w:rsidRPr="00FA1B47">
              <w:rPr>
                <w:sz w:val="22"/>
                <w:szCs w:val="22"/>
              </w:rPr>
              <w:t>Tiešo ienākumu palielināšanās (ar nosacījumiem)</w:t>
            </w:r>
          </w:p>
        </w:tc>
      </w:tr>
      <w:tr w:rsidR="003F469F" w:rsidRPr="00D10361" w:rsidTr="00FA1B47">
        <w:tc>
          <w:tcPr>
            <w:tcW w:w="3510" w:type="dxa"/>
            <w:vAlign w:val="center"/>
          </w:tcPr>
          <w:p w:rsidR="003F469F" w:rsidRPr="00FA1B47" w:rsidRDefault="003F469F" w:rsidP="006D1607">
            <w:pPr>
              <w:spacing w:line="240" w:lineRule="auto"/>
              <w:jc w:val="left"/>
              <w:rPr>
                <w:sz w:val="22"/>
                <w:szCs w:val="22"/>
              </w:rPr>
            </w:pPr>
            <w:r w:rsidRPr="00FA1B47">
              <w:rPr>
                <w:sz w:val="22"/>
                <w:szCs w:val="22"/>
              </w:rPr>
              <w:t>Minimālā valsts uzturlīdzekļu apmēra palielināšana</w:t>
            </w:r>
          </w:p>
        </w:tc>
        <w:tc>
          <w:tcPr>
            <w:tcW w:w="4253" w:type="dxa"/>
            <w:vAlign w:val="center"/>
          </w:tcPr>
          <w:p w:rsidR="003F469F" w:rsidRPr="00FA1B47" w:rsidRDefault="003F469F" w:rsidP="006D1607">
            <w:pPr>
              <w:spacing w:line="240" w:lineRule="auto"/>
              <w:jc w:val="left"/>
              <w:rPr>
                <w:sz w:val="22"/>
                <w:szCs w:val="22"/>
              </w:rPr>
            </w:pPr>
            <w:r w:rsidRPr="00FA1B47">
              <w:rPr>
                <w:sz w:val="22"/>
                <w:szCs w:val="22"/>
              </w:rPr>
              <w:t xml:space="preserve">Viena </w:t>
            </w:r>
            <w:r w:rsidR="00BA1727">
              <w:t>vecāka mājsaimniecības</w:t>
            </w:r>
            <w:r w:rsidRPr="00FA1B47">
              <w:rPr>
                <w:sz w:val="22"/>
                <w:szCs w:val="22"/>
              </w:rPr>
              <w:t>, ja tās saņem uzturlīdzekļus no otra vecāka (t.sk. maznodrošinātas personas)</w:t>
            </w:r>
          </w:p>
          <w:p w:rsidR="003F469F" w:rsidRPr="00FA1B47" w:rsidRDefault="003F469F" w:rsidP="006D1607">
            <w:pPr>
              <w:spacing w:line="240" w:lineRule="auto"/>
              <w:jc w:val="left"/>
              <w:rPr>
                <w:sz w:val="22"/>
                <w:szCs w:val="22"/>
              </w:rPr>
            </w:pPr>
            <w:r w:rsidRPr="00FA1B47">
              <w:rPr>
                <w:sz w:val="22"/>
                <w:szCs w:val="22"/>
              </w:rPr>
              <w:t>Bērni</w:t>
            </w:r>
          </w:p>
        </w:tc>
        <w:tc>
          <w:tcPr>
            <w:tcW w:w="2145" w:type="dxa"/>
            <w:vAlign w:val="center"/>
          </w:tcPr>
          <w:p w:rsidR="003F469F" w:rsidRPr="00FA1B47" w:rsidRDefault="003F469F" w:rsidP="006D1607">
            <w:pPr>
              <w:spacing w:line="240" w:lineRule="auto"/>
              <w:jc w:val="left"/>
              <w:rPr>
                <w:sz w:val="22"/>
                <w:szCs w:val="22"/>
              </w:rPr>
            </w:pPr>
            <w:r w:rsidRPr="00FA1B47">
              <w:rPr>
                <w:sz w:val="22"/>
                <w:szCs w:val="22"/>
              </w:rPr>
              <w:t>Tiešo ienākumu palielināšanās</w:t>
            </w:r>
          </w:p>
        </w:tc>
      </w:tr>
      <w:tr w:rsidR="003F469F" w:rsidRPr="00D10361" w:rsidTr="00FA1B47">
        <w:tc>
          <w:tcPr>
            <w:tcW w:w="3510" w:type="dxa"/>
            <w:vAlign w:val="center"/>
          </w:tcPr>
          <w:p w:rsidR="003F469F" w:rsidRPr="00FA1B47" w:rsidRDefault="003F469F" w:rsidP="004D160C">
            <w:pPr>
              <w:spacing w:line="240" w:lineRule="auto"/>
              <w:rPr>
                <w:sz w:val="22"/>
                <w:szCs w:val="22"/>
              </w:rPr>
            </w:pPr>
            <w:r w:rsidRPr="00FA1B47">
              <w:rPr>
                <w:sz w:val="22"/>
                <w:szCs w:val="22"/>
              </w:rPr>
              <w:t>Valsts sociāl</w:t>
            </w:r>
            <w:r w:rsidR="004D160C" w:rsidRPr="00FA1B47">
              <w:rPr>
                <w:sz w:val="22"/>
                <w:szCs w:val="22"/>
              </w:rPr>
              <w:t>ās apdrošināšanas</w:t>
            </w:r>
            <w:r w:rsidRPr="00FA1B47">
              <w:rPr>
                <w:sz w:val="22"/>
                <w:szCs w:val="22"/>
              </w:rPr>
              <w:t xml:space="preserve"> pabalstu „griestu” atcelšana</w:t>
            </w:r>
          </w:p>
        </w:tc>
        <w:tc>
          <w:tcPr>
            <w:tcW w:w="4253" w:type="dxa"/>
            <w:vAlign w:val="center"/>
          </w:tcPr>
          <w:p w:rsidR="003F469F" w:rsidRPr="00FA1B47" w:rsidRDefault="003F469F" w:rsidP="006D1607">
            <w:pPr>
              <w:spacing w:line="240" w:lineRule="auto"/>
              <w:jc w:val="left"/>
              <w:rPr>
                <w:sz w:val="22"/>
                <w:szCs w:val="22"/>
              </w:rPr>
            </w:pPr>
            <w:r w:rsidRPr="00FA1B47">
              <w:rPr>
                <w:sz w:val="22"/>
                <w:szCs w:val="22"/>
              </w:rPr>
              <w:t xml:space="preserve">Ģimenes ar bērniem ar zemiem ienākumiem </w:t>
            </w:r>
            <w:r w:rsidR="00FA1B47" w:rsidRPr="00FA1B47">
              <w:rPr>
                <w:sz w:val="22"/>
                <w:szCs w:val="22"/>
              </w:rPr>
              <w:t>(t.sk. maznodrošinātas personas)</w:t>
            </w:r>
          </w:p>
          <w:p w:rsidR="003F469F" w:rsidRPr="00FA1B47" w:rsidRDefault="003F469F" w:rsidP="006D1607">
            <w:pPr>
              <w:spacing w:line="240" w:lineRule="auto"/>
              <w:jc w:val="left"/>
              <w:rPr>
                <w:sz w:val="22"/>
                <w:szCs w:val="22"/>
              </w:rPr>
            </w:pPr>
            <w:r w:rsidRPr="00FA1B47">
              <w:rPr>
                <w:sz w:val="22"/>
                <w:szCs w:val="22"/>
              </w:rPr>
              <w:t>Bērni</w:t>
            </w:r>
          </w:p>
          <w:p w:rsidR="003F469F" w:rsidRPr="00FA1B47" w:rsidRDefault="003F469F" w:rsidP="006D1607">
            <w:pPr>
              <w:spacing w:line="240" w:lineRule="auto"/>
              <w:jc w:val="left"/>
              <w:rPr>
                <w:sz w:val="22"/>
                <w:szCs w:val="22"/>
              </w:rPr>
            </w:pPr>
            <w:r w:rsidRPr="00FA1B47">
              <w:rPr>
                <w:sz w:val="22"/>
                <w:szCs w:val="22"/>
              </w:rPr>
              <w:t>Bezdarbnieki</w:t>
            </w:r>
          </w:p>
        </w:tc>
        <w:tc>
          <w:tcPr>
            <w:tcW w:w="2145" w:type="dxa"/>
            <w:vAlign w:val="center"/>
          </w:tcPr>
          <w:p w:rsidR="003F469F" w:rsidRPr="00FA1B47" w:rsidRDefault="003F469F" w:rsidP="006D1607">
            <w:pPr>
              <w:spacing w:line="240" w:lineRule="auto"/>
              <w:jc w:val="left"/>
              <w:rPr>
                <w:sz w:val="22"/>
                <w:szCs w:val="22"/>
              </w:rPr>
            </w:pPr>
            <w:r w:rsidRPr="00FA1B47">
              <w:rPr>
                <w:sz w:val="22"/>
                <w:szCs w:val="22"/>
              </w:rPr>
              <w:t>Tiešo ienākumu palielināšanās</w:t>
            </w:r>
          </w:p>
        </w:tc>
      </w:tr>
      <w:tr w:rsidR="003F469F" w:rsidRPr="00D10361" w:rsidTr="00FA1B47">
        <w:tc>
          <w:tcPr>
            <w:tcW w:w="3510" w:type="dxa"/>
            <w:vAlign w:val="center"/>
          </w:tcPr>
          <w:p w:rsidR="003F469F" w:rsidRPr="00FA1B47" w:rsidRDefault="003F469F" w:rsidP="006D1607">
            <w:pPr>
              <w:spacing w:line="240" w:lineRule="auto"/>
              <w:jc w:val="left"/>
              <w:rPr>
                <w:sz w:val="22"/>
                <w:szCs w:val="22"/>
              </w:rPr>
            </w:pPr>
            <w:r w:rsidRPr="00FA1B47">
              <w:rPr>
                <w:sz w:val="22"/>
                <w:szCs w:val="22"/>
              </w:rPr>
              <w:t>Ģimenes valsts pabalsta palielināšana par katru nākamo bērnu</w:t>
            </w:r>
          </w:p>
        </w:tc>
        <w:tc>
          <w:tcPr>
            <w:tcW w:w="4253" w:type="dxa"/>
            <w:vAlign w:val="center"/>
          </w:tcPr>
          <w:p w:rsidR="003F469F" w:rsidRPr="00FA1B47" w:rsidRDefault="003F469F" w:rsidP="006D1607">
            <w:pPr>
              <w:spacing w:line="240" w:lineRule="auto"/>
              <w:jc w:val="left"/>
              <w:rPr>
                <w:sz w:val="22"/>
                <w:szCs w:val="22"/>
              </w:rPr>
            </w:pPr>
            <w:r w:rsidRPr="00FA1B47">
              <w:rPr>
                <w:sz w:val="22"/>
                <w:szCs w:val="22"/>
              </w:rPr>
              <w:t>Daudzbērnu ģimenes (t.sk. maznodrošinātas personas)</w:t>
            </w:r>
          </w:p>
          <w:p w:rsidR="003F469F" w:rsidRPr="00FA1B47" w:rsidRDefault="003F469F" w:rsidP="006D1607">
            <w:pPr>
              <w:spacing w:line="240" w:lineRule="auto"/>
              <w:rPr>
                <w:sz w:val="22"/>
                <w:szCs w:val="22"/>
              </w:rPr>
            </w:pPr>
            <w:r w:rsidRPr="00FA1B47">
              <w:rPr>
                <w:sz w:val="22"/>
                <w:szCs w:val="22"/>
              </w:rPr>
              <w:t>Bērni</w:t>
            </w:r>
          </w:p>
        </w:tc>
        <w:tc>
          <w:tcPr>
            <w:tcW w:w="2145" w:type="dxa"/>
            <w:vAlign w:val="center"/>
          </w:tcPr>
          <w:p w:rsidR="003F469F" w:rsidRPr="00FA1B47" w:rsidRDefault="003F469F" w:rsidP="006D1607">
            <w:pPr>
              <w:spacing w:line="240" w:lineRule="auto"/>
              <w:jc w:val="left"/>
              <w:rPr>
                <w:sz w:val="22"/>
                <w:szCs w:val="22"/>
              </w:rPr>
            </w:pPr>
            <w:r w:rsidRPr="00FA1B47">
              <w:rPr>
                <w:sz w:val="22"/>
                <w:szCs w:val="22"/>
              </w:rPr>
              <w:t>Tiešo ienākumu palielināšanās</w:t>
            </w:r>
          </w:p>
        </w:tc>
      </w:tr>
      <w:tr w:rsidR="003F469F" w:rsidRPr="00D10361" w:rsidTr="00FA1B47">
        <w:tc>
          <w:tcPr>
            <w:tcW w:w="3510" w:type="dxa"/>
            <w:vAlign w:val="center"/>
          </w:tcPr>
          <w:p w:rsidR="003F469F" w:rsidRPr="00FA1B47" w:rsidRDefault="003F469F" w:rsidP="006D1607">
            <w:pPr>
              <w:spacing w:line="240" w:lineRule="auto"/>
              <w:rPr>
                <w:sz w:val="22"/>
                <w:szCs w:val="22"/>
              </w:rPr>
            </w:pPr>
            <w:r w:rsidRPr="00FA1B47">
              <w:rPr>
                <w:sz w:val="22"/>
                <w:szCs w:val="22"/>
              </w:rPr>
              <w:t xml:space="preserve">Pensiju indeksācija </w:t>
            </w:r>
          </w:p>
        </w:tc>
        <w:tc>
          <w:tcPr>
            <w:tcW w:w="4253" w:type="dxa"/>
            <w:vAlign w:val="center"/>
          </w:tcPr>
          <w:p w:rsidR="003F469F" w:rsidRPr="00FA1B47" w:rsidRDefault="003F469F" w:rsidP="006D1607">
            <w:pPr>
              <w:spacing w:line="240" w:lineRule="auto"/>
              <w:rPr>
                <w:sz w:val="22"/>
                <w:szCs w:val="22"/>
              </w:rPr>
            </w:pPr>
            <w:r w:rsidRPr="00FA1B47">
              <w:rPr>
                <w:sz w:val="22"/>
                <w:szCs w:val="22"/>
              </w:rPr>
              <w:t>Pensionāri</w:t>
            </w:r>
          </w:p>
        </w:tc>
        <w:tc>
          <w:tcPr>
            <w:tcW w:w="2145" w:type="dxa"/>
            <w:vAlign w:val="center"/>
          </w:tcPr>
          <w:p w:rsidR="003F469F" w:rsidRPr="00FA1B47" w:rsidRDefault="003F469F" w:rsidP="004D160C">
            <w:pPr>
              <w:spacing w:line="240" w:lineRule="auto"/>
              <w:jc w:val="left"/>
              <w:rPr>
                <w:sz w:val="22"/>
                <w:szCs w:val="22"/>
              </w:rPr>
            </w:pPr>
            <w:r w:rsidRPr="00FA1B47">
              <w:rPr>
                <w:sz w:val="22"/>
                <w:szCs w:val="22"/>
              </w:rPr>
              <w:t xml:space="preserve">Tiešo ienākumu palielināšanās </w:t>
            </w:r>
            <w:r w:rsidR="004D160C" w:rsidRPr="00FA1B47">
              <w:rPr>
                <w:sz w:val="22"/>
                <w:szCs w:val="22"/>
              </w:rPr>
              <w:t>nelielā</w:t>
            </w:r>
            <w:r w:rsidRPr="00FA1B47">
              <w:rPr>
                <w:sz w:val="22"/>
                <w:szCs w:val="22"/>
              </w:rPr>
              <w:t xml:space="preserve"> apmērā</w:t>
            </w:r>
          </w:p>
        </w:tc>
      </w:tr>
      <w:tr w:rsidR="003F469F" w:rsidRPr="00D10361" w:rsidTr="00FA1B47">
        <w:tc>
          <w:tcPr>
            <w:tcW w:w="3510" w:type="dxa"/>
            <w:vAlign w:val="center"/>
          </w:tcPr>
          <w:p w:rsidR="003F469F" w:rsidRPr="00FA1B47" w:rsidRDefault="003F469F" w:rsidP="006D1607">
            <w:pPr>
              <w:spacing w:line="240" w:lineRule="auto"/>
              <w:rPr>
                <w:sz w:val="22"/>
                <w:szCs w:val="22"/>
              </w:rPr>
            </w:pPr>
            <w:r w:rsidRPr="00FA1B47">
              <w:rPr>
                <w:sz w:val="22"/>
                <w:szCs w:val="22"/>
              </w:rPr>
              <w:t>IIN likmes samazināšana</w:t>
            </w:r>
          </w:p>
        </w:tc>
        <w:tc>
          <w:tcPr>
            <w:tcW w:w="4253" w:type="dxa"/>
            <w:vAlign w:val="center"/>
          </w:tcPr>
          <w:p w:rsidR="003F469F" w:rsidRPr="00FA1B47" w:rsidRDefault="003F469F" w:rsidP="006D1607">
            <w:pPr>
              <w:spacing w:line="240" w:lineRule="auto"/>
              <w:rPr>
                <w:sz w:val="22"/>
                <w:szCs w:val="22"/>
              </w:rPr>
            </w:pPr>
            <w:r w:rsidRPr="00FA1B47">
              <w:rPr>
                <w:sz w:val="22"/>
                <w:szCs w:val="22"/>
              </w:rPr>
              <w:t xml:space="preserve">Strādājošie ar zemiem ienākumiem (līdz minimālajai algai), t.sk. viena </w:t>
            </w:r>
            <w:r w:rsidR="00BA1727">
              <w:t>vecāka mājsaimniecības</w:t>
            </w:r>
            <w:r w:rsidRPr="00FA1B47">
              <w:rPr>
                <w:sz w:val="22"/>
                <w:szCs w:val="22"/>
              </w:rPr>
              <w:t xml:space="preserve"> un daudzbērnu ģimenes</w:t>
            </w:r>
          </w:p>
        </w:tc>
        <w:tc>
          <w:tcPr>
            <w:tcW w:w="2145" w:type="dxa"/>
            <w:vAlign w:val="center"/>
          </w:tcPr>
          <w:p w:rsidR="003F469F" w:rsidRPr="00FA1B47" w:rsidRDefault="003F469F" w:rsidP="006D1607">
            <w:pPr>
              <w:spacing w:line="240" w:lineRule="auto"/>
              <w:jc w:val="left"/>
              <w:rPr>
                <w:sz w:val="22"/>
                <w:szCs w:val="22"/>
              </w:rPr>
            </w:pPr>
            <w:r w:rsidRPr="00FA1B47">
              <w:rPr>
                <w:sz w:val="22"/>
                <w:szCs w:val="22"/>
              </w:rPr>
              <w:t xml:space="preserve">Tiešo ienākumu palielināšanās (ar nosacījumiem) </w:t>
            </w:r>
          </w:p>
        </w:tc>
      </w:tr>
      <w:tr w:rsidR="003F469F" w:rsidRPr="00D10361" w:rsidTr="00FA1B47">
        <w:tc>
          <w:tcPr>
            <w:tcW w:w="3510" w:type="dxa"/>
            <w:vAlign w:val="center"/>
          </w:tcPr>
          <w:p w:rsidR="003F469F" w:rsidRPr="00FA1B47" w:rsidRDefault="003F469F" w:rsidP="006D1607">
            <w:pPr>
              <w:spacing w:line="240" w:lineRule="auto"/>
              <w:jc w:val="left"/>
              <w:rPr>
                <w:sz w:val="22"/>
                <w:szCs w:val="22"/>
              </w:rPr>
            </w:pPr>
            <w:r w:rsidRPr="00FA1B47">
              <w:rPr>
                <w:sz w:val="22"/>
                <w:szCs w:val="22"/>
              </w:rPr>
              <w:t xml:space="preserve">IIN atvieglojumu palielināšana par apgādībā esošām personām </w:t>
            </w:r>
          </w:p>
        </w:tc>
        <w:tc>
          <w:tcPr>
            <w:tcW w:w="4253" w:type="dxa"/>
            <w:vAlign w:val="center"/>
          </w:tcPr>
          <w:p w:rsidR="003F469F" w:rsidRPr="00FA1B47" w:rsidRDefault="003F469F" w:rsidP="006D1607">
            <w:pPr>
              <w:spacing w:line="240" w:lineRule="auto"/>
              <w:rPr>
                <w:sz w:val="22"/>
                <w:szCs w:val="22"/>
              </w:rPr>
            </w:pPr>
            <w:r w:rsidRPr="00FA1B47">
              <w:rPr>
                <w:sz w:val="22"/>
                <w:szCs w:val="22"/>
              </w:rPr>
              <w:t>Ģimenes ar bērniem ar zemiem ienākumiem</w:t>
            </w:r>
          </w:p>
          <w:p w:rsidR="003F469F" w:rsidRPr="00FA1B47" w:rsidRDefault="003F469F" w:rsidP="006D1607">
            <w:pPr>
              <w:spacing w:line="240" w:lineRule="auto"/>
              <w:rPr>
                <w:sz w:val="22"/>
                <w:szCs w:val="22"/>
              </w:rPr>
            </w:pPr>
            <w:r w:rsidRPr="00FA1B47">
              <w:rPr>
                <w:sz w:val="22"/>
                <w:szCs w:val="22"/>
              </w:rPr>
              <w:t>Bērni</w:t>
            </w:r>
          </w:p>
        </w:tc>
        <w:tc>
          <w:tcPr>
            <w:tcW w:w="2145" w:type="dxa"/>
            <w:vAlign w:val="center"/>
          </w:tcPr>
          <w:p w:rsidR="003F469F" w:rsidRPr="00FA1B47" w:rsidRDefault="003F469F" w:rsidP="006D1607">
            <w:pPr>
              <w:spacing w:line="240" w:lineRule="auto"/>
              <w:jc w:val="left"/>
              <w:rPr>
                <w:sz w:val="22"/>
                <w:szCs w:val="22"/>
              </w:rPr>
            </w:pPr>
            <w:r w:rsidRPr="00FA1B47">
              <w:rPr>
                <w:sz w:val="22"/>
                <w:szCs w:val="22"/>
              </w:rPr>
              <w:t>Tiešo ienākumu palielināšanās (ar nosacījumiem)</w:t>
            </w:r>
          </w:p>
        </w:tc>
      </w:tr>
      <w:tr w:rsidR="003F469F" w:rsidRPr="00D10361" w:rsidTr="00FA1B47">
        <w:tc>
          <w:tcPr>
            <w:tcW w:w="3510" w:type="dxa"/>
            <w:vAlign w:val="center"/>
          </w:tcPr>
          <w:p w:rsidR="003F469F" w:rsidRPr="00FA1B47" w:rsidRDefault="003F469F" w:rsidP="006D1607">
            <w:pPr>
              <w:spacing w:line="240" w:lineRule="auto"/>
              <w:jc w:val="left"/>
              <w:rPr>
                <w:sz w:val="22"/>
                <w:szCs w:val="22"/>
              </w:rPr>
            </w:pPr>
            <w:r w:rsidRPr="00FA1B47">
              <w:rPr>
                <w:sz w:val="22"/>
                <w:szCs w:val="22"/>
              </w:rPr>
              <w:t>Valsts atbalsts ar celiakiju slimiem bērniem, kuriem noteikta invaliditāte, un jauniešiem, kas turpina mācības</w:t>
            </w:r>
          </w:p>
        </w:tc>
        <w:tc>
          <w:tcPr>
            <w:tcW w:w="4253" w:type="dxa"/>
            <w:vAlign w:val="center"/>
          </w:tcPr>
          <w:p w:rsidR="003F469F" w:rsidRPr="00FA1B47" w:rsidRDefault="003F469F" w:rsidP="006D1607">
            <w:pPr>
              <w:spacing w:line="240" w:lineRule="auto"/>
              <w:rPr>
                <w:sz w:val="22"/>
                <w:szCs w:val="22"/>
              </w:rPr>
            </w:pPr>
            <w:r w:rsidRPr="00FA1B47">
              <w:rPr>
                <w:sz w:val="22"/>
                <w:szCs w:val="22"/>
              </w:rPr>
              <w:t>Bērni ar invaliditāti</w:t>
            </w:r>
          </w:p>
        </w:tc>
        <w:tc>
          <w:tcPr>
            <w:tcW w:w="2145" w:type="dxa"/>
            <w:vAlign w:val="center"/>
          </w:tcPr>
          <w:p w:rsidR="003F469F" w:rsidRPr="00FA1B47" w:rsidRDefault="003F469F" w:rsidP="006D1607">
            <w:pPr>
              <w:spacing w:line="240" w:lineRule="auto"/>
              <w:jc w:val="left"/>
              <w:rPr>
                <w:sz w:val="22"/>
                <w:szCs w:val="22"/>
              </w:rPr>
            </w:pPr>
            <w:r w:rsidRPr="00FA1B47">
              <w:rPr>
                <w:sz w:val="22"/>
                <w:szCs w:val="22"/>
              </w:rPr>
              <w:t xml:space="preserve">Tiešo ienākumu palielināšanās </w:t>
            </w:r>
          </w:p>
        </w:tc>
      </w:tr>
      <w:tr w:rsidR="003F469F" w:rsidRPr="00D10361" w:rsidTr="00FA1B47">
        <w:tc>
          <w:tcPr>
            <w:tcW w:w="3510" w:type="dxa"/>
            <w:vAlign w:val="center"/>
          </w:tcPr>
          <w:p w:rsidR="003F469F" w:rsidRPr="00FA1B47" w:rsidRDefault="003F469F" w:rsidP="006D1607">
            <w:pPr>
              <w:spacing w:line="240" w:lineRule="auto"/>
              <w:jc w:val="left"/>
              <w:rPr>
                <w:sz w:val="22"/>
                <w:szCs w:val="22"/>
              </w:rPr>
            </w:pPr>
            <w:r w:rsidRPr="00FA1B47">
              <w:rPr>
                <w:sz w:val="22"/>
                <w:szCs w:val="22"/>
              </w:rPr>
              <w:t>Valsts sociālā pabalsta apmērā ČAES avārijas seku likvidēšanas dalībniekiem</w:t>
            </w:r>
          </w:p>
        </w:tc>
        <w:tc>
          <w:tcPr>
            <w:tcW w:w="4253" w:type="dxa"/>
            <w:vAlign w:val="center"/>
          </w:tcPr>
          <w:p w:rsidR="003F469F" w:rsidRPr="00FA1B47" w:rsidRDefault="003F469F" w:rsidP="006D1607">
            <w:pPr>
              <w:spacing w:line="240" w:lineRule="auto"/>
              <w:rPr>
                <w:sz w:val="22"/>
                <w:szCs w:val="22"/>
              </w:rPr>
            </w:pPr>
            <w:r w:rsidRPr="00FA1B47">
              <w:rPr>
                <w:sz w:val="22"/>
                <w:szCs w:val="22"/>
              </w:rPr>
              <w:t xml:space="preserve">Personas ar invaliditāti </w:t>
            </w:r>
          </w:p>
        </w:tc>
        <w:tc>
          <w:tcPr>
            <w:tcW w:w="2145" w:type="dxa"/>
            <w:vAlign w:val="center"/>
          </w:tcPr>
          <w:p w:rsidR="003F469F" w:rsidRPr="00FA1B47" w:rsidRDefault="003F469F" w:rsidP="006D1607">
            <w:pPr>
              <w:spacing w:line="240" w:lineRule="auto"/>
              <w:jc w:val="left"/>
              <w:rPr>
                <w:sz w:val="22"/>
                <w:szCs w:val="22"/>
              </w:rPr>
            </w:pPr>
            <w:r w:rsidRPr="00FA1B47">
              <w:rPr>
                <w:sz w:val="22"/>
                <w:szCs w:val="22"/>
              </w:rPr>
              <w:t>Tiešo ienākumu palielināšanās</w:t>
            </w:r>
          </w:p>
        </w:tc>
      </w:tr>
      <w:tr w:rsidR="003F469F" w:rsidRPr="00D10361" w:rsidTr="00FA1B47">
        <w:tc>
          <w:tcPr>
            <w:tcW w:w="3510" w:type="dxa"/>
            <w:vAlign w:val="center"/>
          </w:tcPr>
          <w:p w:rsidR="003F469F" w:rsidRPr="00FA1B47" w:rsidRDefault="003F469F" w:rsidP="006D1607">
            <w:pPr>
              <w:spacing w:line="240" w:lineRule="auto"/>
              <w:jc w:val="left"/>
              <w:rPr>
                <w:sz w:val="22"/>
                <w:szCs w:val="22"/>
              </w:rPr>
            </w:pPr>
            <w:r w:rsidRPr="00FA1B47">
              <w:rPr>
                <w:sz w:val="22"/>
                <w:szCs w:val="22"/>
              </w:rPr>
              <w:t>Transportlīdzekļa ekspluatācijas nodokļa atvieglojumu palielināšana</w:t>
            </w:r>
          </w:p>
        </w:tc>
        <w:tc>
          <w:tcPr>
            <w:tcW w:w="4253" w:type="dxa"/>
            <w:vAlign w:val="center"/>
          </w:tcPr>
          <w:p w:rsidR="003F469F" w:rsidRPr="00FA1B47" w:rsidRDefault="003F469F" w:rsidP="004D160C">
            <w:pPr>
              <w:spacing w:line="240" w:lineRule="auto"/>
              <w:rPr>
                <w:sz w:val="22"/>
                <w:szCs w:val="22"/>
              </w:rPr>
            </w:pPr>
            <w:r w:rsidRPr="00FA1B47">
              <w:rPr>
                <w:sz w:val="22"/>
                <w:szCs w:val="22"/>
              </w:rPr>
              <w:t>Daudzbērnu ģimenes</w:t>
            </w:r>
            <w:r w:rsidR="004D160C" w:rsidRPr="00FA1B47">
              <w:rPr>
                <w:sz w:val="22"/>
                <w:szCs w:val="22"/>
              </w:rPr>
              <w:t xml:space="preserve"> </w:t>
            </w:r>
          </w:p>
        </w:tc>
        <w:tc>
          <w:tcPr>
            <w:tcW w:w="2145" w:type="dxa"/>
            <w:vAlign w:val="center"/>
          </w:tcPr>
          <w:p w:rsidR="003F469F" w:rsidRPr="00FA1B47" w:rsidRDefault="003F469F" w:rsidP="006D1607">
            <w:pPr>
              <w:spacing w:line="240" w:lineRule="auto"/>
              <w:jc w:val="left"/>
              <w:rPr>
                <w:sz w:val="22"/>
                <w:szCs w:val="22"/>
              </w:rPr>
            </w:pPr>
            <w:r w:rsidRPr="00FA1B47">
              <w:rPr>
                <w:sz w:val="22"/>
                <w:szCs w:val="22"/>
              </w:rPr>
              <w:t>Netiešo ienākumu palielināšanās</w:t>
            </w:r>
          </w:p>
        </w:tc>
      </w:tr>
      <w:tr w:rsidR="003F469F" w:rsidRPr="00D10361" w:rsidTr="00FA1B47">
        <w:tc>
          <w:tcPr>
            <w:tcW w:w="3510" w:type="dxa"/>
            <w:vAlign w:val="center"/>
          </w:tcPr>
          <w:p w:rsidR="003F469F" w:rsidRPr="00FA1B47" w:rsidRDefault="003F469F" w:rsidP="006D1607">
            <w:pPr>
              <w:spacing w:line="240" w:lineRule="auto"/>
              <w:jc w:val="left"/>
              <w:rPr>
                <w:sz w:val="22"/>
                <w:szCs w:val="22"/>
              </w:rPr>
            </w:pPr>
            <w:r w:rsidRPr="00FA1B47">
              <w:rPr>
                <w:sz w:val="22"/>
                <w:szCs w:val="22"/>
              </w:rPr>
              <w:t>Daudzbērnu ģimenes definīcijas paplašināšana</w:t>
            </w:r>
          </w:p>
        </w:tc>
        <w:tc>
          <w:tcPr>
            <w:tcW w:w="4253" w:type="dxa"/>
            <w:vAlign w:val="center"/>
          </w:tcPr>
          <w:p w:rsidR="003F469F" w:rsidRPr="00FA1B47" w:rsidRDefault="003F469F" w:rsidP="006D1607">
            <w:pPr>
              <w:spacing w:line="240" w:lineRule="auto"/>
              <w:rPr>
                <w:sz w:val="22"/>
                <w:szCs w:val="22"/>
              </w:rPr>
            </w:pPr>
            <w:r w:rsidRPr="00FA1B47">
              <w:rPr>
                <w:sz w:val="22"/>
                <w:szCs w:val="22"/>
              </w:rPr>
              <w:t xml:space="preserve">Daudzbērnu ģimenes </w:t>
            </w:r>
          </w:p>
        </w:tc>
        <w:tc>
          <w:tcPr>
            <w:tcW w:w="2145" w:type="dxa"/>
            <w:vAlign w:val="center"/>
          </w:tcPr>
          <w:p w:rsidR="003F469F" w:rsidRPr="00FA1B47" w:rsidRDefault="003F469F" w:rsidP="006D1607">
            <w:pPr>
              <w:spacing w:line="240" w:lineRule="auto"/>
              <w:jc w:val="left"/>
              <w:rPr>
                <w:sz w:val="22"/>
                <w:szCs w:val="22"/>
              </w:rPr>
            </w:pPr>
            <w:r w:rsidRPr="00FA1B47">
              <w:rPr>
                <w:sz w:val="22"/>
                <w:szCs w:val="22"/>
              </w:rPr>
              <w:t>Netiešo ienākumu palielināšanās</w:t>
            </w:r>
          </w:p>
        </w:tc>
      </w:tr>
      <w:tr w:rsidR="003F469F" w:rsidRPr="00D10361" w:rsidTr="00FA1B47">
        <w:tc>
          <w:tcPr>
            <w:tcW w:w="3510" w:type="dxa"/>
            <w:vAlign w:val="center"/>
          </w:tcPr>
          <w:p w:rsidR="003F469F" w:rsidRPr="00FA1B47" w:rsidRDefault="003F469F" w:rsidP="006D1607">
            <w:pPr>
              <w:spacing w:line="240" w:lineRule="auto"/>
              <w:jc w:val="left"/>
              <w:rPr>
                <w:sz w:val="22"/>
                <w:szCs w:val="22"/>
              </w:rPr>
            </w:pPr>
            <w:r w:rsidRPr="00FA1B47">
              <w:rPr>
                <w:sz w:val="22"/>
                <w:szCs w:val="22"/>
              </w:rPr>
              <w:t>Aizsargātā lietotāja termina ieviešana, elektroenerģijas pakalpojumi par samazinātu cenu</w:t>
            </w:r>
          </w:p>
        </w:tc>
        <w:tc>
          <w:tcPr>
            <w:tcW w:w="4253" w:type="dxa"/>
            <w:vAlign w:val="center"/>
          </w:tcPr>
          <w:p w:rsidR="003F469F" w:rsidRPr="00FA1B47" w:rsidRDefault="003F469F" w:rsidP="006D1607">
            <w:pPr>
              <w:spacing w:line="240" w:lineRule="auto"/>
              <w:rPr>
                <w:sz w:val="22"/>
                <w:szCs w:val="22"/>
              </w:rPr>
            </w:pPr>
            <w:r w:rsidRPr="00FA1B47">
              <w:rPr>
                <w:sz w:val="22"/>
                <w:szCs w:val="22"/>
              </w:rPr>
              <w:t>Trūcīgas personas</w:t>
            </w:r>
          </w:p>
          <w:p w:rsidR="003F469F" w:rsidRPr="00FA1B47" w:rsidRDefault="003F469F" w:rsidP="006D1607">
            <w:pPr>
              <w:spacing w:line="240" w:lineRule="auto"/>
              <w:rPr>
                <w:sz w:val="22"/>
                <w:szCs w:val="22"/>
              </w:rPr>
            </w:pPr>
            <w:r w:rsidRPr="00FA1B47">
              <w:rPr>
                <w:sz w:val="22"/>
                <w:szCs w:val="22"/>
              </w:rPr>
              <w:t>Maznodrošinātas personas</w:t>
            </w:r>
          </w:p>
          <w:p w:rsidR="003F469F" w:rsidRPr="00FA1B47" w:rsidRDefault="003F469F" w:rsidP="006D1607">
            <w:pPr>
              <w:spacing w:line="240" w:lineRule="auto"/>
              <w:rPr>
                <w:sz w:val="22"/>
                <w:szCs w:val="22"/>
              </w:rPr>
            </w:pPr>
            <w:r w:rsidRPr="00FA1B47">
              <w:rPr>
                <w:sz w:val="22"/>
                <w:szCs w:val="22"/>
              </w:rPr>
              <w:t>Daudzbērnu ģimenes</w:t>
            </w:r>
          </w:p>
          <w:p w:rsidR="003F469F" w:rsidRPr="00FA1B47" w:rsidRDefault="003F469F" w:rsidP="006D1607">
            <w:pPr>
              <w:spacing w:line="240" w:lineRule="auto"/>
              <w:jc w:val="left"/>
              <w:rPr>
                <w:sz w:val="22"/>
                <w:szCs w:val="22"/>
              </w:rPr>
            </w:pPr>
            <w:r w:rsidRPr="00FA1B47">
              <w:rPr>
                <w:sz w:val="22"/>
                <w:szCs w:val="22"/>
              </w:rPr>
              <w:t>Ģimenes, kurās aug bērns/-i ar invaliditāti</w:t>
            </w:r>
          </w:p>
        </w:tc>
        <w:tc>
          <w:tcPr>
            <w:tcW w:w="2145" w:type="dxa"/>
          </w:tcPr>
          <w:p w:rsidR="003F469F" w:rsidRPr="00FA1B47" w:rsidRDefault="003F469F" w:rsidP="006D1607">
            <w:pPr>
              <w:jc w:val="left"/>
              <w:rPr>
                <w:sz w:val="22"/>
                <w:szCs w:val="22"/>
              </w:rPr>
            </w:pPr>
            <w:r w:rsidRPr="00FA1B47">
              <w:rPr>
                <w:sz w:val="22"/>
                <w:szCs w:val="22"/>
              </w:rPr>
              <w:t>Netiešo ienākumu palielināšanās</w:t>
            </w:r>
          </w:p>
        </w:tc>
      </w:tr>
      <w:tr w:rsidR="003F469F" w:rsidRPr="00D10361" w:rsidTr="00FA1B47">
        <w:tc>
          <w:tcPr>
            <w:tcW w:w="3510" w:type="dxa"/>
            <w:vAlign w:val="center"/>
          </w:tcPr>
          <w:p w:rsidR="003F469F" w:rsidRPr="00FA1B47" w:rsidRDefault="003F469F" w:rsidP="006D1607">
            <w:pPr>
              <w:spacing w:line="240" w:lineRule="auto"/>
              <w:jc w:val="left"/>
              <w:rPr>
                <w:sz w:val="22"/>
                <w:szCs w:val="22"/>
              </w:rPr>
            </w:pPr>
            <w:r w:rsidRPr="00FA1B47">
              <w:rPr>
                <w:sz w:val="22"/>
                <w:szCs w:val="22"/>
              </w:rPr>
              <w:t>Pārtikas, higiēnas un mācību līdzekļu pakas trūcīgajiem iedzīvotājiem</w:t>
            </w:r>
          </w:p>
        </w:tc>
        <w:tc>
          <w:tcPr>
            <w:tcW w:w="4253" w:type="dxa"/>
            <w:vAlign w:val="center"/>
          </w:tcPr>
          <w:p w:rsidR="003F469F" w:rsidRPr="00FA1B47" w:rsidRDefault="003F469F" w:rsidP="006D1607">
            <w:pPr>
              <w:spacing w:line="240" w:lineRule="auto"/>
              <w:rPr>
                <w:sz w:val="22"/>
                <w:szCs w:val="22"/>
              </w:rPr>
            </w:pPr>
            <w:r w:rsidRPr="00FA1B47">
              <w:rPr>
                <w:sz w:val="22"/>
                <w:szCs w:val="22"/>
              </w:rPr>
              <w:t>Trūcīgas personas</w:t>
            </w:r>
          </w:p>
        </w:tc>
        <w:tc>
          <w:tcPr>
            <w:tcW w:w="2145" w:type="dxa"/>
          </w:tcPr>
          <w:p w:rsidR="003F469F" w:rsidRPr="00FA1B47" w:rsidRDefault="003F469F" w:rsidP="006D1607">
            <w:pPr>
              <w:jc w:val="left"/>
              <w:rPr>
                <w:sz w:val="22"/>
                <w:szCs w:val="22"/>
              </w:rPr>
            </w:pPr>
            <w:r w:rsidRPr="00FA1B47">
              <w:rPr>
                <w:sz w:val="22"/>
                <w:szCs w:val="22"/>
              </w:rPr>
              <w:t>Netiešo ienākumu palielināšanās</w:t>
            </w:r>
          </w:p>
        </w:tc>
      </w:tr>
    </w:tbl>
    <w:p w:rsidR="00725B08" w:rsidRDefault="00725B08" w:rsidP="00725B08">
      <w:pPr>
        <w:rPr>
          <w:bCs/>
        </w:rPr>
      </w:pPr>
      <w:r>
        <w:lastRenderedPageBreak/>
        <w:t xml:space="preserve">Dažādu </w:t>
      </w:r>
      <w:r w:rsidRPr="00C73A74">
        <w:rPr>
          <w:b/>
        </w:rPr>
        <w:t>rīcībpolitikas pasākumu ietekmes uz mērķa grupu tiešo ienākumu palielināšanās ir lielā mērā atkarīga no citiem faktoriem</w:t>
      </w:r>
      <w:r>
        <w:t xml:space="preserve">. Veiktie aprēķini par </w:t>
      </w:r>
      <w:r w:rsidRPr="009D1120">
        <w:t>minimālās algas palielināšanas kā rīcībpolitikas pasākuma ar mērķi mazināt ienākumu nevienlīdzību ir atšķirīga dažādās sociāli demogrāfiskās grupās un mājsaimniecību tipos.</w:t>
      </w:r>
      <w:r>
        <w:t xml:space="preserve"> Pēc būtības izmaiņas minimālās algas likmēs pamatā palielina vienas personas – ienākuma guvējas – tiešos ienākumus,</w:t>
      </w:r>
      <w:r w:rsidRPr="009D1120">
        <w:rPr>
          <w:b/>
        </w:rPr>
        <w:t xml:space="preserve"> </w:t>
      </w:r>
      <w:r w:rsidRPr="009D1120">
        <w:t>taču ne visos gadījumos tas paredz arī ienākumu atšķirību mazināšanos sociālās nevienlīdzības izpratnē.</w:t>
      </w:r>
      <w:r>
        <w:rPr>
          <w:b/>
        </w:rPr>
        <w:t xml:space="preserve"> </w:t>
      </w:r>
      <w:r w:rsidRPr="000B205C">
        <w:rPr>
          <w:bCs/>
        </w:rPr>
        <w:t xml:space="preserve">Statistikas datu analīzes rezultāti atklāja, ka no 2014. gada līdz 2016. gadam vienas personas mājsaimniecībās minimālā ienākuma līmenis ir pieaudzis no 155 EUR līdz 177 EUR mēnesī (jeb par 14,2%), savukārt mājsaimniecībās ar diviem pieaugušajiem un diviem bērniem attiecīgi no 481 EUR līdz 549 EUR mēnesī (jeb par 14,2%). </w:t>
      </w:r>
      <w:r>
        <w:rPr>
          <w:bCs/>
        </w:rPr>
        <w:t xml:space="preserve"> </w:t>
      </w:r>
    </w:p>
    <w:p w:rsidR="00725B08" w:rsidRDefault="00725B08" w:rsidP="00725B08">
      <w:pPr>
        <w:rPr>
          <w:b/>
        </w:rPr>
      </w:pPr>
    </w:p>
    <w:p w:rsidR="00725B08" w:rsidRDefault="00725B08" w:rsidP="00725B08">
      <w:r>
        <w:t>Minimālās algas palielināšanas ietekme uz mājsaimniecību var būtiski variēties atkarībā no mājsaimniecības locekļu skaita, vecuma un darbspējas. Tāpat IIN likmes izmaiņu un atvieglojumu par apgādībā esošām personām palielināšana ir jāskata kopsakarībās ar personu darba algas apmēru un apgādājamo skaitu. Pie noteikta algas apmēra un apgādājamo skaita pastāv iespēja (turklāt tas nav tikai retos gadījumos), ka persona nevar pilnībā izmantot tai paredzētos atvieglojumus, gūstot labumu no ienākumu pieauguma. Sekundāro datu avoti liecina, ka 2015. gadā 18% no nodarbinātajiem ar apgādājamajiem nevarēja pilnā mērā izmantot tiem pienākušos atvieglojumus (2016. gadā – arī 18%). Būtiski, ka minēto faktoru negatīvā ietekme izpaužas tieši uz strādājošiem ar zem</w:t>
      </w:r>
      <w:r w:rsidR="00F24695">
        <w:t xml:space="preserve">u atalgojumu </w:t>
      </w:r>
      <w:r>
        <w:t xml:space="preserve"> un personām ar lielāku apgādājamo skaitu.</w:t>
      </w:r>
    </w:p>
    <w:p w:rsidR="00AA32A2" w:rsidRDefault="00AA32A2" w:rsidP="00725B08"/>
    <w:p w:rsidR="003F469F" w:rsidRPr="000B205C" w:rsidRDefault="003F469F" w:rsidP="003F469F">
      <w:pPr>
        <w:rPr>
          <w:bCs/>
        </w:rPr>
      </w:pPr>
      <w:r>
        <w:t xml:space="preserve">Daļas rīcībpolitikas pasākumu gadījumā </w:t>
      </w:r>
      <w:r w:rsidRPr="00C73A74">
        <w:rPr>
          <w:b/>
        </w:rPr>
        <w:t>ietekme uz nabadzības un sociālās atstumtības riskam pakļauto iedzīvotāju ienākumu palielināšanos ir minimāla</w:t>
      </w:r>
      <w:r>
        <w:t xml:space="preserve">. Pirmkārt, </w:t>
      </w:r>
      <w:r w:rsidRPr="000B205C">
        <w:rPr>
          <w:bCs/>
        </w:rPr>
        <w:t>2016. gadā veikt</w:t>
      </w:r>
      <w:r>
        <w:rPr>
          <w:bCs/>
        </w:rPr>
        <w:t>ajai pensiju indeksācijai</w:t>
      </w:r>
      <w:r w:rsidRPr="000B205C">
        <w:rPr>
          <w:bCs/>
        </w:rPr>
        <w:t xml:space="preserve"> bija pozitīva ietekme uz pensionāru tiešajiem ienākumiem, kas lielā daļā gadījumu ir iedzīvotāji ar zemiem ienākumiem. Tomēr kopumā ietekme uz pensionāru tiešajiem ienākumiem ir drīzāk neliela, ņemot vērā datus par vidējās vecuma pensijas pieaugumu (tādējādi visdrīzāk noturot šo iedzīvotāju grupu 2. ienākumu kvintiļu grupā).</w:t>
      </w:r>
      <w:r>
        <w:rPr>
          <w:bCs/>
        </w:rPr>
        <w:t xml:space="preserve"> 67% pensionāru vecuma pensija bija līdz 300 EUR mēnesī. Kopumā secināms, ka pensiju indeksācijas sistēma ir šīs mērķa grupas ienākumus uzturoša, nevis tāda, kas ir vērsta uz to palielināšanu. Par to liecina arī statistikas datu analīzes rezultāti, kas atklāja, ka </w:t>
      </w:r>
      <w:r>
        <w:t>v</w:t>
      </w:r>
      <w:r w:rsidRPr="000B205C">
        <w:t>islielākais nabadzības riska indekss</w:t>
      </w:r>
      <w:r>
        <w:t>, piemērojot OECD modificēto ekvivalences skalu,</w:t>
      </w:r>
      <w:r w:rsidRPr="000B205C">
        <w:t xml:space="preserve"> (72,8%) 2016. gadā bija atsevišķi dzīvojošiem pensionāriem (vecumā virs 65 gadiem), </w:t>
      </w:r>
      <w:r>
        <w:t xml:space="preserve">2015. gadā – 74%. </w:t>
      </w:r>
      <w:r>
        <w:rPr>
          <w:bCs/>
        </w:rPr>
        <w:t xml:space="preserve">Izvērtējuma periodā, kopš 2014. gada, šīs mērķa grupas nabadzības riska indekss ir pieaudzis par 6,9 procentpunktiem, sasniedzot 44,2% 2016. gadā. </w:t>
      </w:r>
      <w:r>
        <w:t xml:space="preserve">Tāpat arī </w:t>
      </w:r>
      <w:r w:rsidRPr="000B205C">
        <w:rPr>
          <w:bCs/>
        </w:rPr>
        <w:t xml:space="preserve">kopējais zemākais ienākumu līmenis 2016. gadā bija </w:t>
      </w:r>
      <w:r>
        <w:rPr>
          <w:bCs/>
        </w:rPr>
        <w:t xml:space="preserve">tieši </w:t>
      </w:r>
      <w:r w:rsidRPr="000B205C">
        <w:rPr>
          <w:bCs/>
        </w:rPr>
        <w:t xml:space="preserve">atsevišķi dzīvojošiem pensionāriem, kuru ienākumi vidēji bija 351,6 EUR mēnesī. </w:t>
      </w:r>
    </w:p>
    <w:p w:rsidR="003F469F" w:rsidRDefault="003F469F" w:rsidP="003F469F">
      <w:pPr>
        <w:rPr>
          <w:bCs/>
        </w:rPr>
      </w:pPr>
    </w:p>
    <w:p w:rsidR="003F469F" w:rsidRDefault="003F469F" w:rsidP="003F469F">
      <w:pPr>
        <w:rPr>
          <w:bCs/>
        </w:rPr>
      </w:pPr>
      <w:r>
        <w:rPr>
          <w:bCs/>
        </w:rPr>
        <w:t xml:space="preserve">Otrkārt, minimāla ietekme dažādu sociāli demogrāfisko un ekonomisko faktoru dēļ var būt arī rīcībpolitikas pasākumiem nodokļu politikas jomā, iestājoties jau augstāk raksturotajai situācijām, kurās ne visi paredzētie atvieglojumi ir piemērojami (darba algas apmērs ir mazāks par kopējo iespējamo atvieglojumu apmēru). Treškārt, minimāla ietekme ir bijusi vairākiem pasākumiem nodokļu politikas jomā, kuri attiecas uz salīdzinoši šauru iedzīvotāju grupu, piemēram, VSAOI likmju izmaiņas specifiskās grupās. Specifiski pasākumi, kuri ietekmēja salīdzinoši mazas mērķa grupas Izvērtējuma periodā bija arī sociālās politikas jomā, piemēram, pabalsts ar celiakiju slimojošiem bērniem, kuriem noteikta invaliditāte un jauniešiem, kuri slimo ar celiakiju un turpina </w:t>
      </w:r>
      <w:r>
        <w:rPr>
          <w:bCs/>
        </w:rPr>
        <w:lastRenderedPageBreak/>
        <w:t>mācības; Č</w:t>
      </w:r>
      <w:r w:rsidR="005D0767">
        <w:rPr>
          <w:bCs/>
        </w:rPr>
        <w:t>AE</w:t>
      </w:r>
      <w:r>
        <w:rPr>
          <w:bCs/>
        </w:rPr>
        <w:t xml:space="preserve">S seku likvidēšanas dalībniekiem un mirušo dalībnieku ģimenes locekļiem; personām ar pirmās grupas redzes invaliditāti, kurām 2015. gadā tika piešķirts pabalsts asistentam. Neraugoties uz to, ka minētās grupas kopumā ir nelielas, katra atsevišķā indivīda līmenī saņemtais atbalsts ir pozitīvi ietekmējis tā tiešos ienākumus. </w:t>
      </w:r>
    </w:p>
    <w:p w:rsidR="003F469F" w:rsidRDefault="003F469F" w:rsidP="003F469F">
      <w:pPr>
        <w:rPr>
          <w:bCs/>
        </w:rPr>
      </w:pPr>
    </w:p>
    <w:p w:rsidR="003F469F" w:rsidRDefault="003F469F" w:rsidP="003F469F">
      <w:r>
        <w:rPr>
          <w:bCs/>
        </w:rPr>
        <w:t xml:space="preserve">Atsevišķu rīcībpolitikas pasākumu grupu veido pasākumi, kuri </w:t>
      </w:r>
      <w:r w:rsidRPr="00F44365">
        <w:rPr>
          <w:b/>
          <w:bCs/>
        </w:rPr>
        <w:t>nav tieši mērķēti uz nabadzības un sociālās atstumtības riskam pakļautajām grupām, taču kuri var ietekmēt šīs grupas, ja izpildās noteikti nosacījumi</w:t>
      </w:r>
      <w:r>
        <w:rPr>
          <w:bCs/>
        </w:rPr>
        <w:t xml:space="preserve">. Pirmkārt, minimālās algas palielināšana nav tieši mērķēts pasākums uz Izvērtējumā identificētajām grupām, bet gan uz iedzīvotāju ienākumu kopumā palielināšanos. Izvērtējumā veiktā analīze parāda, ka pozitīvas ienākumu izmaiņas joprojām lielākā mērā skar iedzīvotājus augstāko ienākumu grupās (kvintilēs), nekā tas ir zemāko ienākumu grupās. </w:t>
      </w:r>
      <w:r w:rsidRPr="000B205C">
        <w:rPr>
          <w:bCs/>
        </w:rPr>
        <w:t>Ja 1. kvintilē šis pieaugums gada laikā vidēji uz vienu mājsaimniecības locekli ir bijis 4,2 EUR (jeb par 2,8%), 2. kvintilē 9,3 EUR (jeb par 3,6%), 3. kvintilē 19,34 ER (jeb par 5,7%), 4. kvintilē tie bija 31,02 EUR (jeb par 6,4%), 5. kvintilē 45,97 EUR (jeb par 5,1%). Pieauguma aprēķins procentuāli parāda, ka pēc būtības vislielākais ienākumu pieaugums uz vienu mājsaimniecības locekli ir bijis 4. kvintilē. No tā secināms, ka iedzīvotāju ar zemiem ienākumiem situācija uzlabojas lēnāk, nekā tas ir iedzīvotāju g</w:t>
      </w:r>
      <w:r>
        <w:rPr>
          <w:bCs/>
        </w:rPr>
        <w:t>rupās ar augstākiem ienākumiem. Būtiski uzsvērt, ka v</w:t>
      </w:r>
      <w:r w:rsidRPr="00DE672A">
        <w:t xml:space="preserve">iena </w:t>
      </w:r>
      <w:r w:rsidR="00BA1727">
        <w:t>vecāka mājsaimniecības</w:t>
      </w:r>
      <w:r>
        <w:t xml:space="preserve"> un daudzbērnu ģimenes, kas ir divas no nabadzības un sociālās atstumtības riskam pakļautajām grupām, </w:t>
      </w:r>
      <w:r w:rsidRPr="00DE672A">
        <w:t xml:space="preserve">koncentrējas </w:t>
      </w:r>
      <w:r>
        <w:t xml:space="preserve">tieši </w:t>
      </w:r>
      <w:r w:rsidRPr="00DE672A">
        <w:t>zemāko ienākumu kvintilē</w:t>
      </w:r>
      <w:r>
        <w:t xml:space="preserve"> (2016. gadā attiecīgi 42,6% un 42,9%)</w:t>
      </w:r>
      <w:r w:rsidRPr="00DE672A">
        <w:t>.</w:t>
      </w:r>
    </w:p>
    <w:p w:rsidR="00600219" w:rsidRDefault="00600219" w:rsidP="003F469F">
      <w:pPr>
        <w:rPr>
          <w:bCs/>
        </w:rPr>
      </w:pPr>
    </w:p>
    <w:p w:rsidR="003F469F" w:rsidRDefault="003F469F" w:rsidP="003F469F">
      <w:pPr>
        <w:rPr>
          <w:bCs/>
        </w:rPr>
      </w:pPr>
      <w:r>
        <w:rPr>
          <w:bCs/>
        </w:rPr>
        <w:t>Otrkārt, tādi rīcībpolitikas pasākumi kā transportlīdzekļa ekspluatācijas nodokļa atvieglojumi daudzbērnu ģimenēm vai interešu izglītības izdevumu iekļaušana attaisnotajos izdevumos rada ietekmi uz ģimenēm ar bērniem kopumā, turklāt lielākā mērā tieši uz ģimenēm ar augstākiem ienākumiem un labāku materiālo stāvokli, kuras var atļauties automašīnu un segt papildu izdevumus par maksas interešu izglītību. Līdz ar to šādi pasākumi teorētiski var ietekmēt arī ģimenes ar zemiem ienākumiem, bet praktiski uz tām šie atvieglojumi neattiecas. Tāpēc tie zināmā mērā var tikt vērtēti kā pasākumi, kuri atvieglo ģimeņu ar bērniem materiālo stāvokli, palielinot to netiešos ienākumus un ļaujot nodrošināt bērniem cienīgu dzīvi, ar to saprotot ne tikai ēdiena, apģērba un mājokļa nodrošināšanu, bet arī iespēju papildus izglītoties, apmeklēt kultūras pasākumus u.tml.</w:t>
      </w:r>
    </w:p>
    <w:p w:rsidR="003F469F" w:rsidRDefault="003F469F" w:rsidP="003F469F">
      <w:pPr>
        <w:rPr>
          <w:bCs/>
        </w:rPr>
      </w:pPr>
    </w:p>
    <w:p w:rsidR="003F469F" w:rsidRDefault="003F469F" w:rsidP="003F469F">
      <w:pPr>
        <w:rPr>
          <w:bCs/>
        </w:rPr>
      </w:pPr>
      <w:r>
        <w:rPr>
          <w:bCs/>
        </w:rPr>
        <w:t>Raugoties no tieši mērķēta atbalsta nabadzības un sociālās atstumtības riskam pakļauto iedzīvotāju grupu situācijas uzlabošanas, t.sk. tiešo ienākumu palielināšanas perspektīvas, ietekme (neņemot vērā tās apmēru) ir bijusi šādiem pasākumiem: ģ</w:t>
      </w:r>
      <w:r w:rsidRPr="008C58AE">
        <w:rPr>
          <w:bCs/>
        </w:rPr>
        <w:t>imenes valsts pabalsta palielināšana par katru nākamo bērnu, valsts sociālo pabalstu ierobežojumu atcelšana, pensiju indeksācija un IIN atvieglojumu palielināšana par apgādībā esošām personām. Netiešo ienākumu</w:t>
      </w:r>
      <w:r>
        <w:rPr>
          <w:bCs/>
        </w:rPr>
        <w:t xml:space="preserve"> palielināšanos sekmējuši tādi pasākumi kā daudzbērnu ģimenes definīcijas paplašināšana, aizsargātā lietotāja termina ieviešana, </w:t>
      </w:r>
      <w:r>
        <w:rPr>
          <w:sz w:val="22"/>
          <w:szCs w:val="22"/>
        </w:rPr>
        <w:t xml:space="preserve">pārtikas, higiēnas un mācību līdzekļu paku izdalīšana trūcīgajiem iedzīvotājiem. Kopumā secināms, ka lielāka pasākumu daļa ir bijusi vērsta uz tiešo ienākumu palielināšanu. </w:t>
      </w:r>
    </w:p>
    <w:p w:rsidR="003F469F" w:rsidRDefault="003F469F" w:rsidP="003F469F">
      <w:pPr>
        <w:rPr>
          <w:bCs/>
        </w:rPr>
      </w:pPr>
    </w:p>
    <w:p w:rsidR="003F469F" w:rsidRDefault="003F469F" w:rsidP="003F469F">
      <w:pPr>
        <w:rPr>
          <w:bCs/>
        </w:rPr>
      </w:pPr>
      <w:r>
        <w:rPr>
          <w:bCs/>
        </w:rPr>
        <w:t xml:space="preserve">Izvērtējot rīcībpolitikas pasākumu nozīmi no mērķa grupu perspektīvas, jāsecina, ka vairāk </w:t>
      </w:r>
      <w:r w:rsidRPr="00840BB8">
        <w:rPr>
          <w:b/>
          <w:bCs/>
        </w:rPr>
        <w:t>izmaiņas bijušas vērstas uz šādām nabadzības un sociālās atstumtības riska grupām</w:t>
      </w:r>
      <w:r>
        <w:rPr>
          <w:bCs/>
        </w:rPr>
        <w:t xml:space="preserve">: </w:t>
      </w:r>
    </w:p>
    <w:p w:rsidR="003F469F" w:rsidRPr="00840BB8" w:rsidRDefault="003F469F" w:rsidP="003F469F">
      <w:pPr>
        <w:pStyle w:val="ListParagraph"/>
        <w:numPr>
          <w:ilvl w:val="0"/>
          <w:numId w:val="173"/>
        </w:numPr>
        <w:spacing w:line="276" w:lineRule="auto"/>
        <w:jc w:val="both"/>
        <w:rPr>
          <w:bCs/>
        </w:rPr>
      </w:pPr>
      <w:r w:rsidRPr="00840BB8">
        <w:rPr>
          <w:bCs/>
        </w:rPr>
        <w:t xml:space="preserve">daudzbērnu ģimenēm; </w:t>
      </w:r>
    </w:p>
    <w:p w:rsidR="003F469F" w:rsidRPr="00840BB8" w:rsidRDefault="003F469F" w:rsidP="003F469F">
      <w:pPr>
        <w:pStyle w:val="ListParagraph"/>
        <w:numPr>
          <w:ilvl w:val="0"/>
          <w:numId w:val="173"/>
        </w:numPr>
        <w:spacing w:line="276" w:lineRule="auto"/>
        <w:jc w:val="both"/>
        <w:rPr>
          <w:bCs/>
        </w:rPr>
      </w:pPr>
      <w:r w:rsidRPr="00840BB8">
        <w:rPr>
          <w:bCs/>
        </w:rPr>
        <w:t xml:space="preserve">viena </w:t>
      </w:r>
      <w:r w:rsidR="00BA1727">
        <w:t>vecāka mājsaimniecībām</w:t>
      </w:r>
      <w:r w:rsidRPr="00840BB8">
        <w:rPr>
          <w:bCs/>
        </w:rPr>
        <w:t>;</w:t>
      </w:r>
    </w:p>
    <w:p w:rsidR="003F469F" w:rsidRPr="00840BB8" w:rsidRDefault="003F469F" w:rsidP="003F469F">
      <w:pPr>
        <w:pStyle w:val="ListParagraph"/>
        <w:numPr>
          <w:ilvl w:val="0"/>
          <w:numId w:val="173"/>
        </w:numPr>
        <w:spacing w:line="276" w:lineRule="auto"/>
        <w:jc w:val="both"/>
        <w:rPr>
          <w:bCs/>
        </w:rPr>
      </w:pPr>
      <w:r w:rsidRPr="00840BB8">
        <w:rPr>
          <w:bCs/>
        </w:rPr>
        <w:lastRenderedPageBreak/>
        <w:t xml:space="preserve">bērniem kā atsevišķu mērķa grupu (tā kā bērni ir piesaistīti pieaugušajiem ienākumu guvējiem); </w:t>
      </w:r>
    </w:p>
    <w:p w:rsidR="003F469F" w:rsidRPr="00840BB8" w:rsidRDefault="003F469F" w:rsidP="003F469F">
      <w:pPr>
        <w:pStyle w:val="ListParagraph"/>
        <w:numPr>
          <w:ilvl w:val="0"/>
          <w:numId w:val="173"/>
        </w:numPr>
        <w:spacing w:line="276" w:lineRule="auto"/>
        <w:jc w:val="both"/>
        <w:rPr>
          <w:bCs/>
        </w:rPr>
      </w:pPr>
      <w:r w:rsidRPr="00840BB8">
        <w:rPr>
          <w:bCs/>
        </w:rPr>
        <w:t>konkrētos segmentos (ar celiakiju slimi bērni) un jomās (elektroenerģijas pakalpojumu cenu samazinājums) bērniem ar invaliditāti;</w:t>
      </w:r>
    </w:p>
    <w:p w:rsidR="003F469F" w:rsidRPr="00840BB8" w:rsidRDefault="003F469F" w:rsidP="003F469F">
      <w:pPr>
        <w:pStyle w:val="ListParagraph"/>
        <w:numPr>
          <w:ilvl w:val="0"/>
          <w:numId w:val="173"/>
        </w:numPr>
        <w:spacing w:line="276" w:lineRule="auto"/>
        <w:jc w:val="both"/>
        <w:rPr>
          <w:bCs/>
        </w:rPr>
      </w:pPr>
      <w:r w:rsidRPr="00840BB8">
        <w:rPr>
          <w:bCs/>
        </w:rPr>
        <w:t>pens</w:t>
      </w:r>
      <w:r>
        <w:rPr>
          <w:bCs/>
        </w:rPr>
        <w:t>ionāriem;</w:t>
      </w:r>
    </w:p>
    <w:p w:rsidR="003F469F" w:rsidRPr="00840BB8" w:rsidRDefault="003F469F" w:rsidP="003F469F">
      <w:pPr>
        <w:pStyle w:val="ListParagraph"/>
        <w:numPr>
          <w:ilvl w:val="0"/>
          <w:numId w:val="173"/>
        </w:numPr>
        <w:spacing w:line="276" w:lineRule="auto"/>
        <w:jc w:val="both"/>
        <w:rPr>
          <w:bCs/>
        </w:rPr>
      </w:pPr>
      <w:r w:rsidRPr="00840BB8">
        <w:rPr>
          <w:bCs/>
        </w:rPr>
        <w:t>bezdarbniekiem</w:t>
      </w:r>
      <w:r>
        <w:rPr>
          <w:bCs/>
        </w:rPr>
        <w:t>;</w:t>
      </w:r>
      <w:r w:rsidRPr="00840BB8">
        <w:rPr>
          <w:bCs/>
        </w:rPr>
        <w:t xml:space="preserve"> </w:t>
      </w:r>
    </w:p>
    <w:p w:rsidR="003F469F" w:rsidRPr="00840BB8" w:rsidRDefault="003F469F" w:rsidP="003F469F">
      <w:pPr>
        <w:pStyle w:val="ListParagraph"/>
        <w:numPr>
          <w:ilvl w:val="0"/>
          <w:numId w:val="173"/>
        </w:numPr>
        <w:spacing w:line="276" w:lineRule="auto"/>
        <w:jc w:val="both"/>
        <w:rPr>
          <w:bCs/>
        </w:rPr>
      </w:pPr>
      <w:r w:rsidRPr="00840BB8">
        <w:rPr>
          <w:bCs/>
        </w:rPr>
        <w:t xml:space="preserve">trūcīgām personām. </w:t>
      </w:r>
    </w:p>
    <w:p w:rsidR="003F469F" w:rsidRDefault="003F469F" w:rsidP="003F469F">
      <w:pPr>
        <w:rPr>
          <w:bCs/>
        </w:rPr>
      </w:pPr>
    </w:p>
    <w:p w:rsidR="004A64E6" w:rsidRDefault="003F469F" w:rsidP="003F469F">
      <w:pPr>
        <w:rPr>
          <w:bCs/>
        </w:rPr>
      </w:pPr>
      <w:r>
        <w:rPr>
          <w:bCs/>
        </w:rPr>
        <w:t xml:space="preserve">Vienlaikus </w:t>
      </w:r>
      <w:r w:rsidRPr="004A64E6">
        <w:rPr>
          <w:b/>
          <w:bCs/>
        </w:rPr>
        <w:t>statistikas datu analīze</w:t>
      </w:r>
      <w:r>
        <w:rPr>
          <w:bCs/>
        </w:rPr>
        <w:t xml:space="preserve"> liecina tikai par daļas šo mērķa grupas situācijas uzlabošanos. </w:t>
      </w:r>
      <w:r w:rsidR="004A64E6">
        <w:rPr>
          <w:bCs/>
        </w:rPr>
        <w:t>Izvērtējuma autori vērš uzmanību uz to, ka, v</w:t>
      </w:r>
      <w:r w:rsidR="001E14E3">
        <w:rPr>
          <w:bCs/>
        </w:rPr>
        <w:t xml:space="preserve">ērtējot statistiskas datu </w:t>
      </w:r>
      <w:r w:rsidR="004A64E6">
        <w:rPr>
          <w:bCs/>
        </w:rPr>
        <w:t>apkopojumos plaši izmantotos nabadzības un ienākumu rādītājus, ir jāņem vērā piemērotās ekvivalences skalas, kas būtiski maina dažādu rādītāju vērtības, īpaši tas attiecas uz mājsaimniecībām ar bērniem un viena pieaugušā mājsaimniecībām.</w:t>
      </w:r>
    </w:p>
    <w:p w:rsidR="004A64E6" w:rsidRDefault="004A64E6" w:rsidP="003F469F">
      <w:pPr>
        <w:rPr>
          <w:bCs/>
        </w:rPr>
      </w:pPr>
    </w:p>
    <w:p w:rsidR="003F469F" w:rsidRDefault="003F469F" w:rsidP="003F469F">
      <w:pPr>
        <w:rPr>
          <w:bCs/>
        </w:rPr>
      </w:pPr>
      <w:r w:rsidRPr="000A5580">
        <w:rPr>
          <w:b/>
          <w:bCs/>
        </w:rPr>
        <w:t>Visbūtiskāk</w:t>
      </w:r>
      <w:r w:rsidR="001E14E3">
        <w:rPr>
          <w:b/>
          <w:bCs/>
        </w:rPr>
        <w:t>, vērtējot pēc OECD modificētās ekvivalences skalas,</w:t>
      </w:r>
      <w:r w:rsidRPr="000A5580">
        <w:rPr>
          <w:b/>
          <w:bCs/>
        </w:rPr>
        <w:t xml:space="preserve"> ir uzlabojusies daudzbērnu ģimeņu situācija</w:t>
      </w:r>
      <w:r>
        <w:rPr>
          <w:bCs/>
        </w:rPr>
        <w:t xml:space="preserve">, kuru nabadzības riska indekss ir samazinājies par 14,7 procentpunktiem (2016. gadā tas bija 19,8%). Kaut arī ir nabadzības riska indekss ir samazinājies arī viena </w:t>
      </w:r>
      <w:r w:rsidR="00BA1727">
        <w:t>vecāka mājsaimniecībām</w:t>
      </w:r>
      <w:r>
        <w:rPr>
          <w:bCs/>
        </w:rPr>
        <w:t xml:space="preserve">, tomēr ievērojami mazākā apmērā (par 2,7 procentpunktiem) un bija samērā augsts 2016. gadā – 34,3%. Kopumā statistiskas dati rāda pozitīvu tendenci attiecībā uz ģimeņu ar bērniem nabadzības riska indeksa vērtībām - tas turpina samazināties, sasniedzot 16,3% 2016. gadā, kas pozitīvi ietekmē arī bērnu nabadzības riska indeksa rādītājus – laikā no 2014. gada līdz 2016. gadam tas ir samazinājies par 7,4 procentpunktiem; tas nozīmē, ja 2014. gadā nabadzības riskam tika pakļauti 31,3% bērnu vecumā no 0 līdz 17 gadiem, tad 2016. gadā – 23,9%. </w:t>
      </w:r>
      <w:r w:rsidRPr="00FE3419">
        <w:rPr>
          <w:rFonts w:eastAsia="Times New Roman"/>
        </w:rPr>
        <w:t>Turpina samazināties arī bērnu īpatsvars GMI pabalsta saņēmēju vidū –</w:t>
      </w:r>
      <w:r>
        <w:rPr>
          <w:rFonts w:eastAsia="Times New Roman"/>
        </w:rPr>
        <w:t xml:space="preserve"> no 29,1% 2014. gadā līdz 24,8% 2015. gadā un 20,7% 2016.gadā, veidojot kopējo samazinājumu par 8,5 procentpunktiem. </w:t>
      </w:r>
      <w:r>
        <w:rPr>
          <w:bCs/>
        </w:rPr>
        <w:t xml:space="preserve">Šie rādītāji ir pamats secinājumam, ka īstenotie rīcībpolitikas pasākumi, kas vērsti kā uz tiešo, tā netiešo šo mērķa grupu ienākumu palielināšanu, ir devuši rezultātu. </w:t>
      </w:r>
    </w:p>
    <w:p w:rsidR="003F469F" w:rsidRDefault="003F469F" w:rsidP="003F469F">
      <w:pPr>
        <w:rPr>
          <w:bCs/>
        </w:rPr>
      </w:pPr>
    </w:p>
    <w:p w:rsidR="003F469F" w:rsidRDefault="003F469F" w:rsidP="003F469F">
      <w:pPr>
        <w:rPr>
          <w:bCs/>
        </w:rPr>
      </w:pPr>
      <w:r>
        <w:rPr>
          <w:bCs/>
        </w:rPr>
        <w:t xml:space="preserve">Situācija ir </w:t>
      </w:r>
      <w:r w:rsidRPr="00EE3BD1">
        <w:rPr>
          <w:b/>
          <w:bCs/>
        </w:rPr>
        <w:t>vērtējama kritiski tādās mērķa grupās kā pensionāri</w:t>
      </w:r>
      <w:r>
        <w:rPr>
          <w:bCs/>
        </w:rPr>
        <w:t xml:space="preserve">, īpaši atsevišķi dzīvojošie seniori (sk. augstāk), un </w:t>
      </w:r>
      <w:r w:rsidRPr="00EE3BD1">
        <w:rPr>
          <w:b/>
          <w:bCs/>
        </w:rPr>
        <w:t>bezdarbnieki</w:t>
      </w:r>
      <w:r>
        <w:rPr>
          <w:bCs/>
        </w:rPr>
        <w:t xml:space="preserve">. </w:t>
      </w:r>
      <w:r w:rsidR="008B4DC7">
        <w:rPr>
          <w:bCs/>
        </w:rPr>
        <w:t xml:space="preserve">Datu interpretācijā jāņem vērā, ka rādītāji aprēķināti pēc modificētās ekvivalences skalas (sk. skaidrojumu 1.2.2. sadaļā un 1.8.tabulā). </w:t>
      </w:r>
      <w:r>
        <w:rPr>
          <w:bCs/>
        </w:rPr>
        <w:t>Kopumā bezdarbnieku nabadzības riska indekss ir pieaudzis nelielā apmērā – no 2014. gada līdz 2016. gadam par 1,5 procentpunktu. Būtiska ietekme šeit ir dzimuma faktoram – bezdarbnieku vīriešu vidū nabadzības riska indekss 2016. gadā bija 62,7%, kamēr sieviešu vidū – 48,5%. Tas liek secināt, ka īstenotie pasākumi, kas bijuši mērķēti uz šo mērķa grupu (bezdarbnieka pabalsta ierobežojumu atcelšana, noteiktu ienākumu</w:t>
      </w:r>
      <w:r>
        <w:rPr>
          <w:rStyle w:val="FootnoteReference"/>
          <w:bCs/>
        </w:rPr>
        <w:footnoteReference w:id="126"/>
      </w:r>
      <w:r>
        <w:rPr>
          <w:bCs/>
        </w:rPr>
        <w:t xml:space="preserve"> neaplikšana ar IIN), nav snieguši būtisku ieguldījumu bezdarbnieku situācijas uzlabošanā ienākumu ziņā. Taču tā kā valsts politikas mērķis ir sekmēt šīs mērķa grupas motivāciju iesaistīties darba tirgū, nevis ilgstoši saņemt valsts finansiālu atbalstu, pozitīvi vērtējams ir rādītājs, ka šīs grupas nabadzības risks būtiski nepieaug. </w:t>
      </w:r>
    </w:p>
    <w:p w:rsidR="003F469F" w:rsidRDefault="003F469F" w:rsidP="003F469F">
      <w:pPr>
        <w:rPr>
          <w:bCs/>
        </w:rPr>
      </w:pPr>
      <w:r w:rsidRPr="000B205C">
        <w:rPr>
          <w:bCs/>
        </w:rPr>
        <w:lastRenderedPageBreak/>
        <w:t xml:space="preserve">Pašvaldību administratīvo datu analīze iezīmē vairākas pozitīvas tendences – laikā no 2014. gada līdz 2016. gadam ir </w:t>
      </w:r>
      <w:r w:rsidRPr="000A5580">
        <w:rPr>
          <w:b/>
          <w:bCs/>
        </w:rPr>
        <w:t>samazinājies trūcīgo personu un maznodrošināto personu absolūtais skaits un īpatsvars valstī</w:t>
      </w:r>
      <w:r w:rsidRPr="000B205C">
        <w:rPr>
          <w:bCs/>
        </w:rPr>
        <w:t xml:space="preserve"> (attiecīgi no 5,2% 2014. gadā līdz 3,5% 2016. gadā un no 5,1% 2014. gadā līdz 4,1% 2016. gadā), tāpat ir samazinājies arī GMI pabalsta un dzīvokļa pabalsta saņēmēju skaits (attiecīgi no 2,3% 2014. gadā līdz 1,4% 2016. gadā un 6,7% 2014. gadā līdz 5,1% 2016. gadā). Likumsakarīgi, ka ir samazinājies arī minēto mērķa grupu atbalstam un pabalstu izmaksai izlietoto līdzekļu apmērs. Vienlaikus jāņem vērā, ka GMI līmenis un trūcīgas personas ienākumu līmenis ilgstoši nav pārskatīti, neraugoties uz vidējo ienākumu pieaugumu valstī kopumā.</w:t>
      </w:r>
      <w:r>
        <w:rPr>
          <w:bCs/>
        </w:rPr>
        <w:t xml:space="preserve"> </w:t>
      </w:r>
    </w:p>
    <w:p w:rsidR="003F469F" w:rsidRDefault="003F469F" w:rsidP="003F469F">
      <w:pPr>
        <w:rPr>
          <w:bCs/>
        </w:rPr>
      </w:pPr>
    </w:p>
    <w:p w:rsidR="003F469F" w:rsidRDefault="003F469F" w:rsidP="003F469F">
      <w:pPr>
        <w:rPr>
          <w:bCs/>
        </w:rPr>
      </w:pPr>
      <w:r>
        <w:rPr>
          <w:bCs/>
        </w:rPr>
        <w:t>Salīdzinot augstāk nosauktās grupas ar sākotnēji identificētajām Izvērtējuma mērķa grupām, secināms, ka izmaiņas nav skārušas vai ir skārušas mazākā mērā šādas nabadzības un sociālās atstumtības riskam pakļautās grupas:</w:t>
      </w:r>
    </w:p>
    <w:p w:rsidR="003F469F" w:rsidRDefault="003F469F" w:rsidP="003F469F">
      <w:pPr>
        <w:pStyle w:val="ListParagraph"/>
        <w:numPr>
          <w:ilvl w:val="0"/>
          <w:numId w:val="163"/>
        </w:numPr>
        <w:spacing w:line="276" w:lineRule="auto"/>
        <w:jc w:val="both"/>
      </w:pPr>
      <w:r w:rsidRPr="009A14E3">
        <w:t>pirmspensijas vecuma personas; </w:t>
      </w:r>
    </w:p>
    <w:p w:rsidR="003F469F" w:rsidRDefault="003F469F" w:rsidP="003F469F">
      <w:pPr>
        <w:pStyle w:val="ListParagraph"/>
        <w:numPr>
          <w:ilvl w:val="0"/>
          <w:numId w:val="163"/>
        </w:numPr>
        <w:spacing w:line="276" w:lineRule="auto"/>
        <w:jc w:val="both"/>
      </w:pPr>
      <w:r w:rsidRPr="009A14E3">
        <w:t>personas ar invaliditāti un personas ar funkcionēšanas ierobežojumiem;</w:t>
      </w:r>
    </w:p>
    <w:p w:rsidR="003F469F" w:rsidRDefault="003F469F" w:rsidP="003F469F">
      <w:pPr>
        <w:pStyle w:val="ListParagraph"/>
        <w:numPr>
          <w:ilvl w:val="0"/>
          <w:numId w:val="163"/>
        </w:numPr>
        <w:spacing w:line="276" w:lineRule="auto"/>
        <w:jc w:val="both"/>
      </w:pPr>
      <w:r w:rsidRPr="009A14E3">
        <w:t>bezpajumtnieki</w:t>
      </w:r>
      <w:r>
        <w:t>;</w:t>
      </w:r>
    </w:p>
    <w:p w:rsidR="003F469F" w:rsidRDefault="003F469F" w:rsidP="003F469F">
      <w:pPr>
        <w:pStyle w:val="ListParagraph"/>
        <w:numPr>
          <w:ilvl w:val="0"/>
          <w:numId w:val="163"/>
        </w:numPr>
        <w:spacing w:line="276" w:lineRule="auto"/>
        <w:jc w:val="both"/>
      </w:pPr>
      <w:r w:rsidRPr="009A14E3">
        <w:t>romi</w:t>
      </w:r>
      <w:r>
        <w:t>;</w:t>
      </w:r>
    </w:p>
    <w:p w:rsidR="003F469F" w:rsidRDefault="003F469F" w:rsidP="003F469F">
      <w:pPr>
        <w:pStyle w:val="ListParagraph"/>
        <w:numPr>
          <w:ilvl w:val="0"/>
          <w:numId w:val="163"/>
        </w:numPr>
        <w:spacing w:line="276" w:lineRule="auto"/>
        <w:jc w:val="both"/>
      </w:pPr>
      <w:r w:rsidRPr="009A14E3">
        <w:t>ieslodzītie un no ieslodzījuma vietām atbrīvotās personas;</w:t>
      </w:r>
    </w:p>
    <w:p w:rsidR="003F469F" w:rsidRDefault="003F469F" w:rsidP="003F469F">
      <w:pPr>
        <w:pStyle w:val="ListParagraph"/>
        <w:numPr>
          <w:ilvl w:val="0"/>
          <w:numId w:val="163"/>
        </w:numPr>
        <w:spacing w:line="276" w:lineRule="auto"/>
        <w:jc w:val="both"/>
      </w:pPr>
      <w:r w:rsidRPr="009A14E3">
        <w:t>cilvēku tirdzniecības upuri; </w:t>
      </w:r>
    </w:p>
    <w:p w:rsidR="003F469F" w:rsidRDefault="003F469F" w:rsidP="003F469F">
      <w:pPr>
        <w:pStyle w:val="ListParagraph"/>
        <w:numPr>
          <w:ilvl w:val="0"/>
          <w:numId w:val="163"/>
        </w:numPr>
        <w:spacing w:line="276" w:lineRule="auto"/>
        <w:jc w:val="both"/>
      </w:pPr>
      <w:r w:rsidRPr="009A14E3">
        <w:t>no psihoaktīvām vielām (alkohola, narkotiskajām, toksiskajām vai citām apreibinošām vielām) atkarīgās personas;</w:t>
      </w:r>
    </w:p>
    <w:p w:rsidR="003F469F" w:rsidRDefault="003F469F" w:rsidP="003F469F">
      <w:pPr>
        <w:pStyle w:val="ListParagraph"/>
        <w:numPr>
          <w:ilvl w:val="0"/>
          <w:numId w:val="163"/>
        </w:numPr>
        <w:spacing w:line="276" w:lineRule="auto"/>
        <w:jc w:val="both"/>
      </w:pPr>
      <w:r w:rsidRPr="009A14E3">
        <w:t>personas ar nepietiekošām, zemām vai darba tirgum neatbilstošām zināšanām un prasmēm</w:t>
      </w:r>
      <w:r>
        <w:t>.</w:t>
      </w:r>
    </w:p>
    <w:p w:rsidR="00725B08" w:rsidRDefault="00725B08" w:rsidP="003F469F"/>
    <w:p w:rsidR="003F469F" w:rsidRPr="006E1E0A" w:rsidRDefault="003F469F" w:rsidP="003F469F">
      <w:pPr>
        <w:rPr>
          <w:color w:val="FF0000"/>
        </w:rPr>
      </w:pPr>
      <w:r>
        <w:t>Statistikas dati ir informatīvi tikai par divām grupām – pirmspensijas vecuma personām un personām ar invaliditāti. Nabadzības riska indeksa datu analīze vecuma grupu griezumā atklāja, ka iedzīvotāju vecuma grupā no 50 līdz 64 gadiem nabadzības riska indeksa rādītāji ir stabili – nedaudz virs 20%. Šajā grupā konstatēts arī v</w:t>
      </w:r>
      <w:r>
        <w:rPr>
          <w:bCs/>
        </w:rPr>
        <w:t>is</w:t>
      </w:r>
      <w:r w:rsidRPr="00EA0927">
        <w:rPr>
          <w:bCs/>
        </w:rPr>
        <w:t xml:space="preserve">zemākais ienākumu pieaugums </w:t>
      </w:r>
      <w:r>
        <w:rPr>
          <w:bCs/>
        </w:rPr>
        <w:t xml:space="preserve">- </w:t>
      </w:r>
      <w:r w:rsidRPr="00EA0927">
        <w:rPr>
          <w:bCs/>
        </w:rPr>
        <w:t>no 2014.</w:t>
      </w:r>
      <w:r>
        <w:rPr>
          <w:bCs/>
        </w:rPr>
        <w:t xml:space="preserve"> gada</w:t>
      </w:r>
      <w:r w:rsidRPr="00EA0927">
        <w:rPr>
          <w:bCs/>
        </w:rPr>
        <w:t xml:space="preserve"> līdz 2016. gadam vecuma grupā no 55-64 gadiem</w:t>
      </w:r>
      <w:r>
        <w:rPr>
          <w:bCs/>
        </w:rPr>
        <w:t xml:space="preserve"> tas pieaudzis par </w:t>
      </w:r>
      <w:r w:rsidRPr="00EA0927">
        <w:rPr>
          <w:bCs/>
        </w:rPr>
        <w:t xml:space="preserve">47,8 </w:t>
      </w:r>
      <w:r>
        <w:rPr>
          <w:bCs/>
        </w:rPr>
        <w:t xml:space="preserve">EUR jeb par 8,1% (vidēji visās vecumā grupās par 12,4%). </w:t>
      </w:r>
      <w:r w:rsidRPr="00515BCF">
        <w:rPr>
          <w:bCs/>
        </w:rPr>
        <w:t>Attiecībā uz personām ar invaliditāti saistoši ir tie paši secinājumi, kas attiecas uz vecuma pensiju saņēmējiem. Neraugoties uz pensiju (gan vecuma, gan invaliditātes) indeksāciju, to ietekme uz personu tiešajiem ienākumiem bija minimāla, būtiski neuzlabojot to materiālo situāciju.</w:t>
      </w:r>
      <w:r>
        <w:rPr>
          <w:bCs/>
          <w:color w:val="FF0000"/>
        </w:rPr>
        <w:t xml:space="preserve"> </w:t>
      </w:r>
    </w:p>
    <w:p w:rsidR="003F469F" w:rsidRDefault="003F469F" w:rsidP="003F469F"/>
    <w:p w:rsidR="00774AB1" w:rsidRDefault="003F469F" w:rsidP="003F469F">
      <w:pPr>
        <w:rPr>
          <w:bCs/>
        </w:rPr>
      </w:pPr>
      <w:r>
        <w:t xml:space="preserve">Kopumā secināms, ka Latvijā 2015.-2016. gadā saglabājās salīdzinoši augsta iedzīvotāju ienākumu nevienlīdzība, par ko liecināja </w:t>
      </w:r>
      <w:r w:rsidRPr="000B205C">
        <w:t>Džini koeficienta stabilās augstās vērtības (</w:t>
      </w:r>
      <w:r>
        <w:t xml:space="preserve">2016. gadā - </w:t>
      </w:r>
      <w:r w:rsidRPr="000B205C">
        <w:t>34,5%).</w:t>
      </w:r>
      <w:r>
        <w:t xml:space="preserve"> </w:t>
      </w:r>
      <w:r w:rsidRPr="000B205C">
        <w:rPr>
          <w:bCs/>
        </w:rPr>
        <w:t>2014. gadā 9% iedzīvotāju dzīvoja zem minimālā ienākumu līmeņa, šim rādītājām samazinoties līdz 7,8% 2016. gadā. Izvērtējot situāciju 2015., 2016. gadā, redzams, ka ienākumu apjoms uz vienu mājsaimniecības locekli pakāp</w:t>
      </w:r>
      <w:r>
        <w:rPr>
          <w:bCs/>
        </w:rPr>
        <w:t>eniski pieauga, tomēr tas nenoti</w:t>
      </w:r>
      <w:r w:rsidRPr="000B205C">
        <w:rPr>
          <w:bCs/>
        </w:rPr>
        <w:t>k</w:t>
      </w:r>
      <w:r>
        <w:rPr>
          <w:bCs/>
        </w:rPr>
        <w:t>a</w:t>
      </w:r>
      <w:r w:rsidRPr="000B205C">
        <w:rPr>
          <w:bCs/>
        </w:rPr>
        <w:t xml:space="preserve"> vienmērīgi un vienlīdzīgi visās </w:t>
      </w:r>
      <w:r>
        <w:rPr>
          <w:bCs/>
        </w:rPr>
        <w:t>ienākumu un iedzīvotāju grupās.</w:t>
      </w:r>
    </w:p>
    <w:p w:rsidR="00663CA9" w:rsidRPr="00774AB1" w:rsidRDefault="00663CA9" w:rsidP="003F469F"/>
    <w:p w:rsidR="00774AB1" w:rsidRDefault="00774AB1" w:rsidP="003945E0">
      <w:pPr>
        <w:pStyle w:val="Heading2"/>
      </w:pPr>
      <w:bookmarkStart w:id="365" w:name="_Toc6841565"/>
      <w:r>
        <w:lastRenderedPageBreak/>
        <w:t>Galvenās problēmas un ieteikumi to risinājumiem</w:t>
      </w:r>
      <w:r w:rsidRPr="00082655">
        <w:t xml:space="preserve"> nabadzības un sociālās atstumtības jomā</w:t>
      </w:r>
      <w:bookmarkEnd w:id="365"/>
    </w:p>
    <w:p w:rsidR="00804489" w:rsidRDefault="00804489" w:rsidP="00804489">
      <w:r>
        <w:t>Kā jau minēts 1. nodaļas ievadā, d</w:t>
      </w:r>
      <w:r w:rsidRPr="00DE09E2">
        <w:t xml:space="preserve">aļa identificēto problēmu, kas izriet no šī </w:t>
      </w:r>
      <w:r>
        <w:t xml:space="preserve">Izvērtējuma </w:t>
      </w:r>
      <w:r w:rsidRPr="00DE09E2">
        <w:t>perioda datiem, jau ir apzinātas un tiek risinātas. Tāpēc daļā gadījumu konstatēto problēmu risinājumu ieteikumi papildin</w:t>
      </w:r>
      <w:r>
        <w:t>a</w:t>
      </w:r>
      <w:r w:rsidRPr="00DE09E2">
        <w:t xml:space="preserve"> jau esošos darbības virzienus, tādējādi vēršot dažādu nozaru  politikas plānotāju, veidotāju un īstenotāju uzmanību uz to nozīmīgumu.</w:t>
      </w:r>
    </w:p>
    <w:p w:rsidR="00037D97" w:rsidRDefault="00037D97" w:rsidP="00804489"/>
    <w:tbl>
      <w:tblPr>
        <w:tblStyle w:val="TableGrid"/>
        <w:tblW w:w="0" w:type="auto"/>
        <w:tblLook w:val="04A0"/>
      </w:tblPr>
      <w:tblGrid>
        <w:gridCol w:w="1951"/>
        <w:gridCol w:w="7957"/>
      </w:tblGrid>
      <w:tr w:rsidR="00804489" w:rsidRPr="006106B3" w:rsidTr="006106B3">
        <w:tc>
          <w:tcPr>
            <w:tcW w:w="1951" w:type="dxa"/>
            <w:shd w:val="clear" w:color="auto" w:fill="B8CCE4" w:themeFill="accent1" w:themeFillTint="66"/>
          </w:tcPr>
          <w:p w:rsidR="00804489" w:rsidRPr="006106B3" w:rsidRDefault="00804489" w:rsidP="00804489">
            <w:pPr>
              <w:jc w:val="left"/>
              <w:rPr>
                <w:b/>
                <w:color w:val="002060"/>
              </w:rPr>
            </w:pPr>
            <w:r w:rsidRPr="006106B3">
              <w:rPr>
                <w:b/>
                <w:color w:val="002060"/>
              </w:rPr>
              <w:t>Problēma</w:t>
            </w:r>
          </w:p>
        </w:tc>
        <w:tc>
          <w:tcPr>
            <w:tcW w:w="7957" w:type="dxa"/>
            <w:shd w:val="clear" w:color="auto" w:fill="B8CCE4" w:themeFill="accent1" w:themeFillTint="66"/>
          </w:tcPr>
          <w:p w:rsidR="00804489" w:rsidRPr="006106B3" w:rsidRDefault="00804489" w:rsidP="00804489">
            <w:pPr>
              <w:rPr>
                <w:b/>
                <w:color w:val="002060"/>
              </w:rPr>
            </w:pPr>
            <w:r w:rsidRPr="006106B3">
              <w:rPr>
                <w:b/>
                <w:color w:val="002060"/>
              </w:rPr>
              <w:t>Nabadzības fenomena sašaurināta izpratne atbilstoši 21.gs. situācijai, cilvēka tiesībām un pamatvajadzībām</w:t>
            </w:r>
          </w:p>
        </w:tc>
      </w:tr>
      <w:tr w:rsidR="00804489" w:rsidTr="00804489">
        <w:tc>
          <w:tcPr>
            <w:tcW w:w="1951" w:type="dxa"/>
          </w:tcPr>
          <w:p w:rsidR="00804489" w:rsidRDefault="00804489" w:rsidP="00804489">
            <w:pPr>
              <w:jc w:val="left"/>
            </w:pPr>
            <w:r>
              <w:t>Ieteikumi problēmas risinājumam</w:t>
            </w:r>
          </w:p>
        </w:tc>
        <w:tc>
          <w:tcPr>
            <w:tcW w:w="7957" w:type="dxa"/>
          </w:tcPr>
          <w:p w:rsidR="00804489" w:rsidRDefault="00804489" w:rsidP="00383A1A">
            <w:r>
              <w:t>Jebkura nabadzības un sociālās atstumtības izvērtējuma veikšanai būtiski ir definēt tā konceptuālo ietvaru – nabadzības jēdziena izpratni. Problēma meklējama apstāklī, ka statistiskie rādītāji, kas tiek izmantoti nabadzības, ienākumu nevienlīdzības un sociālās atstumtības novērtēšanai, pamatā ir vērsti uz materiālā aspekta – ienākumu līmeņa novērtējumu dažādos griezumos un dažādu faktoru ietekmē. Savukārt sociālajās zinātnēs un augstākā līmeņa politikas plānošanas dokumentos nabadzības fenomena izpratne būtiski paplašinās jau vairāk nekā dekādi, ietverot tajā ne tikai cilvēka pamatvajadzībām nepieciešamo resursu nodrošinājumu, bet arī virkni pakalpojumus – t.sk. veselības aprūpes, izglītības, kultūras, informāciju tehnoloģiju pieejamību. Tāpēc, nosakot minimālā ienākuma līmeņus (trūcīgas personas, maznodrošinātas personas, GMI u.tml.) un vērtējot personas izdevumu pozīcijas, ir jāņem vērā, ka personai ar tās minimālajiem ienākumiem ir jānodrošina ne tikai uzturs un pajumte, bet gan cilvēka cienīgas dzīves apstākļi</w:t>
            </w:r>
            <w:r w:rsidR="00383A1A">
              <w:t>, kurus varētu definēt, izmantojot iztikas minimuma groza konceptu. Iztikas minimuma grozā svarīgi ir iekļaut ne tikai izdevumus par uzturu</w:t>
            </w:r>
            <w:r w:rsidR="00783CC7">
              <w:t>, apģērbu</w:t>
            </w:r>
            <w:r w:rsidR="00383A1A">
              <w:t xml:space="preserve"> un mājokli, bet arī izdevumus</w:t>
            </w:r>
            <w:r w:rsidR="00783CC7">
              <w:t xml:space="preserve"> par veselības, izglītības, kultūras, komunikācijas</w:t>
            </w:r>
            <w:r w:rsidR="00383A1A">
              <w:t xml:space="preserve"> </w:t>
            </w:r>
            <w:r w:rsidR="00783CC7">
              <w:t>u.c. pakalpojumiem.</w:t>
            </w:r>
          </w:p>
        </w:tc>
      </w:tr>
      <w:tr w:rsidR="00804489" w:rsidRPr="006106B3" w:rsidTr="006106B3">
        <w:tc>
          <w:tcPr>
            <w:tcW w:w="1951" w:type="dxa"/>
            <w:shd w:val="clear" w:color="auto" w:fill="B8CCE4" w:themeFill="accent1" w:themeFillTint="66"/>
          </w:tcPr>
          <w:p w:rsidR="00804489" w:rsidRPr="006106B3" w:rsidRDefault="00804489" w:rsidP="00804489">
            <w:pPr>
              <w:jc w:val="left"/>
              <w:rPr>
                <w:b/>
                <w:color w:val="002060"/>
              </w:rPr>
            </w:pPr>
            <w:r w:rsidRPr="006106B3">
              <w:rPr>
                <w:b/>
                <w:color w:val="002060"/>
              </w:rPr>
              <w:t>Problēma</w:t>
            </w:r>
          </w:p>
        </w:tc>
        <w:tc>
          <w:tcPr>
            <w:tcW w:w="7957" w:type="dxa"/>
            <w:shd w:val="clear" w:color="auto" w:fill="B8CCE4" w:themeFill="accent1" w:themeFillTint="66"/>
          </w:tcPr>
          <w:p w:rsidR="00804489" w:rsidRPr="006106B3" w:rsidRDefault="00804489" w:rsidP="00037D97">
            <w:pPr>
              <w:rPr>
                <w:b/>
                <w:color w:val="002060"/>
              </w:rPr>
            </w:pPr>
            <w:r w:rsidRPr="006106B3">
              <w:rPr>
                <w:b/>
                <w:color w:val="002060"/>
              </w:rPr>
              <w:t>Netiek ieviests LM izstrādātais plāns minimālā ienākuma līmeņa noteikšanai</w:t>
            </w:r>
          </w:p>
        </w:tc>
      </w:tr>
      <w:tr w:rsidR="00804489" w:rsidTr="00804489">
        <w:tc>
          <w:tcPr>
            <w:tcW w:w="1951" w:type="dxa"/>
          </w:tcPr>
          <w:p w:rsidR="00804489" w:rsidRDefault="00804489" w:rsidP="00804489">
            <w:pPr>
              <w:jc w:val="left"/>
            </w:pPr>
            <w:r>
              <w:t>Ieteikumi problēmas risinājumam</w:t>
            </w:r>
          </w:p>
        </w:tc>
        <w:tc>
          <w:tcPr>
            <w:tcW w:w="7957" w:type="dxa"/>
          </w:tcPr>
          <w:p w:rsidR="007B6FA1" w:rsidRDefault="00804489" w:rsidP="00EA0F23">
            <w:r>
              <w:t xml:space="preserve">Jau 2014. gadā LM izstrādāja koncepciju „Par minimālā ienākuma līmeņa noteikšanu”, 2017. gadā ir izstrādāts „Plāns minimālo ienākumu atbalsta sistēmas pilnveidošanai 2018.-2020. gadam” ar mērķi pilnveidot minimālo ienākumu atbalsta sistēmu un sniedzot atbalstu nabadzības un ienākumu nevienlīdzības riskiem visvairāk pakļautajām grupām. Izvērtējumā </w:t>
            </w:r>
            <w:r w:rsidR="00EA0F23">
              <w:t>analizētie</w:t>
            </w:r>
            <w:r>
              <w:t xml:space="preserve"> dati </w:t>
            </w:r>
            <w:r w:rsidR="00EA0F23">
              <w:t xml:space="preserve">un iegūtie secinājumi </w:t>
            </w:r>
            <w:r>
              <w:t>par joprojām augsto ienākumu nevienlīdzību, mērķētu pasākumu trūkumu tieši uz iedzīvotājiem ar zemiem ienākumiem apstiprina plānotās rīcībpolitikas īstenošanas nepieciešamību.</w:t>
            </w:r>
          </w:p>
        </w:tc>
      </w:tr>
      <w:tr w:rsidR="00804489" w:rsidRPr="006106B3" w:rsidTr="006106B3">
        <w:tc>
          <w:tcPr>
            <w:tcW w:w="1951" w:type="dxa"/>
            <w:shd w:val="clear" w:color="auto" w:fill="B8CCE4" w:themeFill="accent1" w:themeFillTint="66"/>
          </w:tcPr>
          <w:p w:rsidR="00804489" w:rsidRPr="006106B3" w:rsidRDefault="00804489" w:rsidP="00804489">
            <w:pPr>
              <w:jc w:val="left"/>
              <w:rPr>
                <w:b/>
                <w:color w:val="002060"/>
              </w:rPr>
            </w:pPr>
            <w:r w:rsidRPr="006106B3">
              <w:rPr>
                <w:b/>
                <w:color w:val="002060"/>
              </w:rPr>
              <w:t>Problēma</w:t>
            </w:r>
          </w:p>
        </w:tc>
        <w:tc>
          <w:tcPr>
            <w:tcW w:w="7957" w:type="dxa"/>
            <w:shd w:val="clear" w:color="auto" w:fill="B8CCE4" w:themeFill="accent1" w:themeFillTint="66"/>
          </w:tcPr>
          <w:p w:rsidR="00804489" w:rsidRPr="006106B3" w:rsidRDefault="00804489" w:rsidP="00804489">
            <w:pPr>
              <w:rPr>
                <w:b/>
                <w:color w:val="002060"/>
              </w:rPr>
            </w:pPr>
            <w:r w:rsidRPr="006106B3">
              <w:rPr>
                <w:b/>
                <w:color w:val="002060"/>
              </w:rPr>
              <w:t>Ilgstoši nav veiktas izmaiņas GMI un trūcīgas personas ienākumu līmenī</w:t>
            </w:r>
          </w:p>
        </w:tc>
      </w:tr>
      <w:tr w:rsidR="00804489" w:rsidTr="00804489">
        <w:tc>
          <w:tcPr>
            <w:tcW w:w="1951" w:type="dxa"/>
          </w:tcPr>
          <w:p w:rsidR="00804489" w:rsidRDefault="00804489" w:rsidP="00804489">
            <w:pPr>
              <w:jc w:val="left"/>
            </w:pPr>
            <w:r>
              <w:t>Ieteikumi problēmas risinājumam</w:t>
            </w:r>
          </w:p>
        </w:tc>
        <w:tc>
          <w:tcPr>
            <w:tcW w:w="7957" w:type="dxa"/>
          </w:tcPr>
          <w:p w:rsidR="00804489" w:rsidRPr="005D6FD7" w:rsidRDefault="00804489" w:rsidP="00804489">
            <w:r w:rsidRPr="005D6FD7">
              <w:t>Nepieciešamie risinājumi jau ir izstrādāti un definēti 2017. gadā LM sagatavotajā „Plānā minimālo ienākumu atbalsta sistēmas pilnveidošanai 2018.-2020. gadam”. Izvērtējuma autori uzsver nepieciešamību īstenot plānotos pasākumus:</w:t>
            </w:r>
          </w:p>
          <w:p w:rsidR="00804489" w:rsidRPr="005D6FD7" w:rsidRDefault="00804489" w:rsidP="00804489">
            <w:pPr>
              <w:pStyle w:val="ListParagraph"/>
              <w:numPr>
                <w:ilvl w:val="0"/>
                <w:numId w:val="174"/>
              </w:numPr>
              <w:spacing w:line="276" w:lineRule="auto"/>
              <w:jc w:val="both"/>
            </w:pPr>
            <w:r w:rsidRPr="005D6FD7">
              <w:lastRenderedPageBreak/>
              <w:t>pārskatīt trūcīgas personas statusam atbilstoša ienākuma līmeni;</w:t>
            </w:r>
          </w:p>
          <w:p w:rsidR="00804489" w:rsidRPr="005D6FD7" w:rsidRDefault="00804489" w:rsidP="00804489">
            <w:pPr>
              <w:pStyle w:val="ListParagraph"/>
              <w:numPr>
                <w:ilvl w:val="0"/>
                <w:numId w:val="174"/>
              </w:numPr>
              <w:spacing w:line="276" w:lineRule="auto"/>
              <w:jc w:val="both"/>
            </w:pPr>
            <w:r w:rsidRPr="005D6FD7">
              <w:t>pārskatīt GMI līmeni</w:t>
            </w:r>
            <w:r>
              <w:t xml:space="preserve"> atbilstoši plānā norādītājai metodikai;</w:t>
            </w:r>
          </w:p>
          <w:p w:rsidR="007B6FA1" w:rsidRPr="005D6FD7" w:rsidRDefault="00804489" w:rsidP="00804489">
            <w:r w:rsidRPr="005D6FD7">
              <w:t xml:space="preserve">Pārskatot trūcīgas personas statusam un GMI līmenim atbilstošos ienākumus, ņemt vērā paplašināto nabadzības fenomena izpratni, iekļaujot tajā ne tikai materiālo nodrošinājumu, bet arī minimālo nemateriālo pakalpojumu pieejamības nodrošinājumu. </w:t>
            </w:r>
          </w:p>
        </w:tc>
      </w:tr>
      <w:tr w:rsidR="00804489" w:rsidRPr="006106B3" w:rsidTr="006106B3">
        <w:tc>
          <w:tcPr>
            <w:tcW w:w="1951" w:type="dxa"/>
            <w:shd w:val="clear" w:color="auto" w:fill="B8CCE4" w:themeFill="accent1" w:themeFillTint="66"/>
          </w:tcPr>
          <w:p w:rsidR="006106B3" w:rsidRDefault="006106B3" w:rsidP="00804489">
            <w:pPr>
              <w:jc w:val="left"/>
              <w:rPr>
                <w:b/>
                <w:color w:val="002060"/>
              </w:rPr>
            </w:pPr>
          </w:p>
          <w:p w:rsidR="00804489" w:rsidRPr="006106B3" w:rsidRDefault="00804489" w:rsidP="00804489">
            <w:pPr>
              <w:jc w:val="left"/>
              <w:rPr>
                <w:b/>
                <w:color w:val="002060"/>
              </w:rPr>
            </w:pPr>
            <w:r w:rsidRPr="006106B3">
              <w:rPr>
                <w:b/>
                <w:color w:val="002060"/>
              </w:rPr>
              <w:t>Problēma</w:t>
            </w:r>
          </w:p>
        </w:tc>
        <w:tc>
          <w:tcPr>
            <w:tcW w:w="7957" w:type="dxa"/>
            <w:shd w:val="clear" w:color="auto" w:fill="B8CCE4" w:themeFill="accent1" w:themeFillTint="66"/>
          </w:tcPr>
          <w:p w:rsidR="00804489" w:rsidRPr="006106B3" w:rsidRDefault="00804489" w:rsidP="00804489">
            <w:pPr>
              <w:rPr>
                <w:b/>
                <w:color w:val="002060"/>
              </w:rPr>
            </w:pPr>
            <w:r w:rsidRPr="006106B3">
              <w:rPr>
                <w:b/>
                <w:color w:val="002060"/>
              </w:rPr>
              <w:t>Maznodrošinātas personas ienākumu līmeņa kritēriju sistēmas trūkums, kā rezultātā personas ar līdzīgu ekonomisko un sociālo situāciju saņem atšķirīgu palīdzību</w:t>
            </w:r>
          </w:p>
        </w:tc>
      </w:tr>
      <w:tr w:rsidR="00804489" w:rsidTr="00804489">
        <w:tc>
          <w:tcPr>
            <w:tcW w:w="1951" w:type="dxa"/>
          </w:tcPr>
          <w:p w:rsidR="00804489" w:rsidRDefault="00804489" w:rsidP="00804489">
            <w:pPr>
              <w:jc w:val="left"/>
            </w:pPr>
            <w:r>
              <w:t>Ieteikumi problēmas risinājumam</w:t>
            </w:r>
          </w:p>
        </w:tc>
        <w:tc>
          <w:tcPr>
            <w:tcW w:w="7957" w:type="dxa"/>
          </w:tcPr>
          <w:p w:rsidR="007B6FA1" w:rsidRDefault="00804489" w:rsidP="00804489">
            <w:r>
              <w:t xml:space="preserve">Maznodrošinātas personas statusam atbilstošais ienākumu līmenis valstī 2016. gadā bija robežās no 135 EUR līdz 400 EUR, radot atšķirīgu atbalsta apmēru personām ar līdzīgu ekonomisko un sociālo situāciju. Viens no risinājumiem būtu </w:t>
            </w:r>
            <w:r w:rsidR="00EA0F23">
              <w:t xml:space="preserve">izvērtēt iespēju </w:t>
            </w:r>
            <w:r>
              <w:t xml:space="preserve">noteikt pašvaldībām vienotu kritēriju kopumu, pēc kura tiek aprēķināts maznodrošinātas personas statusam atbilstošais ienākumu līmenis. Tas nozīmē, ka maznodrošinātas personas ienākuma līmeņa robežas joprojām būtu atšķirīgas, taču būtu ievērota sociāli taisnīga un vienlīdzīga pieeja to noteikšanā. Otrs risinājums ir LM „Plānā minimālo ienākumu atbalsta sistēmas pilnveidošanai 2018.-2020. gadam” piedāvātais modelis noteikt vienotu maznodrošinātas personas ienākumu līmeni attiecībā pret trūcīgas personas ienākumu līmeni. </w:t>
            </w:r>
          </w:p>
        </w:tc>
      </w:tr>
      <w:tr w:rsidR="00804489" w:rsidRPr="006106B3" w:rsidTr="006106B3">
        <w:tc>
          <w:tcPr>
            <w:tcW w:w="1951" w:type="dxa"/>
            <w:shd w:val="clear" w:color="auto" w:fill="B8CCE4" w:themeFill="accent1" w:themeFillTint="66"/>
          </w:tcPr>
          <w:p w:rsidR="006106B3" w:rsidRDefault="006106B3" w:rsidP="00804489">
            <w:pPr>
              <w:jc w:val="left"/>
              <w:rPr>
                <w:b/>
                <w:color w:val="002060"/>
              </w:rPr>
            </w:pPr>
          </w:p>
          <w:p w:rsidR="00804489" w:rsidRPr="006106B3" w:rsidRDefault="00804489" w:rsidP="00804489">
            <w:pPr>
              <w:jc w:val="left"/>
              <w:rPr>
                <w:b/>
                <w:color w:val="002060"/>
              </w:rPr>
            </w:pPr>
            <w:r w:rsidRPr="006106B3">
              <w:rPr>
                <w:b/>
                <w:color w:val="002060"/>
              </w:rPr>
              <w:t>Problēma</w:t>
            </w:r>
          </w:p>
        </w:tc>
        <w:tc>
          <w:tcPr>
            <w:tcW w:w="7957" w:type="dxa"/>
            <w:shd w:val="clear" w:color="auto" w:fill="B8CCE4" w:themeFill="accent1" w:themeFillTint="66"/>
          </w:tcPr>
          <w:p w:rsidR="00804489" w:rsidRPr="006106B3" w:rsidRDefault="00804489" w:rsidP="00804489">
            <w:pPr>
              <w:rPr>
                <w:b/>
                <w:color w:val="002060"/>
              </w:rPr>
            </w:pPr>
            <w:r w:rsidRPr="006106B3">
              <w:rPr>
                <w:b/>
                <w:color w:val="002060"/>
              </w:rPr>
              <w:t xml:space="preserve">Pensiju indeksācija ir vecuma pensionāru pamata ienākumu līmeni uzturoša, nevis proporcionāli </w:t>
            </w:r>
            <w:r w:rsidR="004B4C44" w:rsidRPr="006106B3">
              <w:rPr>
                <w:b/>
                <w:color w:val="002060"/>
              </w:rPr>
              <w:t xml:space="preserve">iepretim pārējai sabiedrībai </w:t>
            </w:r>
            <w:r w:rsidRPr="006106B3">
              <w:rPr>
                <w:b/>
                <w:color w:val="002060"/>
              </w:rPr>
              <w:t>ienākumus palielinoša sistēma</w:t>
            </w:r>
          </w:p>
        </w:tc>
      </w:tr>
      <w:tr w:rsidR="00804489" w:rsidTr="00804489">
        <w:tc>
          <w:tcPr>
            <w:tcW w:w="1951" w:type="dxa"/>
          </w:tcPr>
          <w:p w:rsidR="00804489" w:rsidRDefault="00804489" w:rsidP="00804489">
            <w:pPr>
              <w:jc w:val="left"/>
            </w:pPr>
            <w:r>
              <w:t>Ieteikumi problēmas risinājumam</w:t>
            </w:r>
          </w:p>
        </w:tc>
        <w:tc>
          <w:tcPr>
            <w:tcW w:w="7957" w:type="dxa"/>
          </w:tcPr>
          <w:p w:rsidR="00804489" w:rsidRPr="00B3682E" w:rsidRDefault="00804489" w:rsidP="00B3682E">
            <w:pPr>
              <w:pStyle w:val="CommentText"/>
              <w:rPr>
                <w:sz w:val="24"/>
                <w:szCs w:val="24"/>
              </w:rPr>
            </w:pPr>
            <w:r w:rsidRPr="00B3682E">
              <w:rPr>
                <w:sz w:val="24"/>
                <w:szCs w:val="24"/>
              </w:rPr>
              <w:t xml:space="preserve">Neraugoties uz pensiju indeksāciju kā mērķētu rīcībpolitikas pasākumu uz šo mērķa grupu, </w:t>
            </w:r>
            <w:r w:rsidR="004A64E6" w:rsidRPr="00B3682E">
              <w:rPr>
                <w:sz w:val="24"/>
                <w:szCs w:val="24"/>
              </w:rPr>
              <w:t>statistikas datu analīzes rezultāti</w:t>
            </w:r>
            <w:r w:rsidR="00872C9C" w:rsidRPr="00B3682E">
              <w:rPr>
                <w:sz w:val="24"/>
                <w:szCs w:val="24"/>
              </w:rPr>
              <w:t xml:space="preserve">, pielietojot OECD modificēto ekvivalences skalu, </w:t>
            </w:r>
            <w:r w:rsidR="004A64E6" w:rsidRPr="00B3682E">
              <w:rPr>
                <w:sz w:val="24"/>
                <w:szCs w:val="24"/>
              </w:rPr>
              <w:t xml:space="preserve">liecina, ka </w:t>
            </w:r>
            <w:r w:rsidRPr="00B3682E">
              <w:rPr>
                <w:sz w:val="24"/>
                <w:szCs w:val="24"/>
              </w:rPr>
              <w:t xml:space="preserve">pensionāri </w:t>
            </w:r>
            <w:r w:rsidR="00872C9C" w:rsidRPr="00B3682E">
              <w:rPr>
                <w:sz w:val="24"/>
                <w:szCs w:val="24"/>
              </w:rPr>
              <w:t xml:space="preserve">(seniori vecumā virs 65 gadiem, īpaši atsevišķi dzīvojošie) </w:t>
            </w:r>
            <w:r w:rsidRPr="00B3682E">
              <w:rPr>
                <w:sz w:val="24"/>
                <w:szCs w:val="24"/>
              </w:rPr>
              <w:t xml:space="preserve">ir nabadzības riskam </w:t>
            </w:r>
            <w:r w:rsidR="009501BA" w:rsidRPr="00B3682E">
              <w:rPr>
                <w:sz w:val="24"/>
                <w:szCs w:val="24"/>
              </w:rPr>
              <w:t xml:space="preserve">visbiežāk </w:t>
            </w:r>
            <w:r w:rsidRPr="00B3682E">
              <w:rPr>
                <w:sz w:val="24"/>
                <w:szCs w:val="24"/>
              </w:rPr>
              <w:t xml:space="preserve">pakļautā iedzīvotāju grupa. </w:t>
            </w:r>
            <w:r w:rsidR="008848E7" w:rsidRPr="00B3682E">
              <w:rPr>
                <w:sz w:val="24"/>
                <w:szCs w:val="24"/>
              </w:rPr>
              <w:t>2016. gadā 77% vecumu pensijas saņēmēju vecuma pensijas apmērs bija līdz 330 EUR, kas 2016. gadā bija noteiktais nabadzības riska slieksnis vienas personas mājsaimniecībai.</w:t>
            </w:r>
            <w:r w:rsidR="008B4DC7" w:rsidRPr="00B3682E">
              <w:rPr>
                <w:sz w:val="24"/>
                <w:szCs w:val="24"/>
              </w:rPr>
              <w:t xml:space="preserve"> Vairāk kā puse vienas personas mājsaimniecību </w:t>
            </w:r>
            <w:r w:rsidR="00B3682E">
              <w:rPr>
                <w:sz w:val="24"/>
                <w:szCs w:val="24"/>
              </w:rPr>
              <w:t xml:space="preserve">vecumā virs 65 gadiem </w:t>
            </w:r>
            <w:r w:rsidR="008B4DC7" w:rsidRPr="00B3682E">
              <w:rPr>
                <w:sz w:val="24"/>
                <w:szCs w:val="24"/>
              </w:rPr>
              <w:t>koncentrējas tieši zemāko ienākumu kvintilēs</w:t>
            </w:r>
            <w:r w:rsidR="00B3682E" w:rsidRPr="00B3682E">
              <w:rPr>
                <w:bCs/>
                <w:iCs/>
                <w:sz w:val="24"/>
                <w:szCs w:val="24"/>
                <w:lang w:eastAsia="zh-CN"/>
              </w:rPr>
              <w:t xml:space="preserve"> </w:t>
            </w:r>
            <w:r w:rsidR="00B3682E">
              <w:rPr>
                <w:sz w:val="24"/>
                <w:szCs w:val="24"/>
              </w:rPr>
              <w:t>(</w:t>
            </w:r>
            <w:r w:rsidR="008B4DC7" w:rsidRPr="00B3682E">
              <w:rPr>
                <w:sz w:val="24"/>
                <w:szCs w:val="24"/>
              </w:rPr>
              <w:t>1.17. tabulā ir atspoguļoti rādītāji)</w:t>
            </w:r>
            <w:r w:rsidR="00B3682E">
              <w:rPr>
                <w:sz w:val="24"/>
                <w:szCs w:val="24"/>
              </w:rPr>
              <w:t xml:space="preserve">. </w:t>
            </w:r>
            <w:r w:rsidRPr="00B3682E">
              <w:rPr>
                <w:sz w:val="24"/>
                <w:szCs w:val="24"/>
              </w:rPr>
              <w:t xml:space="preserve">Problēmas risināšanai nepieciešams īstenot </w:t>
            </w:r>
            <w:r w:rsidR="004B4C44" w:rsidRPr="00B3682E">
              <w:rPr>
                <w:sz w:val="24"/>
                <w:szCs w:val="24"/>
              </w:rPr>
              <w:t>LM izstrādāto pasākumu minimālo pensiju paaugstināšanai atbilstoši „Plānā minimālo ienākumu atbalsta sistēmas pilnveidošanai 2018.-2020. gadam” piedāvātajai metodikai, kā arī pensiju pārskatīšanai, ņemot vērā apdrošināšanas stāžu (tika paredzēts īstenot no 2019. gada).</w:t>
            </w:r>
          </w:p>
        </w:tc>
      </w:tr>
      <w:tr w:rsidR="00804489" w:rsidRPr="006106B3" w:rsidTr="006106B3">
        <w:tc>
          <w:tcPr>
            <w:tcW w:w="1951" w:type="dxa"/>
            <w:shd w:val="clear" w:color="auto" w:fill="B8CCE4" w:themeFill="accent1" w:themeFillTint="66"/>
          </w:tcPr>
          <w:p w:rsidR="006106B3" w:rsidRPr="006106B3" w:rsidRDefault="006106B3" w:rsidP="00804489">
            <w:pPr>
              <w:jc w:val="left"/>
              <w:rPr>
                <w:b/>
                <w:color w:val="002060"/>
              </w:rPr>
            </w:pPr>
          </w:p>
          <w:p w:rsidR="006106B3" w:rsidRPr="006106B3" w:rsidRDefault="006106B3" w:rsidP="00804489">
            <w:pPr>
              <w:jc w:val="left"/>
              <w:rPr>
                <w:b/>
                <w:color w:val="002060"/>
              </w:rPr>
            </w:pPr>
          </w:p>
          <w:p w:rsidR="00804489" w:rsidRPr="006106B3" w:rsidRDefault="00804489" w:rsidP="00804489">
            <w:pPr>
              <w:jc w:val="left"/>
              <w:rPr>
                <w:b/>
                <w:color w:val="002060"/>
              </w:rPr>
            </w:pPr>
            <w:r w:rsidRPr="006106B3">
              <w:rPr>
                <w:b/>
                <w:color w:val="002060"/>
              </w:rPr>
              <w:t>Problēma</w:t>
            </w:r>
          </w:p>
        </w:tc>
        <w:tc>
          <w:tcPr>
            <w:tcW w:w="7957" w:type="dxa"/>
            <w:shd w:val="clear" w:color="auto" w:fill="B8CCE4" w:themeFill="accent1" w:themeFillTint="66"/>
          </w:tcPr>
          <w:p w:rsidR="00804489" w:rsidRPr="006106B3" w:rsidRDefault="00804489" w:rsidP="00804489">
            <w:pPr>
              <w:rPr>
                <w:b/>
                <w:color w:val="002060"/>
              </w:rPr>
            </w:pPr>
            <w:r w:rsidRPr="006106B3">
              <w:rPr>
                <w:b/>
                <w:color w:val="002060"/>
              </w:rPr>
              <w:t>Jebkuras politikas nozares ietvaros veiktās izmaiņas, t.sk. mērķētās uz konkrētām iedzīvotāju grupām, var atšķirīgi ietekmēt dažādas iedzīvotāju grupas atkarībā no to sociāli demogrāfiskajām pazīmēm un ienākumu apmēra, kā rezultātā tā vietā, lai mazinātu nevienlīdzību, tā var tikt saglabāta vai pat sekmēta</w:t>
            </w:r>
          </w:p>
        </w:tc>
      </w:tr>
      <w:tr w:rsidR="00804489" w:rsidTr="00804489">
        <w:tc>
          <w:tcPr>
            <w:tcW w:w="1951" w:type="dxa"/>
          </w:tcPr>
          <w:p w:rsidR="00804489" w:rsidRDefault="00804489" w:rsidP="00804489">
            <w:pPr>
              <w:jc w:val="left"/>
            </w:pPr>
            <w:r>
              <w:t xml:space="preserve">Ieteikumi problēmas </w:t>
            </w:r>
            <w:r>
              <w:lastRenderedPageBreak/>
              <w:t>risinājumam</w:t>
            </w:r>
          </w:p>
        </w:tc>
        <w:tc>
          <w:tcPr>
            <w:tcW w:w="7957" w:type="dxa"/>
          </w:tcPr>
          <w:p w:rsidR="007B6FA1" w:rsidRDefault="00804489" w:rsidP="00804489">
            <w:r>
              <w:lastRenderedPageBreak/>
              <w:t xml:space="preserve">Izstrādājot rīcībpolitikas pasākumus nabadzības un sociālās atstumtības riskam pakļautajām grupām, tiem ir jābūt pēc iespējas mērķētākiem tādā nozīmē, lai tie </w:t>
            </w:r>
            <w:r>
              <w:lastRenderedPageBreak/>
              <w:t xml:space="preserve">būtu jūtīgi pret sociāli demogrāfiskajiem parametriem (dzimumu, vecumu, nodarbinātību, izglītību), mājsaimniecību tipiem, apgādājamo personu skaitu, personu ienākumu apmēru. Pretējā gadījumā veidojas situācijas, kurās pasākumu mērķa grupas nevar pilnībā izmantot tām paredzētos atvieglojumus (īpaši tas attiecas uz nodokļu politikas pasākumiem) vai atbalsta veidus.  </w:t>
            </w:r>
          </w:p>
        </w:tc>
      </w:tr>
      <w:tr w:rsidR="00804489" w:rsidRPr="006106B3" w:rsidTr="006106B3">
        <w:tc>
          <w:tcPr>
            <w:tcW w:w="1951" w:type="dxa"/>
            <w:shd w:val="clear" w:color="auto" w:fill="B8CCE4" w:themeFill="accent1" w:themeFillTint="66"/>
          </w:tcPr>
          <w:p w:rsidR="006106B3" w:rsidRPr="006106B3" w:rsidRDefault="006106B3" w:rsidP="00804489">
            <w:pPr>
              <w:jc w:val="left"/>
              <w:rPr>
                <w:b/>
                <w:color w:val="002060"/>
              </w:rPr>
            </w:pPr>
          </w:p>
          <w:p w:rsidR="00804489" w:rsidRPr="006106B3" w:rsidRDefault="00804489" w:rsidP="00804489">
            <w:pPr>
              <w:jc w:val="left"/>
              <w:rPr>
                <w:b/>
                <w:color w:val="002060"/>
              </w:rPr>
            </w:pPr>
            <w:r w:rsidRPr="006106B3">
              <w:rPr>
                <w:b/>
                <w:color w:val="002060"/>
              </w:rPr>
              <w:t>Problēma</w:t>
            </w:r>
          </w:p>
        </w:tc>
        <w:tc>
          <w:tcPr>
            <w:tcW w:w="7957" w:type="dxa"/>
            <w:shd w:val="clear" w:color="auto" w:fill="B8CCE4" w:themeFill="accent1" w:themeFillTint="66"/>
          </w:tcPr>
          <w:p w:rsidR="00804489" w:rsidRPr="006106B3" w:rsidRDefault="00804489" w:rsidP="00DF3D81">
            <w:pPr>
              <w:rPr>
                <w:b/>
                <w:color w:val="002060"/>
              </w:rPr>
            </w:pPr>
            <w:r w:rsidRPr="006106B3">
              <w:rPr>
                <w:b/>
                <w:color w:val="002060"/>
              </w:rPr>
              <w:t>Personu ar invaliditāti galvenais ienākumu avots ir vecuma vai invaliditātes pensija, kuras apmērs nozīmīgi ietekmē šīs grupas ienākumus, īpaši personām ar garīga rakstura traucējumiem vai personām, kurām nav zināms traucējums veids (</w:t>
            </w:r>
            <w:r w:rsidR="00AB36C6" w:rsidRPr="006106B3">
              <w:rPr>
                <w:b/>
                <w:color w:val="002060"/>
              </w:rPr>
              <w:t>invaliditāte piešķirta līdz 20</w:t>
            </w:r>
            <w:r w:rsidR="00DF3D81" w:rsidRPr="006106B3">
              <w:rPr>
                <w:b/>
                <w:color w:val="002060"/>
              </w:rPr>
              <w:t>12</w:t>
            </w:r>
            <w:r w:rsidR="00AB36C6" w:rsidRPr="006106B3">
              <w:rPr>
                <w:b/>
                <w:color w:val="002060"/>
              </w:rPr>
              <w:t>. gadam</w:t>
            </w:r>
            <w:r w:rsidRPr="006106B3">
              <w:rPr>
                <w:b/>
                <w:color w:val="002060"/>
              </w:rPr>
              <w:t>)</w:t>
            </w:r>
          </w:p>
        </w:tc>
      </w:tr>
      <w:tr w:rsidR="00804489" w:rsidTr="00804489">
        <w:tc>
          <w:tcPr>
            <w:tcW w:w="1951" w:type="dxa"/>
          </w:tcPr>
          <w:p w:rsidR="00804489" w:rsidRDefault="00804489" w:rsidP="00804489">
            <w:pPr>
              <w:jc w:val="left"/>
            </w:pPr>
            <w:r>
              <w:t>Ieteikumi problēmas risinājumam</w:t>
            </w:r>
          </w:p>
        </w:tc>
        <w:tc>
          <w:tcPr>
            <w:tcW w:w="7957" w:type="dxa"/>
          </w:tcPr>
          <w:p w:rsidR="00804489" w:rsidRDefault="00804489" w:rsidP="00804489">
            <w:r>
              <w:t>Kaut arī kopš 2015. gada vērojama pozitīva tendence pieaugt personu ar invaliditāti nodarbinātībai (tātad ienākumi tiek gūti arī no algotā darba), lielākā daļa personu ar invaliditāti ienākumu līmenis pēc visu sociālo transfertu saņemšanas joprojām ir zem nabadzības riska sliekšņa. Tas nozīmē, ka ir nepieciešami mērķēti atbalsta pasākumi šīs mērķa grupas</w:t>
            </w:r>
            <w:r w:rsidR="002B120D">
              <w:t xml:space="preserve"> nodarbinātības un </w:t>
            </w:r>
            <w:r>
              <w:t xml:space="preserve">ienākumu palielināšanai, īpaši ņemot vērā šīs mērķa grupas specifiskās vajadzības un izdevumu apmēru par veselības aprūpes pakalpojumiem.  Ļoti svarīgi ir regulāri monitorēt šīs grupas kopējo ienākumu dinamiku, salīdzinot to ar iedzīvotāju ienākumu izmaiņām kopumā, lai nesekmētu šīs grupas ieslīgšanu nabadzībā un sociālo atstumtību, kurai tā jau līdz šim ir bijusi pakļauta lielākā mērā.  </w:t>
            </w:r>
          </w:p>
        </w:tc>
      </w:tr>
      <w:tr w:rsidR="00804489" w:rsidRPr="006106B3" w:rsidTr="006106B3">
        <w:tc>
          <w:tcPr>
            <w:tcW w:w="1951" w:type="dxa"/>
            <w:shd w:val="clear" w:color="auto" w:fill="B8CCE4" w:themeFill="accent1" w:themeFillTint="66"/>
          </w:tcPr>
          <w:p w:rsidR="006106B3" w:rsidRPr="006106B3" w:rsidRDefault="006106B3" w:rsidP="00804489">
            <w:pPr>
              <w:jc w:val="left"/>
              <w:rPr>
                <w:b/>
                <w:color w:val="002060"/>
              </w:rPr>
            </w:pPr>
          </w:p>
          <w:p w:rsidR="00804489" w:rsidRPr="006106B3" w:rsidRDefault="00804489" w:rsidP="00804489">
            <w:pPr>
              <w:jc w:val="left"/>
              <w:rPr>
                <w:b/>
                <w:color w:val="002060"/>
              </w:rPr>
            </w:pPr>
            <w:r w:rsidRPr="006106B3">
              <w:rPr>
                <w:b/>
                <w:color w:val="002060"/>
              </w:rPr>
              <w:t>Problēma</w:t>
            </w:r>
          </w:p>
        </w:tc>
        <w:tc>
          <w:tcPr>
            <w:tcW w:w="7957" w:type="dxa"/>
            <w:shd w:val="clear" w:color="auto" w:fill="B8CCE4" w:themeFill="accent1" w:themeFillTint="66"/>
          </w:tcPr>
          <w:p w:rsidR="00804489" w:rsidRPr="006106B3" w:rsidRDefault="00804489" w:rsidP="00804489">
            <w:pPr>
              <w:rPr>
                <w:b/>
                <w:color w:val="002060"/>
              </w:rPr>
            </w:pPr>
            <w:r w:rsidRPr="006106B3">
              <w:rPr>
                <w:b/>
                <w:color w:val="002060"/>
              </w:rPr>
              <w:t>Divas trešdaļas iedzīvotāju nevar atļauties segt neparedzētus izdevumus, kas liecina par minimālu uzkrājumu trūkumu un augsto individuālo mājsaimniecību finanšu risku</w:t>
            </w:r>
          </w:p>
        </w:tc>
      </w:tr>
      <w:tr w:rsidR="00804489" w:rsidTr="00804489">
        <w:tc>
          <w:tcPr>
            <w:tcW w:w="1951" w:type="dxa"/>
          </w:tcPr>
          <w:p w:rsidR="00804489" w:rsidRDefault="00804489" w:rsidP="00804489">
            <w:pPr>
              <w:jc w:val="left"/>
            </w:pPr>
            <w:r>
              <w:t>Ieteikumi problēmas risinājumam</w:t>
            </w:r>
          </w:p>
        </w:tc>
        <w:tc>
          <w:tcPr>
            <w:tcW w:w="7957" w:type="dxa"/>
          </w:tcPr>
          <w:p w:rsidR="00804489" w:rsidRDefault="00804489" w:rsidP="005908AB">
            <w:r>
              <w:t>Līdzās iedzīvotāju ar zemiem ienākumiem, nabadzības un sociālās atstumtības riskam pakļauto iedzīvotāju materiālā nodrošinājuma līmeņa celšanas pasākumiem iet</w:t>
            </w:r>
            <w:r w:rsidR="00EA0F23">
              <w:t>ei</w:t>
            </w:r>
            <w:r>
              <w:t xml:space="preserve">cams attīstīt rīcībpolitikas pasākumus, kas vērsti uz iedzīvotāju sociālo un ekonomisko prasmju, t.sk. finanšu plānošanas, attīstīšanu, palielinot personu atbildību gadījumos, kad savas finanšu situācijas problēmu risināšanai tiek izmantoti tādi risinājumi kā patēriņa kredīti un t.s. ātrie kredīti, kas rada risku nonākt arvien dziļākās parādsaistībās. Šādu pasākumu pamatojums ir arī rādītāji par iedzīvotāju īpatsvaru, kas nevar atļauties segt </w:t>
            </w:r>
            <w:r w:rsidRPr="008B1D13">
              <w:t>pēkšņus, neparedzētus izdevumus no pašu līdzekļiem (2015. gadā to apmērs tika noteikts 235 EUR, 2016.</w:t>
            </w:r>
            <w:r>
              <w:t xml:space="preserve"> </w:t>
            </w:r>
            <w:r w:rsidRPr="008B1D13">
              <w:t>gadā – 260 EUR)</w:t>
            </w:r>
            <w:r>
              <w:t xml:space="preserve"> 2015. gadā tādi bija 60,7%</w:t>
            </w:r>
            <w:r w:rsidR="0065091A">
              <w:t xml:space="preserve"> iedzīvotāju un 2016. gadā – 59,</w:t>
            </w:r>
            <w:r>
              <w:t>9%.</w:t>
            </w:r>
          </w:p>
        </w:tc>
      </w:tr>
      <w:tr w:rsidR="00725B08" w:rsidRPr="006106B3" w:rsidTr="006106B3">
        <w:tc>
          <w:tcPr>
            <w:tcW w:w="1951" w:type="dxa"/>
            <w:shd w:val="clear" w:color="auto" w:fill="B8CCE4" w:themeFill="accent1" w:themeFillTint="66"/>
          </w:tcPr>
          <w:p w:rsidR="00725B08" w:rsidRPr="006106B3" w:rsidRDefault="00725B08" w:rsidP="00384BF8">
            <w:pPr>
              <w:jc w:val="left"/>
              <w:rPr>
                <w:b/>
                <w:color w:val="002060"/>
              </w:rPr>
            </w:pPr>
            <w:r w:rsidRPr="006106B3">
              <w:rPr>
                <w:b/>
                <w:color w:val="002060"/>
              </w:rPr>
              <w:t>Problēma</w:t>
            </w:r>
          </w:p>
        </w:tc>
        <w:tc>
          <w:tcPr>
            <w:tcW w:w="7957" w:type="dxa"/>
            <w:shd w:val="clear" w:color="auto" w:fill="B8CCE4" w:themeFill="accent1" w:themeFillTint="66"/>
          </w:tcPr>
          <w:p w:rsidR="00725B08" w:rsidRPr="006106B3" w:rsidRDefault="00384BF8" w:rsidP="00447DBB">
            <w:pPr>
              <w:rPr>
                <w:b/>
                <w:color w:val="002060"/>
              </w:rPr>
            </w:pPr>
            <w:r w:rsidRPr="006106B3">
              <w:rPr>
                <w:b/>
                <w:color w:val="002060"/>
              </w:rPr>
              <w:t>Reģionu vidū izceļas Latgale</w:t>
            </w:r>
            <w:r w:rsidR="00447DBB" w:rsidRPr="006106B3">
              <w:rPr>
                <w:b/>
                <w:color w:val="002060"/>
              </w:rPr>
              <w:t>s reģions ar būtiski augstākiem nabadzības un sociālās atstumtības rādītājiem nekā vidēji Latvijā</w:t>
            </w:r>
          </w:p>
        </w:tc>
      </w:tr>
      <w:tr w:rsidR="00725B08" w:rsidTr="00725B08">
        <w:tc>
          <w:tcPr>
            <w:tcW w:w="1951" w:type="dxa"/>
          </w:tcPr>
          <w:p w:rsidR="00725B08" w:rsidRDefault="00725B08" w:rsidP="00384BF8">
            <w:pPr>
              <w:jc w:val="left"/>
            </w:pPr>
            <w:r>
              <w:t>Ieteikumi problēmas risinājumam</w:t>
            </w:r>
          </w:p>
        </w:tc>
        <w:tc>
          <w:tcPr>
            <w:tcW w:w="7957" w:type="dxa"/>
          </w:tcPr>
          <w:p w:rsidR="00725B08" w:rsidRDefault="00447DBB" w:rsidP="005908AB">
            <w:r>
              <w:t xml:space="preserve">Latgales reģionā ir zemāki nodarbinātības rādītāji, augstāki bezdarba rādītāji, lielāks iedzīvotāju īpatsvars, kuru ienākumi ir zem minimālā ienākuma līmeņa, kā arī zemāki </w:t>
            </w:r>
            <w:r w:rsidR="003A202E">
              <w:t xml:space="preserve">mājsaimniecību </w:t>
            </w:r>
            <w:r>
              <w:t>vidējo ienākumu rādītāji</w:t>
            </w:r>
            <w:r w:rsidR="003A202E">
              <w:t>, kaut arī iedzīvotāju vecuma struktūra būtiski neatšķiras no citiem reģioniem</w:t>
            </w:r>
            <w:r>
              <w:t>. Neraugoties uz to, ka Izvērtējuma periodā ir par 2,7 procentpunktiem samazinājies Latgales reģiona iedzīvotāju nabadzības riska rādītāj</w:t>
            </w:r>
            <w:r w:rsidR="003A202E">
              <w:t>s</w:t>
            </w:r>
            <w:r>
              <w:t xml:space="preserve">, tā joprojām ir viena no </w:t>
            </w:r>
            <w:r w:rsidR="003A202E">
              <w:t xml:space="preserve">augstākam nabadzības riskam pakļautajām </w:t>
            </w:r>
            <w:r>
              <w:t>grupām</w:t>
            </w:r>
            <w:r w:rsidR="003A202E">
              <w:t>.</w:t>
            </w:r>
            <w:r>
              <w:t xml:space="preserve"> </w:t>
            </w:r>
            <w:r w:rsidR="005908AB">
              <w:t xml:space="preserve">Līdzās citiem nabadzības un sociāli </w:t>
            </w:r>
            <w:r w:rsidR="005908AB">
              <w:lastRenderedPageBreak/>
              <w:t xml:space="preserve">ekonomiskās nevienlīdzības mazināšanas pasākumiem, Latgales reģiona </w:t>
            </w:r>
            <w:r w:rsidR="003A202E">
              <w:t xml:space="preserve">komplekso problēmu risinājumam ir pievēršama pastiprināta uzmanība </w:t>
            </w:r>
            <w:r w:rsidR="005908AB">
              <w:t>„</w:t>
            </w:r>
            <w:r w:rsidR="003A202E">
              <w:t>Rīcības plāna Latgales ekonomiskajai izaugsmei 2018.-2</w:t>
            </w:r>
            <w:r w:rsidR="005908AB">
              <w:t>0</w:t>
            </w:r>
            <w:r w:rsidR="003A202E">
              <w:t>2</w:t>
            </w:r>
            <w:r w:rsidR="005908AB">
              <w:t>1</w:t>
            </w:r>
            <w:r w:rsidR="003A202E">
              <w:t>.gadam</w:t>
            </w:r>
            <w:r w:rsidR="005908AB">
              <w:t>”</w:t>
            </w:r>
            <w:r w:rsidR="003A202E">
              <w:t xml:space="preserve"> ieviešanai un īstenoto pasākumu efektivitātes izvērtēšanai.</w:t>
            </w:r>
          </w:p>
        </w:tc>
      </w:tr>
    </w:tbl>
    <w:p w:rsidR="009D6ABD" w:rsidRPr="003826E1" w:rsidRDefault="009D6ABD" w:rsidP="00F23726">
      <w:pPr>
        <w:pStyle w:val="Heading1"/>
      </w:pPr>
      <w:bookmarkStart w:id="366" w:name="_Toc6841566"/>
      <w:r w:rsidRPr="003826E1">
        <w:lastRenderedPageBreak/>
        <w:t>Nevienlīdzības veselības</w:t>
      </w:r>
      <w:r w:rsidR="00191114">
        <w:t xml:space="preserve"> aprūpes</w:t>
      </w:r>
      <w:r w:rsidRPr="003826E1">
        <w:t xml:space="preserve"> jomā izvērtējums</w:t>
      </w:r>
      <w:bookmarkEnd w:id="366"/>
      <w:r w:rsidRPr="003826E1">
        <w:t xml:space="preserve"> </w:t>
      </w:r>
    </w:p>
    <w:p w:rsidR="00374AD8" w:rsidRDefault="00963E30" w:rsidP="004D1AD7">
      <w:pPr>
        <w:pStyle w:val="Standartaskolas"/>
        <w:spacing w:line="276" w:lineRule="auto"/>
        <w:ind w:firstLine="0"/>
      </w:pPr>
      <w:r w:rsidRPr="00EE187D">
        <w:t>Izvērtējuma 2. nodaļa ir strukturēta četrās sadaļās.</w:t>
      </w:r>
      <w:r w:rsidR="004D1AD7" w:rsidRPr="00EE187D">
        <w:t xml:space="preserve"> Pirmās sadaļas ietvaros ir sniegts izvērsts</w:t>
      </w:r>
      <w:r w:rsidR="004D1AD7">
        <w:t xml:space="preserve"> nevienlīdzības veselības </w:t>
      </w:r>
      <w:r w:rsidR="0020635D">
        <w:t xml:space="preserve">aprūpes </w:t>
      </w:r>
      <w:r w:rsidR="004D1AD7">
        <w:t>jomā analīzes ietvara skaidrojums, ņemot vērā, ka tā ir salīdzinoši jauna analīzes perspektīva. Tā kā šī perspektīva paredz iedzīvotāju veselības stāvokļa pašnovērtējuma analīzi un pieejamības veselības aprūpes pakalpojumiem analīzi saistībā ar personas sociāli demogrāfiskajiem parametriem, it īpaši, ienākumiem, tad pirmās sadaļas turpinājumā ir sniegts</w:t>
      </w:r>
      <w:r w:rsidR="00BD64EA">
        <w:t xml:space="preserve"> nozīmīgāko rādītāju izklāsts. Saskaņā ar šī Izvērtējuma darba uzdevumu tā ietvaros bija jāaplūko Pasaules Bankas 2014. – 2016. gadā veiktā Latvijas veselības aprūpes sistēmas izvērtējuma kopsavilkumu, kas ir ietverts pirmās sadaļas ietvaros, 2.1.3. nodaļā. Savukārt, domājot par turpmāko nevienlīdzības veselības jomā uzraudzību, 2.14. nodaļā ir aplūkoti nozīmīgākie šim nolūkam izmantojamie informācijas avoti un to kvalitātes novērtējums.</w:t>
      </w:r>
      <w:r w:rsidR="00EE187D">
        <w:t xml:space="preserve"> Otrās sadaļas ietvaros ir aplūkoti tiesību akti un politikas plānošanas dokumenti, kas attiecināmi uz šī Izvērtējuma tēmu – nevienlīdzību veselības jomā, aplūkojot, kā šobrīd dokumentos tiek tverts nevienlīdzības aspekts un kādi instrumenti tiek pielietoti nevienlīdzības veselības jomā mazināšanai dažādu iedzīvotāju grupu vidū, kā arī pašvaldību noteiktie atvieglojumi nabadzības riskam pakļautajām iedzīvotāju grupām veselības aprūpes pakalpojumu saņemšanai. Trešās sadaļas ietvaros ir padziļināti aplūkota nevienlīdzība veselības jomā tām mērķa grupām, kuras starptautisko</w:t>
      </w:r>
      <w:r w:rsidR="004612A6">
        <w:t>s dokumentos ir atzītas par vi</w:t>
      </w:r>
      <w:r w:rsidR="00EE187D">
        <w:t>smazāk aizsargātajām. Savukārt ceturtās sadaļas ietvaros ir sniegts analīzes gaitā iegūto secinājumu kopsavilkums, identificētas galvenās problēmas un sniegti priekšlikumi to risināšanai.</w:t>
      </w:r>
    </w:p>
    <w:p w:rsidR="00120E06" w:rsidRDefault="000A51CF" w:rsidP="00064C1E">
      <w:pPr>
        <w:pStyle w:val="Heading2"/>
      </w:pPr>
      <w:bookmarkStart w:id="367" w:name="_Toc6841567"/>
      <w:r>
        <w:t xml:space="preserve">Vispārējs </w:t>
      </w:r>
      <w:r w:rsidR="00374AD8">
        <w:t>sabiedrības</w:t>
      </w:r>
      <w:r w:rsidR="00D77AA4">
        <w:t xml:space="preserve"> veselības un </w:t>
      </w:r>
      <w:r>
        <w:t xml:space="preserve">veselības aprūpes sistēmas raksturojums </w:t>
      </w:r>
      <w:r w:rsidR="00252804">
        <w:t>saistībā ar nevienlīdzību veselības jomā</w:t>
      </w:r>
      <w:bookmarkEnd w:id="367"/>
    </w:p>
    <w:p w:rsidR="00072A0E" w:rsidRDefault="00374AD8" w:rsidP="003945E0">
      <w:pPr>
        <w:pStyle w:val="Heading3"/>
      </w:pPr>
      <w:bookmarkStart w:id="368" w:name="_Toc6841568"/>
      <w:r>
        <w:t>Nevienlīdzības veselības jomā</w:t>
      </w:r>
      <w:r w:rsidR="00753F08" w:rsidRPr="00753F08">
        <w:t xml:space="preserve"> analīzes </w:t>
      </w:r>
      <w:r w:rsidR="00DE57E3" w:rsidRPr="00753F08">
        <w:t>ietvars</w:t>
      </w:r>
      <w:bookmarkEnd w:id="368"/>
    </w:p>
    <w:p w:rsidR="00434F42" w:rsidRDefault="00434F42" w:rsidP="00064C1E">
      <w:r>
        <w:t xml:space="preserve">Iedzīvotāju (sabiedrības) veselību ietekmējošo faktoru analīzes principi laika gaitā ir būtiski mainījušies, un šobrīd attīstītajās valstīs dominē sociālās vides (struktūras) pieeja. </w:t>
      </w:r>
      <w:r w:rsidR="00072A0E" w:rsidRPr="00797F8B">
        <w:t xml:space="preserve">Tā analizē veselību kā sociālo, ekonomisko un vides faktoru ietekmes un mijiedarbības rezultātu, tādējādi integratīvi iekļaujot vēsturiski agrāku pieeju idejas – un proti, medicīnas (tradicionālo, biomedicīnas) pieeju un uzvedības (dzīvesveida) pieeju. Vienlaikus jāatzīmē, ka, neskatoties uz šādas integratīvas pieejas pastāvēšanu, mūsdienās joprojām politikas veidotāju diskursā var </w:t>
      </w:r>
      <w:r w:rsidR="008B06FE">
        <w:t>tikt izmantotas</w:t>
      </w:r>
      <w:r w:rsidR="00072A0E" w:rsidRPr="00797F8B">
        <w:t xml:space="preserve"> arī vēsturiski agrākas </w:t>
      </w:r>
      <w:r>
        <w:t xml:space="preserve">(šaurākas) </w:t>
      </w:r>
      <w:r w:rsidR="00072A0E" w:rsidRPr="00797F8B">
        <w:t xml:space="preserve">pieejas, piemēram, </w:t>
      </w:r>
      <w:r w:rsidR="008833E6" w:rsidRPr="00797F8B">
        <w:t>medicīnas (tradicionālo, biomedicīnas)</w:t>
      </w:r>
      <w:r w:rsidR="008B06FE">
        <w:t xml:space="preserve"> pieeja, kad </w:t>
      </w:r>
      <w:r w:rsidR="00797F8B" w:rsidRPr="00797F8B">
        <w:t xml:space="preserve">uzmanība tiek veltīta </w:t>
      </w:r>
      <w:r w:rsidR="00797F8B" w:rsidRPr="008833E6">
        <w:t>tikai</w:t>
      </w:r>
      <w:r w:rsidR="00797F8B" w:rsidRPr="00797F8B">
        <w:t xml:space="preserve"> </w:t>
      </w:r>
      <w:r w:rsidR="00072A0E" w:rsidRPr="00797F8B">
        <w:t>slimību ārstēšanai, nevis profilaksei</w:t>
      </w:r>
      <w:r w:rsidR="006657B2">
        <w:t xml:space="preserve"> un ārējās vides faktoru novēršanai</w:t>
      </w:r>
      <w:r w:rsidR="00072A0E" w:rsidRPr="00797F8B">
        <w:t xml:space="preserve">, </w:t>
      </w:r>
      <w:r w:rsidR="00797F8B" w:rsidRPr="00797F8B">
        <w:t>vai arī</w:t>
      </w:r>
      <w:r w:rsidR="00072A0E" w:rsidRPr="00797F8B">
        <w:t xml:space="preserve"> profilakses pasākumi </w:t>
      </w:r>
      <w:r w:rsidR="00797F8B" w:rsidRPr="00797F8B">
        <w:t>ir</w:t>
      </w:r>
      <w:r w:rsidR="00072A0E" w:rsidRPr="00797F8B">
        <w:t xml:space="preserve"> veltīti </w:t>
      </w:r>
      <w:r w:rsidR="00797F8B" w:rsidRPr="00797F8B">
        <w:t xml:space="preserve">tikai </w:t>
      </w:r>
      <w:r w:rsidR="00072A0E" w:rsidRPr="00797F8B">
        <w:t>personām ar augstāku saslimšanas risku</w:t>
      </w:r>
      <w:r w:rsidR="009A1F3B">
        <w:rPr>
          <w:rStyle w:val="FootnoteReference"/>
        </w:rPr>
        <w:footnoteReference w:id="127"/>
      </w:r>
      <w:r w:rsidR="00072A0E" w:rsidRPr="00797F8B">
        <w:t xml:space="preserve">. </w:t>
      </w:r>
    </w:p>
    <w:p w:rsidR="00434F42" w:rsidRDefault="00434F42" w:rsidP="00064C1E"/>
    <w:p w:rsidR="00BB1E05" w:rsidRDefault="00434F42" w:rsidP="00762118">
      <w:r>
        <w:t>S</w:t>
      </w:r>
      <w:r w:rsidR="00E61287" w:rsidRPr="00C93AC3">
        <w:t>ociālās vides (struktūras) pieeja</w:t>
      </w:r>
      <w:r w:rsidR="001102DC" w:rsidRPr="00C93AC3">
        <w:t xml:space="preserve">, kā vēsta arī pieejas nosaukums, </w:t>
      </w:r>
      <w:r w:rsidR="00B87AFB">
        <w:t xml:space="preserve">balstās uz pārliecību, ka indivīda veselība ir nozīmīgi atkarīga no dažādiem faktoriem ārpus veselības aprūpes sistēmas (organizācijas). </w:t>
      </w:r>
      <w:r w:rsidR="005671CD">
        <w:t>Š</w:t>
      </w:r>
      <w:r w:rsidR="00B87AFB">
        <w:t xml:space="preserve">ī pieeja </w:t>
      </w:r>
      <w:r w:rsidR="001102DC" w:rsidRPr="00C93AC3">
        <w:t xml:space="preserve">ietver dažādu </w:t>
      </w:r>
      <w:r w:rsidR="00C93AC3" w:rsidRPr="00C93AC3">
        <w:t>risk</w:t>
      </w:r>
      <w:r w:rsidR="00C93AC3">
        <w:t xml:space="preserve">a, dzīvesveida paradumu (t.sk. darba vides apstākļu), </w:t>
      </w:r>
      <w:r w:rsidR="00C93AC3">
        <w:lastRenderedPageBreak/>
        <w:t>vides (mājokļa, ekoloģijas, emocionālās spriedzes) u.tml.</w:t>
      </w:r>
      <w:r w:rsidR="00C93AC3" w:rsidRPr="00C93AC3">
        <w:t xml:space="preserve"> </w:t>
      </w:r>
      <w:r w:rsidR="00B87AFB">
        <w:t>apstākļu</w:t>
      </w:r>
      <w:r w:rsidR="00C93AC3" w:rsidRPr="00C93AC3">
        <w:t xml:space="preserve"> novērtēšanu un iekļaušanu</w:t>
      </w:r>
      <w:r w:rsidR="00B87AFB">
        <w:t xml:space="preserve"> indivīda veselību ietekmējošo faktoru kopumā</w:t>
      </w:r>
      <w:r w:rsidR="00C93AC3">
        <w:t>.</w:t>
      </w:r>
      <w:r w:rsidR="00C93AC3" w:rsidRPr="00C93AC3">
        <w:t xml:space="preserve"> </w:t>
      </w:r>
      <w:r w:rsidR="00C93AC3">
        <w:t>Tādējādi</w:t>
      </w:r>
      <w:r w:rsidR="00C93AC3" w:rsidRPr="00C93AC3">
        <w:t xml:space="preserve"> </w:t>
      </w:r>
      <w:r w:rsidR="00072A0E" w:rsidRPr="00C93AC3">
        <w:t>veselības rādītāju analīz</w:t>
      </w:r>
      <w:r w:rsidR="00C93AC3">
        <w:t xml:space="preserve">ē kā skaidrojošie mainīgie </w:t>
      </w:r>
      <w:r w:rsidR="00072A0E" w:rsidRPr="00C93AC3">
        <w:t xml:space="preserve">ideālā gadījumā </w:t>
      </w:r>
      <w:r w:rsidR="006657B2">
        <w:t xml:space="preserve">tiek </w:t>
      </w:r>
      <w:r w:rsidR="00C93AC3">
        <w:t>ietver</w:t>
      </w:r>
      <w:r w:rsidR="006657B2">
        <w:t>ti</w:t>
      </w:r>
      <w:r w:rsidR="00C93AC3">
        <w:t xml:space="preserve"> </w:t>
      </w:r>
      <w:r w:rsidR="00072A0E" w:rsidRPr="00C93AC3">
        <w:t>ienākumu nevienlīdzības</w:t>
      </w:r>
      <w:r w:rsidR="00C93AC3">
        <w:t>, mājokļa kvalitātes u.c. rādītāji.</w:t>
      </w:r>
      <w:r w:rsidR="00072A0E" w:rsidRPr="00C93AC3">
        <w:t xml:space="preserve"> </w:t>
      </w:r>
      <w:r w:rsidR="00C93AC3">
        <w:t>Šis konstatējum</w:t>
      </w:r>
      <w:r w:rsidR="00E40F8A">
        <w:t>s</w:t>
      </w:r>
      <w:r w:rsidR="00C93AC3">
        <w:t xml:space="preserve"> pamatojas uz ārvalstu p</w:t>
      </w:r>
      <w:r w:rsidR="00C93AC3" w:rsidRPr="00C93AC3">
        <w:t>ētījum</w:t>
      </w:r>
      <w:r w:rsidR="00C93AC3">
        <w:t xml:space="preserve">u datiem, kas </w:t>
      </w:r>
      <w:r w:rsidR="00C93AC3" w:rsidRPr="00C93AC3">
        <w:t>rāda</w:t>
      </w:r>
      <w:r w:rsidR="00C93AC3">
        <w:t>:</w:t>
      </w:r>
      <w:r w:rsidR="00C93AC3" w:rsidRPr="00C93AC3">
        <w:t xml:space="preserve"> </w:t>
      </w:r>
      <w:r w:rsidR="00072A0E" w:rsidRPr="00E46E3C">
        <w:rPr>
          <w:b/>
        </w:rPr>
        <w:t xml:space="preserve">jo lielāka </w:t>
      </w:r>
      <w:r w:rsidR="00C93AC3" w:rsidRPr="00E46E3C">
        <w:rPr>
          <w:b/>
        </w:rPr>
        <w:t xml:space="preserve">ir </w:t>
      </w:r>
      <w:r w:rsidR="00072A0E" w:rsidRPr="00E46E3C">
        <w:rPr>
          <w:b/>
        </w:rPr>
        <w:t xml:space="preserve">ienākumu nevienlīdzība </w:t>
      </w:r>
      <w:r w:rsidR="00C93AC3" w:rsidRPr="00E46E3C">
        <w:rPr>
          <w:b/>
        </w:rPr>
        <w:t xml:space="preserve">sabiedrībā </w:t>
      </w:r>
      <w:r w:rsidR="00072A0E" w:rsidRPr="00E46E3C">
        <w:rPr>
          <w:b/>
        </w:rPr>
        <w:t xml:space="preserve">starp iedzīvotāju nabadzīgāko un bagātāko daļu, jo </w:t>
      </w:r>
      <w:r w:rsidR="00C93AC3" w:rsidRPr="00E46E3C">
        <w:rPr>
          <w:b/>
        </w:rPr>
        <w:t>vājāki</w:t>
      </w:r>
      <w:r w:rsidR="00072A0E" w:rsidRPr="00E46E3C">
        <w:rPr>
          <w:b/>
        </w:rPr>
        <w:t xml:space="preserve"> ir veselīb</w:t>
      </w:r>
      <w:r w:rsidR="00C93AC3" w:rsidRPr="00E46E3C">
        <w:rPr>
          <w:b/>
        </w:rPr>
        <w:t>u raksturojošie</w:t>
      </w:r>
      <w:r w:rsidR="00072A0E" w:rsidRPr="00E46E3C">
        <w:rPr>
          <w:b/>
        </w:rPr>
        <w:t xml:space="preserve"> rādītāji šajā sabiedrībā</w:t>
      </w:r>
      <w:r w:rsidR="00072A0E" w:rsidRPr="00C93AC3">
        <w:t>.</w:t>
      </w:r>
      <w:r w:rsidR="00BB1E05">
        <w:t xml:space="preserve"> Šobrīd Pasaules </w:t>
      </w:r>
      <w:r w:rsidR="00A807C7">
        <w:t>V</w:t>
      </w:r>
      <w:r w:rsidR="00BB1E05">
        <w:t>eselības organizācija savos pārskatos un publikācijās (</w:t>
      </w:r>
      <w:r w:rsidR="00BB1E05" w:rsidRPr="00BB1E05">
        <w:rPr>
          <w:i/>
        </w:rPr>
        <w:t>health impact assessment</w:t>
      </w:r>
      <w:r w:rsidR="00BB1E05">
        <w:t xml:space="preserve">) visbiežāk izmanto Zviedrijas zinātnieku J. Dalgrena un M. Vaithedas </w:t>
      </w:r>
      <w:r w:rsidR="00BB1E05" w:rsidRPr="00BB1E05">
        <w:t>(Dahlgren &amp; Whitehead</w:t>
      </w:r>
      <w:r w:rsidR="00BB1E05">
        <w:t xml:space="preserve">) </w:t>
      </w:r>
      <w:r w:rsidR="00E40F8A">
        <w:t xml:space="preserve">izveidoto un viņu kolēģu pilnveidoto </w:t>
      </w:r>
      <w:r w:rsidR="00BB1E05">
        <w:t>veselīb</w:t>
      </w:r>
      <w:r w:rsidR="00A807C7">
        <w:t>u nosakošo</w:t>
      </w:r>
      <w:r w:rsidR="00BB1E05">
        <w:t xml:space="preserve"> četru līmeņu modeli, kas aptver gan sabiedrības (makro) līmeni, gan indivīda (mikro) līmeni. Tie ir (secībā no makro u</w:t>
      </w:r>
      <w:r w:rsidR="00A807C7">
        <w:t>z</w:t>
      </w:r>
      <w:r w:rsidR="00BB1E05">
        <w:t xml:space="preserve"> mikro līmeni)</w:t>
      </w:r>
      <w:r w:rsidR="00BB1E05">
        <w:rPr>
          <w:rStyle w:val="FootnoteReference"/>
        </w:rPr>
        <w:footnoteReference w:id="128"/>
      </w:r>
      <w:r w:rsidR="00BB1E05">
        <w:t>:</w:t>
      </w:r>
    </w:p>
    <w:p w:rsidR="00BB1E05" w:rsidRDefault="00BB1E05" w:rsidP="003F469F">
      <w:pPr>
        <w:pStyle w:val="ListParagraph"/>
        <w:numPr>
          <w:ilvl w:val="0"/>
          <w:numId w:val="107"/>
        </w:numPr>
        <w:spacing w:line="276" w:lineRule="auto"/>
        <w:ind w:left="714" w:hanging="357"/>
        <w:jc w:val="both"/>
      </w:pPr>
      <w:r w:rsidRPr="00BB1E05">
        <w:t>kopējie sabiedrības sociāli ekonomiskie apstākļi, kultūras līmenis un apkārtējā vide</w:t>
      </w:r>
      <w:r>
        <w:t>;</w:t>
      </w:r>
    </w:p>
    <w:p w:rsidR="00BB1E05" w:rsidRDefault="00BB1E05" w:rsidP="003F469F">
      <w:pPr>
        <w:pStyle w:val="ListParagraph"/>
        <w:numPr>
          <w:ilvl w:val="0"/>
          <w:numId w:val="107"/>
        </w:numPr>
        <w:spacing w:line="276" w:lineRule="auto"/>
        <w:ind w:left="714" w:hanging="357"/>
        <w:jc w:val="both"/>
      </w:pPr>
      <w:r w:rsidRPr="00BB1E05">
        <w:t>dzīves un darba apstākļi</w:t>
      </w:r>
      <w:r>
        <w:t>;</w:t>
      </w:r>
    </w:p>
    <w:p w:rsidR="00BB1E05" w:rsidRDefault="00BB1E05" w:rsidP="003F469F">
      <w:pPr>
        <w:pStyle w:val="ListParagraph"/>
        <w:numPr>
          <w:ilvl w:val="0"/>
          <w:numId w:val="107"/>
        </w:numPr>
        <w:spacing w:line="276" w:lineRule="auto"/>
        <w:ind w:left="714" w:hanging="357"/>
        <w:jc w:val="both"/>
      </w:pPr>
      <w:r>
        <w:t>indivīda sociālie sakari (kontaktu tīkls);</w:t>
      </w:r>
    </w:p>
    <w:p w:rsidR="00BB1E05" w:rsidRDefault="00BB1E05" w:rsidP="003F469F">
      <w:pPr>
        <w:pStyle w:val="ListParagraph"/>
        <w:numPr>
          <w:ilvl w:val="0"/>
          <w:numId w:val="107"/>
        </w:numPr>
        <w:spacing w:line="276" w:lineRule="auto"/>
        <w:ind w:left="714" w:hanging="357"/>
        <w:jc w:val="both"/>
      </w:pPr>
      <w:r>
        <w:t>individuālā dzīvesveida riska faktori.</w:t>
      </w:r>
    </w:p>
    <w:p w:rsidR="00BB1E05" w:rsidRDefault="00BB1E05" w:rsidP="00064C1E"/>
    <w:p w:rsidR="00703FC8" w:rsidRPr="00A275AA" w:rsidRDefault="000E2CE6" w:rsidP="00064C1E">
      <w:r>
        <w:t>Kopumā, l</w:t>
      </w:r>
      <w:r w:rsidR="00703FC8" w:rsidRPr="00A275AA">
        <w:t xml:space="preserve">ai novērtētu dažādu pasaules valstu iedzīvotāju </w:t>
      </w:r>
      <w:r w:rsidR="00753F08" w:rsidRPr="00A275AA">
        <w:t xml:space="preserve">veselības stāvokli, </w:t>
      </w:r>
      <w:r w:rsidR="00703FC8" w:rsidRPr="00A275AA">
        <w:t xml:space="preserve">Pasaules </w:t>
      </w:r>
      <w:r w:rsidR="00A807C7">
        <w:t>V</w:t>
      </w:r>
      <w:r w:rsidR="00703FC8" w:rsidRPr="00A275AA">
        <w:t xml:space="preserve">eselības organizācija ir formulējusi </w:t>
      </w:r>
      <w:r w:rsidR="00753F08" w:rsidRPr="00A275AA">
        <w:t>100 būtiskākos veselības indikatorus (</w:t>
      </w:r>
      <w:r w:rsidR="00753F08" w:rsidRPr="00A275AA">
        <w:rPr>
          <w:i/>
        </w:rPr>
        <w:t>core health indicators</w:t>
      </w:r>
      <w:r w:rsidR="00753F08" w:rsidRPr="00A275AA">
        <w:t>), kuri iedalās četrās grupās</w:t>
      </w:r>
      <w:r w:rsidR="00A275AA">
        <w:rPr>
          <w:rStyle w:val="FootnoteReference"/>
        </w:rPr>
        <w:footnoteReference w:id="129"/>
      </w:r>
      <w:r w:rsidR="00753F08" w:rsidRPr="00A275AA">
        <w:t>:</w:t>
      </w:r>
    </w:p>
    <w:p w:rsidR="00753F08" w:rsidRPr="00A275AA" w:rsidRDefault="004612A6" w:rsidP="003F469F">
      <w:pPr>
        <w:pStyle w:val="ListParagraph"/>
        <w:numPr>
          <w:ilvl w:val="0"/>
          <w:numId w:val="108"/>
        </w:numPr>
        <w:spacing w:line="276" w:lineRule="auto"/>
        <w:jc w:val="both"/>
      </w:pPr>
      <w:r>
        <w:t>v</w:t>
      </w:r>
      <w:r w:rsidR="00753F08" w:rsidRPr="00A275AA">
        <w:t>eselības statusa indikatori</w:t>
      </w:r>
      <w:r w:rsidR="002810C5">
        <w:t xml:space="preserve"> </w:t>
      </w:r>
      <w:r w:rsidR="00D77AA4">
        <w:t xml:space="preserve">(sabiedrības veselības rādītāji) </w:t>
      </w:r>
      <w:r w:rsidR="002810C5">
        <w:t>iekļauj dažādus mirstības rādītājus atkarībā no vecuma, dzimuma un nāves iemesla</w:t>
      </w:r>
      <w:r w:rsidR="00753F08" w:rsidRPr="00A275AA">
        <w:t xml:space="preserve"> (piemēram, </w:t>
      </w:r>
      <w:r w:rsidR="00D77AA4" w:rsidRPr="00D77AA4">
        <w:t xml:space="preserve">jaundzimušo vidējais paredzamais mūža ilgums, mirstības rādītāji, t.sk. zīdaiņu mirstība, cēloņspecifiskie mirstības rādītāji, mirstība tīša paškaitējuma vai ceļu satiksmes negadījuma rezultātā </w:t>
      </w:r>
      <w:r w:rsidR="00753F08" w:rsidRPr="00A275AA">
        <w:t>u.tml.);</w:t>
      </w:r>
    </w:p>
    <w:p w:rsidR="00753F08" w:rsidRPr="00A275AA" w:rsidRDefault="004612A6" w:rsidP="003F469F">
      <w:pPr>
        <w:pStyle w:val="ListParagraph"/>
        <w:numPr>
          <w:ilvl w:val="0"/>
          <w:numId w:val="108"/>
        </w:numPr>
        <w:spacing w:line="276" w:lineRule="auto"/>
        <w:jc w:val="both"/>
      </w:pPr>
      <w:r>
        <w:t>r</w:t>
      </w:r>
      <w:r w:rsidR="00753F08" w:rsidRPr="00A275AA">
        <w:t xml:space="preserve">iska faktoru indikatori </w:t>
      </w:r>
      <w:r w:rsidR="002810C5">
        <w:t xml:space="preserve">iekļauj tādus, kas saistīti ar </w:t>
      </w:r>
      <w:r w:rsidR="00D5784A">
        <w:t>uzņemtās pārtikas kvalitāti</w:t>
      </w:r>
      <w:r w:rsidR="002810C5">
        <w:t xml:space="preserve">, vidi, uzvedību, vardarbību un ievainojumiem </w:t>
      </w:r>
      <w:r w:rsidR="00753F08" w:rsidRPr="00A275AA">
        <w:t>(piemēram, mazasinības izplatība bērnu un sieviešu reproduktīvā vecumā vidū, sabiedrības daļa, kas lieto drošus ūdens ieguves un kanalizācijas pakalpojumus, gaisa piesārņojums pilsētās, smēķēšanas un alkohola lietošanas īpatsvars u.tml.);</w:t>
      </w:r>
    </w:p>
    <w:p w:rsidR="00753F08" w:rsidRPr="00A275AA" w:rsidRDefault="004612A6" w:rsidP="003F469F">
      <w:pPr>
        <w:pStyle w:val="ListParagraph"/>
        <w:numPr>
          <w:ilvl w:val="0"/>
          <w:numId w:val="108"/>
        </w:numPr>
        <w:spacing w:line="276" w:lineRule="auto"/>
        <w:jc w:val="both"/>
      </w:pPr>
      <w:r>
        <w:t>p</w:t>
      </w:r>
      <w:r w:rsidR="00753F08" w:rsidRPr="00A275AA">
        <w:t xml:space="preserve">akalpojumu nodrošinājuma indikatori </w:t>
      </w:r>
      <w:r w:rsidR="00D77AA4">
        <w:t xml:space="preserve">(pakalpojuma aptveres rādītāji) </w:t>
      </w:r>
      <w:r w:rsidR="002810C5">
        <w:t xml:space="preserve">atspoguļo prioritātes attiecībā uz dažādiem veselības aprūpes pakalpojumiem </w:t>
      </w:r>
      <w:r w:rsidR="00753F08" w:rsidRPr="00A275AA">
        <w:t xml:space="preserve">(piemēram, imunizācijas īpatsvars, </w:t>
      </w:r>
      <w:r w:rsidR="00A275AA" w:rsidRPr="00A275AA">
        <w:t>skrīninga programmu aptveramība u.tml.</w:t>
      </w:r>
      <w:r w:rsidR="00753F08" w:rsidRPr="00A275AA">
        <w:t>);</w:t>
      </w:r>
    </w:p>
    <w:p w:rsidR="00A275AA" w:rsidRPr="00A275AA" w:rsidRDefault="004612A6" w:rsidP="003F469F">
      <w:pPr>
        <w:pStyle w:val="ListParagraph"/>
        <w:numPr>
          <w:ilvl w:val="0"/>
          <w:numId w:val="108"/>
        </w:numPr>
        <w:spacing w:line="276" w:lineRule="auto"/>
        <w:jc w:val="both"/>
      </w:pPr>
      <w:r>
        <w:t>v</w:t>
      </w:r>
      <w:r w:rsidR="00A275AA" w:rsidRPr="00A275AA">
        <w:t xml:space="preserve">eselības sistēmas indikatori </w:t>
      </w:r>
      <w:r w:rsidR="002810C5">
        <w:t xml:space="preserve">raksturo ieguldījumus veselības aprūpes sistēmā un tās iznākumus </w:t>
      </w:r>
      <w:r w:rsidR="00A275AA" w:rsidRPr="00A275AA">
        <w:t>(</w:t>
      </w:r>
      <w:r w:rsidR="00A275AA">
        <w:t>pieejamība veselības aprūpes pakalpojumiem, veselības aprūpes speciālistu īpatsvars un nodrošinājums, veselības aprūpes budžeta daļa no IKP u.tml.</w:t>
      </w:r>
      <w:r w:rsidR="00A275AA" w:rsidRPr="00A275AA">
        <w:t>).</w:t>
      </w:r>
    </w:p>
    <w:p w:rsidR="00703FC8" w:rsidRPr="002810C5" w:rsidRDefault="00703FC8" w:rsidP="00064C1E"/>
    <w:p w:rsidR="0016150F" w:rsidRDefault="002810C5" w:rsidP="00064C1E">
      <w:r w:rsidRPr="002810C5">
        <w:t xml:space="preserve">Pasaules </w:t>
      </w:r>
      <w:r w:rsidR="00A807C7">
        <w:t>V</w:t>
      </w:r>
      <w:r w:rsidRPr="002810C5">
        <w:t>eselības organizācijas definētais indikatoru</w:t>
      </w:r>
      <w:r w:rsidR="00A275AA" w:rsidRPr="002810C5">
        <w:t xml:space="preserve"> saraksts </w:t>
      </w:r>
      <w:r w:rsidRPr="002810C5">
        <w:t>veidots, lai raksturotu situāciju atšķirīgās pasaules valstīs</w:t>
      </w:r>
      <w:r w:rsidR="00A275AA" w:rsidRPr="002810C5">
        <w:t xml:space="preserve">, </w:t>
      </w:r>
      <w:r w:rsidR="000E2CE6">
        <w:t xml:space="preserve">tāpēc </w:t>
      </w:r>
      <w:r w:rsidRPr="002810C5">
        <w:t xml:space="preserve">katra valsts definē sev aktuālos indikatorus, t.i., nacionālās </w:t>
      </w:r>
      <w:r w:rsidRPr="002810C5">
        <w:lastRenderedPageBreak/>
        <w:t>prioritātes</w:t>
      </w:r>
      <w:r w:rsidR="000E2CE6">
        <w:rPr>
          <w:rStyle w:val="FootnoteReference"/>
        </w:rPr>
        <w:footnoteReference w:id="130"/>
      </w:r>
      <w:r w:rsidRPr="002810C5">
        <w:t>.</w:t>
      </w:r>
      <w:r w:rsidR="000E2CE6">
        <w:t xml:space="preserve"> </w:t>
      </w:r>
      <w:r w:rsidR="0016150F">
        <w:t>Jāuzsver, ka augstāk minētie indikatori ir izmērāmi objektīvi un raksturo veselības aprūpes jomu, ietverot daudzveidīgus sistēmas komponentus. Tomēr tie neietver dažādu rādītāju analīzi iedzīvotāju grupu sociāli demogrāfiskajos griezumos, kas parasti ir nevienlīdzības veselības aprūpes jomā analīzes pamatā.</w:t>
      </w:r>
    </w:p>
    <w:p w:rsidR="0016150F" w:rsidRDefault="0016150F" w:rsidP="00064C1E"/>
    <w:p w:rsidR="0077073D" w:rsidRDefault="00CB5C4F" w:rsidP="00064C1E">
      <w:r>
        <w:t>Kopumā veselības politikas nozīmīga sastāvdaļa ir nevienlīdzības mazināšana dažādu iedzīvotāju grupu starpā, taču arī attiecībā uz to</w:t>
      </w:r>
      <w:r w:rsidR="000E2CE6">
        <w:t xml:space="preserve"> nepastāv vienota </w:t>
      </w:r>
      <w:r>
        <w:t>pieeja</w:t>
      </w:r>
      <w:r w:rsidR="000E2CE6">
        <w:t xml:space="preserve">, kas darbotos efektīvi visās valstīs. Tādējādi, lai veidotu nacionālajam kontekstam atbilstošu </w:t>
      </w:r>
      <w:r w:rsidR="006657B2">
        <w:t xml:space="preserve">sabiedrības veselības un veselības aprūpes </w:t>
      </w:r>
      <w:r w:rsidR="000E2CE6">
        <w:t xml:space="preserve">politiku, nepieciešams noskaidrot katrai valstij raksturīgākos nevienlīdzību veselības jomā noteicošos </w:t>
      </w:r>
      <w:r w:rsidR="000E2CE6" w:rsidRPr="0031533E">
        <w:t>faktorus</w:t>
      </w:r>
      <w:r w:rsidR="00EC2EE3">
        <w:t>, ko parasti veic dažādu nacionāla līmeņa pētījumu un izvērtējumu ietvaros.</w:t>
      </w:r>
      <w:r w:rsidR="0077073D">
        <w:t xml:space="preserve"> </w:t>
      </w:r>
    </w:p>
    <w:p w:rsidR="0077073D" w:rsidRDefault="0077073D" w:rsidP="00064C1E"/>
    <w:p w:rsidR="00CB5C4F" w:rsidRPr="00CB5C4F" w:rsidRDefault="00CB5C4F" w:rsidP="00064C1E">
      <w:r w:rsidRPr="00CB5C4F">
        <w:t>Runājot vispārīgi</w:t>
      </w:r>
      <w:r w:rsidR="0016150F">
        <w:t>,</w:t>
      </w:r>
      <w:r w:rsidRPr="00CB5C4F">
        <w:t xml:space="preserve"> ar </w:t>
      </w:r>
      <w:r w:rsidRPr="006D78CA">
        <w:rPr>
          <w:b/>
        </w:rPr>
        <w:t xml:space="preserve">nevienlīdzību veselības </w:t>
      </w:r>
      <w:r w:rsidR="006657B2">
        <w:rPr>
          <w:b/>
        </w:rPr>
        <w:t>jomā</w:t>
      </w:r>
      <w:r w:rsidRPr="00CB5C4F">
        <w:t xml:space="preserve"> (</w:t>
      </w:r>
      <w:r w:rsidRPr="00CB5C4F">
        <w:rPr>
          <w:i/>
        </w:rPr>
        <w:t>health  inequalities</w:t>
      </w:r>
      <w:r w:rsidRPr="00CB5C4F">
        <w:t xml:space="preserve">) tiek saprastas indivīdu vai sociālo grupu starpā pastāvošas veselības stāvokļa atšķirības, </w:t>
      </w:r>
      <w:r w:rsidR="00A807C7" w:rsidRPr="00CB5C4F">
        <w:t>kas rodas no novēršamām atšķirībām personas sociālā, ekonomiskā un vides raksturojumā</w:t>
      </w:r>
      <w:r w:rsidR="00A807C7">
        <w:t>,</w:t>
      </w:r>
      <w:r w:rsidR="00A807C7" w:rsidRPr="00CB5C4F">
        <w:t xml:space="preserve"> </w:t>
      </w:r>
      <w:r w:rsidRPr="00CB5C4F">
        <w:t>kuras iespējams izmērīt ar tādiem indikatoriem kā, piemēram, paredzamais dzīves ilgums, mirstība vai saslimšana</w:t>
      </w:r>
      <w:r w:rsidRPr="00CB5C4F">
        <w:rPr>
          <w:rStyle w:val="FootnoteReference"/>
        </w:rPr>
        <w:footnoteReference w:id="131"/>
      </w:r>
      <w:r w:rsidRPr="00CB5C4F">
        <w:t xml:space="preserve">. </w:t>
      </w:r>
      <w:r w:rsidR="0020635D">
        <w:t>Specifiskāk attiecībā uz veselības aprūpi atzīstams, ka nevienlīdzību raksturo dažādu iedzīvotāju grupu atšķirīgās iespējas piekļūt pakalpojumam to starpā pastāvošu sociāli ekonomisko atšķirību (ienākumu, izglītības, ģeogrāfiskā izvietojuma) rezultātā.</w:t>
      </w:r>
    </w:p>
    <w:p w:rsidR="00CB5C4F" w:rsidRDefault="00CB5C4F" w:rsidP="00064C1E"/>
    <w:p w:rsidR="00EC2EE3" w:rsidRDefault="00CB5C4F" w:rsidP="00064C1E">
      <w:r>
        <w:t>N</w:t>
      </w:r>
      <w:r w:rsidR="00EC2EE3">
        <w:t xml:space="preserve">evienlīdzības veselības aprūpes jomā raksturošanai pētījumos plaši tiek izmantoti t.s. subjektīvie mērījumi, kuri tiek iegūti iedzīvotāju aptaujās (apsekojumos). Šīs pieejas izmantošanas pamatā ir mazāks laika un finanšu resursu patēriņš, salīdzinot ar datu iegūšanu plašu medicīnisko apskašu vai testu rezultātā. </w:t>
      </w:r>
      <w:r w:rsidR="00E63B74">
        <w:t>Kopumā subjektīvie veselības rādītāji (piemēram, iedzīvotāju ves</w:t>
      </w:r>
      <w:r w:rsidR="00DF4932">
        <w:t>elības pašnovērtējums) ir atzīti</w:t>
      </w:r>
      <w:r w:rsidR="00E63B74">
        <w:t xml:space="preserve"> par efektīviem indikatoriem, lai novērtētu veselības stāvokļa atšķirības dažādu iedzīvotāju grupu vidū</w:t>
      </w:r>
      <w:r w:rsidR="00212E10">
        <w:t>. Vienlaikus</w:t>
      </w:r>
      <w:r w:rsidR="00BF6177">
        <w:t>, salīdzinot datus gan starptautiski, gan dažādu iedzīvotāju sociāli demogrāfisko grupu griezumā, jāņem vērā, ka iedzīvotāj</w:t>
      </w:r>
      <w:r w:rsidR="00A807C7">
        <w:t>i</w:t>
      </w:r>
      <w:r w:rsidR="00BF6177">
        <w:t xml:space="preserve"> savu veselību vērtē, balstoties uz dažādiem priekšstatiem, atšķirīgu informētību un gaidām</w:t>
      </w:r>
      <w:r w:rsidR="00212E10">
        <w:t xml:space="preserve"> </w:t>
      </w:r>
      <w:r w:rsidR="00BF6177">
        <w:t>par vēlamo veselības stāvokli, tādējādi ierobežojot datu tiešas salīdzināšanas iespējas</w:t>
      </w:r>
      <w:r w:rsidR="00EC2EE3">
        <w:rPr>
          <w:rStyle w:val="FootnoteReference"/>
        </w:rPr>
        <w:footnoteReference w:id="132"/>
      </w:r>
      <w:r w:rsidR="00EC2EE3">
        <w:t>.</w:t>
      </w:r>
    </w:p>
    <w:p w:rsidR="00EC2EE3" w:rsidRDefault="00EC2EE3" w:rsidP="00064C1E"/>
    <w:p w:rsidR="00A434FA" w:rsidRDefault="00A434FA" w:rsidP="00064C1E">
      <w:r>
        <w:t>Runājot par nevienlīdzību veselības aprūpes jomā, gan Latvijas, gan ārvalstu autori akcentē, pirmkārt, viens no indikatoriem, uz ko tiek balstīta analīze, ir iedzīvotāju ienākumi, kā arī tādu jautājumu iekļaušana izvērtējumā, kas ļauj noteikt, vai veselības aprūpes pakalpojumi nav izmantoti to dārdzības dēļ</w:t>
      </w:r>
      <w:r w:rsidR="00AA2A3E">
        <w:t xml:space="preserve"> un kāda ir personas pieejamība dažādiem psihosociālajiem resursiem</w:t>
      </w:r>
      <w:r w:rsidR="00544F61">
        <w:t xml:space="preserve"> (piemēram, sociālā aktivitāte un līdzdalība, sociālais atbalsts, pieprasījums darba tirgū u.tml.)</w:t>
      </w:r>
      <w:r>
        <w:t xml:space="preserve">. Citi faktori, caur kuriem tiek raksturota nevienlīdzība veselības aprūpes jomā, ir dzimums, nodarbinātība un ekonomiskā neaktivitāte, kā arī personas pašas un viņas vecāku izglītības līmenis, pamatojoties uz </w:t>
      </w:r>
      <w:r>
        <w:lastRenderedPageBreak/>
        <w:t>to, ka mazāk izglītotajiem iedzīvotājiem ir lielāka nosliece uz neveselīgāku dzīvesveidu</w:t>
      </w:r>
      <w:r>
        <w:rPr>
          <w:rStyle w:val="FootnoteReference"/>
        </w:rPr>
        <w:footnoteReference w:id="133"/>
      </w:r>
      <w:r>
        <w:t>.</w:t>
      </w:r>
      <w:r w:rsidR="001D79DA">
        <w:t xml:space="preserve"> Balstoties uz šiem faktoriem un veicot plašu literatūras izpēti, Eiropas Komisija ir publicējusi pārskatu, kurā deviņas kompleksi raksturojamas mērķa grupas, kuras pakļautas lielākam nevienlīdzības riskam veselības aprūpes jomā. Tā</w:t>
      </w:r>
      <w:r w:rsidR="008D6552">
        <w:t>s lielā mērā pārklājas ar šajā I</w:t>
      </w:r>
      <w:r w:rsidR="001D79DA">
        <w:t>zvērtējumā definētajām nelabvēlīgākā situācijā esošām mērķa grupām, un proti, vecāka gada gājuma cilvēki, ģimenes ar bērniem, kas pakļautas sociālās atstumtības riskam, laukos dzīvojošie, personas ar fiziskiem vai garīgiem traucējumiem, ilgstošie bezdarbnieki un ekonomiski neaktīvie iedzīvotāji, strādājošie iedzīvotāji ar zemiem ienākumiem, vardarbībā cietušie, personas ar n</w:t>
      </w:r>
      <w:r w:rsidR="004612A6">
        <w:t>edrošu mājokļa situāciju (t.sk.</w:t>
      </w:r>
      <w:r w:rsidR="001D79DA">
        <w:t xml:space="preserve"> bezpajumtnieki), notiesātie</w:t>
      </w:r>
      <w:r w:rsidR="001D79DA">
        <w:rPr>
          <w:rStyle w:val="FootnoteReference"/>
        </w:rPr>
        <w:footnoteReference w:id="134"/>
      </w:r>
      <w:r w:rsidR="001D79DA">
        <w:t>.</w:t>
      </w:r>
    </w:p>
    <w:p w:rsidR="00FE3F0F" w:rsidRDefault="00FE3F0F" w:rsidP="00064C1E"/>
    <w:p w:rsidR="0003759D" w:rsidRPr="00C257B8" w:rsidRDefault="00F72BE3" w:rsidP="00064C1E">
      <w:r w:rsidRPr="00C257B8">
        <w:t>Balstoties uz šajā nodaļā raksturotajiem principiem, vērtējot situāciju saistībā ar nevienlīdzību veselības aprūpē Latvijā tiks aplūkoti, pirmkārt, subjektīvie veselības stāvokļa pašnovērtējuma dati un iedzīvotāju vērtējums par</w:t>
      </w:r>
      <w:r w:rsidR="00C257B8" w:rsidRPr="00C257B8">
        <w:t xml:space="preserve"> iemesliem, kas kavē saņemt veselības aprūpi</w:t>
      </w:r>
      <w:r w:rsidR="00B7127F">
        <w:t>,</w:t>
      </w:r>
      <w:r w:rsidR="00C257B8" w:rsidRPr="00C257B8">
        <w:t xml:space="preserve"> pēc nozīmīgākajiem </w:t>
      </w:r>
      <w:r w:rsidR="00C257B8" w:rsidRPr="0046525D">
        <w:t xml:space="preserve">pieejamajiem sociāli demogrāfiskajiem parametriem </w:t>
      </w:r>
      <w:r w:rsidR="006B6AAA" w:rsidRPr="0046525D">
        <w:t xml:space="preserve">– ienākumiem, dzimuma, vecuma, </w:t>
      </w:r>
      <w:r w:rsidR="00D35728" w:rsidRPr="0046525D">
        <w:t>apdzīvotās vietas tipa (pilsēta/ lauki)</w:t>
      </w:r>
      <w:r w:rsidR="0046525D" w:rsidRPr="0046525D">
        <w:t xml:space="preserve"> un mājsaimniecību raksturojošiem parametriem</w:t>
      </w:r>
      <w:r w:rsidR="006B6AAA" w:rsidRPr="0046525D">
        <w:t xml:space="preserve"> </w:t>
      </w:r>
      <w:r w:rsidR="00C257B8" w:rsidRPr="0046525D">
        <w:t>(2.1.2. nodaļa), un,</w:t>
      </w:r>
      <w:r w:rsidR="00C257B8" w:rsidRPr="00C257B8">
        <w:t xml:space="preserve"> otrkārt, sniegts pārskats par tām iedzīvotāju sociālajām grupām,</w:t>
      </w:r>
      <w:r w:rsidR="008D6552">
        <w:t xml:space="preserve"> kuras Eiropas Komisijas un šī I</w:t>
      </w:r>
      <w:r w:rsidR="00C257B8" w:rsidRPr="00C257B8">
        <w:t>zvērtējuma metodoloģijas ietvaros ir definētas kā pakļautas lielākam nevienlīdzības riskam veselības aprūpes jomā</w:t>
      </w:r>
      <w:r w:rsidR="00C257B8">
        <w:t xml:space="preserve"> (2.3.2. nodaļa)</w:t>
      </w:r>
      <w:r w:rsidR="00C257B8" w:rsidRPr="00C257B8">
        <w:t>.</w:t>
      </w:r>
    </w:p>
    <w:p w:rsidR="000A51CF" w:rsidRDefault="000A51CF" w:rsidP="003945E0">
      <w:pPr>
        <w:pStyle w:val="Heading3"/>
      </w:pPr>
      <w:bookmarkStart w:id="369" w:name="_Toc6841569"/>
      <w:r>
        <w:t>Latvijas iedzīvotāju vispārējs veselības stāvokļa pašnovērtējum</w:t>
      </w:r>
      <w:r w:rsidR="0006259C">
        <w:t>s un veselības aprūpes pieejamības raksturojums no iedzīvotāju perspektīvas</w:t>
      </w:r>
      <w:bookmarkEnd w:id="369"/>
    </w:p>
    <w:p w:rsidR="007B670D" w:rsidRDefault="006B6AAA" w:rsidP="00064C1E">
      <w:r>
        <w:t>Kā rāda 2.1.1. nodaļā sniegtais pārskats, nevienlīdzības veselības jomā raksturošanai sociāli demogrāfiskajās grupās raksturīgs izmantot iedzīvotāju veselības stāvokļa pašnovērtējumu, kas iegūts apsekojumu (kvantitatīvu aptauju) ietvaros. Kopumā Latvijā kopš neatkarības atgūšanas ir veikti daudzi starptautiski salīdzināmi apsekojumi, kuru ietvaros ir iegūts iedzīvotāju veselības pašnovērtējums. Šiem apsekojumiem ir raksturīga atšķirīga atkārtošanas periodizācija, mērījuma detalizācijas pakāpe un izlases lielums (aptaujāto skaits), kas paplašina vai ierobežo attiecīgo datu izmantošanu iedzīvotāju veselības stāvokļa un nevienlīdzības veselības jomā raksturošanai (sk. sīkāk 2.</w:t>
      </w:r>
      <w:r w:rsidR="00790345">
        <w:t>1</w:t>
      </w:r>
      <w:r>
        <w:t>.</w:t>
      </w:r>
      <w:r w:rsidR="00790345">
        <w:t>4</w:t>
      </w:r>
      <w:r>
        <w:t>. nodaļu).</w:t>
      </w:r>
    </w:p>
    <w:p w:rsidR="006B6AAA" w:rsidRDefault="006B6AAA" w:rsidP="00064C1E"/>
    <w:p w:rsidR="00634AFD" w:rsidRDefault="008D6552" w:rsidP="00064C1E">
      <w:r>
        <w:t>Šajā I</w:t>
      </w:r>
      <w:r w:rsidR="006B6AAA">
        <w:t xml:space="preserve">zvērtējumā </w:t>
      </w:r>
      <w:r w:rsidR="00634AFD">
        <w:t xml:space="preserve">Latvijas iedzīvotāju vispārējā veselības stāvokļa pašnovērtējuma raksturojums sagatavots, izmantojot </w:t>
      </w:r>
      <w:r w:rsidR="00634AFD" w:rsidRPr="00634AFD">
        <w:t>apsekojum</w:t>
      </w:r>
      <w:r w:rsidR="00634AFD">
        <w:t>a</w:t>
      </w:r>
      <w:r w:rsidR="00634AFD" w:rsidRPr="00634AFD">
        <w:t xml:space="preserve"> „Eiropas Savienības statistika par ienākumiem un dzīves apstākļiem” (</w:t>
      </w:r>
      <w:r w:rsidR="00634AFD" w:rsidRPr="00634AFD">
        <w:rPr>
          <w:i/>
        </w:rPr>
        <w:t xml:space="preserve">The </w:t>
      </w:r>
      <w:r w:rsidR="007230A3">
        <w:rPr>
          <w:i/>
        </w:rPr>
        <w:t>E</w:t>
      </w:r>
      <w:r w:rsidR="008D54E1">
        <w:rPr>
          <w:i/>
        </w:rPr>
        <w:t>u</w:t>
      </w:r>
      <w:r w:rsidR="007230A3">
        <w:rPr>
          <w:i/>
        </w:rPr>
        <w:t>ro</w:t>
      </w:r>
      <w:r w:rsidR="00634AFD" w:rsidRPr="00634AFD">
        <w:rPr>
          <w:i/>
        </w:rPr>
        <w:t>pean Union Statistics on Income and Living Conditions, EU-SILC</w:t>
      </w:r>
      <w:r w:rsidR="00634AFD" w:rsidRPr="00634AFD">
        <w:t>)</w:t>
      </w:r>
      <w:r w:rsidR="00634AFD">
        <w:t xml:space="preserve"> datus</w:t>
      </w:r>
      <w:r w:rsidR="00790345">
        <w:t>,</w:t>
      </w:r>
      <w:r w:rsidR="00634AFD">
        <w:t xml:space="preserve"> </w:t>
      </w:r>
      <w:r w:rsidR="00790345">
        <w:t>kura norisi nodrošina CSP,</w:t>
      </w:r>
      <w:r w:rsidR="006B6AAA">
        <w:t xml:space="preserve"> balstoties uz ES aprobētu un vienotu metodiku un </w:t>
      </w:r>
      <w:r w:rsidR="00634AFD">
        <w:t>kura ietvaros šis rādītājs ir mērīts ilgstošā laika periodā, nodrošinot</w:t>
      </w:r>
      <w:r w:rsidR="00790345">
        <w:t xml:space="preserve"> starptautisko un</w:t>
      </w:r>
      <w:r w:rsidR="00634AFD">
        <w:t xml:space="preserve"> savstarpējo salīdzināmību, un ļauj raksturot datus saistībā ar iedzīvotāju ienākumiem un materiālo nevienlīdzību</w:t>
      </w:r>
      <w:r w:rsidR="008573A8">
        <w:t xml:space="preserve"> (sk. </w:t>
      </w:r>
      <w:r w:rsidR="00833CD9">
        <w:t xml:space="preserve">2.1. </w:t>
      </w:r>
      <w:r w:rsidR="008573A8">
        <w:t>attēlu)</w:t>
      </w:r>
      <w:r w:rsidR="00634AFD">
        <w:t>.</w:t>
      </w:r>
      <w:r w:rsidR="00790345">
        <w:t xml:space="preserve"> Šie dati vienlaikus tiek izmantoti starptautiskajos izvērtējumos (sk. piemēram, ziņojumu </w:t>
      </w:r>
      <w:r w:rsidR="00790345" w:rsidRPr="00790345">
        <w:rPr>
          <w:i/>
        </w:rPr>
        <w:t xml:space="preserve">OECD </w:t>
      </w:r>
      <w:r w:rsidR="00790345" w:rsidRPr="00790345">
        <w:rPr>
          <w:i/>
        </w:rPr>
        <w:lastRenderedPageBreak/>
        <w:t>Reviews of Health Systems: Latvia 2016</w:t>
      </w:r>
      <w:r w:rsidR="00E93805">
        <w:t>)</w:t>
      </w:r>
      <w:r w:rsidR="00481A15">
        <w:t xml:space="preserve"> Latvijas pozicionējumam un salīdzinājumam starptautiskajā mērogā</w:t>
      </w:r>
      <w:r w:rsidR="00E46E3C">
        <w:t xml:space="preserve"> (sk. arī 2.1.4. nodaļā ietverto analīzi par datiem, kādi nepieciešami nevienlīdzības veselības aprūpes jomā izvērtējumam)</w:t>
      </w:r>
      <w:r w:rsidR="00481A15">
        <w:t>.</w:t>
      </w:r>
    </w:p>
    <w:bookmarkStart w:id="370" w:name="_Toc6219194"/>
    <w:bookmarkStart w:id="371" w:name="_Toc6220137"/>
    <w:p w:rsidR="00634AFD" w:rsidRPr="008573A8" w:rsidRDefault="00AD3EDD" w:rsidP="00F1684E">
      <w:pPr>
        <w:pStyle w:val="Caption"/>
      </w:pPr>
      <w:r>
        <w:fldChar w:fldCharType="begin"/>
      </w:r>
      <w:r w:rsidR="006B5456">
        <w:instrText xml:space="preserve"> STYLEREF 1 \s </w:instrText>
      </w:r>
      <w:r>
        <w:fldChar w:fldCharType="separate"/>
      </w:r>
      <w:bookmarkStart w:id="372" w:name="_Toc6855789"/>
      <w:r w:rsidR="00224B50">
        <w:rPr>
          <w:noProof/>
        </w:rPr>
        <w:t>2</w:t>
      </w:r>
      <w:r>
        <w:fldChar w:fldCharType="end"/>
      </w:r>
      <w:r w:rsidR="006B5456">
        <w:t>.</w:t>
      </w:r>
      <w:r>
        <w:fldChar w:fldCharType="begin"/>
      </w:r>
      <w:r w:rsidR="000F1524">
        <w:instrText xml:space="preserve"> SEQ Ilustrācija \* ARABIC \s 1 </w:instrText>
      </w:r>
      <w:r>
        <w:fldChar w:fldCharType="separate"/>
      </w:r>
      <w:r w:rsidR="00224B50">
        <w:rPr>
          <w:noProof/>
        </w:rPr>
        <w:t>1</w:t>
      </w:r>
      <w:r>
        <w:rPr>
          <w:noProof/>
        </w:rPr>
        <w:fldChar w:fldCharType="end"/>
      </w:r>
      <w:r w:rsidR="008573A8" w:rsidRPr="008573A8">
        <w:t>. attēls. Veselības stāvokļa paš</w:t>
      </w:r>
      <w:r w:rsidR="00022F00">
        <w:t>no</w:t>
      </w:r>
      <w:r w:rsidR="008573A8" w:rsidRPr="008573A8">
        <w:t xml:space="preserve">vērtējums (%), </w:t>
      </w:r>
      <w:r w:rsidR="0067470E">
        <w:t>i</w:t>
      </w:r>
      <w:r w:rsidR="008573A8" w:rsidRPr="008573A8">
        <w:t>edzīvotāji vecumā no 16 gadiem</w:t>
      </w:r>
      <w:bookmarkEnd w:id="370"/>
      <w:bookmarkEnd w:id="371"/>
      <w:bookmarkEnd w:id="372"/>
    </w:p>
    <w:p w:rsidR="00634AFD" w:rsidRDefault="008573A8" w:rsidP="00064C1E">
      <w:r w:rsidRPr="008573A8">
        <w:rPr>
          <w:noProof/>
        </w:rPr>
        <w:drawing>
          <wp:inline distT="0" distB="0" distL="0" distR="0">
            <wp:extent cx="6154420" cy="32434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4420" cy="3243424"/>
                    </a:xfrm>
                    <a:prstGeom prst="rect">
                      <a:avLst/>
                    </a:prstGeom>
                    <a:noFill/>
                    <a:ln>
                      <a:noFill/>
                    </a:ln>
                  </pic:spPr>
                </pic:pic>
              </a:graphicData>
            </a:graphic>
          </wp:inline>
        </w:drawing>
      </w:r>
    </w:p>
    <w:p w:rsidR="008573A8" w:rsidRPr="0067470E" w:rsidRDefault="0067470E" w:rsidP="00C33A64">
      <w:pPr>
        <w:pStyle w:val="avotiemft10"/>
      </w:pPr>
      <w:bookmarkStart w:id="373" w:name="_Toc6841570"/>
      <w:r w:rsidRPr="0067470E">
        <w:t>Avots: CSP, „VPG010. Veselības stāvokļa pašnovērtējums 16 gadus veciem un vecākiem iedzīvotājiem (%)”</w:t>
      </w:r>
      <w:bookmarkEnd w:id="373"/>
    </w:p>
    <w:p w:rsidR="0067470E" w:rsidRDefault="0067470E" w:rsidP="00064C1E"/>
    <w:p w:rsidR="008573A8" w:rsidRDefault="008573A8" w:rsidP="00064C1E">
      <w:r>
        <w:t>Kopumā iedzīvotāju veselības stāvokļa paš</w:t>
      </w:r>
      <w:r w:rsidR="00022F00">
        <w:t>no</w:t>
      </w:r>
      <w:r>
        <w:t>vērtējums vecuma grupā virs 16 gadiem nav būtiski mainījies kopš 2009. gada (</w:t>
      </w:r>
      <w:r w:rsidR="00922A20">
        <w:t>sk.</w:t>
      </w:r>
      <w:r w:rsidR="00833CD9">
        <w:t xml:space="preserve"> 2.1</w:t>
      </w:r>
      <w:r w:rsidR="00922A20">
        <w:t>. attēlu</w:t>
      </w:r>
      <w:r>
        <w:t>). Veselība</w:t>
      </w:r>
      <w:r w:rsidR="004F5401">
        <w:t>s</w:t>
      </w:r>
      <w:r>
        <w:t xml:space="preserve"> stāvokļa paš</w:t>
      </w:r>
      <w:r w:rsidR="00022F00">
        <w:t>no</w:t>
      </w:r>
      <w:r>
        <w:t>vērtējuma svārstības, izvēloties raksturojumu skalā no „ļoti labs” līdz „ļoti slikts”</w:t>
      </w:r>
      <w:r w:rsidR="00DF4932">
        <w:t>,</w:t>
      </w:r>
      <w:r>
        <w:t xml:space="preserve"> variē mērījuma statistiskās kļūdas robežās. Tādējādi kopumā var teikt, ka iedzīvotāju izvēle veselības stāvokļa paš</w:t>
      </w:r>
      <w:r w:rsidR="00022F00">
        <w:t>no</w:t>
      </w:r>
      <w:r>
        <w:t xml:space="preserve">vērtējumam balstās uz </w:t>
      </w:r>
      <w:r w:rsidR="00F12000">
        <w:t>galvenokārt</w:t>
      </w:r>
      <w:r>
        <w:t xml:space="preserve"> divu atbilžu variantu izvēli – labs veselības stāvoklis (40,8% 2017. gadā) vai vidējs veselības stāvoklis (38,9% 2017. gadā). Ņemot vērā stabilo veselības stāvokļa pašvērtējumu, turpinājumā dati citos sociāli demogrāfiskajos griezumos ir aplūkoti tikai par 2017. gadu.</w:t>
      </w:r>
    </w:p>
    <w:p w:rsidR="008573A8" w:rsidRDefault="008573A8" w:rsidP="00064C1E"/>
    <w:p w:rsidR="009026E9" w:rsidRPr="0092679E" w:rsidRDefault="00022F00" w:rsidP="00064C1E">
      <w:r>
        <w:t>Aplūkojot veselības stāvokļa pašnovērtējumu dzimuma un apdzīvotās vietas (urbanizācijas) tipa griezumā (2.2. attēls), redzams, ka vīrieši savu veselības stāvokli vērtē pozitīvāk nekā sievietes, biežāk izvēloties atbilžu variantu „labs” iepretim sieviešu biežāk izvēlētajam „vidējs” veselības stāvoklis. Tā 45,6% vīriešu un 36,9% sieviešu 2017. gadā savu veselības stāvokli atzina par labu, un 36,1% vīriešu un 41,0% sieviešu to atzina par „vidēju”. Mazliet biežāk sievietes savu veselības stāvokli vērtē kā „sliktu” (15,9% 2017. gadā iepretim vīriešu 11,3% vērtējumam). Kritiskāks sava veselības stāvokļa pašnovērtējums raksturīgs sievietēm visās vecuma grupās, tomēr šī tendence kļūst izteiktāka pēc 45 gadu vecuma.</w:t>
      </w:r>
      <w:r w:rsidR="00D45905">
        <w:t xml:space="preserve"> Savukārt pilsētu un lauku griezumā būtiskas atšķirības veselības stāvokļa pašnovērtējumā nav novērojamas (</w:t>
      </w:r>
      <w:r w:rsidR="00922A20">
        <w:t>sk.</w:t>
      </w:r>
      <w:r w:rsidR="008C6B83">
        <w:t xml:space="preserve"> </w:t>
      </w:r>
      <w:r w:rsidR="00833CD9">
        <w:t>2.2</w:t>
      </w:r>
      <w:r w:rsidR="00922A20">
        <w:t>. attēlu</w:t>
      </w:r>
      <w:r w:rsidR="00D45905">
        <w:t>).</w:t>
      </w:r>
    </w:p>
    <w:bookmarkStart w:id="374" w:name="_Toc6219195"/>
    <w:bookmarkStart w:id="375" w:name="_Toc6220138"/>
    <w:p w:rsidR="00D2120C" w:rsidRPr="00D2120C" w:rsidRDefault="00AD3EDD" w:rsidP="00F1684E">
      <w:pPr>
        <w:pStyle w:val="Caption"/>
      </w:pPr>
      <w:r>
        <w:lastRenderedPageBreak/>
        <w:fldChar w:fldCharType="begin"/>
      </w:r>
      <w:r w:rsidR="006B5456">
        <w:instrText xml:space="preserve"> STYLEREF 1 \s </w:instrText>
      </w:r>
      <w:r>
        <w:fldChar w:fldCharType="separate"/>
      </w:r>
      <w:bookmarkStart w:id="376" w:name="_Toc6855790"/>
      <w:r w:rsidR="00224B50">
        <w:rPr>
          <w:noProof/>
        </w:rPr>
        <w:t>2</w:t>
      </w:r>
      <w:r>
        <w:fldChar w:fldCharType="end"/>
      </w:r>
      <w:r w:rsidR="006B5456">
        <w:t>.</w:t>
      </w:r>
      <w:r>
        <w:fldChar w:fldCharType="begin"/>
      </w:r>
      <w:r w:rsidR="000F1524">
        <w:instrText xml:space="preserve"> SEQ Ilustrācija \* ARABIC \s 1 </w:instrText>
      </w:r>
      <w:r>
        <w:fldChar w:fldCharType="separate"/>
      </w:r>
      <w:r w:rsidR="00224B50">
        <w:rPr>
          <w:noProof/>
        </w:rPr>
        <w:t>2</w:t>
      </w:r>
      <w:r>
        <w:rPr>
          <w:noProof/>
        </w:rPr>
        <w:fldChar w:fldCharType="end"/>
      </w:r>
      <w:r w:rsidR="00D2120C" w:rsidRPr="00D2120C">
        <w:t xml:space="preserve">. attēls. Veselības </w:t>
      </w:r>
      <w:r w:rsidR="00D2120C" w:rsidRPr="00D3739C">
        <w:t>stāvokļa</w:t>
      </w:r>
      <w:r w:rsidR="00D2120C" w:rsidRPr="00D2120C">
        <w:t xml:space="preserve"> paš</w:t>
      </w:r>
      <w:r w:rsidR="00022F00">
        <w:t>no</w:t>
      </w:r>
      <w:r w:rsidR="00D2120C" w:rsidRPr="00D2120C">
        <w:t xml:space="preserve">vērtējums </w:t>
      </w:r>
      <w:r w:rsidR="00D2120C">
        <w:t xml:space="preserve">2017. gadā </w:t>
      </w:r>
      <w:r w:rsidR="00D2120C" w:rsidRPr="00D2120C">
        <w:t xml:space="preserve">(%), </w:t>
      </w:r>
      <w:r w:rsidR="00D2120C" w:rsidRPr="00D2120C">
        <w:rPr>
          <w:i/>
        </w:rPr>
        <w:t>(Dzimums/ apdzīvotās vietas tips)</w:t>
      </w:r>
      <w:bookmarkEnd w:id="374"/>
      <w:bookmarkEnd w:id="375"/>
      <w:bookmarkEnd w:id="376"/>
    </w:p>
    <w:p w:rsidR="008573A8" w:rsidRDefault="00D2120C" w:rsidP="00064C1E">
      <w:pPr>
        <w:jc w:val="center"/>
      </w:pPr>
      <w:r w:rsidRPr="00D2120C">
        <w:rPr>
          <w:noProof/>
        </w:rPr>
        <w:drawing>
          <wp:inline distT="0" distB="0" distL="0" distR="0">
            <wp:extent cx="5495925" cy="3438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5925" cy="3438525"/>
                    </a:xfrm>
                    <a:prstGeom prst="rect">
                      <a:avLst/>
                    </a:prstGeom>
                    <a:noFill/>
                    <a:ln>
                      <a:noFill/>
                    </a:ln>
                  </pic:spPr>
                </pic:pic>
              </a:graphicData>
            </a:graphic>
          </wp:inline>
        </w:drawing>
      </w:r>
    </w:p>
    <w:bookmarkStart w:id="377" w:name="_Toc6219196"/>
    <w:bookmarkStart w:id="378" w:name="_Toc6220139"/>
    <w:p w:rsidR="00022F00" w:rsidRPr="00D2120C" w:rsidRDefault="00AD3EDD" w:rsidP="00F1684E">
      <w:pPr>
        <w:pStyle w:val="Caption"/>
      </w:pPr>
      <w:r>
        <w:fldChar w:fldCharType="begin"/>
      </w:r>
      <w:r w:rsidR="006B5456">
        <w:instrText xml:space="preserve"> STYLEREF 1 \s </w:instrText>
      </w:r>
      <w:r>
        <w:fldChar w:fldCharType="separate"/>
      </w:r>
      <w:bookmarkStart w:id="379" w:name="_Toc6855791"/>
      <w:r w:rsidR="00224B50">
        <w:rPr>
          <w:noProof/>
        </w:rPr>
        <w:t>2</w:t>
      </w:r>
      <w:r>
        <w:fldChar w:fldCharType="end"/>
      </w:r>
      <w:r w:rsidR="006B5456">
        <w:t>.</w:t>
      </w:r>
      <w:r>
        <w:fldChar w:fldCharType="begin"/>
      </w:r>
      <w:r w:rsidR="000F1524">
        <w:instrText xml:space="preserve"> SEQ Ilustrācija \* ARABIC \s 1 </w:instrText>
      </w:r>
      <w:r>
        <w:fldChar w:fldCharType="separate"/>
      </w:r>
      <w:r w:rsidR="00224B50">
        <w:rPr>
          <w:noProof/>
        </w:rPr>
        <w:t>3</w:t>
      </w:r>
      <w:r>
        <w:rPr>
          <w:noProof/>
        </w:rPr>
        <w:fldChar w:fldCharType="end"/>
      </w:r>
      <w:r w:rsidR="00022F00" w:rsidRPr="00D2120C">
        <w:t xml:space="preserve">. attēls. Veselības stāvokļa </w:t>
      </w:r>
      <w:r w:rsidR="00022F00" w:rsidRPr="00D3739C">
        <w:t>pašnovērtējums</w:t>
      </w:r>
      <w:r w:rsidR="00022F00" w:rsidRPr="00D2120C">
        <w:t xml:space="preserve"> </w:t>
      </w:r>
      <w:r w:rsidR="00022F00">
        <w:t xml:space="preserve">2017. gadā </w:t>
      </w:r>
      <w:r w:rsidR="00022F00" w:rsidRPr="00D2120C">
        <w:t xml:space="preserve">(%), </w:t>
      </w:r>
      <w:r w:rsidR="00022F00" w:rsidRPr="00D2120C">
        <w:rPr>
          <w:i/>
        </w:rPr>
        <w:t>(</w:t>
      </w:r>
      <w:r w:rsidR="00022F00">
        <w:rPr>
          <w:i/>
        </w:rPr>
        <w:t>Ienākumu kvintiļu grupas</w:t>
      </w:r>
      <w:r w:rsidR="00022F00" w:rsidRPr="00D2120C">
        <w:rPr>
          <w:i/>
        </w:rPr>
        <w:t>)</w:t>
      </w:r>
      <w:bookmarkEnd w:id="377"/>
      <w:bookmarkEnd w:id="378"/>
      <w:bookmarkEnd w:id="379"/>
    </w:p>
    <w:p w:rsidR="00022F00" w:rsidRDefault="00022F00" w:rsidP="00064C1E">
      <w:pPr>
        <w:jc w:val="center"/>
      </w:pPr>
      <w:r w:rsidRPr="00022F00">
        <w:rPr>
          <w:noProof/>
        </w:rPr>
        <w:drawing>
          <wp:inline distT="0" distB="0" distL="0" distR="0">
            <wp:extent cx="5495925" cy="3438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5925" cy="3438525"/>
                    </a:xfrm>
                    <a:prstGeom prst="rect">
                      <a:avLst/>
                    </a:prstGeom>
                    <a:noFill/>
                    <a:ln>
                      <a:noFill/>
                    </a:ln>
                  </pic:spPr>
                </pic:pic>
              </a:graphicData>
            </a:graphic>
          </wp:inline>
        </w:drawing>
      </w:r>
    </w:p>
    <w:p w:rsidR="00022F00" w:rsidRDefault="00022F00" w:rsidP="00064C1E"/>
    <w:p w:rsidR="00022F00" w:rsidRDefault="00D45905" w:rsidP="00064C1E">
      <w:r>
        <w:t>Nozīmīgākās atšķirības veselības stāvokļa pašnovērtējumā ir novērojamas dažādās iedzīvotāju ienākumu grupās (</w:t>
      </w:r>
      <w:r w:rsidR="00922A20">
        <w:t>sk.</w:t>
      </w:r>
      <w:r w:rsidR="00833CD9">
        <w:t xml:space="preserve"> 2.3</w:t>
      </w:r>
      <w:r>
        <w:t>. attēl</w:t>
      </w:r>
      <w:r w:rsidR="00922A20">
        <w:t>u</w:t>
      </w:r>
      <w:r>
        <w:t xml:space="preserve">). Izņemot 1. kvintiļu grupu, kopumā ir novērojama likumsakarība, ka, jo zemāki ir ienākumi, jo zemāks ir veselības stāvokļa pašnovērtējums. Tā tikai 24,9% iedzīvotāju 2. kvintiļu grupā 2017. gadā uzskata savu veselības stāvokli par labu, savukārt 3. kvintiļu grupā tādu ir 40,9% iedzīvotāju, savukārt 4. un 5. kvintiļu grupā šis rādītājs ir attiecīgi 46,0% un </w:t>
      </w:r>
      <w:r>
        <w:lastRenderedPageBreak/>
        <w:t xml:space="preserve">53,4%. Iedzīvotāju veselības pašnovērtējums, kuru ienākumi atbilst 1. kvintiļu grupai, ir labāks nekā 2. kvintiļu grupas veselības stāvokļa pašnovērtējums, un tas kopumā ir līdzīgs 3. kvintiļu grupas pašnovērtējumam. Šādas atšķirības no vispārējās likumsakarības ir skaidrojamas galvenokārt ar iedzīvotāju, kuru ienākumi atbilst 1. un 2. kvintiļu grupai, sociāli demogrāfisko kompozīciju, proti, 2. kvintiļu grupas lielāku daļu veido iedzīvotāju pirmspensijas un pensijas vecumā ar objektīvi sliktāku veselības stāvokli un pašsajūtu. </w:t>
      </w:r>
      <w:r w:rsidR="00883AC9">
        <w:t>Šīs atšķirības uzskatāmi redzamas</w:t>
      </w:r>
      <w:r w:rsidR="00833CD9">
        <w:t xml:space="preserve"> 2.4</w:t>
      </w:r>
      <w:r w:rsidR="00883AC9">
        <w:t>. attēl</w:t>
      </w:r>
      <w:r w:rsidR="005B519A">
        <w:t>ā – pieaugot vecumam, pieaug veselības stāvokļa pašnovērtējums kā „slikts” un „ļoti slikts”.</w:t>
      </w:r>
    </w:p>
    <w:bookmarkStart w:id="380" w:name="_Toc6219197"/>
    <w:bookmarkStart w:id="381" w:name="_Toc6220140"/>
    <w:p w:rsidR="00D45905" w:rsidRPr="00883AC9" w:rsidRDefault="00AD3EDD" w:rsidP="00F1684E">
      <w:pPr>
        <w:pStyle w:val="Caption"/>
      </w:pPr>
      <w:r>
        <w:fldChar w:fldCharType="begin"/>
      </w:r>
      <w:r w:rsidR="006B5456">
        <w:instrText xml:space="preserve"> STYLEREF 1 \s </w:instrText>
      </w:r>
      <w:r>
        <w:fldChar w:fldCharType="separate"/>
      </w:r>
      <w:bookmarkStart w:id="382" w:name="_Toc6855792"/>
      <w:r w:rsidR="00224B50">
        <w:rPr>
          <w:noProof/>
        </w:rPr>
        <w:t>2</w:t>
      </w:r>
      <w:r>
        <w:fldChar w:fldCharType="end"/>
      </w:r>
      <w:r w:rsidR="006B5456">
        <w:t>.</w:t>
      </w:r>
      <w:r>
        <w:fldChar w:fldCharType="begin"/>
      </w:r>
      <w:r w:rsidR="000F1524">
        <w:instrText xml:space="preserve"> SEQ Ilustrācija \* ARABIC \s 1 </w:instrText>
      </w:r>
      <w:r>
        <w:fldChar w:fldCharType="separate"/>
      </w:r>
      <w:r w:rsidR="00224B50">
        <w:rPr>
          <w:noProof/>
        </w:rPr>
        <w:t>4</w:t>
      </w:r>
      <w:r>
        <w:rPr>
          <w:noProof/>
        </w:rPr>
        <w:fldChar w:fldCharType="end"/>
      </w:r>
      <w:r w:rsidR="00883AC9" w:rsidRPr="00883AC9">
        <w:t xml:space="preserve">. attēls. Veselības stāvokļa </w:t>
      </w:r>
      <w:r w:rsidR="00883AC9" w:rsidRPr="00D3739C">
        <w:t>pašnovērtējums</w:t>
      </w:r>
      <w:r w:rsidR="00883AC9" w:rsidRPr="00883AC9">
        <w:t xml:space="preserve"> 2017. gadā</w:t>
      </w:r>
      <w:r w:rsidR="0067470E">
        <w:t xml:space="preserve"> sadalījumā pa vecuma grupām (%)</w:t>
      </w:r>
      <w:bookmarkEnd w:id="380"/>
      <w:bookmarkEnd w:id="381"/>
      <w:bookmarkEnd w:id="382"/>
    </w:p>
    <w:p w:rsidR="00D45905" w:rsidRDefault="00870AF9" w:rsidP="00064C1E">
      <w:r w:rsidRPr="00870AF9">
        <w:rPr>
          <w:noProof/>
        </w:rPr>
        <w:drawing>
          <wp:inline distT="0" distB="0" distL="0" distR="0">
            <wp:extent cx="6105525" cy="3438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5525" cy="3438525"/>
                    </a:xfrm>
                    <a:prstGeom prst="rect">
                      <a:avLst/>
                    </a:prstGeom>
                    <a:noFill/>
                    <a:ln>
                      <a:noFill/>
                    </a:ln>
                  </pic:spPr>
                </pic:pic>
              </a:graphicData>
            </a:graphic>
          </wp:inline>
        </w:drawing>
      </w:r>
    </w:p>
    <w:p w:rsidR="00870AF9" w:rsidRPr="0067470E" w:rsidRDefault="0067470E" w:rsidP="00C33A64">
      <w:pPr>
        <w:pStyle w:val="avotiemft10"/>
      </w:pPr>
      <w:bookmarkStart w:id="383" w:name="_Toc6841571"/>
      <w:r w:rsidRPr="0067470E">
        <w:t>Avots: CSP, „VPG040. Veselības stāvokļa pašnovērtējums pēc dzimuma un vecuma grupām (%)”</w:t>
      </w:r>
      <w:bookmarkEnd w:id="383"/>
    </w:p>
    <w:p w:rsidR="0067470E" w:rsidRDefault="0067470E" w:rsidP="00064C1E"/>
    <w:p w:rsidR="0063347A" w:rsidRDefault="0063347A" w:rsidP="00064C1E">
      <w:r>
        <w:t>Aplūkojot iedzīvotāju pašnovērtējumu, vai viņiem ir kāda h</w:t>
      </w:r>
      <w:r w:rsidRPr="0063347A">
        <w:t>roniska slimība, ilgstošas kaites vai fiziski trūkumi</w:t>
      </w:r>
      <w:r>
        <w:t xml:space="preserve"> (</w:t>
      </w:r>
      <w:r w:rsidR="00922A20">
        <w:t>sk.</w:t>
      </w:r>
      <w:r w:rsidR="00833CD9">
        <w:t xml:space="preserve"> 2.5</w:t>
      </w:r>
      <w:r w:rsidR="00922A20">
        <w:t>. attēlu</w:t>
      </w:r>
      <w:r>
        <w:t>), redzams, ka kopumā šim rādītājam laika posmā no 2009. gada ir tendence pieaugt. Laika posmā no 2009. līdz 2017. gadam iedzīvotāju īpatsvars, kuri atzinuši, ka viņiem ir kāda hroniska slimība, ilgstošas kaites vai fiziski trūkum</w:t>
      </w:r>
      <w:r w:rsidR="00A807C7">
        <w:t>i</w:t>
      </w:r>
      <w:r>
        <w:t>, ir pieaudzis par 8,5 procentpunktiem. Ja 2009. gadā tādu bija 34,2% iedzīvotāju, tad 2017. gadā – 42,7%. Pilsētu un lauku iedzīvotāju atbildēs par kādas hroniskas slimības vai fiziska trūkuma esamību statistiski nozīmīgas atšķirības nav novērotas.</w:t>
      </w:r>
    </w:p>
    <w:p w:rsidR="0063347A" w:rsidRDefault="0063347A" w:rsidP="00064C1E"/>
    <w:p w:rsidR="00022F00" w:rsidRDefault="0063347A" w:rsidP="00064C1E">
      <w:r>
        <w:t>Sievietēm kopumā piemīt tendence biežāk atzīt, ka viņām ir kāda hroniska slimība, ilgstoša kaite vai fiziski trūkumi, un visā aplūkotajā laika posmā šis vērtējums ir pieaudzis par gandrīz 10 procentpunktiem</w:t>
      </w:r>
      <w:r w:rsidR="009E4A92">
        <w:t>, un 2017. gadā 47,4% sieviešu atzina, ka viņām ir kāda hroniska slimība vai fiziski trūkumi</w:t>
      </w:r>
      <w:r>
        <w:t xml:space="preserve">. </w:t>
      </w:r>
      <w:r w:rsidR="009E4A92">
        <w:t>Arī vīriešu vērtējumam par hroniskas slimības esamību ir tendence pieaugt – aplūkotajā laika posmā tas ir paaugstinājies par 7 procentpunktiem, un 2017.</w:t>
      </w:r>
      <w:r w:rsidR="00DE1C08">
        <w:t xml:space="preserve"> </w:t>
      </w:r>
      <w:r w:rsidR="009E4A92">
        <w:t>gadā kopumā 36,9% vīriešu atzina, ka viņiem ir kāda hroniska slimība vai fiziski trūkumi.</w:t>
      </w:r>
    </w:p>
    <w:bookmarkStart w:id="384" w:name="_Toc6219198"/>
    <w:bookmarkStart w:id="385" w:name="_Toc6220141"/>
    <w:p w:rsidR="00AF5C4A" w:rsidRPr="00AF5C4A" w:rsidRDefault="00AD3EDD" w:rsidP="00F1684E">
      <w:pPr>
        <w:pStyle w:val="Caption"/>
      </w:pPr>
      <w:r>
        <w:lastRenderedPageBreak/>
        <w:fldChar w:fldCharType="begin"/>
      </w:r>
      <w:r w:rsidR="006B5456">
        <w:instrText xml:space="preserve"> STYLEREF 1 \s </w:instrText>
      </w:r>
      <w:r>
        <w:fldChar w:fldCharType="separate"/>
      </w:r>
      <w:bookmarkStart w:id="386" w:name="_Toc6855793"/>
      <w:r w:rsidR="00224B50">
        <w:rPr>
          <w:noProof/>
        </w:rPr>
        <w:t>2</w:t>
      </w:r>
      <w:r>
        <w:fldChar w:fldCharType="end"/>
      </w:r>
      <w:r w:rsidR="006B5456">
        <w:t>.</w:t>
      </w:r>
      <w:r>
        <w:fldChar w:fldCharType="begin"/>
      </w:r>
      <w:r w:rsidR="000F1524">
        <w:instrText xml:space="preserve"> SEQ Ilustrācija \* ARABIC \s 1 </w:instrText>
      </w:r>
      <w:r>
        <w:fldChar w:fldCharType="separate"/>
      </w:r>
      <w:r w:rsidR="00224B50">
        <w:rPr>
          <w:noProof/>
        </w:rPr>
        <w:t>5</w:t>
      </w:r>
      <w:r>
        <w:rPr>
          <w:noProof/>
        </w:rPr>
        <w:fldChar w:fldCharType="end"/>
      </w:r>
      <w:r w:rsidR="008C6B83">
        <w:t xml:space="preserve">. </w:t>
      </w:r>
      <w:r w:rsidR="00AF5C4A" w:rsidRPr="00AF5C4A">
        <w:t xml:space="preserve">attēls. Hroniska slimība, ilgstošas kaites vai fiziski trūkumi 16 gadus veciem un vecākiem iedzīvotājiem (%) </w:t>
      </w:r>
      <w:r w:rsidR="00AF5C4A" w:rsidRPr="00AF5C4A">
        <w:rPr>
          <w:i/>
        </w:rPr>
        <w:t>(Dzimums)</w:t>
      </w:r>
      <w:bookmarkEnd w:id="384"/>
      <w:bookmarkEnd w:id="385"/>
      <w:bookmarkEnd w:id="386"/>
    </w:p>
    <w:p w:rsidR="00870AF9" w:rsidRDefault="00E13D1A" w:rsidP="00064C1E">
      <w:r w:rsidRPr="00E13D1A">
        <w:rPr>
          <w:noProof/>
        </w:rPr>
        <w:drawing>
          <wp:inline distT="0" distB="0" distL="0" distR="0">
            <wp:extent cx="6154420" cy="2718352"/>
            <wp:effectExtent l="19050" t="0" r="0" b="0"/>
            <wp:docPr id="8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8"/>
                    <a:srcRect/>
                    <a:stretch>
                      <a:fillRect/>
                    </a:stretch>
                  </pic:blipFill>
                  <pic:spPr bwMode="auto">
                    <a:xfrm>
                      <a:off x="0" y="0"/>
                      <a:ext cx="6154420" cy="2718352"/>
                    </a:xfrm>
                    <a:prstGeom prst="rect">
                      <a:avLst/>
                    </a:prstGeom>
                    <a:noFill/>
                    <a:ln w="9525">
                      <a:noFill/>
                      <a:miter lim="800000"/>
                      <a:headEnd/>
                      <a:tailEnd/>
                    </a:ln>
                  </pic:spPr>
                </pic:pic>
              </a:graphicData>
            </a:graphic>
          </wp:inline>
        </w:drawing>
      </w:r>
    </w:p>
    <w:p w:rsidR="00AF5C4A" w:rsidRPr="0067470E" w:rsidRDefault="0067470E" w:rsidP="00DA49DB">
      <w:pPr>
        <w:pStyle w:val="avotiemft10"/>
      </w:pPr>
      <w:r w:rsidRPr="0067470E">
        <w:t>Avots: CSP, „VPG020. Hroniska slimība, ilgstošas kaites vai fiziski trūkumi 16 gadus veciem un vecākiem iedzīvotājiem (%)”</w:t>
      </w:r>
    </w:p>
    <w:p w:rsidR="0067470E" w:rsidRDefault="0067470E" w:rsidP="00064C1E"/>
    <w:p w:rsidR="00AF5C4A" w:rsidRDefault="009E4A92" w:rsidP="00064C1E">
      <w:r>
        <w:t>Aplūkojot iedzīvotāju pašnovērtējumu, vai viņiem ir kāda h</w:t>
      </w:r>
      <w:r w:rsidRPr="0063347A">
        <w:t xml:space="preserve">roniska slimība, ilgstošas kaites vai </w:t>
      </w:r>
      <w:r w:rsidRPr="00A6083D">
        <w:t>fiziski trūkumi iedalījumā pēc ienākumu kvintiļu grupām (</w:t>
      </w:r>
      <w:r w:rsidR="00922A20">
        <w:t>sk.</w:t>
      </w:r>
      <w:r w:rsidR="00833CD9">
        <w:t xml:space="preserve"> 2.6</w:t>
      </w:r>
      <w:r w:rsidR="00922A20">
        <w:t>. attēlu</w:t>
      </w:r>
      <w:r w:rsidRPr="00A6083D">
        <w:t>), redzams, ka</w:t>
      </w:r>
      <w:r w:rsidR="00A6083D" w:rsidRPr="00A6083D">
        <w:t xml:space="preserve"> viszemākais</w:t>
      </w:r>
      <w:r w:rsidR="00A6083D">
        <w:t xml:space="preserve"> iedzīvotāju īpatsvars, kuri atzīst, ka viņiem ir šādas saslimšanas, ir 5. kvintiļu grupā (30,0% 2017. gadā), tad iedzīvotāji ar 4. kvintiļu grupas ienākumu līmeni, savukārt 1., 2. un 3. ienākumu kvintiļu grupu atbildes laika gaitā ir mainījušās visvairāk, un līdzīgi kā iepriekš visbiežāk šādu saslimšanu esamību atzīst iedzīvotāji, kuru ienākumi atbilst 2. kvintiļu grupai (60,2% 2017. gadā).</w:t>
      </w:r>
    </w:p>
    <w:bookmarkStart w:id="387" w:name="_Toc6219199"/>
    <w:bookmarkStart w:id="388" w:name="_Toc6220142"/>
    <w:p w:rsidR="00AF5C4A" w:rsidRDefault="00AD3EDD" w:rsidP="00F1684E">
      <w:pPr>
        <w:pStyle w:val="Caption"/>
      </w:pPr>
      <w:r>
        <w:fldChar w:fldCharType="begin"/>
      </w:r>
      <w:r w:rsidR="006B5456">
        <w:instrText xml:space="preserve"> STYLEREF 1 \s </w:instrText>
      </w:r>
      <w:r>
        <w:fldChar w:fldCharType="separate"/>
      </w:r>
      <w:bookmarkStart w:id="389" w:name="_Toc6855794"/>
      <w:r w:rsidR="00224B50">
        <w:rPr>
          <w:noProof/>
        </w:rPr>
        <w:t>2</w:t>
      </w:r>
      <w:r>
        <w:fldChar w:fldCharType="end"/>
      </w:r>
      <w:r w:rsidR="006B5456">
        <w:t>.</w:t>
      </w:r>
      <w:r>
        <w:fldChar w:fldCharType="begin"/>
      </w:r>
      <w:r w:rsidR="000F1524">
        <w:instrText xml:space="preserve"> SEQ Ilustrācija \* ARABIC \s 1 </w:instrText>
      </w:r>
      <w:r>
        <w:fldChar w:fldCharType="separate"/>
      </w:r>
      <w:r w:rsidR="00224B50">
        <w:rPr>
          <w:noProof/>
        </w:rPr>
        <w:t>6</w:t>
      </w:r>
      <w:r>
        <w:rPr>
          <w:noProof/>
        </w:rPr>
        <w:fldChar w:fldCharType="end"/>
      </w:r>
      <w:r w:rsidR="00AF5C4A" w:rsidRPr="00AF5C4A">
        <w:t xml:space="preserve">. attēls. Hroniska </w:t>
      </w:r>
      <w:r w:rsidR="00AF5C4A" w:rsidRPr="00D3739C">
        <w:t>slimība</w:t>
      </w:r>
      <w:r w:rsidR="00AF5C4A" w:rsidRPr="00AF5C4A">
        <w:t xml:space="preserve">, ilgstošas kaites vai fiziski trūkumi 16 gadus veciem un vecākiem iedzīvotājiem (%) </w:t>
      </w:r>
      <w:r w:rsidR="00AF5C4A" w:rsidRPr="00AF5C4A">
        <w:rPr>
          <w:i/>
        </w:rPr>
        <w:t>(</w:t>
      </w:r>
      <w:r w:rsidR="00AF5C4A">
        <w:rPr>
          <w:i/>
        </w:rPr>
        <w:t>Ienākumu kvintiļu grupas</w:t>
      </w:r>
      <w:r w:rsidR="00AF5C4A" w:rsidRPr="00AF5C4A">
        <w:rPr>
          <w:i/>
        </w:rPr>
        <w:t>)</w:t>
      </w:r>
      <w:bookmarkEnd w:id="387"/>
      <w:bookmarkEnd w:id="388"/>
      <w:bookmarkEnd w:id="389"/>
    </w:p>
    <w:p w:rsidR="00AF5C4A" w:rsidRDefault="003E416F" w:rsidP="00064C1E">
      <w:r w:rsidRPr="003E416F">
        <w:rPr>
          <w:noProof/>
        </w:rPr>
        <w:drawing>
          <wp:inline distT="0" distB="0" distL="0" distR="0">
            <wp:extent cx="6154420" cy="3068239"/>
            <wp:effectExtent l="19050" t="0" r="0" b="0"/>
            <wp:docPr id="8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9"/>
                    <a:srcRect/>
                    <a:stretch>
                      <a:fillRect/>
                    </a:stretch>
                  </pic:blipFill>
                  <pic:spPr bwMode="auto">
                    <a:xfrm>
                      <a:off x="0" y="0"/>
                      <a:ext cx="6154420" cy="3068239"/>
                    </a:xfrm>
                    <a:prstGeom prst="rect">
                      <a:avLst/>
                    </a:prstGeom>
                    <a:noFill/>
                    <a:ln w="9525">
                      <a:noFill/>
                      <a:miter lim="800000"/>
                      <a:headEnd/>
                      <a:tailEnd/>
                    </a:ln>
                  </pic:spPr>
                </pic:pic>
              </a:graphicData>
            </a:graphic>
          </wp:inline>
        </w:drawing>
      </w:r>
    </w:p>
    <w:bookmarkStart w:id="390" w:name="_Toc6219200"/>
    <w:bookmarkStart w:id="391" w:name="_Toc6220143"/>
    <w:p w:rsidR="00AF5C4A" w:rsidRPr="00AF5C4A" w:rsidRDefault="00AD3EDD" w:rsidP="00F1684E">
      <w:pPr>
        <w:pStyle w:val="Caption"/>
      </w:pPr>
      <w:r>
        <w:lastRenderedPageBreak/>
        <w:fldChar w:fldCharType="begin"/>
      </w:r>
      <w:r w:rsidR="006B5456">
        <w:instrText xml:space="preserve"> STYLEREF 1 \s </w:instrText>
      </w:r>
      <w:r>
        <w:fldChar w:fldCharType="separate"/>
      </w:r>
      <w:bookmarkStart w:id="392" w:name="_Toc6855795"/>
      <w:r w:rsidR="00224B50">
        <w:rPr>
          <w:noProof/>
        </w:rPr>
        <w:t>2</w:t>
      </w:r>
      <w:r>
        <w:fldChar w:fldCharType="end"/>
      </w:r>
      <w:r w:rsidR="006B5456">
        <w:t>.</w:t>
      </w:r>
      <w:r>
        <w:fldChar w:fldCharType="begin"/>
      </w:r>
      <w:r w:rsidR="000F1524">
        <w:instrText xml:space="preserve"> SEQ Ilustrācija \* ARABIC \s 1 </w:instrText>
      </w:r>
      <w:r>
        <w:fldChar w:fldCharType="separate"/>
      </w:r>
      <w:r w:rsidR="00224B50">
        <w:rPr>
          <w:noProof/>
        </w:rPr>
        <w:t>7</w:t>
      </w:r>
      <w:r>
        <w:rPr>
          <w:noProof/>
        </w:rPr>
        <w:fldChar w:fldCharType="end"/>
      </w:r>
      <w:r w:rsidR="00AF5C4A" w:rsidRPr="00AF5C4A">
        <w:t xml:space="preserve">. attēls. Hroniska slimība, ilgstošas kaites vai fiziski trūkumi 16 gadus veciem un vecākiem iedzīvotājiem (%) </w:t>
      </w:r>
      <w:r w:rsidR="00AF5C4A" w:rsidRPr="00AF5C4A">
        <w:rPr>
          <w:i/>
        </w:rPr>
        <w:t>(</w:t>
      </w:r>
      <w:r w:rsidR="00AF5C4A">
        <w:rPr>
          <w:i/>
        </w:rPr>
        <w:t>Vecums</w:t>
      </w:r>
      <w:r w:rsidR="00AF5C4A" w:rsidRPr="00AF5C4A">
        <w:rPr>
          <w:i/>
        </w:rPr>
        <w:t>)</w:t>
      </w:r>
      <w:bookmarkEnd w:id="390"/>
      <w:bookmarkEnd w:id="391"/>
      <w:bookmarkEnd w:id="392"/>
    </w:p>
    <w:p w:rsidR="00AF5C4A" w:rsidRDefault="003E416F" w:rsidP="00064C1E">
      <w:r w:rsidRPr="003E416F">
        <w:rPr>
          <w:noProof/>
        </w:rPr>
        <w:drawing>
          <wp:inline distT="0" distB="0" distL="0" distR="0">
            <wp:extent cx="6154420" cy="3252409"/>
            <wp:effectExtent l="19050" t="0" r="0" b="0"/>
            <wp:docPr id="8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0"/>
                    <a:srcRect/>
                    <a:stretch>
                      <a:fillRect/>
                    </a:stretch>
                  </pic:blipFill>
                  <pic:spPr bwMode="auto">
                    <a:xfrm>
                      <a:off x="0" y="0"/>
                      <a:ext cx="6154420" cy="3252409"/>
                    </a:xfrm>
                    <a:prstGeom prst="rect">
                      <a:avLst/>
                    </a:prstGeom>
                    <a:noFill/>
                    <a:ln w="9525">
                      <a:noFill/>
                      <a:miter lim="800000"/>
                      <a:headEnd/>
                      <a:tailEnd/>
                    </a:ln>
                  </pic:spPr>
                </pic:pic>
              </a:graphicData>
            </a:graphic>
          </wp:inline>
        </w:drawing>
      </w:r>
    </w:p>
    <w:p w:rsidR="00AF5C4A" w:rsidRPr="0067470E" w:rsidRDefault="0067470E" w:rsidP="00C33A64">
      <w:pPr>
        <w:pStyle w:val="avotiemft10"/>
      </w:pPr>
      <w:bookmarkStart w:id="393" w:name="_Toc6841572"/>
      <w:r w:rsidRPr="0067470E">
        <w:t>Avots: CSP, „VPG050. Hroniska slimība, ilgstošas kaites vai fiziski trūkumi pēc dzimuma un vecuma grupām (%)”</w:t>
      </w:r>
      <w:bookmarkEnd w:id="393"/>
    </w:p>
    <w:p w:rsidR="0067470E" w:rsidRDefault="0067470E" w:rsidP="00064C1E"/>
    <w:p w:rsidR="00AF5C4A" w:rsidRDefault="006725E8" w:rsidP="00064C1E">
      <w:r>
        <w:t>Aplūkojot iedzīvotāju pašnovērtējumu, vai viņiem ir kāda h</w:t>
      </w:r>
      <w:r w:rsidRPr="0063347A">
        <w:t xml:space="preserve">roniska slimība, ilgstošas kaites vai </w:t>
      </w:r>
      <w:r w:rsidRPr="00A6083D">
        <w:t>fiziski trūkumi iedalījumā pēc vecuma grupām (</w:t>
      </w:r>
      <w:r w:rsidR="00922A20">
        <w:t>sk.</w:t>
      </w:r>
      <w:r w:rsidR="00833CD9">
        <w:t xml:space="preserve"> 2.7</w:t>
      </w:r>
      <w:r w:rsidR="00922A20">
        <w:t>. attēlu</w:t>
      </w:r>
      <w:r w:rsidRPr="00A6083D">
        <w:t>), redzams, ka</w:t>
      </w:r>
      <w:r w:rsidR="00A6083D" w:rsidRPr="00A6083D">
        <w:t xml:space="preserve"> kopumā hronisku slimību,</w:t>
      </w:r>
      <w:r w:rsidR="00A6083D">
        <w:t xml:space="preserve"> ilgstošu kaišu vai fizisku trūkumu esamības atzīšana ir nozīmīgi saistīta ar iedzīvotāju vecumu – </w:t>
      </w:r>
      <w:r w:rsidR="00DF4932">
        <w:t>līdzīgs</w:t>
      </w:r>
      <w:r w:rsidR="00A6083D">
        <w:t xml:space="preserve"> atbilžu īpatsvars ir </w:t>
      </w:r>
      <w:r w:rsidR="00DF4932">
        <w:t xml:space="preserve">saglabājies </w:t>
      </w:r>
      <w:r w:rsidR="00A6083D">
        <w:t xml:space="preserve">16-24 gadus un 25-34 gadus veciem iedzīvotājiem, </w:t>
      </w:r>
      <w:r w:rsidR="00DF4932">
        <w:t>un tas</w:t>
      </w:r>
      <w:r w:rsidR="00A6083D">
        <w:t xml:space="preserve"> laika gaitā ir palicis praktiski nemainīgs. Citās vecuma grupās iedzīvotāju īpatsvars, kas atzinuši kādas hroniskas slimības, ilgstošas kaites vai fizisku trūkumu esamību, pieaug gan līdz ar vecuma pieaugumu, gan arī aplūkojot datus dinamikā kopš 2009. gada. Iedzīvotāju 45-54 gadu vecum</w:t>
      </w:r>
      <w:r w:rsidR="00681F27">
        <w:t>a</w:t>
      </w:r>
      <w:r w:rsidR="00A6083D">
        <w:t xml:space="preserve"> grupā rādītāja īpatsvars ir pieaudzis par 8,3 procentpunktiem, un 2017. gadā tas ir 40,7%, iedzīvotāju 55-64 gadu vecumā šis rādītājs ir pieaudzis par 4,7 procentpunktiem, un 2017. gadā tas ir 56,1%. Savukārt iedzīvotāju 65 un vairāk gadu vecum</w:t>
      </w:r>
      <w:r w:rsidR="00681F27">
        <w:t>a</w:t>
      </w:r>
      <w:r w:rsidR="00A6083D">
        <w:t xml:space="preserve"> grupā šis rādītājs ir pieaudzis par 11,4 procentpunktiem, un 2017. gadā ir 79,5%.</w:t>
      </w:r>
    </w:p>
    <w:p w:rsidR="00EE61F1" w:rsidRDefault="00EE61F1" w:rsidP="00064C1E"/>
    <w:p w:rsidR="00C24770" w:rsidRDefault="00C76236" w:rsidP="00C24770">
      <w:r>
        <w:t xml:space="preserve">Būtisks nevienlīdzību veselības aprūpē raksturojošs rādītājs ir </w:t>
      </w:r>
      <w:r w:rsidR="00E93805">
        <w:t xml:space="preserve">situācijas, kad </w:t>
      </w:r>
      <w:r>
        <w:t>persona nespēj saņemt pakalpojumus</w:t>
      </w:r>
      <w:r w:rsidR="00E93805">
        <w:t xml:space="preserve"> </w:t>
      </w:r>
      <w:r w:rsidR="000471A3">
        <w:t xml:space="preserve">viņai nepieciešamā </w:t>
      </w:r>
      <w:r w:rsidR="00015EF7">
        <w:t xml:space="preserve">saprātīgā </w:t>
      </w:r>
      <w:r w:rsidR="00E93805">
        <w:t>laika posmā</w:t>
      </w:r>
      <w:r>
        <w:t xml:space="preserve">, </w:t>
      </w:r>
      <w:r w:rsidR="00015EF7">
        <w:t xml:space="preserve">t.i., kamēr problēma/ situācija ir akūta/ sasniedzams labākais saslimšanas ārstēšanas rezultāts un sagaidāms vismazāk komplikāciju, </w:t>
      </w:r>
      <w:r w:rsidR="00E93805">
        <w:t>it īpaši saistībā ar divām nozīmīgām</w:t>
      </w:r>
      <w:r>
        <w:t xml:space="preserve"> iemesl</w:t>
      </w:r>
      <w:r w:rsidR="00E93805">
        <w:t>u grupām</w:t>
      </w:r>
      <w:r>
        <w:t xml:space="preserve"> – </w:t>
      </w:r>
      <w:r w:rsidR="00DF4932">
        <w:t xml:space="preserve">pirmkārt, </w:t>
      </w:r>
      <w:r>
        <w:t>tāpēc, ka tie nav viņ</w:t>
      </w:r>
      <w:r w:rsidR="00015EF7">
        <w:t>ai</w:t>
      </w:r>
      <w:r>
        <w:t xml:space="preserve"> finansiāli pieejami</w:t>
      </w:r>
      <w:r w:rsidR="00DF4932">
        <w:t>,</w:t>
      </w:r>
      <w:r>
        <w:t xml:space="preserve"> vai</w:t>
      </w:r>
      <w:r w:rsidR="00DF4932">
        <w:t>, otrkārt, tāpēc, ka</w:t>
      </w:r>
      <w:r>
        <w:t xml:space="preserve"> nepieciešams gaidīt rindā</w:t>
      </w:r>
      <w:r w:rsidR="00DF4932">
        <w:t>.</w:t>
      </w:r>
      <w:r w:rsidR="00753328">
        <w:t xml:space="preserve"> </w:t>
      </w:r>
      <w:r w:rsidR="00DF4932">
        <w:t>N</w:t>
      </w:r>
      <w:r w:rsidR="00753328">
        <w:t xml:space="preserve">evienlīdzības kontekstā ir svarīgs </w:t>
      </w:r>
      <w:r w:rsidR="00DF4932">
        <w:t xml:space="preserve">arī </w:t>
      </w:r>
      <w:r w:rsidR="00753328">
        <w:t xml:space="preserve">šo iemeslu minēšanas biežums dažādās iedzīvotāju ienākumu </w:t>
      </w:r>
      <w:r w:rsidR="00D12B8E">
        <w:t xml:space="preserve">(kvintiļu) </w:t>
      </w:r>
      <w:r w:rsidR="00753328">
        <w:t>grupās</w:t>
      </w:r>
      <w:r>
        <w:t xml:space="preserve">. </w:t>
      </w:r>
      <w:r w:rsidR="00C24770">
        <w:t xml:space="preserve">Šis svarīgums izriet no ANO </w:t>
      </w:r>
      <w:r w:rsidR="00C24770" w:rsidRPr="00C24770">
        <w:t xml:space="preserve">Komitejas atzinuma, ka attiecībā uz veselības aprūpes pakalpojumu ekonomisko vai finansiālo pieejamību, maksājumiem par tiem ir jābūt samērīgiem – tādiem, ko var atļauties jebkurš, ieskaitot trūcīgos iedzīvotājus, neatkarīgi no tā, vai veselības aprūpes pakalpojumi tiek nodrošināti caur </w:t>
      </w:r>
      <w:r w:rsidR="00C24770" w:rsidRPr="00C24770">
        <w:lastRenderedPageBreak/>
        <w:t>publisko vai privāto sektoru</w:t>
      </w:r>
      <w:r w:rsidR="00C24770" w:rsidRPr="00C24770">
        <w:rPr>
          <w:rStyle w:val="FootnoteReference"/>
        </w:rPr>
        <w:footnoteReference w:id="135"/>
      </w:r>
      <w:r w:rsidR="00C24770" w:rsidRPr="00C24770">
        <w:t>.</w:t>
      </w:r>
      <w:r w:rsidR="00C24770">
        <w:t xml:space="preserve"> </w:t>
      </w:r>
      <w:r w:rsidR="004C28B5">
        <w:t xml:space="preserve">Tādējādi, jo biežāk valsts iedzīvotāji nevar piekļūt veselības aprūpes pakalpojumiem finanšu ierobežojumu dēļ, turklāt šīs grūtības ir izteiktākas iedzīvotājiem ar zemiem </w:t>
      </w:r>
      <w:r w:rsidR="004C28B5" w:rsidRPr="004C28B5">
        <w:t xml:space="preserve">ienākumiem, </w:t>
      </w:r>
      <w:r w:rsidR="00C24770" w:rsidRPr="004C28B5">
        <w:t xml:space="preserve">jo </w:t>
      </w:r>
      <w:r w:rsidR="004C28B5" w:rsidRPr="004C28B5">
        <w:t>vairāk uzmanības politikas veidotājiem ir jāpievērš tam, lai šos šķēršļus mazinātu.</w:t>
      </w:r>
    </w:p>
    <w:p w:rsidR="00C24770" w:rsidRDefault="00C24770" w:rsidP="00064C1E"/>
    <w:p w:rsidR="005408FC" w:rsidRPr="007F512F" w:rsidRDefault="00C76236" w:rsidP="005408FC">
      <w:r>
        <w:t xml:space="preserve">Tāpēc šī pārskata turpinājumā </w:t>
      </w:r>
      <w:r w:rsidR="00753328">
        <w:t>ir</w:t>
      </w:r>
      <w:r w:rsidR="0007337F" w:rsidRPr="00966D80">
        <w:t xml:space="preserve"> apskatīti </w:t>
      </w:r>
      <w:r>
        <w:t xml:space="preserve">EU-SILC </w:t>
      </w:r>
      <w:r w:rsidR="0007337F" w:rsidRPr="00966D80">
        <w:t>dati par</w:t>
      </w:r>
      <w:r w:rsidR="000471A3">
        <w:t xml:space="preserve"> kopējiem</w:t>
      </w:r>
      <w:r w:rsidR="0007337F" w:rsidRPr="00966D80">
        <w:t xml:space="preserve"> iemesliem, kāpēc personas nav veikušas medicīnisko pārbaudi vai ārstēšanos</w:t>
      </w:r>
      <w:r>
        <w:t xml:space="preserve"> (</w:t>
      </w:r>
      <w:r w:rsidR="00922A20">
        <w:t>sk.</w:t>
      </w:r>
      <w:r w:rsidR="00833CD9">
        <w:t xml:space="preserve"> 2.8</w:t>
      </w:r>
      <w:r w:rsidR="00922A20">
        <w:t>. attēlu</w:t>
      </w:r>
      <w:r>
        <w:t>)</w:t>
      </w:r>
      <w:r w:rsidR="00D12B8E">
        <w:t xml:space="preserve"> un finanšu grūtību minēšanas biežumu kvintiļu grupās (2.9. attēls)</w:t>
      </w:r>
      <w:r w:rsidR="0007337F" w:rsidRPr="00966D80">
        <w:t>. Apskatot datus</w:t>
      </w:r>
      <w:r w:rsidR="0007337F">
        <w:t>,</w:t>
      </w:r>
      <w:r w:rsidR="0007337F" w:rsidRPr="00966D80">
        <w:t xml:space="preserve"> jāņem vērā piezīme par laika rindas pārrāvumu 2015</w:t>
      </w:r>
      <w:r w:rsidR="0007337F">
        <w:t>. gadā</w:t>
      </w:r>
      <w:r w:rsidR="0007337F" w:rsidRPr="00966D80">
        <w:t xml:space="preserve"> saistībā ar izmaiņām </w:t>
      </w:r>
      <w:r w:rsidR="00D12B8E">
        <w:t xml:space="preserve">EU-SILC </w:t>
      </w:r>
      <w:r w:rsidR="0007337F" w:rsidRPr="00966D80">
        <w:t xml:space="preserve">metodoloģijā, līdz ar to </w:t>
      </w:r>
      <w:r w:rsidR="00753328">
        <w:t xml:space="preserve">datus par </w:t>
      </w:r>
      <w:r w:rsidR="0007337F" w:rsidRPr="00966D80">
        <w:t>visu periodu no 2009. līdz 2017</w:t>
      </w:r>
      <w:r w:rsidR="0007337F">
        <w:t>. gada</w:t>
      </w:r>
      <w:r w:rsidR="0007337F" w:rsidRPr="00966D80">
        <w:t>m nevar skatīt vienoti.</w:t>
      </w:r>
      <w:r w:rsidR="00D12B8E">
        <w:t xml:space="preserve"> Tāpat jāņem vērā, ka iemeslu definējums šajā izvērtējumā atbilst EU-SILC lietojumam. Tādējādi viens no būtiskākajiem nevienlīdzības rādītājiem – finanšu ierobežojumi saņemt veselības aprūpes pakalpojumus – tiek aplūkots kā vienots šķērsļu kopums, un </w:t>
      </w:r>
      <w:r w:rsidR="00D12B8E" w:rsidRPr="00D12B8E">
        <w:t xml:space="preserve">pielietotais instrumentārijs neparedz dalīt finanšu slogu pēc tā rakstura (proti, vai slogu rada pacienta līdzmaksājums </w:t>
      </w:r>
      <w:r w:rsidR="005A7912">
        <w:t xml:space="preserve">(pacienta iemaksa – </w:t>
      </w:r>
      <w:r w:rsidR="005A7912" w:rsidRPr="005A7912">
        <w:t xml:space="preserve">1,42 </w:t>
      </w:r>
      <w:r w:rsidR="005A7912">
        <w:t xml:space="preserve">EUR </w:t>
      </w:r>
      <w:r w:rsidR="005A7912" w:rsidRPr="005A7912">
        <w:t>par ģimenes ārsta apmeklējumu vai 4</w:t>
      </w:r>
      <w:r w:rsidR="005A7912">
        <w:t>,</w:t>
      </w:r>
      <w:r w:rsidR="005A7912" w:rsidRPr="005A7912">
        <w:t xml:space="preserve">27 </w:t>
      </w:r>
      <w:r w:rsidR="005A7912">
        <w:t>EUR</w:t>
      </w:r>
      <w:r w:rsidR="005A7912" w:rsidRPr="005A7912">
        <w:t xml:space="preserve"> par speciālista ambulatoru apmeklējumu</w:t>
      </w:r>
      <w:r w:rsidR="005A7912">
        <w:t xml:space="preserve">) </w:t>
      </w:r>
      <w:r w:rsidR="00D12B8E" w:rsidRPr="00D12B8E">
        <w:t xml:space="preserve">vai </w:t>
      </w:r>
      <w:r w:rsidR="00015EF7">
        <w:t xml:space="preserve">viss </w:t>
      </w:r>
      <w:r w:rsidR="00D12B8E" w:rsidRPr="00D12B8E">
        <w:t>tiešmaksājumu kopums</w:t>
      </w:r>
      <w:r w:rsidR="005A7912">
        <w:t>, kas var ietvert maksas ārsta apmeklējumu, tā nozīmēto analīžu vai pārbaužu veikšanu un zāļu iegādi</w:t>
      </w:r>
      <w:r w:rsidR="00D12B8E" w:rsidRPr="00D12B8E">
        <w:t xml:space="preserve">). Fakts, ka iedzīvotājiem pakalpojums nav pieejams finanšu sloga dēļ vai pakalpojuma saņemšana ir novēlota tāpēc, ka personai nepieciešamā (saprātīgā) laika posmā nav pieejami pakalpojumi par valsts budžeta līdzekļiem, ir būtisks situāciju </w:t>
      </w:r>
      <w:r w:rsidR="0009657F">
        <w:t xml:space="preserve">veselības aprūpes jomā </w:t>
      </w:r>
      <w:r w:rsidR="00D12B8E" w:rsidRPr="00D12B8E">
        <w:t>raksturojošs indikators.</w:t>
      </w:r>
      <w:r w:rsidR="005408FC">
        <w:t xml:space="preserve"> Tomēr, analizējot šos datus, jāņem vērā</w:t>
      </w:r>
      <w:r w:rsidR="005408FC" w:rsidRPr="005408FC">
        <w:t xml:space="preserve">, ka personas izvēle neapmeklēt ārstu finanšu ierobežojumu dēļ ir tikai viens problēmas aspekts. Šo rādītāju analīze neiekļauj otru aspektu, kuru akcentēja Izvērtējumā intervētie eksperti, proti, persona var doties pie ārsta, kad ir izjutis šādu vajadzību, taču viņam ir jāgaida rindā, lai saņemtu turpmāko diagnostiku vai konsultāciju pie ārsta speciālista. </w:t>
      </w:r>
      <w:r w:rsidR="005A7912">
        <w:t xml:space="preserve">Rindas pie ārsta speciālista var veidoties ne tikai gadījumos uz valsts apmaksātiem pakalpojumiem, bet arī uz maksas pakalpojumiem atbilstošā profila ārstu trūkuma dēļ valstī kopumā. </w:t>
      </w:r>
      <w:r w:rsidR="005408FC">
        <w:t>Rindu jautājuma risināšana pēc sekundārajiem ambulatorajiem pasākumiem sīkāk ir analizēta šī ziņojuma 2.2.2. nodaļā, kurā aplūkota pēdējo gadu laikā VM īstenotā politika veselības aprūpes pieejamības problēmu risināšanā.</w:t>
      </w:r>
    </w:p>
    <w:p w:rsidR="005408FC" w:rsidRDefault="005408FC" w:rsidP="005408FC"/>
    <w:p w:rsidR="005408FC" w:rsidRPr="00966D80" w:rsidRDefault="005408FC" w:rsidP="005408FC">
      <w:r>
        <w:t>L</w:t>
      </w:r>
      <w:r w:rsidRPr="00E56E97">
        <w:t>aika posmā no</w:t>
      </w:r>
      <w:r w:rsidRPr="00966D80">
        <w:t xml:space="preserve"> 2009. līdz 2010</w:t>
      </w:r>
      <w:r>
        <w:t>. gada</w:t>
      </w:r>
      <w:r w:rsidRPr="00966D80">
        <w:t>m</w:t>
      </w:r>
      <w:r>
        <w:t xml:space="preserve"> (ekonomiskās recesijas laikā)</w:t>
      </w:r>
      <w:r w:rsidRPr="00966D80">
        <w:t xml:space="preserve"> </w:t>
      </w:r>
      <w:r>
        <w:t>personu īpatsvars</w:t>
      </w:r>
      <w:r w:rsidRPr="00966D80">
        <w:t>, kam b</w:t>
      </w:r>
      <w:r>
        <w:t xml:space="preserve">ijis vismaz viens gadījums, kad </w:t>
      </w:r>
      <w:r w:rsidRPr="00966D80">
        <w:t xml:space="preserve">ārsts vai medicīnas speciālists </w:t>
      </w:r>
      <w:r>
        <w:t xml:space="preserve">(izņemot zobārstu) </w:t>
      </w:r>
      <w:r w:rsidRPr="00966D80">
        <w:t>netika apmeklēts</w:t>
      </w:r>
      <w:r>
        <w:t>, lai gan bijis nepieciešams, pieaudzis par 6 procentpunktiem</w:t>
      </w:r>
      <w:r w:rsidRPr="00966D80">
        <w:t xml:space="preserve">. </w:t>
      </w:r>
      <w:r>
        <w:t>Savukārt p</w:t>
      </w:r>
      <w:r w:rsidRPr="00966D80">
        <w:t>ēc 201</w:t>
      </w:r>
      <w:r>
        <w:t>0. gada</w:t>
      </w:r>
      <w:r w:rsidRPr="00966D80">
        <w:t xml:space="preserve"> redzama šī rādītāja stabilizēšanās, </w:t>
      </w:r>
      <w:r>
        <w:t xml:space="preserve">un tikai </w:t>
      </w:r>
      <w:r w:rsidRPr="00966D80">
        <w:t>pēc 2014</w:t>
      </w:r>
      <w:r>
        <w:t>. gada</w:t>
      </w:r>
      <w:r w:rsidRPr="00966D80">
        <w:t xml:space="preserve"> </w:t>
      </w:r>
      <w:r>
        <w:t>– situācijas uzlabošanās, par ko liecina</w:t>
      </w:r>
      <w:r w:rsidRPr="00966D80">
        <w:t xml:space="preserve"> rādītāj</w:t>
      </w:r>
      <w:r>
        <w:t>a krišanās</w:t>
      </w:r>
      <w:r w:rsidRPr="00966D80">
        <w:t xml:space="preserve"> par 7</w:t>
      </w:r>
      <w:r>
        <w:t xml:space="preserve"> procentpunktiem</w:t>
      </w:r>
      <w:r w:rsidRPr="00966D80">
        <w:t>, sasniedzot 12%</w:t>
      </w:r>
      <w:r>
        <w:t>.</w:t>
      </w:r>
      <w:r w:rsidRPr="00966D80">
        <w:t xml:space="preserve"> 2017</w:t>
      </w:r>
      <w:r>
        <w:t>. gadā</w:t>
      </w:r>
      <w:r w:rsidRPr="00966D80">
        <w:t xml:space="preserve"> 10%</w:t>
      </w:r>
      <w:r>
        <w:t xml:space="preserve"> iedzīvotāju vismaz vienu reizi nevērsās pie ārsta vai medicīnas speciālista (izņemot zobārstu), lai gan tas bija nepieciešams</w:t>
      </w:r>
      <w:r w:rsidRPr="00E56E97">
        <w:t xml:space="preserve"> (</w:t>
      </w:r>
      <w:r>
        <w:t>sk.2.8. attēlu</w:t>
      </w:r>
      <w:r w:rsidRPr="00E56E97">
        <w:t>)</w:t>
      </w:r>
      <w:r w:rsidRPr="00966D80">
        <w:t>.</w:t>
      </w:r>
      <w:r>
        <w:t xml:space="preserve"> Iespējams, ka rezultātu samazināšanās skaidrojama ar izmaiņām mērījuma veikšanas metodoloģijā.</w:t>
      </w:r>
    </w:p>
    <w:p w:rsidR="005408FC" w:rsidRDefault="005408FC" w:rsidP="005408FC"/>
    <w:p w:rsidR="005408FC" w:rsidRDefault="005408FC" w:rsidP="005408FC">
      <w:pPr>
        <w:rPr>
          <w:b/>
        </w:rPr>
      </w:pPr>
    </w:p>
    <w:p w:rsidR="0007337F" w:rsidRPr="00966D80" w:rsidRDefault="0007337F" w:rsidP="00064C1E"/>
    <w:bookmarkStart w:id="394" w:name="_Toc6219201"/>
    <w:bookmarkStart w:id="395" w:name="_Toc6220144"/>
    <w:p w:rsidR="0007337F" w:rsidRPr="00C76236" w:rsidRDefault="00AD3EDD" w:rsidP="00F1684E">
      <w:pPr>
        <w:pStyle w:val="Caption"/>
      </w:pPr>
      <w:r>
        <w:lastRenderedPageBreak/>
        <w:fldChar w:fldCharType="begin"/>
      </w:r>
      <w:r w:rsidR="006B5456">
        <w:instrText xml:space="preserve"> STYLEREF 1 \s </w:instrText>
      </w:r>
      <w:r>
        <w:fldChar w:fldCharType="separate"/>
      </w:r>
      <w:bookmarkStart w:id="396" w:name="_Toc6855796"/>
      <w:r w:rsidR="00224B50">
        <w:rPr>
          <w:noProof/>
        </w:rPr>
        <w:t>2</w:t>
      </w:r>
      <w:r>
        <w:fldChar w:fldCharType="end"/>
      </w:r>
      <w:r w:rsidR="006B5456">
        <w:t>.</w:t>
      </w:r>
      <w:r>
        <w:fldChar w:fldCharType="begin"/>
      </w:r>
      <w:r w:rsidR="000F1524">
        <w:instrText xml:space="preserve"> SEQ Ilustrācija \* ARABIC \s 1 </w:instrText>
      </w:r>
      <w:r>
        <w:fldChar w:fldCharType="separate"/>
      </w:r>
      <w:r w:rsidR="00224B50">
        <w:rPr>
          <w:noProof/>
        </w:rPr>
        <w:t>8</w:t>
      </w:r>
      <w:r>
        <w:rPr>
          <w:noProof/>
        </w:rPr>
        <w:fldChar w:fldCharType="end"/>
      </w:r>
      <w:r w:rsidR="00C76236">
        <w:t>. a</w:t>
      </w:r>
      <w:r w:rsidR="00C76236" w:rsidRPr="00C76236">
        <w:t xml:space="preserve">ttēls. </w:t>
      </w:r>
      <w:r w:rsidR="0007337F" w:rsidRPr="00C76236">
        <w:t xml:space="preserve">Pārbaužu veikšana vai ārstēšanās pie medicīnas speciālista (izņemot zobārstu) un apstākļi, kas traucējuši veikt pārbaudes vai ārstēšanos 16 gadus veciem un vecākiem (%): bija vismaz viens gadījums, kad neveica </w:t>
      </w:r>
      <w:r w:rsidR="0007337F" w:rsidRPr="00D3739C">
        <w:t>nepieciešamo</w:t>
      </w:r>
      <w:r w:rsidR="0007337F" w:rsidRPr="00C76236">
        <w:t xml:space="preserve"> pārbaudi vai ārstēšanos. Visas personas vecumā no 16 gadiem</w:t>
      </w:r>
      <w:bookmarkEnd w:id="394"/>
      <w:bookmarkEnd w:id="395"/>
      <w:bookmarkEnd w:id="396"/>
    </w:p>
    <w:p w:rsidR="0007337F" w:rsidRDefault="00842D28" w:rsidP="00064C1E">
      <w:pPr>
        <w:jc w:val="center"/>
      </w:pPr>
      <w:r w:rsidRPr="00842D28">
        <w:rPr>
          <w:noProof/>
        </w:rPr>
        <w:drawing>
          <wp:inline distT="0" distB="0" distL="0" distR="0">
            <wp:extent cx="6154420" cy="2741600"/>
            <wp:effectExtent l="19050" t="0" r="0" b="0"/>
            <wp:docPr id="10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1"/>
                    <a:srcRect/>
                    <a:stretch>
                      <a:fillRect/>
                    </a:stretch>
                  </pic:blipFill>
                  <pic:spPr bwMode="auto">
                    <a:xfrm>
                      <a:off x="0" y="0"/>
                      <a:ext cx="6154420" cy="2741600"/>
                    </a:xfrm>
                    <a:prstGeom prst="rect">
                      <a:avLst/>
                    </a:prstGeom>
                    <a:noFill/>
                    <a:ln w="9525">
                      <a:noFill/>
                      <a:miter lim="800000"/>
                      <a:headEnd/>
                      <a:tailEnd/>
                    </a:ln>
                  </pic:spPr>
                </pic:pic>
              </a:graphicData>
            </a:graphic>
          </wp:inline>
        </w:drawing>
      </w:r>
    </w:p>
    <w:p w:rsidR="0007337F" w:rsidRPr="0067470E" w:rsidRDefault="0067470E" w:rsidP="005A62EE">
      <w:pPr>
        <w:spacing w:line="240" w:lineRule="auto"/>
        <w:rPr>
          <w:sz w:val="20"/>
          <w:szCs w:val="20"/>
        </w:rPr>
      </w:pPr>
      <w:r w:rsidRPr="0067470E">
        <w:rPr>
          <w:sz w:val="20"/>
          <w:szCs w:val="20"/>
        </w:rPr>
        <w:t>Avots: CSP, “VPG071. Pārbaužu veikšana vai ārstēšanās pie medicīnas speciālista (izņemot zobārstu) un apstākļi, kas traucējuši veikt pārbaudes vai ārstēšanos 16 gadus veciem un vecākiem iedzīvotājiem (%)”</w:t>
      </w:r>
    </w:p>
    <w:p w:rsidR="0067470E" w:rsidRDefault="0067470E" w:rsidP="00064C1E"/>
    <w:p w:rsidR="005408FC" w:rsidRDefault="005408FC" w:rsidP="005408FC">
      <w:r>
        <w:t xml:space="preserve">Aplūkojot iedzīvotāju īpatsvaru, kas nepieciešamības gadījumā vismaz reizi nav apmeklējuši ārstu </w:t>
      </w:r>
      <w:r w:rsidRPr="00264478">
        <w:t>kvintiļu griezumā (</w:t>
      </w:r>
      <w:r>
        <w:t>sk. 2.9. attēlu</w:t>
      </w:r>
      <w:r w:rsidRPr="00264478">
        <w:t>)</w:t>
      </w:r>
      <w:r>
        <w:t>,</w:t>
      </w:r>
      <w:r w:rsidRPr="00264478">
        <w:t xml:space="preserve"> redzama </w:t>
      </w:r>
      <w:r>
        <w:t>izteikta tendence. Jo trūcīgāka persona (zemākās ienākumu kvintiļu grupas), jo biežāk sastopama situācija, ka gada laikā</w:t>
      </w:r>
      <w:r w:rsidRPr="00966D80">
        <w:t xml:space="preserve"> netika veikta nepieciešamā medicīniskā pārbaude vai ārstēšanās. </w:t>
      </w:r>
      <w:r>
        <w:t>Kopējā laika griezumā šādas situācijas rašanās biežums samazinās līdzīgi kā vidējais rādītājs (sk. 2.8. attēlu). 2017. gadā 17% iedzīvotāji, kuru ienākumi atbilst 1. kvintiļu grupai, kaut vienu reizi gada laikā nav apmeklējuši ārstu tad, kad bijis nepieciešams, 2. kvintiļu grupā tie bija 14%, 3. kvintiļu grupā – 9%, 4. kvintiļu grupā – 7% un 5. kvintiļu grupā – 6% (2.9. attēls).</w:t>
      </w:r>
    </w:p>
    <w:p w:rsidR="005408FC" w:rsidRDefault="005408FC" w:rsidP="00064C1E"/>
    <w:bookmarkStart w:id="397" w:name="_Toc6219202"/>
    <w:bookmarkStart w:id="398" w:name="_Toc6220145"/>
    <w:p w:rsidR="0007337F" w:rsidRPr="00966D80" w:rsidRDefault="00AD3EDD" w:rsidP="00F1684E">
      <w:pPr>
        <w:pStyle w:val="Caption"/>
      </w:pPr>
      <w:r>
        <w:lastRenderedPageBreak/>
        <w:fldChar w:fldCharType="begin"/>
      </w:r>
      <w:r w:rsidR="006B5456">
        <w:instrText xml:space="preserve"> STYLEREF 1 \s </w:instrText>
      </w:r>
      <w:r>
        <w:fldChar w:fldCharType="separate"/>
      </w:r>
      <w:bookmarkStart w:id="399" w:name="_Toc6855797"/>
      <w:r w:rsidR="00224B50">
        <w:rPr>
          <w:noProof/>
        </w:rPr>
        <w:t>2</w:t>
      </w:r>
      <w:r>
        <w:fldChar w:fldCharType="end"/>
      </w:r>
      <w:r w:rsidR="006B5456">
        <w:t>.</w:t>
      </w:r>
      <w:r>
        <w:fldChar w:fldCharType="begin"/>
      </w:r>
      <w:r w:rsidR="000F1524">
        <w:instrText xml:space="preserve"> SEQ Ilustrācija \* ARABIC \s 1 </w:instrText>
      </w:r>
      <w:r>
        <w:fldChar w:fldCharType="separate"/>
      </w:r>
      <w:r w:rsidR="00224B50">
        <w:rPr>
          <w:noProof/>
        </w:rPr>
        <w:t>9</w:t>
      </w:r>
      <w:r>
        <w:rPr>
          <w:noProof/>
        </w:rPr>
        <w:fldChar w:fldCharType="end"/>
      </w:r>
      <w:r w:rsidR="00E56E97">
        <w:t xml:space="preserve">. attēls. </w:t>
      </w:r>
      <w:r w:rsidR="0007337F" w:rsidRPr="00966D80">
        <w:t xml:space="preserve">Pārbaužu veikšana vai ārstēšanās pie medicīnas speciālista (izņemot zobārstu) un apstākļi, kas traucējuši veikt pārbaudes vai ārstēšanos </w:t>
      </w:r>
      <w:r w:rsidR="0007337F">
        <w:t>16 gadus veciem un vecākiem (%):</w:t>
      </w:r>
      <w:r w:rsidR="0007337F" w:rsidRPr="00966D80">
        <w:t xml:space="preserve"> </w:t>
      </w:r>
      <w:r w:rsidR="0007337F">
        <w:t>b</w:t>
      </w:r>
      <w:r w:rsidR="0007337F" w:rsidRPr="00966D80">
        <w:t xml:space="preserve">ija vismaz viens gadījums, kad neveica </w:t>
      </w:r>
      <w:r w:rsidR="0007337F" w:rsidRPr="00D3739C">
        <w:t>nepieciešamo</w:t>
      </w:r>
      <w:r w:rsidR="0007337F" w:rsidRPr="00966D80">
        <w:t xml:space="preserve"> pārbaudi vai ārstēšanos</w:t>
      </w:r>
      <w:r w:rsidR="0007337F">
        <w:t> kvint</w:t>
      </w:r>
      <w:r w:rsidR="0007337F" w:rsidRPr="00966D80">
        <w:t>iļu grupu griezumā</w:t>
      </w:r>
      <w:bookmarkEnd w:id="397"/>
      <w:bookmarkEnd w:id="398"/>
      <w:bookmarkEnd w:id="399"/>
    </w:p>
    <w:p w:rsidR="0007337F" w:rsidRPr="00966D80" w:rsidRDefault="003E416F" w:rsidP="00064C1E">
      <w:pPr>
        <w:jc w:val="center"/>
      </w:pPr>
      <w:r w:rsidRPr="003E416F">
        <w:rPr>
          <w:noProof/>
        </w:rPr>
        <w:drawing>
          <wp:inline distT="0" distB="0" distL="0" distR="0">
            <wp:extent cx="6154420" cy="3298274"/>
            <wp:effectExtent l="19050" t="0" r="0" b="0"/>
            <wp:docPr id="9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2"/>
                    <a:srcRect/>
                    <a:stretch>
                      <a:fillRect/>
                    </a:stretch>
                  </pic:blipFill>
                  <pic:spPr bwMode="auto">
                    <a:xfrm>
                      <a:off x="0" y="0"/>
                      <a:ext cx="6154420" cy="3298274"/>
                    </a:xfrm>
                    <a:prstGeom prst="rect">
                      <a:avLst/>
                    </a:prstGeom>
                    <a:noFill/>
                    <a:ln w="9525">
                      <a:noFill/>
                      <a:miter lim="800000"/>
                      <a:headEnd/>
                      <a:tailEnd/>
                    </a:ln>
                  </pic:spPr>
                </pic:pic>
              </a:graphicData>
            </a:graphic>
          </wp:inline>
        </w:drawing>
      </w:r>
    </w:p>
    <w:p w:rsidR="0007337F" w:rsidRPr="0067470E" w:rsidRDefault="0067470E" w:rsidP="00DA49DB">
      <w:pPr>
        <w:pStyle w:val="avotiemft10"/>
      </w:pPr>
      <w:r w:rsidRPr="0067470E">
        <w:t>Avots: CSP, “VPG071. Pārbaužu veikšana vai ārstēšanās pie medicīnas speciālista (izņemot zobārstu) un apstākļi, kas traucējuši veikt pārbaudes vai ārstēšanos 16 gadus veciem un vecākiem iedzīvotājiem (%)”</w:t>
      </w:r>
    </w:p>
    <w:p w:rsidR="0067470E" w:rsidRPr="00966D80" w:rsidRDefault="0067470E" w:rsidP="00064C1E"/>
    <w:p w:rsidR="001057EB" w:rsidRPr="001057EB" w:rsidRDefault="001057EB" w:rsidP="00064C1E">
      <w:r w:rsidRPr="001057EB">
        <w:t>L</w:t>
      </w:r>
      <w:r w:rsidR="0007337F" w:rsidRPr="001057EB">
        <w:t>auku un pilsētu griezumā jānorāda, ka</w:t>
      </w:r>
      <w:r w:rsidRPr="001057EB">
        <w:t xml:space="preserve"> 2016. un 2017. gadā nozīmīgu atšķirību rādītājā, ka persona gada griezumā ir piedzīvojusi vismaz vienu situāciju, kad nav vērsusies pie ārsta, lai gan bijusi tāda vajadzība, nav novēroti.</w:t>
      </w:r>
      <w:r w:rsidR="0007337F" w:rsidRPr="001057EB">
        <w:t xml:space="preserve"> </w:t>
      </w:r>
      <w:r w:rsidRPr="001057EB">
        <w:t>Līdz šim laika posmam tika novērotas atšķirības pilsētu un lauku iedzīvotāju starpā, turklāt ekonomiskās recesijas apstākļos – 2010. un 2011. gadā – ar šādu situāciju biežāk sastapušies pilsētās dzīvojošie. Piemēram, 2010. gadā pilsētās dzīvojošie – 22,7% gadījumu, laukos – 18,8% gadījumu (līdzīga procentuālā starpība saglabājas 2011. gadā). Situācija mainās, respektīvi, izlīdzinās, sākot ar 2015. gadu.</w:t>
      </w:r>
    </w:p>
    <w:p w:rsidR="001057EB" w:rsidRDefault="001057EB" w:rsidP="00064C1E">
      <w:pPr>
        <w:rPr>
          <w:highlight w:val="yellow"/>
        </w:rPr>
      </w:pPr>
    </w:p>
    <w:p w:rsidR="0007337F" w:rsidRPr="00966D80" w:rsidRDefault="001057EB" w:rsidP="00064C1E">
      <w:r>
        <w:t>Dati</w:t>
      </w:r>
      <w:r w:rsidR="0007337F" w:rsidRPr="00966D80">
        <w:t xml:space="preserve"> dzimumu griezumā</w:t>
      </w:r>
      <w:r>
        <w:t xml:space="preserve"> rāda</w:t>
      </w:r>
      <w:r w:rsidR="0007337F" w:rsidRPr="00966D80">
        <w:t>, ka sieviet</w:t>
      </w:r>
      <w:r>
        <w:t xml:space="preserve">es </w:t>
      </w:r>
      <w:r w:rsidR="0035631F">
        <w:t xml:space="preserve">nedaudz </w:t>
      </w:r>
      <w:r>
        <w:t>biežāk atzīst, ka</w:t>
      </w:r>
      <w:r w:rsidR="0007337F" w:rsidRPr="00966D80">
        <w:t xml:space="preserve"> </w:t>
      </w:r>
      <w:r>
        <w:t>bijusi vismaz viena situācija, kad nav veikta nepieciešamā ārstēšanās vai medicīniskā pārbaude</w:t>
      </w:r>
      <w:r w:rsidR="0007337F" w:rsidRPr="00966D80">
        <w:t>. Atsevišķie izņēmuma gadi ir 2012. un 2016., kad abās grupā</w:t>
      </w:r>
      <w:r w:rsidR="00681F27">
        <w:t>s</w:t>
      </w:r>
      <w:r w:rsidR="0007337F" w:rsidRPr="00966D80">
        <w:t xml:space="preserve"> rādītāji ir vienādi, attiecīgi, </w:t>
      </w:r>
      <w:r w:rsidR="0035631F">
        <w:t xml:space="preserve">2012. gadā – </w:t>
      </w:r>
      <w:r w:rsidR="0007337F" w:rsidRPr="00966D80">
        <w:t xml:space="preserve">19% un </w:t>
      </w:r>
      <w:r w:rsidR="0035631F">
        <w:t xml:space="preserve">2016. gadā – </w:t>
      </w:r>
      <w:r w:rsidR="0007337F" w:rsidRPr="00966D80">
        <w:t xml:space="preserve">12% abu </w:t>
      </w:r>
      <w:r w:rsidR="0035631F">
        <w:t xml:space="preserve">dzimumu iedzīvotāji vismaz vienu reizi nav vērsušies pie ārsta, lai gan bijusi tāda nepieciešamība. </w:t>
      </w:r>
      <w:r w:rsidR="0007337F" w:rsidRPr="00966D80">
        <w:t>2017</w:t>
      </w:r>
      <w:r w:rsidR="0007337F">
        <w:t>. gadā</w:t>
      </w:r>
      <w:r w:rsidR="0007337F" w:rsidRPr="00966D80">
        <w:t xml:space="preserve"> šie rādītāji ir sasnieguši zemāko punktu, kad 10</w:t>
      </w:r>
      <w:r w:rsidR="0035631F">
        <w:t>,0</w:t>
      </w:r>
      <w:r w:rsidR="0007337F" w:rsidRPr="00966D80">
        <w:t>% vīriešiem bija vismaz viena problēma, kas traucējusi veikt medicīnisko pārbaudi vai ārstēšanos, bet sievietēm šis pats rādītājs ir 10,7%.</w:t>
      </w:r>
    </w:p>
    <w:p w:rsidR="001057EB" w:rsidRDefault="001057EB" w:rsidP="00064C1E"/>
    <w:p w:rsidR="0007337F" w:rsidRPr="00966D80" w:rsidRDefault="0035631F" w:rsidP="00064C1E">
      <w:r>
        <w:t>Kā minēts iepriekš, nevienlīdzības kontekstā svarīgs aspekts ir tas, cik bieži iedzīvotāji nav vērsušies pie ārsta finanšu iemeslu dēļ (nevarēja atļauties ārstēšanos</w:t>
      </w:r>
      <w:r w:rsidR="00015EF7">
        <w:t xml:space="preserve"> dārdzības dēļ</w:t>
      </w:r>
      <w:r>
        <w:t xml:space="preserve">) un transporta trūkuma dēļ, kā arī Latvijas situācijas kontekstā svarīgs iemesls ir savlaicīga pakalpojuma (ne)pieejamība. Visu </w:t>
      </w:r>
      <w:r>
        <w:lastRenderedPageBreak/>
        <w:t xml:space="preserve">šo apstākļu nozīmi iespējams pārbaudīt, aplūkojot informāciju par </w:t>
      </w:r>
      <w:r w:rsidR="0007337F" w:rsidRPr="00966D80">
        <w:t>iemesliem, kas neļāva veikt medicīniskās pārbaudes vai ārstēšanos</w:t>
      </w:r>
      <w:r>
        <w:t xml:space="preserve"> (</w:t>
      </w:r>
      <w:r w:rsidR="00833CD9">
        <w:t>2.1</w:t>
      </w:r>
      <w:r w:rsidR="00264478">
        <w:t>. tabul</w:t>
      </w:r>
      <w:r>
        <w:t>a)</w:t>
      </w:r>
      <w:r w:rsidR="00264478">
        <w:t>.</w:t>
      </w:r>
      <w:r w:rsidR="0007337F" w:rsidRPr="00966D80">
        <w:t xml:space="preserve"> </w:t>
      </w:r>
    </w:p>
    <w:p w:rsidR="0007337F" w:rsidRPr="00966D80" w:rsidRDefault="00AD3EDD" w:rsidP="00F13B93">
      <w:pPr>
        <w:pStyle w:val="Caption"/>
      </w:pPr>
      <w:r>
        <w:fldChar w:fldCharType="begin"/>
      </w:r>
      <w:r w:rsidR="000F1524">
        <w:instrText xml:space="preserve"> STYLEREF 1 \s </w:instrText>
      </w:r>
      <w:r>
        <w:fldChar w:fldCharType="separate"/>
      </w:r>
      <w:bookmarkStart w:id="400" w:name="_Toc6857674"/>
      <w:r w:rsidR="00224B50">
        <w:rPr>
          <w:noProof/>
        </w:rPr>
        <w:t>2</w:t>
      </w:r>
      <w:r>
        <w:rPr>
          <w:noProof/>
        </w:rPr>
        <w:fldChar w:fldCharType="end"/>
      </w:r>
      <w:r w:rsidR="00A46B54">
        <w:t>.</w:t>
      </w:r>
      <w:r>
        <w:fldChar w:fldCharType="begin"/>
      </w:r>
      <w:r w:rsidR="000F1524">
        <w:instrText xml:space="preserve"> SEQ Tabula \* ARABIC \s 1 </w:instrText>
      </w:r>
      <w:r>
        <w:fldChar w:fldCharType="separate"/>
      </w:r>
      <w:r w:rsidR="00224B50">
        <w:rPr>
          <w:noProof/>
        </w:rPr>
        <w:t>1</w:t>
      </w:r>
      <w:r>
        <w:rPr>
          <w:noProof/>
        </w:rPr>
        <w:fldChar w:fldCharType="end"/>
      </w:r>
      <w:r w:rsidR="00264478">
        <w:t xml:space="preserve">. tabula. </w:t>
      </w:r>
      <w:r w:rsidR="0007337F" w:rsidRPr="00966D80">
        <w:t xml:space="preserve">Pārbaužu veikšana vai ārstēšanās </w:t>
      </w:r>
      <w:r w:rsidR="0007337F" w:rsidRPr="00D3739C">
        <w:t>pie</w:t>
      </w:r>
      <w:r w:rsidR="0007337F" w:rsidRPr="00966D80">
        <w:t xml:space="preserve"> medicīnas speciālista (izņemot zobārstu) un apstākļi, kas traucējuši veikt pārbaudes vai ārstēšanos 16 gadus veciem un vecākiem iedzīvotājiem (%). </w:t>
      </w:r>
      <w:r w:rsidR="0007337F" w:rsidRPr="00D3739C">
        <w:t>Iemesli</w:t>
      </w:r>
      <w:r w:rsidR="0007337F" w:rsidRPr="00966D80">
        <w:t xml:space="preserve"> pārbaužu neveikšanai (% no visiem iedzīvotājiem)</w:t>
      </w:r>
      <w:bookmarkEnd w:id="400"/>
    </w:p>
    <w:tbl>
      <w:tblPr>
        <w:tblStyle w:val="TableGrid"/>
        <w:tblW w:w="9766" w:type="dxa"/>
        <w:tblInd w:w="108" w:type="dxa"/>
        <w:tblLayout w:type="fixed"/>
        <w:tblLook w:val="04A0"/>
      </w:tblPr>
      <w:tblGrid>
        <w:gridCol w:w="3446"/>
        <w:gridCol w:w="702"/>
        <w:gridCol w:w="702"/>
        <w:gridCol w:w="702"/>
        <w:gridCol w:w="702"/>
        <w:gridCol w:w="703"/>
        <w:gridCol w:w="702"/>
        <w:gridCol w:w="702"/>
        <w:gridCol w:w="702"/>
        <w:gridCol w:w="703"/>
      </w:tblGrid>
      <w:tr w:rsidR="0007337F" w:rsidRPr="003E5F80" w:rsidTr="006106B3">
        <w:trPr>
          <w:trHeight w:val="255"/>
        </w:trPr>
        <w:tc>
          <w:tcPr>
            <w:tcW w:w="3446" w:type="dxa"/>
            <w:shd w:val="clear" w:color="auto" w:fill="B8CCE4" w:themeFill="accent1" w:themeFillTint="66"/>
            <w:noWrap/>
            <w:vAlign w:val="center"/>
            <w:hideMark/>
          </w:tcPr>
          <w:p w:rsidR="0007337F" w:rsidRPr="003E5F80" w:rsidRDefault="0007337F" w:rsidP="00064C1E">
            <w:pPr>
              <w:rPr>
                <w:b/>
                <w:bCs/>
                <w:sz w:val="22"/>
                <w:szCs w:val="22"/>
              </w:rPr>
            </w:pPr>
            <w:r w:rsidRPr="003E5F80">
              <w:rPr>
                <w:b/>
                <w:bCs/>
                <w:sz w:val="22"/>
                <w:szCs w:val="22"/>
              </w:rPr>
              <w:t>Iemesls</w:t>
            </w:r>
            <w:r w:rsidR="00FB37BD">
              <w:rPr>
                <w:b/>
                <w:bCs/>
                <w:sz w:val="22"/>
                <w:szCs w:val="22"/>
              </w:rPr>
              <w:t>, kāpēc neveica pārbaudi vai ārstēšanos:</w:t>
            </w:r>
          </w:p>
        </w:tc>
        <w:tc>
          <w:tcPr>
            <w:tcW w:w="702" w:type="dxa"/>
            <w:shd w:val="clear" w:color="auto" w:fill="B8CCE4" w:themeFill="accent1" w:themeFillTint="66"/>
            <w:noWrap/>
            <w:vAlign w:val="center"/>
            <w:hideMark/>
          </w:tcPr>
          <w:p w:rsidR="0007337F" w:rsidRPr="003E5F80" w:rsidRDefault="0007337F" w:rsidP="00064C1E">
            <w:pPr>
              <w:rPr>
                <w:b/>
                <w:bCs/>
                <w:sz w:val="22"/>
                <w:szCs w:val="22"/>
              </w:rPr>
            </w:pPr>
            <w:r w:rsidRPr="003E5F80">
              <w:rPr>
                <w:b/>
                <w:bCs/>
                <w:sz w:val="22"/>
                <w:szCs w:val="22"/>
              </w:rPr>
              <w:t>2009</w:t>
            </w:r>
          </w:p>
        </w:tc>
        <w:tc>
          <w:tcPr>
            <w:tcW w:w="702" w:type="dxa"/>
            <w:shd w:val="clear" w:color="auto" w:fill="B8CCE4" w:themeFill="accent1" w:themeFillTint="66"/>
            <w:noWrap/>
            <w:vAlign w:val="center"/>
            <w:hideMark/>
          </w:tcPr>
          <w:p w:rsidR="0007337F" w:rsidRPr="003E5F80" w:rsidRDefault="0007337F" w:rsidP="00064C1E">
            <w:pPr>
              <w:rPr>
                <w:b/>
                <w:bCs/>
                <w:sz w:val="22"/>
                <w:szCs w:val="22"/>
              </w:rPr>
            </w:pPr>
            <w:r w:rsidRPr="003E5F80">
              <w:rPr>
                <w:b/>
                <w:bCs/>
                <w:sz w:val="22"/>
                <w:szCs w:val="22"/>
              </w:rPr>
              <w:t>2010</w:t>
            </w:r>
          </w:p>
        </w:tc>
        <w:tc>
          <w:tcPr>
            <w:tcW w:w="702" w:type="dxa"/>
            <w:shd w:val="clear" w:color="auto" w:fill="B8CCE4" w:themeFill="accent1" w:themeFillTint="66"/>
            <w:noWrap/>
            <w:vAlign w:val="center"/>
            <w:hideMark/>
          </w:tcPr>
          <w:p w:rsidR="0007337F" w:rsidRPr="003E5F80" w:rsidRDefault="0007337F" w:rsidP="00064C1E">
            <w:pPr>
              <w:rPr>
                <w:b/>
                <w:bCs/>
                <w:sz w:val="22"/>
                <w:szCs w:val="22"/>
              </w:rPr>
            </w:pPr>
            <w:r w:rsidRPr="003E5F80">
              <w:rPr>
                <w:b/>
                <w:bCs/>
                <w:sz w:val="22"/>
                <w:szCs w:val="22"/>
              </w:rPr>
              <w:t>2011</w:t>
            </w:r>
          </w:p>
        </w:tc>
        <w:tc>
          <w:tcPr>
            <w:tcW w:w="702" w:type="dxa"/>
            <w:shd w:val="clear" w:color="auto" w:fill="B8CCE4" w:themeFill="accent1" w:themeFillTint="66"/>
            <w:noWrap/>
            <w:vAlign w:val="center"/>
            <w:hideMark/>
          </w:tcPr>
          <w:p w:rsidR="0007337F" w:rsidRPr="003E5F80" w:rsidRDefault="0007337F" w:rsidP="00064C1E">
            <w:pPr>
              <w:rPr>
                <w:b/>
                <w:bCs/>
                <w:sz w:val="22"/>
                <w:szCs w:val="22"/>
              </w:rPr>
            </w:pPr>
            <w:r w:rsidRPr="003E5F80">
              <w:rPr>
                <w:b/>
                <w:bCs/>
                <w:sz w:val="22"/>
                <w:szCs w:val="22"/>
              </w:rPr>
              <w:t>2012</w:t>
            </w:r>
          </w:p>
        </w:tc>
        <w:tc>
          <w:tcPr>
            <w:tcW w:w="703" w:type="dxa"/>
            <w:shd w:val="clear" w:color="auto" w:fill="B8CCE4" w:themeFill="accent1" w:themeFillTint="66"/>
            <w:noWrap/>
            <w:vAlign w:val="center"/>
            <w:hideMark/>
          </w:tcPr>
          <w:p w:rsidR="0007337F" w:rsidRPr="003E5F80" w:rsidRDefault="0007337F" w:rsidP="00064C1E">
            <w:pPr>
              <w:rPr>
                <w:b/>
                <w:bCs/>
                <w:sz w:val="22"/>
                <w:szCs w:val="22"/>
              </w:rPr>
            </w:pPr>
            <w:r w:rsidRPr="003E5F80">
              <w:rPr>
                <w:b/>
                <w:bCs/>
                <w:sz w:val="22"/>
                <w:szCs w:val="22"/>
              </w:rPr>
              <w:t>2013</w:t>
            </w:r>
          </w:p>
        </w:tc>
        <w:tc>
          <w:tcPr>
            <w:tcW w:w="702" w:type="dxa"/>
            <w:shd w:val="clear" w:color="auto" w:fill="B8CCE4" w:themeFill="accent1" w:themeFillTint="66"/>
            <w:noWrap/>
            <w:vAlign w:val="center"/>
            <w:hideMark/>
          </w:tcPr>
          <w:p w:rsidR="0007337F" w:rsidRPr="003E5F80" w:rsidRDefault="0007337F" w:rsidP="00064C1E">
            <w:pPr>
              <w:rPr>
                <w:b/>
                <w:bCs/>
                <w:sz w:val="22"/>
                <w:szCs w:val="22"/>
              </w:rPr>
            </w:pPr>
            <w:r w:rsidRPr="003E5F80">
              <w:rPr>
                <w:b/>
                <w:bCs/>
                <w:sz w:val="22"/>
                <w:szCs w:val="22"/>
              </w:rPr>
              <w:t>2014</w:t>
            </w:r>
          </w:p>
        </w:tc>
        <w:tc>
          <w:tcPr>
            <w:tcW w:w="702" w:type="dxa"/>
            <w:shd w:val="clear" w:color="auto" w:fill="B8CCE4" w:themeFill="accent1" w:themeFillTint="66"/>
            <w:noWrap/>
            <w:vAlign w:val="center"/>
            <w:hideMark/>
          </w:tcPr>
          <w:p w:rsidR="0007337F" w:rsidRPr="003E5F80" w:rsidRDefault="0007337F" w:rsidP="00064C1E">
            <w:pPr>
              <w:rPr>
                <w:b/>
                <w:bCs/>
                <w:sz w:val="22"/>
                <w:szCs w:val="22"/>
              </w:rPr>
            </w:pPr>
            <w:r w:rsidRPr="003E5F80">
              <w:rPr>
                <w:b/>
                <w:bCs/>
                <w:sz w:val="22"/>
                <w:szCs w:val="22"/>
              </w:rPr>
              <w:t>2015</w:t>
            </w:r>
          </w:p>
        </w:tc>
        <w:tc>
          <w:tcPr>
            <w:tcW w:w="702" w:type="dxa"/>
            <w:shd w:val="clear" w:color="auto" w:fill="B8CCE4" w:themeFill="accent1" w:themeFillTint="66"/>
            <w:noWrap/>
            <w:vAlign w:val="center"/>
            <w:hideMark/>
          </w:tcPr>
          <w:p w:rsidR="0007337F" w:rsidRPr="003E5F80" w:rsidRDefault="0007337F" w:rsidP="00064C1E">
            <w:pPr>
              <w:rPr>
                <w:b/>
                <w:bCs/>
                <w:sz w:val="22"/>
                <w:szCs w:val="22"/>
              </w:rPr>
            </w:pPr>
            <w:r w:rsidRPr="003E5F80">
              <w:rPr>
                <w:b/>
                <w:bCs/>
                <w:sz w:val="22"/>
                <w:szCs w:val="22"/>
              </w:rPr>
              <w:t>2016</w:t>
            </w:r>
          </w:p>
        </w:tc>
        <w:tc>
          <w:tcPr>
            <w:tcW w:w="703" w:type="dxa"/>
            <w:shd w:val="clear" w:color="auto" w:fill="B8CCE4" w:themeFill="accent1" w:themeFillTint="66"/>
            <w:noWrap/>
            <w:vAlign w:val="center"/>
            <w:hideMark/>
          </w:tcPr>
          <w:p w:rsidR="0007337F" w:rsidRPr="003E5F80" w:rsidRDefault="0007337F" w:rsidP="00064C1E">
            <w:pPr>
              <w:rPr>
                <w:b/>
                <w:bCs/>
                <w:sz w:val="22"/>
                <w:szCs w:val="22"/>
              </w:rPr>
            </w:pPr>
            <w:r w:rsidRPr="003E5F80">
              <w:rPr>
                <w:b/>
                <w:bCs/>
                <w:sz w:val="22"/>
                <w:szCs w:val="22"/>
              </w:rPr>
              <w:t>2017</w:t>
            </w:r>
          </w:p>
        </w:tc>
      </w:tr>
      <w:tr w:rsidR="0007337F" w:rsidRPr="003E5F80" w:rsidTr="003E5F80">
        <w:trPr>
          <w:trHeight w:val="255"/>
        </w:trPr>
        <w:tc>
          <w:tcPr>
            <w:tcW w:w="3446" w:type="dxa"/>
            <w:noWrap/>
            <w:hideMark/>
          </w:tcPr>
          <w:p w:rsidR="0007337F" w:rsidRPr="003E5F80" w:rsidRDefault="0007337F" w:rsidP="00323FB2">
            <w:pPr>
              <w:jc w:val="left"/>
              <w:rPr>
                <w:sz w:val="22"/>
                <w:szCs w:val="22"/>
              </w:rPr>
            </w:pPr>
            <w:r w:rsidRPr="003E5F80">
              <w:rPr>
                <w:sz w:val="22"/>
                <w:szCs w:val="22"/>
              </w:rPr>
              <w:t>nevarēja to atļauties</w:t>
            </w:r>
            <w:r w:rsidR="00325DCB">
              <w:rPr>
                <w:sz w:val="22"/>
                <w:szCs w:val="22"/>
              </w:rPr>
              <w:t xml:space="preserve"> (</w:t>
            </w:r>
            <w:r w:rsidR="00323FB2">
              <w:rPr>
                <w:sz w:val="22"/>
                <w:szCs w:val="22"/>
              </w:rPr>
              <w:t>par dārgu</w:t>
            </w:r>
            <w:r w:rsidR="00325DCB">
              <w:rPr>
                <w:sz w:val="22"/>
                <w:szCs w:val="22"/>
              </w:rPr>
              <w:t>)</w:t>
            </w:r>
          </w:p>
        </w:tc>
        <w:tc>
          <w:tcPr>
            <w:tcW w:w="702" w:type="dxa"/>
            <w:noWrap/>
            <w:vAlign w:val="center"/>
            <w:hideMark/>
          </w:tcPr>
          <w:p w:rsidR="0007337F" w:rsidRPr="003E5F80" w:rsidRDefault="0007337F" w:rsidP="00DC464A">
            <w:pPr>
              <w:jc w:val="center"/>
              <w:rPr>
                <w:sz w:val="22"/>
                <w:szCs w:val="22"/>
              </w:rPr>
            </w:pPr>
            <w:r w:rsidRPr="003E5F80">
              <w:rPr>
                <w:sz w:val="22"/>
                <w:szCs w:val="22"/>
              </w:rPr>
              <w:t>8</w:t>
            </w:r>
            <w:r w:rsidR="00264478" w:rsidRPr="003E5F80">
              <w:rPr>
                <w:sz w:val="22"/>
                <w:szCs w:val="22"/>
              </w:rPr>
              <w:t>,0</w:t>
            </w:r>
          </w:p>
        </w:tc>
        <w:tc>
          <w:tcPr>
            <w:tcW w:w="702" w:type="dxa"/>
            <w:noWrap/>
            <w:vAlign w:val="center"/>
            <w:hideMark/>
          </w:tcPr>
          <w:p w:rsidR="0007337F" w:rsidRPr="003E5F80" w:rsidRDefault="0007337F" w:rsidP="00DC464A">
            <w:pPr>
              <w:jc w:val="center"/>
              <w:rPr>
                <w:sz w:val="22"/>
                <w:szCs w:val="22"/>
              </w:rPr>
            </w:pPr>
            <w:r w:rsidRPr="003E5F80">
              <w:rPr>
                <w:sz w:val="22"/>
                <w:szCs w:val="22"/>
              </w:rPr>
              <w:t>13,4</w:t>
            </w:r>
          </w:p>
        </w:tc>
        <w:tc>
          <w:tcPr>
            <w:tcW w:w="702" w:type="dxa"/>
            <w:noWrap/>
            <w:vAlign w:val="center"/>
            <w:hideMark/>
          </w:tcPr>
          <w:p w:rsidR="0007337F" w:rsidRPr="003E5F80" w:rsidRDefault="0007337F" w:rsidP="00DC464A">
            <w:pPr>
              <w:jc w:val="center"/>
              <w:rPr>
                <w:sz w:val="22"/>
                <w:szCs w:val="22"/>
              </w:rPr>
            </w:pPr>
            <w:r w:rsidRPr="003E5F80">
              <w:rPr>
                <w:sz w:val="22"/>
                <w:szCs w:val="22"/>
              </w:rPr>
              <w:t>14,5</w:t>
            </w:r>
          </w:p>
        </w:tc>
        <w:tc>
          <w:tcPr>
            <w:tcW w:w="702" w:type="dxa"/>
            <w:noWrap/>
            <w:vAlign w:val="center"/>
            <w:hideMark/>
          </w:tcPr>
          <w:p w:rsidR="0007337F" w:rsidRPr="003E5F80" w:rsidRDefault="0007337F" w:rsidP="00DC464A">
            <w:pPr>
              <w:jc w:val="center"/>
              <w:rPr>
                <w:sz w:val="22"/>
                <w:szCs w:val="22"/>
              </w:rPr>
            </w:pPr>
            <w:r w:rsidRPr="003E5F80">
              <w:rPr>
                <w:sz w:val="22"/>
                <w:szCs w:val="22"/>
              </w:rPr>
              <w:t>10,5</w:t>
            </w:r>
          </w:p>
        </w:tc>
        <w:tc>
          <w:tcPr>
            <w:tcW w:w="703" w:type="dxa"/>
            <w:noWrap/>
            <w:vAlign w:val="center"/>
            <w:hideMark/>
          </w:tcPr>
          <w:p w:rsidR="0007337F" w:rsidRPr="003E5F80" w:rsidRDefault="0007337F" w:rsidP="00DC464A">
            <w:pPr>
              <w:jc w:val="center"/>
              <w:rPr>
                <w:sz w:val="22"/>
                <w:szCs w:val="22"/>
              </w:rPr>
            </w:pPr>
            <w:r w:rsidRPr="003E5F80">
              <w:rPr>
                <w:sz w:val="22"/>
                <w:szCs w:val="22"/>
              </w:rPr>
              <w:t>12</w:t>
            </w:r>
          </w:p>
        </w:tc>
        <w:tc>
          <w:tcPr>
            <w:tcW w:w="702" w:type="dxa"/>
            <w:noWrap/>
            <w:vAlign w:val="center"/>
            <w:hideMark/>
          </w:tcPr>
          <w:p w:rsidR="0007337F" w:rsidRPr="003E5F80" w:rsidRDefault="0007337F" w:rsidP="00DC464A">
            <w:pPr>
              <w:jc w:val="center"/>
              <w:rPr>
                <w:sz w:val="22"/>
                <w:szCs w:val="22"/>
              </w:rPr>
            </w:pPr>
            <w:r w:rsidRPr="003E5F80">
              <w:rPr>
                <w:sz w:val="22"/>
                <w:szCs w:val="22"/>
              </w:rPr>
              <w:t>10,5</w:t>
            </w:r>
          </w:p>
        </w:tc>
        <w:tc>
          <w:tcPr>
            <w:tcW w:w="702" w:type="dxa"/>
            <w:noWrap/>
            <w:vAlign w:val="center"/>
            <w:hideMark/>
          </w:tcPr>
          <w:p w:rsidR="0007337F" w:rsidRPr="003E5F80" w:rsidRDefault="0007337F" w:rsidP="00DC464A">
            <w:pPr>
              <w:jc w:val="center"/>
              <w:rPr>
                <w:sz w:val="22"/>
                <w:szCs w:val="22"/>
              </w:rPr>
            </w:pPr>
            <w:r w:rsidRPr="003E5F80">
              <w:rPr>
                <w:sz w:val="22"/>
                <w:szCs w:val="22"/>
              </w:rPr>
              <w:t>6,8</w:t>
            </w:r>
          </w:p>
        </w:tc>
        <w:tc>
          <w:tcPr>
            <w:tcW w:w="702" w:type="dxa"/>
            <w:noWrap/>
            <w:vAlign w:val="center"/>
            <w:hideMark/>
          </w:tcPr>
          <w:p w:rsidR="0007337F" w:rsidRPr="003E5F80" w:rsidRDefault="0007337F" w:rsidP="00DC464A">
            <w:pPr>
              <w:jc w:val="center"/>
              <w:rPr>
                <w:sz w:val="22"/>
                <w:szCs w:val="22"/>
              </w:rPr>
            </w:pPr>
            <w:r w:rsidRPr="003E5F80">
              <w:rPr>
                <w:sz w:val="22"/>
                <w:szCs w:val="22"/>
              </w:rPr>
              <w:t>5,3</w:t>
            </w:r>
          </w:p>
        </w:tc>
        <w:tc>
          <w:tcPr>
            <w:tcW w:w="703" w:type="dxa"/>
            <w:noWrap/>
            <w:vAlign w:val="center"/>
            <w:hideMark/>
          </w:tcPr>
          <w:p w:rsidR="0007337F" w:rsidRPr="003E5F80" w:rsidRDefault="00DC464A" w:rsidP="00DC464A">
            <w:pPr>
              <w:ind w:left="-99" w:right="-246"/>
              <w:rPr>
                <w:sz w:val="22"/>
                <w:szCs w:val="22"/>
              </w:rPr>
            </w:pPr>
            <w:r w:rsidRPr="003E5F80">
              <w:rPr>
                <w:sz w:val="22"/>
                <w:szCs w:val="22"/>
              </w:rPr>
              <w:t xml:space="preserve">    </w:t>
            </w:r>
            <w:r w:rsidR="0007337F" w:rsidRPr="003E5F80">
              <w:rPr>
                <w:sz w:val="22"/>
                <w:szCs w:val="22"/>
              </w:rPr>
              <w:t>4,5</w:t>
            </w:r>
          </w:p>
        </w:tc>
      </w:tr>
      <w:tr w:rsidR="0007337F" w:rsidRPr="003E5F80" w:rsidTr="003E5F80">
        <w:trPr>
          <w:trHeight w:val="255"/>
        </w:trPr>
        <w:tc>
          <w:tcPr>
            <w:tcW w:w="3446" w:type="dxa"/>
            <w:noWrap/>
            <w:hideMark/>
          </w:tcPr>
          <w:p w:rsidR="0007337F" w:rsidRPr="003E5F80" w:rsidRDefault="0007337F" w:rsidP="00C03D4E">
            <w:pPr>
              <w:jc w:val="left"/>
              <w:rPr>
                <w:sz w:val="22"/>
                <w:szCs w:val="22"/>
              </w:rPr>
            </w:pPr>
            <w:r w:rsidRPr="003E5F80">
              <w:rPr>
                <w:sz w:val="22"/>
                <w:szCs w:val="22"/>
              </w:rPr>
              <w:t>pārāk ilgi jāgaida uz pieņemšanu/rindas</w:t>
            </w:r>
          </w:p>
        </w:tc>
        <w:tc>
          <w:tcPr>
            <w:tcW w:w="702" w:type="dxa"/>
            <w:noWrap/>
            <w:vAlign w:val="center"/>
            <w:hideMark/>
          </w:tcPr>
          <w:p w:rsidR="0007337F" w:rsidRPr="003E5F80" w:rsidRDefault="0007337F" w:rsidP="00DC464A">
            <w:pPr>
              <w:jc w:val="center"/>
              <w:rPr>
                <w:sz w:val="22"/>
                <w:szCs w:val="22"/>
              </w:rPr>
            </w:pPr>
            <w:r w:rsidRPr="003E5F80">
              <w:rPr>
                <w:sz w:val="22"/>
                <w:szCs w:val="22"/>
              </w:rPr>
              <w:t>1,3</w:t>
            </w:r>
          </w:p>
        </w:tc>
        <w:tc>
          <w:tcPr>
            <w:tcW w:w="702" w:type="dxa"/>
            <w:noWrap/>
            <w:vAlign w:val="center"/>
            <w:hideMark/>
          </w:tcPr>
          <w:p w:rsidR="0007337F" w:rsidRPr="003E5F80" w:rsidRDefault="0007337F" w:rsidP="00DC464A">
            <w:pPr>
              <w:jc w:val="center"/>
              <w:rPr>
                <w:sz w:val="22"/>
                <w:szCs w:val="22"/>
              </w:rPr>
            </w:pPr>
            <w:r w:rsidRPr="003E5F80">
              <w:rPr>
                <w:sz w:val="22"/>
                <w:szCs w:val="22"/>
              </w:rPr>
              <w:t>1,2</w:t>
            </w:r>
          </w:p>
        </w:tc>
        <w:tc>
          <w:tcPr>
            <w:tcW w:w="702" w:type="dxa"/>
            <w:noWrap/>
            <w:vAlign w:val="center"/>
            <w:hideMark/>
          </w:tcPr>
          <w:p w:rsidR="0007337F" w:rsidRPr="003E5F80" w:rsidRDefault="0007337F" w:rsidP="00DC464A">
            <w:pPr>
              <w:jc w:val="center"/>
              <w:rPr>
                <w:sz w:val="22"/>
                <w:szCs w:val="22"/>
              </w:rPr>
            </w:pPr>
            <w:r w:rsidRPr="003E5F80">
              <w:rPr>
                <w:sz w:val="22"/>
                <w:szCs w:val="22"/>
              </w:rPr>
              <w:t>0,9</w:t>
            </w:r>
          </w:p>
        </w:tc>
        <w:tc>
          <w:tcPr>
            <w:tcW w:w="702" w:type="dxa"/>
            <w:noWrap/>
            <w:vAlign w:val="center"/>
            <w:hideMark/>
          </w:tcPr>
          <w:p w:rsidR="0007337F" w:rsidRPr="003E5F80" w:rsidRDefault="0007337F" w:rsidP="00DC464A">
            <w:pPr>
              <w:jc w:val="center"/>
              <w:rPr>
                <w:sz w:val="22"/>
                <w:szCs w:val="22"/>
              </w:rPr>
            </w:pPr>
            <w:r w:rsidRPr="003E5F80">
              <w:rPr>
                <w:sz w:val="22"/>
                <w:szCs w:val="22"/>
              </w:rPr>
              <w:t>1,3</w:t>
            </w:r>
          </w:p>
        </w:tc>
        <w:tc>
          <w:tcPr>
            <w:tcW w:w="703" w:type="dxa"/>
            <w:noWrap/>
            <w:vAlign w:val="center"/>
            <w:hideMark/>
          </w:tcPr>
          <w:p w:rsidR="0007337F" w:rsidRPr="003E5F80" w:rsidRDefault="0007337F" w:rsidP="00DC464A">
            <w:pPr>
              <w:jc w:val="center"/>
              <w:rPr>
                <w:sz w:val="22"/>
                <w:szCs w:val="22"/>
              </w:rPr>
            </w:pPr>
            <w:r w:rsidRPr="003E5F80">
              <w:rPr>
                <w:sz w:val="22"/>
                <w:szCs w:val="22"/>
              </w:rPr>
              <w:t>1,3</w:t>
            </w:r>
          </w:p>
        </w:tc>
        <w:tc>
          <w:tcPr>
            <w:tcW w:w="702" w:type="dxa"/>
            <w:noWrap/>
            <w:vAlign w:val="center"/>
            <w:hideMark/>
          </w:tcPr>
          <w:p w:rsidR="0007337F" w:rsidRPr="003E5F80" w:rsidRDefault="0007337F" w:rsidP="00DC464A">
            <w:pPr>
              <w:jc w:val="center"/>
              <w:rPr>
                <w:sz w:val="22"/>
                <w:szCs w:val="22"/>
              </w:rPr>
            </w:pPr>
            <w:r w:rsidRPr="003E5F80">
              <w:rPr>
                <w:sz w:val="22"/>
                <w:szCs w:val="22"/>
              </w:rPr>
              <w:t>1,6</w:t>
            </w:r>
          </w:p>
        </w:tc>
        <w:tc>
          <w:tcPr>
            <w:tcW w:w="702" w:type="dxa"/>
            <w:noWrap/>
            <w:vAlign w:val="center"/>
            <w:hideMark/>
          </w:tcPr>
          <w:p w:rsidR="0007337F" w:rsidRPr="003E5F80" w:rsidRDefault="0007337F" w:rsidP="00DC464A">
            <w:pPr>
              <w:jc w:val="center"/>
              <w:rPr>
                <w:sz w:val="22"/>
                <w:szCs w:val="22"/>
              </w:rPr>
            </w:pPr>
            <w:r w:rsidRPr="003E5F80">
              <w:rPr>
                <w:sz w:val="22"/>
                <w:szCs w:val="22"/>
              </w:rPr>
              <w:t>1,2</w:t>
            </w:r>
          </w:p>
        </w:tc>
        <w:tc>
          <w:tcPr>
            <w:tcW w:w="702" w:type="dxa"/>
            <w:noWrap/>
            <w:vAlign w:val="center"/>
            <w:hideMark/>
          </w:tcPr>
          <w:p w:rsidR="0007337F" w:rsidRPr="003E5F80" w:rsidRDefault="0007337F" w:rsidP="00DC464A">
            <w:pPr>
              <w:jc w:val="center"/>
              <w:rPr>
                <w:sz w:val="22"/>
                <w:szCs w:val="22"/>
              </w:rPr>
            </w:pPr>
            <w:r w:rsidRPr="003E5F80">
              <w:rPr>
                <w:sz w:val="22"/>
                <w:szCs w:val="22"/>
              </w:rPr>
              <w:t>2,5</w:t>
            </w:r>
          </w:p>
        </w:tc>
        <w:tc>
          <w:tcPr>
            <w:tcW w:w="703" w:type="dxa"/>
            <w:noWrap/>
            <w:vAlign w:val="center"/>
            <w:hideMark/>
          </w:tcPr>
          <w:p w:rsidR="0007337F" w:rsidRPr="003E5F80" w:rsidRDefault="0007337F" w:rsidP="00DC464A">
            <w:pPr>
              <w:jc w:val="center"/>
              <w:rPr>
                <w:sz w:val="22"/>
                <w:szCs w:val="22"/>
              </w:rPr>
            </w:pPr>
            <w:r w:rsidRPr="003E5F80">
              <w:rPr>
                <w:sz w:val="22"/>
                <w:szCs w:val="22"/>
              </w:rPr>
              <w:t>1,3</w:t>
            </w:r>
          </w:p>
        </w:tc>
      </w:tr>
      <w:tr w:rsidR="0007337F" w:rsidRPr="003E5F80" w:rsidTr="003E5F80">
        <w:trPr>
          <w:trHeight w:val="255"/>
        </w:trPr>
        <w:tc>
          <w:tcPr>
            <w:tcW w:w="3446" w:type="dxa"/>
            <w:noWrap/>
            <w:hideMark/>
          </w:tcPr>
          <w:p w:rsidR="0007337F" w:rsidRPr="003E5F80" w:rsidRDefault="0007337F" w:rsidP="00C03D4E">
            <w:pPr>
              <w:jc w:val="left"/>
              <w:rPr>
                <w:sz w:val="22"/>
                <w:szCs w:val="22"/>
              </w:rPr>
            </w:pPr>
            <w:r w:rsidRPr="003E5F80">
              <w:rPr>
                <w:sz w:val="22"/>
                <w:szCs w:val="22"/>
              </w:rPr>
              <w:t>nevarēja izbrīvēt laiku darba apstākļu dēļ vai bija jārūpējas par bērniem vai citiem cilvēkiem</w:t>
            </w:r>
          </w:p>
        </w:tc>
        <w:tc>
          <w:tcPr>
            <w:tcW w:w="702" w:type="dxa"/>
            <w:noWrap/>
            <w:vAlign w:val="center"/>
            <w:hideMark/>
          </w:tcPr>
          <w:p w:rsidR="0007337F" w:rsidRPr="003E5F80" w:rsidRDefault="0007337F" w:rsidP="00DC464A">
            <w:pPr>
              <w:jc w:val="center"/>
              <w:rPr>
                <w:sz w:val="22"/>
                <w:szCs w:val="22"/>
              </w:rPr>
            </w:pPr>
            <w:r w:rsidRPr="003E5F80">
              <w:rPr>
                <w:sz w:val="22"/>
                <w:szCs w:val="22"/>
              </w:rPr>
              <w:t>1,7</w:t>
            </w:r>
          </w:p>
        </w:tc>
        <w:tc>
          <w:tcPr>
            <w:tcW w:w="702" w:type="dxa"/>
            <w:noWrap/>
            <w:vAlign w:val="center"/>
            <w:hideMark/>
          </w:tcPr>
          <w:p w:rsidR="0007337F" w:rsidRPr="003E5F80" w:rsidRDefault="0007337F" w:rsidP="00DC464A">
            <w:pPr>
              <w:jc w:val="center"/>
              <w:rPr>
                <w:sz w:val="22"/>
                <w:szCs w:val="22"/>
              </w:rPr>
            </w:pPr>
            <w:r w:rsidRPr="003E5F80">
              <w:rPr>
                <w:sz w:val="22"/>
                <w:szCs w:val="22"/>
              </w:rPr>
              <w:t>1,7</w:t>
            </w:r>
          </w:p>
        </w:tc>
        <w:tc>
          <w:tcPr>
            <w:tcW w:w="702" w:type="dxa"/>
            <w:noWrap/>
            <w:vAlign w:val="center"/>
            <w:hideMark/>
          </w:tcPr>
          <w:p w:rsidR="0007337F" w:rsidRPr="003E5F80" w:rsidRDefault="0007337F" w:rsidP="00DC464A">
            <w:pPr>
              <w:jc w:val="center"/>
              <w:rPr>
                <w:sz w:val="22"/>
                <w:szCs w:val="22"/>
              </w:rPr>
            </w:pPr>
            <w:r w:rsidRPr="003E5F80">
              <w:rPr>
                <w:sz w:val="22"/>
                <w:szCs w:val="22"/>
              </w:rPr>
              <w:t>1,5</w:t>
            </w:r>
          </w:p>
        </w:tc>
        <w:tc>
          <w:tcPr>
            <w:tcW w:w="702" w:type="dxa"/>
            <w:noWrap/>
            <w:vAlign w:val="center"/>
            <w:hideMark/>
          </w:tcPr>
          <w:p w:rsidR="0007337F" w:rsidRPr="003E5F80" w:rsidRDefault="0007337F" w:rsidP="00DC464A">
            <w:pPr>
              <w:jc w:val="center"/>
              <w:rPr>
                <w:sz w:val="22"/>
                <w:szCs w:val="22"/>
              </w:rPr>
            </w:pPr>
            <w:r w:rsidRPr="003E5F80">
              <w:rPr>
                <w:sz w:val="22"/>
                <w:szCs w:val="22"/>
              </w:rPr>
              <w:t>1,4</w:t>
            </w:r>
          </w:p>
        </w:tc>
        <w:tc>
          <w:tcPr>
            <w:tcW w:w="703" w:type="dxa"/>
            <w:noWrap/>
            <w:vAlign w:val="center"/>
            <w:hideMark/>
          </w:tcPr>
          <w:p w:rsidR="0007337F" w:rsidRPr="003E5F80" w:rsidRDefault="0007337F" w:rsidP="00DC464A">
            <w:pPr>
              <w:jc w:val="center"/>
              <w:rPr>
                <w:sz w:val="22"/>
                <w:szCs w:val="22"/>
              </w:rPr>
            </w:pPr>
            <w:r w:rsidRPr="003E5F80">
              <w:rPr>
                <w:sz w:val="22"/>
                <w:szCs w:val="22"/>
              </w:rPr>
              <w:t>1,7</w:t>
            </w:r>
          </w:p>
        </w:tc>
        <w:tc>
          <w:tcPr>
            <w:tcW w:w="702" w:type="dxa"/>
            <w:noWrap/>
            <w:vAlign w:val="center"/>
            <w:hideMark/>
          </w:tcPr>
          <w:p w:rsidR="0007337F" w:rsidRPr="003E5F80" w:rsidRDefault="0007337F" w:rsidP="00DC464A">
            <w:pPr>
              <w:jc w:val="center"/>
              <w:rPr>
                <w:sz w:val="22"/>
                <w:szCs w:val="22"/>
              </w:rPr>
            </w:pPr>
            <w:r w:rsidRPr="003E5F80">
              <w:rPr>
                <w:sz w:val="22"/>
                <w:szCs w:val="22"/>
              </w:rPr>
              <w:t>1,7</w:t>
            </w:r>
          </w:p>
        </w:tc>
        <w:tc>
          <w:tcPr>
            <w:tcW w:w="702" w:type="dxa"/>
            <w:noWrap/>
            <w:vAlign w:val="center"/>
            <w:hideMark/>
          </w:tcPr>
          <w:p w:rsidR="0007337F" w:rsidRPr="003E5F80" w:rsidRDefault="0007337F" w:rsidP="00DC464A">
            <w:pPr>
              <w:jc w:val="center"/>
              <w:rPr>
                <w:sz w:val="22"/>
                <w:szCs w:val="22"/>
              </w:rPr>
            </w:pPr>
            <w:r w:rsidRPr="003E5F80">
              <w:rPr>
                <w:sz w:val="22"/>
                <w:szCs w:val="22"/>
              </w:rPr>
              <w:t>0,8</w:t>
            </w:r>
          </w:p>
        </w:tc>
        <w:tc>
          <w:tcPr>
            <w:tcW w:w="702" w:type="dxa"/>
            <w:noWrap/>
            <w:vAlign w:val="center"/>
            <w:hideMark/>
          </w:tcPr>
          <w:p w:rsidR="0007337F" w:rsidRPr="003E5F80" w:rsidRDefault="0007337F" w:rsidP="00DC464A">
            <w:pPr>
              <w:jc w:val="center"/>
              <w:rPr>
                <w:sz w:val="22"/>
                <w:szCs w:val="22"/>
              </w:rPr>
            </w:pPr>
            <w:r w:rsidRPr="003E5F80">
              <w:rPr>
                <w:sz w:val="22"/>
                <w:szCs w:val="22"/>
              </w:rPr>
              <w:t>0,8</w:t>
            </w:r>
          </w:p>
        </w:tc>
        <w:tc>
          <w:tcPr>
            <w:tcW w:w="703" w:type="dxa"/>
            <w:noWrap/>
            <w:vAlign w:val="center"/>
            <w:hideMark/>
          </w:tcPr>
          <w:p w:rsidR="0007337F" w:rsidRPr="003E5F80" w:rsidRDefault="0007337F" w:rsidP="00DC464A">
            <w:pPr>
              <w:jc w:val="center"/>
              <w:rPr>
                <w:sz w:val="22"/>
                <w:szCs w:val="22"/>
              </w:rPr>
            </w:pPr>
            <w:r w:rsidRPr="003E5F80">
              <w:rPr>
                <w:sz w:val="22"/>
                <w:szCs w:val="22"/>
              </w:rPr>
              <w:t>1,1</w:t>
            </w:r>
          </w:p>
        </w:tc>
      </w:tr>
      <w:tr w:rsidR="0007337F" w:rsidRPr="003E5F80" w:rsidTr="003E5F80">
        <w:trPr>
          <w:trHeight w:val="255"/>
        </w:trPr>
        <w:tc>
          <w:tcPr>
            <w:tcW w:w="3446" w:type="dxa"/>
            <w:noWrap/>
            <w:hideMark/>
          </w:tcPr>
          <w:p w:rsidR="0007337F" w:rsidRPr="003E5F80" w:rsidRDefault="0007337F" w:rsidP="00C03D4E">
            <w:pPr>
              <w:jc w:val="left"/>
              <w:rPr>
                <w:sz w:val="22"/>
                <w:szCs w:val="22"/>
              </w:rPr>
            </w:pPr>
            <w:r w:rsidRPr="003E5F80">
              <w:rPr>
                <w:sz w:val="22"/>
                <w:szCs w:val="22"/>
              </w:rPr>
              <w:t>pārāk tālu jābrauc/ nav transporta līdzekļu</w:t>
            </w:r>
          </w:p>
        </w:tc>
        <w:tc>
          <w:tcPr>
            <w:tcW w:w="702" w:type="dxa"/>
            <w:noWrap/>
            <w:vAlign w:val="center"/>
            <w:hideMark/>
          </w:tcPr>
          <w:p w:rsidR="0007337F" w:rsidRPr="003E5F80" w:rsidRDefault="0007337F" w:rsidP="00DC464A">
            <w:pPr>
              <w:jc w:val="center"/>
              <w:rPr>
                <w:sz w:val="22"/>
                <w:szCs w:val="22"/>
              </w:rPr>
            </w:pPr>
            <w:r w:rsidRPr="003E5F80">
              <w:rPr>
                <w:sz w:val="22"/>
                <w:szCs w:val="22"/>
              </w:rPr>
              <w:t>0,6</w:t>
            </w:r>
          </w:p>
        </w:tc>
        <w:tc>
          <w:tcPr>
            <w:tcW w:w="702" w:type="dxa"/>
            <w:noWrap/>
            <w:vAlign w:val="center"/>
            <w:hideMark/>
          </w:tcPr>
          <w:p w:rsidR="0007337F" w:rsidRPr="003E5F80" w:rsidRDefault="0007337F" w:rsidP="00DC464A">
            <w:pPr>
              <w:jc w:val="center"/>
              <w:rPr>
                <w:sz w:val="22"/>
                <w:szCs w:val="22"/>
              </w:rPr>
            </w:pPr>
            <w:r w:rsidRPr="003E5F80">
              <w:rPr>
                <w:sz w:val="22"/>
                <w:szCs w:val="22"/>
              </w:rPr>
              <w:t>0,5</w:t>
            </w:r>
          </w:p>
        </w:tc>
        <w:tc>
          <w:tcPr>
            <w:tcW w:w="702" w:type="dxa"/>
            <w:noWrap/>
            <w:vAlign w:val="center"/>
            <w:hideMark/>
          </w:tcPr>
          <w:p w:rsidR="0007337F" w:rsidRPr="003E5F80" w:rsidRDefault="0007337F" w:rsidP="00DC464A">
            <w:pPr>
              <w:jc w:val="center"/>
              <w:rPr>
                <w:sz w:val="22"/>
                <w:szCs w:val="22"/>
              </w:rPr>
            </w:pPr>
            <w:r w:rsidRPr="003E5F80">
              <w:rPr>
                <w:sz w:val="22"/>
                <w:szCs w:val="22"/>
              </w:rPr>
              <w:t>0,7</w:t>
            </w:r>
          </w:p>
        </w:tc>
        <w:tc>
          <w:tcPr>
            <w:tcW w:w="702" w:type="dxa"/>
            <w:noWrap/>
            <w:vAlign w:val="center"/>
            <w:hideMark/>
          </w:tcPr>
          <w:p w:rsidR="0007337F" w:rsidRPr="003E5F80" w:rsidRDefault="0007337F" w:rsidP="00DC464A">
            <w:pPr>
              <w:jc w:val="center"/>
              <w:rPr>
                <w:sz w:val="22"/>
                <w:szCs w:val="22"/>
              </w:rPr>
            </w:pPr>
            <w:r w:rsidRPr="003E5F80">
              <w:rPr>
                <w:sz w:val="22"/>
                <w:szCs w:val="22"/>
              </w:rPr>
              <w:t>0,6</w:t>
            </w:r>
          </w:p>
        </w:tc>
        <w:tc>
          <w:tcPr>
            <w:tcW w:w="703" w:type="dxa"/>
            <w:noWrap/>
            <w:vAlign w:val="center"/>
            <w:hideMark/>
          </w:tcPr>
          <w:p w:rsidR="0007337F" w:rsidRPr="003E5F80" w:rsidRDefault="0007337F" w:rsidP="00DC464A">
            <w:pPr>
              <w:jc w:val="center"/>
              <w:rPr>
                <w:sz w:val="22"/>
                <w:szCs w:val="22"/>
              </w:rPr>
            </w:pPr>
            <w:r w:rsidRPr="003E5F80">
              <w:rPr>
                <w:sz w:val="22"/>
                <w:szCs w:val="22"/>
              </w:rPr>
              <w:t>0,5</w:t>
            </w:r>
          </w:p>
        </w:tc>
        <w:tc>
          <w:tcPr>
            <w:tcW w:w="702" w:type="dxa"/>
            <w:noWrap/>
            <w:vAlign w:val="center"/>
            <w:hideMark/>
          </w:tcPr>
          <w:p w:rsidR="0007337F" w:rsidRPr="003E5F80" w:rsidRDefault="0007337F" w:rsidP="00DC464A">
            <w:pPr>
              <w:jc w:val="center"/>
              <w:rPr>
                <w:sz w:val="22"/>
                <w:szCs w:val="22"/>
              </w:rPr>
            </w:pPr>
            <w:r w:rsidRPr="003E5F80">
              <w:rPr>
                <w:sz w:val="22"/>
                <w:szCs w:val="22"/>
              </w:rPr>
              <w:t>0,4</w:t>
            </w:r>
          </w:p>
        </w:tc>
        <w:tc>
          <w:tcPr>
            <w:tcW w:w="702" w:type="dxa"/>
            <w:noWrap/>
            <w:vAlign w:val="center"/>
            <w:hideMark/>
          </w:tcPr>
          <w:p w:rsidR="0007337F" w:rsidRPr="003E5F80" w:rsidRDefault="0007337F" w:rsidP="00DC464A">
            <w:pPr>
              <w:jc w:val="center"/>
              <w:rPr>
                <w:sz w:val="22"/>
                <w:szCs w:val="22"/>
              </w:rPr>
            </w:pPr>
            <w:r w:rsidRPr="003E5F80">
              <w:rPr>
                <w:sz w:val="22"/>
                <w:szCs w:val="22"/>
              </w:rPr>
              <w:t>0,3</w:t>
            </w:r>
          </w:p>
        </w:tc>
        <w:tc>
          <w:tcPr>
            <w:tcW w:w="702" w:type="dxa"/>
            <w:noWrap/>
            <w:vAlign w:val="center"/>
            <w:hideMark/>
          </w:tcPr>
          <w:p w:rsidR="0007337F" w:rsidRPr="003E5F80" w:rsidRDefault="0007337F" w:rsidP="00DC464A">
            <w:pPr>
              <w:jc w:val="center"/>
              <w:rPr>
                <w:sz w:val="22"/>
                <w:szCs w:val="22"/>
              </w:rPr>
            </w:pPr>
            <w:r w:rsidRPr="003E5F80">
              <w:rPr>
                <w:sz w:val="22"/>
                <w:szCs w:val="22"/>
              </w:rPr>
              <w:t>0,5</w:t>
            </w:r>
          </w:p>
        </w:tc>
        <w:tc>
          <w:tcPr>
            <w:tcW w:w="703" w:type="dxa"/>
            <w:noWrap/>
            <w:vAlign w:val="center"/>
            <w:hideMark/>
          </w:tcPr>
          <w:p w:rsidR="0007337F" w:rsidRPr="003E5F80" w:rsidRDefault="0007337F" w:rsidP="00DC464A">
            <w:pPr>
              <w:jc w:val="center"/>
              <w:rPr>
                <w:sz w:val="22"/>
                <w:szCs w:val="22"/>
              </w:rPr>
            </w:pPr>
            <w:r w:rsidRPr="003E5F80">
              <w:rPr>
                <w:sz w:val="22"/>
                <w:szCs w:val="22"/>
              </w:rPr>
              <w:t>0,4</w:t>
            </w:r>
          </w:p>
        </w:tc>
      </w:tr>
      <w:tr w:rsidR="0007337F" w:rsidRPr="003E5F80" w:rsidTr="003E5F80">
        <w:trPr>
          <w:trHeight w:val="255"/>
        </w:trPr>
        <w:tc>
          <w:tcPr>
            <w:tcW w:w="3446" w:type="dxa"/>
            <w:noWrap/>
            <w:hideMark/>
          </w:tcPr>
          <w:p w:rsidR="0007337F" w:rsidRPr="003E5F80" w:rsidRDefault="0007337F" w:rsidP="00C03D4E">
            <w:pPr>
              <w:jc w:val="left"/>
              <w:rPr>
                <w:sz w:val="22"/>
                <w:szCs w:val="22"/>
              </w:rPr>
            </w:pPr>
            <w:r w:rsidRPr="003E5F80">
              <w:rPr>
                <w:sz w:val="22"/>
                <w:szCs w:val="22"/>
              </w:rPr>
              <w:t>bailes no ārstiem/ slimnīcas/ izmeklēšanas</w:t>
            </w:r>
          </w:p>
        </w:tc>
        <w:tc>
          <w:tcPr>
            <w:tcW w:w="702" w:type="dxa"/>
            <w:noWrap/>
            <w:vAlign w:val="center"/>
            <w:hideMark/>
          </w:tcPr>
          <w:p w:rsidR="0007337F" w:rsidRPr="003E5F80" w:rsidRDefault="0007337F" w:rsidP="00DC464A">
            <w:pPr>
              <w:jc w:val="center"/>
              <w:rPr>
                <w:sz w:val="22"/>
                <w:szCs w:val="22"/>
              </w:rPr>
            </w:pPr>
            <w:r w:rsidRPr="003E5F80">
              <w:rPr>
                <w:sz w:val="22"/>
                <w:szCs w:val="22"/>
              </w:rPr>
              <w:t>0,4</w:t>
            </w:r>
          </w:p>
        </w:tc>
        <w:tc>
          <w:tcPr>
            <w:tcW w:w="702" w:type="dxa"/>
            <w:noWrap/>
            <w:vAlign w:val="center"/>
            <w:hideMark/>
          </w:tcPr>
          <w:p w:rsidR="0007337F" w:rsidRPr="003E5F80" w:rsidRDefault="0007337F" w:rsidP="00DC464A">
            <w:pPr>
              <w:jc w:val="center"/>
              <w:rPr>
                <w:sz w:val="22"/>
                <w:szCs w:val="22"/>
              </w:rPr>
            </w:pPr>
            <w:r w:rsidRPr="003E5F80">
              <w:rPr>
                <w:sz w:val="22"/>
                <w:szCs w:val="22"/>
              </w:rPr>
              <w:t>0,5</w:t>
            </w:r>
          </w:p>
        </w:tc>
        <w:tc>
          <w:tcPr>
            <w:tcW w:w="702" w:type="dxa"/>
            <w:noWrap/>
            <w:vAlign w:val="center"/>
            <w:hideMark/>
          </w:tcPr>
          <w:p w:rsidR="0007337F" w:rsidRPr="003E5F80" w:rsidRDefault="0007337F" w:rsidP="00DC464A">
            <w:pPr>
              <w:jc w:val="center"/>
              <w:rPr>
                <w:sz w:val="22"/>
                <w:szCs w:val="22"/>
              </w:rPr>
            </w:pPr>
            <w:r w:rsidRPr="003E5F80">
              <w:rPr>
                <w:sz w:val="22"/>
                <w:szCs w:val="22"/>
              </w:rPr>
              <w:t>0,6</w:t>
            </w:r>
          </w:p>
        </w:tc>
        <w:tc>
          <w:tcPr>
            <w:tcW w:w="702" w:type="dxa"/>
            <w:noWrap/>
            <w:vAlign w:val="center"/>
            <w:hideMark/>
          </w:tcPr>
          <w:p w:rsidR="0007337F" w:rsidRPr="003E5F80" w:rsidRDefault="0007337F" w:rsidP="00DC464A">
            <w:pPr>
              <w:jc w:val="center"/>
              <w:rPr>
                <w:sz w:val="22"/>
                <w:szCs w:val="22"/>
              </w:rPr>
            </w:pPr>
            <w:r w:rsidRPr="003E5F80">
              <w:rPr>
                <w:sz w:val="22"/>
                <w:szCs w:val="22"/>
              </w:rPr>
              <w:t>0,6</w:t>
            </w:r>
          </w:p>
        </w:tc>
        <w:tc>
          <w:tcPr>
            <w:tcW w:w="703" w:type="dxa"/>
            <w:noWrap/>
            <w:vAlign w:val="center"/>
            <w:hideMark/>
          </w:tcPr>
          <w:p w:rsidR="0007337F" w:rsidRPr="003E5F80" w:rsidRDefault="0007337F" w:rsidP="00DC464A">
            <w:pPr>
              <w:jc w:val="center"/>
              <w:rPr>
                <w:sz w:val="22"/>
                <w:szCs w:val="22"/>
              </w:rPr>
            </w:pPr>
            <w:r w:rsidRPr="003E5F80">
              <w:rPr>
                <w:sz w:val="22"/>
                <w:szCs w:val="22"/>
              </w:rPr>
              <w:t>0,4</w:t>
            </w:r>
          </w:p>
        </w:tc>
        <w:tc>
          <w:tcPr>
            <w:tcW w:w="702" w:type="dxa"/>
            <w:noWrap/>
            <w:vAlign w:val="center"/>
            <w:hideMark/>
          </w:tcPr>
          <w:p w:rsidR="0007337F" w:rsidRPr="003E5F80" w:rsidRDefault="0007337F" w:rsidP="00DC464A">
            <w:pPr>
              <w:jc w:val="center"/>
              <w:rPr>
                <w:sz w:val="22"/>
                <w:szCs w:val="22"/>
              </w:rPr>
            </w:pPr>
            <w:r w:rsidRPr="003E5F80">
              <w:rPr>
                <w:sz w:val="22"/>
                <w:szCs w:val="22"/>
              </w:rPr>
              <w:t>0,4</w:t>
            </w:r>
          </w:p>
        </w:tc>
        <w:tc>
          <w:tcPr>
            <w:tcW w:w="702" w:type="dxa"/>
            <w:noWrap/>
            <w:vAlign w:val="center"/>
            <w:hideMark/>
          </w:tcPr>
          <w:p w:rsidR="0007337F" w:rsidRPr="003E5F80" w:rsidRDefault="0007337F" w:rsidP="00DC464A">
            <w:pPr>
              <w:jc w:val="center"/>
              <w:rPr>
                <w:sz w:val="22"/>
                <w:szCs w:val="22"/>
              </w:rPr>
            </w:pPr>
            <w:r w:rsidRPr="003E5F80">
              <w:rPr>
                <w:sz w:val="22"/>
                <w:szCs w:val="22"/>
              </w:rPr>
              <w:t>0,2</w:t>
            </w:r>
          </w:p>
        </w:tc>
        <w:tc>
          <w:tcPr>
            <w:tcW w:w="702" w:type="dxa"/>
            <w:noWrap/>
            <w:vAlign w:val="center"/>
            <w:hideMark/>
          </w:tcPr>
          <w:p w:rsidR="0007337F" w:rsidRPr="003E5F80" w:rsidRDefault="0007337F" w:rsidP="00DC464A">
            <w:pPr>
              <w:jc w:val="center"/>
              <w:rPr>
                <w:sz w:val="22"/>
                <w:szCs w:val="22"/>
              </w:rPr>
            </w:pPr>
            <w:r w:rsidRPr="003E5F80">
              <w:rPr>
                <w:sz w:val="22"/>
                <w:szCs w:val="22"/>
              </w:rPr>
              <w:t>0,2</w:t>
            </w:r>
          </w:p>
        </w:tc>
        <w:tc>
          <w:tcPr>
            <w:tcW w:w="703" w:type="dxa"/>
            <w:noWrap/>
            <w:vAlign w:val="center"/>
            <w:hideMark/>
          </w:tcPr>
          <w:p w:rsidR="0007337F" w:rsidRPr="003E5F80" w:rsidRDefault="0007337F" w:rsidP="00DC464A">
            <w:pPr>
              <w:jc w:val="center"/>
              <w:rPr>
                <w:sz w:val="22"/>
                <w:szCs w:val="22"/>
              </w:rPr>
            </w:pPr>
            <w:r w:rsidRPr="003E5F80">
              <w:rPr>
                <w:sz w:val="22"/>
                <w:szCs w:val="22"/>
              </w:rPr>
              <w:t>0,2</w:t>
            </w:r>
          </w:p>
        </w:tc>
      </w:tr>
      <w:tr w:rsidR="0007337F" w:rsidRPr="003E5F80" w:rsidTr="003E5F80">
        <w:trPr>
          <w:trHeight w:val="255"/>
        </w:trPr>
        <w:tc>
          <w:tcPr>
            <w:tcW w:w="3446" w:type="dxa"/>
            <w:noWrap/>
            <w:hideMark/>
          </w:tcPr>
          <w:p w:rsidR="0007337F" w:rsidRPr="003E5F80" w:rsidRDefault="0007337F" w:rsidP="00C03D4E">
            <w:pPr>
              <w:jc w:val="left"/>
              <w:rPr>
                <w:sz w:val="22"/>
                <w:szCs w:val="22"/>
              </w:rPr>
            </w:pPr>
            <w:r w:rsidRPr="003E5F80">
              <w:rPr>
                <w:sz w:val="22"/>
                <w:szCs w:val="22"/>
              </w:rPr>
              <w:t>gribēja nogaidīt un paskatīties, vai ar laiku nekļūst labāk</w:t>
            </w:r>
          </w:p>
        </w:tc>
        <w:tc>
          <w:tcPr>
            <w:tcW w:w="702" w:type="dxa"/>
            <w:noWrap/>
            <w:vAlign w:val="center"/>
            <w:hideMark/>
          </w:tcPr>
          <w:p w:rsidR="0007337F" w:rsidRPr="003E5F80" w:rsidRDefault="0007337F" w:rsidP="00DC464A">
            <w:pPr>
              <w:jc w:val="center"/>
              <w:rPr>
                <w:sz w:val="22"/>
                <w:szCs w:val="22"/>
              </w:rPr>
            </w:pPr>
            <w:r w:rsidRPr="003E5F80">
              <w:rPr>
                <w:sz w:val="22"/>
                <w:szCs w:val="22"/>
              </w:rPr>
              <w:t>3,3</w:t>
            </w:r>
          </w:p>
        </w:tc>
        <w:tc>
          <w:tcPr>
            <w:tcW w:w="702" w:type="dxa"/>
            <w:noWrap/>
            <w:vAlign w:val="center"/>
            <w:hideMark/>
          </w:tcPr>
          <w:p w:rsidR="0007337F" w:rsidRPr="003E5F80" w:rsidRDefault="0007337F" w:rsidP="00DC464A">
            <w:pPr>
              <w:jc w:val="center"/>
              <w:rPr>
                <w:sz w:val="22"/>
                <w:szCs w:val="22"/>
              </w:rPr>
            </w:pPr>
            <w:r w:rsidRPr="003E5F80">
              <w:rPr>
                <w:sz w:val="22"/>
                <w:szCs w:val="22"/>
              </w:rPr>
              <w:t>3,4</w:t>
            </w:r>
          </w:p>
        </w:tc>
        <w:tc>
          <w:tcPr>
            <w:tcW w:w="702" w:type="dxa"/>
            <w:noWrap/>
            <w:vAlign w:val="center"/>
            <w:hideMark/>
          </w:tcPr>
          <w:p w:rsidR="0007337F" w:rsidRPr="003E5F80" w:rsidRDefault="0007337F" w:rsidP="00DC464A">
            <w:pPr>
              <w:jc w:val="center"/>
              <w:rPr>
                <w:sz w:val="22"/>
                <w:szCs w:val="22"/>
              </w:rPr>
            </w:pPr>
            <w:r w:rsidRPr="003E5F80">
              <w:rPr>
                <w:sz w:val="22"/>
                <w:szCs w:val="22"/>
              </w:rPr>
              <w:t>3,1</w:t>
            </w:r>
          </w:p>
        </w:tc>
        <w:tc>
          <w:tcPr>
            <w:tcW w:w="702" w:type="dxa"/>
            <w:noWrap/>
            <w:vAlign w:val="center"/>
            <w:hideMark/>
          </w:tcPr>
          <w:p w:rsidR="0007337F" w:rsidRPr="003E5F80" w:rsidRDefault="0007337F" w:rsidP="00DC464A">
            <w:pPr>
              <w:jc w:val="center"/>
              <w:rPr>
                <w:sz w:val="22"/>
                <w:szCs w:val="22"/>
              </w:rPr>
            </w:pPr>
            <w:r w:rsidRPr="003E5F80">
              <w:rPr>
                <w:sz w:val="22"/>
                <w:szCs w:val="22"/>
              </w:rPr>
              <w:t>4</w:t>
            </w:r>
            <w:r w:rsidR="0035631F" w:rsidRPr="003E5F80">
              <w:rPr>
                <w:sz w:val="22"/>
                <w:szCs w:val="22"/>
              </w:rPr>
              <w:t>,0</w:t>
            </w:r>
          </w:p>
        </w:tc>
        <w:tc>
          <w:tcPr>
            <w:tcW w:w="703" w:type="dxa"/>
            <w:noWrap/>
            <w:vAlign w:val="center"/>
            <w:hideMark/>
          </w:tcPr>
          <w:p w:rsidR="0007337F" w:rsidRPr="003E5F80" w:rsidRDefault="0007337F" w:rsidP="00DC464A">
            <w:pPr>
              <w:jc w:val="center"/>
              <w:rPr>
                <w:sz w:val="22"/>
                <w:szCs w:val="22"/>
              </w:rPr>
            </w:pPr>
            <w:r w:rsidRPr="003E5F80">
              <w:rPr>
                <w:sz w:val="22"/>
                <w:szCs w:val="22"/>
              </w:rPr>
              <w:t>3,2</w:t>
            </w:r>
          </w:p>
        </w:tc>
        <w:tc>
          <w:tcPr>
            <w:tcW w:w="702" w:type="dxa"/>
            <w:noWrap/>
            <w:vAlign w:val="center"/>
            <w:hideMark/>
          </w:tcPr>
          <w:p w:rsidR="0007337F" w:rsidRPr="003E5F80" w:rsidRDefault="0007337F" w:rsidP="00DC464A">
            <w:pPr>
              <w:jc w:val="center"/>
              <w:rPr>
                <w:sz w:val="22"/>
                <w:szCs w:val="22"/>
              </w:rPr>
            </w:pPr>
            <w:r w:rsidRPr="003E5F80">
              <w:rPr>
                <w:sz w:val="22"/>
                <w:szCs w:val="22"/>
              </w:rPr>
              <w:t>3,6</w:t>
            </w:r>
          </w:p>
        </w:tc>
        <w:tc>
          <w:tcPr>
            <w:tcW w:w="702" w:type="dxa"/>
            <w:noWrap/>
            <w:vAlign w:val="center"/>
            <w:hideMark/>
          </w:tcPr>
          <w:p w:rsidR="0007337F" w:rsidRPr="003E5F80" w:rsidRDefault="0007337F" w:rsidP="00DC464A">
            <w:pPr>
              <w:jc w:val="center"/>
              <w:rPr>
                <w:sz w:val="22"/>
                <w:szCs w:val="22"/>
              </w:rPr>
            </w:pPr>
            <w:r w:rsidRPr="003E5F80">
              <w:rPr>
                <w:sz w:val="22"/>
                <w:szCs w:val="22"/>
              </w:rPr>
              <w:t>1,9</w:t>
            </w:r>
          </w:p>
        </w:tc>
        <w:tc>
          <w:tcPr>
            <w:tcW w:w="702" w:type="dxa"/>
            <w:noWrap/>
            <w:vAlign w:val="center"/>
            <w:hideMark/>
          </w:tcPr>
          <w:p w:rsidR="0007337F" w:rsidRPr="003E5F80" w:rsidRDefault="0007337F" w:rsidP="00DC464A">
            <w:pPr>
              <w:jc w:val="center"/>
              <w:rPr>
                <w:sz w:val="22"/>
                <w:szCs w:val="22"/>
              </w:rPr>
            </w:pPr>
            <w:r w:rsidRPr="003E5F80">
              <w:rPr>
                <w:sz w:val="22"/>
                <w:szCs w:val="22"/>
              </w:rPr>
              <w:t>2,1</w:t>
            </w:r>
          </w:p>
        </w:tc>
        <w:tc>
          <w:tcPr>
            <w:tcW w:w="703" w:type="dxa"/>
            <w:noWrap/>
            <w:vAlign w:val="center"/>
            <w:hideMark/>
          </w:tcPr>
          <w:p w:rsidR="0007337F" w:rsidRPr="003E5F80" w:rsidRDefault="0007337F" w:rsidP="00DC464A">
            <w:pPr>
              <w:jc w:val="center"/>
              <w:rPr>
                <w:sz w:val="22"/>
                <w:szCs w:val="22"/>
              </w:rPr>
            </w:pPr>
            <w:r w:rsidRPr="003E5F80">
              <w:rPr>
                <w:sz w:val="22"/>
                <w:szCs w:val="22"/>
              </w:rPr>
              <w:t>2,3</w:t>
            </w:r>
          </w:p>
        </w:tc>
      </w:tr>
      <w:tr w:rsidR="0007337F" w:rsidRPr="003E5F80" w:rsidTr="003E5F80">
        <w:trPr>
          <w:trHeight w:val="255"/>
        </w:trPr>
        <w:tc>
          <w:tcPr>
            <w:tcW w:w="3446" w:type="dxa"/>
            <w:noWrap/>
            <w:hideMark/>
          </w:tcPr>
          <w:p w:rsidR="0007337F" w:rsidRPr="003E5F80" w:rsidRDefault="0007337F" w:rsidP="00C03D4E">
            <w:pPr>
              <w:jc w:val="left"/>
              <w:rPr>
                <w:sz w:val="22"/>
                <w:szCs w:val="22"/>
              </w:rPr>
            </w:pPr>
            <w:r w:rsidRPr="003E5F80">
              <w:rPr>
                <w:sz w:val="22"/>
                <w:szCs w:val="22"/>
              </w:rPr>
              <w:t>nezināja nevienu labu ārstu vai speciālistu</w:t>
            </w:r>
          </w:p>
        </w:tc>
        <w:tc>
          <w:tcPr>
            <w:tcW w:w="702" w:type="dxa"/>
            <w:noWrap/>
            <w:vAlign w:val="center"/>
            <w:hideMark/>
          </w:tcPr>
          <w:p w:rsidR="0007337F" w:rsidRPr="003E5F80" w:rsidRDefault="0007337F" w:rsidP="00DC464A">
            <w:pPr>
              <w:jc w:val="center"/>
              <w:rPr>
                <w:sz w:val="22"/>
                <w:szCs w:val="22"/>
              </w:rPr>
            </w:pPr>
            <w:r w:rsidRPr="003E5F80">
              <w:rPr>
                <w:sz w:val="22"/>
                <w:szCs w:val="22"/>
              </w:rPr>
              <w:t>0,4</w:t>
            </w:r>
          </w:p>
        </w:tc>
        <w:tc>
          <w:tcPr>
            <w:tcW w:w="702" w:type="dxa"/>
            <w:noWrap/>
            <w:vAlign w:val="center"/>
            <w:hideMark/>
          </w:tcPr>
          <w:p w:rsidR="0007337F" w:rsidRPr="003E5F80" w:rsidRDefault="0007337F" w:rsidP="00DC464A">
            <w:pPr>
              <w:jc w:val="center"/>
              <w:rPr>
                <w:sz w:val="22"/>
                <w:szCs w:val="22"/>
              </w:rPr>
            </w:pPr>
            <w:r w:rsidRPr="003E5F80">
              <w:rPr>
                <w:sz w:val="22"/>
                <w:szCs w:val="22"/>
              </w:rPr>
              <w:t>0,4</w:t>
            </w:r>
          </w:p>
        </w:tc>
        <w:tc>
          <w:tcPr>
            <w:tcW w:w="702" w:type="dxa"/>
            <w:noWrap/>
            <w:vAlign w:val="center"/>
            <w:hideMark/>
          </w:tcPr>
          <w:p w:rsidR="0007337F" w:rsidRPr="003E5F80" w:rsidRDefault="0007337F" w:rsidP="00DC464A">
            <w:pPr>
              <w:jc w:val="center"/>
              <w:rPr>
                <w:sz w:val="22"/>
                <w:szCs w:val="22"/>
              </w:rPr>
            </w:pPr>
            <w:r w:rsidRPr="003E5F80">
              <w:rPr>
                <w:sz w:val="22"/>
                <w:szCs w:val="22"/>
              </w:rPr>
              <w:t>0,5</w:t>
            </w:r>
          </w:p>
        </w:tc>
        <w:tc>
          <w:tcPr>
            <w:tcW w:w="702" w:type="dxa"/>
            <w:noWrap/>
            <w:vAlign w:val="center"/>
            <w:hideMark/>
          </w:tcPr>
          <w:p w:rsidR="0007337F" w:rsidRPr="003E5F80" w:rsidRDefault="0007337F" w:rsidP="00DC464A">
            <w:pPr>
              <w:jc w:val="center"/>
              <w:rPr>
                <w:sz w:val="22"/>
                <w:szCs w:val="22"/>
              </w:rPr>
            </w:pPr>
            <w:r w:rsidRPr="003E5F80">
              <w:rPr>
                <w:sz w:val="22"/>
                <w:szCs w:val="22"/>
              </w:rPr>
              <w:t>0,3</w:t>
            </w:r>
          </w:p>
        </w:tc>
        <w:tc>
          <w:tcPr>
            <w:tcW w:w="703" w:type="dxa"/>
            <w:noWrap/>
            <w:vAlign w:val="center"/>
            <w:hideMark/>
          </w:tcPr>
          <w:p w:rsidR="0007337F" w:rsidRPr="003E5F80" w:rsidRDefault="0007337F" w:rsidP="00DC464A">
            <w:pPr>
              <w:jc w:val="center"/>
              <w:rPr>
                <w:sz w:val="22"/>
                <w:szCs w:val="22"/>
              </w:rPr>
            </w:pPr>
            <w:r w:rsidRPr="003E5F80">
              <w:rPr>
                <w:sz w:val="22"/>
                <w:szCs w:val="22"/>
              </w:rPr>
              <w:t>0,5</w:t>
            </w:r>
          </w:p>
        </w:tc>
        <w:tc>
          <w:tcPr>
            <w:tcW w:w="702" w:type="dxa"/>
            <w:noWrap/>
            <w:vAlign w:val="center"/>
            <w:hideMark/>
          </w:tcPr>
          <w:p w:rsidR="0007337F" w:rsidRPr="003E5F80" w:rsidRDefault="0007337F" w:rsidP="00DC464A">
            <w:pPr>
              <w:jc w:val="center"/>
              <w:rPr>
                <w:sz w:val="22"/>
                <w:szCs w:val="22"/>
              </w:rPr>
            </w:pPr>
            <w:r w:rsidRPr="003E5F80">
              <w:rPr>
                <w:sz w:val="22"/>
                <w:szCs w:val="22"/>
              </w:rPr>
              <w:t>0,6</w:t>
            </w:r>
          </w:p>
        </w:tc>
        <w:tc>
          <w:tcPr>
            <w:tcW w:w="702" w:type="dxa"/>
            <w:noWrap/>
            <w:vAlign w:val="center"/>
            <w:hideMark/>
          </w:tcPr>
          <w:p w:rsidR="0007337F" w:rsidRPr="003E5F80" w:rsidRDefault="0007337F" w:rsidP="00DC464A">
            <w:pPr>
              <w:jc w:val="center"/>
              <w:rPr>
                <w:sz w:val="22"/>
                <w:szCs w:val="22"/>
              </w:rPr>
            </w:pPr>
            <w:r w:rsidRPr="003E5F80">
              <w:rPr>
                <w:sz w:val="22"/>
                <w:szCs w:val="22"/>
              </w:rPr>
              <w:t>0,3</w:t>
            </w:r>
          </w:p>
        </w:tc>
        <w:tc>
          <w:tcPr>
            <w:tcW w:w="702" w:type="dxa"/>
            <w:noWrap/>
            <w:vAlign w:val="center"/>
            <w:hideMark/>
          </w:tcPr>
          <w:p w:rsidR="0007337F" w:rsidRPr="003E5F80" w:rsidRDefault="0007337F" w:rsidP="00DC464A">
            <w:pPr>
              <w:jc w:val="center"/>
              <w:rPr>
                <w:sz w:val="22"/>
                <w:szCs w:val="22"/>
              </w:rPr>
            </w:pPr>
            <w:r w:rsidRPr="003E5F80">
              <w:rPr>
                <w:sz w:val="22"/>
                <w:szCs w:val="22"/>
              </w:rPr>
              <w:t>0,3</w:t>
            </w:r>
          </w:p>
        </w:tc>
        <w:tc>
          <w:tcPr>
            <w:tcW w:w="703" w:type="dxa"/>
            <w:noWrap/>
            <w:vAlign w:val="center"/>
            <w:hideMark/>
          </w:tcPr>
          <w:p w:rsidR="0007337F" w:rsidRPr="003E5F80" w:rsidRDefault="0007337F" w:rsidP="00DC464A">
            <w:pPr>
              <w:jc w:val="center"/>
              <w:rPr>
                <w:sz w:val="22"/>
                <w:szCs w:val="22"/>
              </w:rPr>
            </w:pPr>
            <w:r w:rsidRPr="003E5F80">
              <w:rPr>
                <w:sz w:val="22"/>
                <w:szCs w:val="22"/>
              </w:rPr>
              <w:t>0,3</w:t>
            </w:r>
          </w:p>
        </w:tc>
      </w:tr>
      <w:tr w:rsidR="0007337F" w:rsidRPr="003E5F80" w:rsidTr="003E5F80">
        <w:trPr>
          <w:trHeight w:val="255"/>
        </w:trPr>
        <w:tc>
          <w:tcPr>
            <w:tcW w:w="3446" w:type="dxa"/>
            <w:noWrap/>
            <w:hideMark/>
          </w:tcPr>
          <w:p w:rsidR="0007337F" w:rsidRPr="003E5F80" w:rsidRDefault="0007337F" w:rsidP="00C03D4E">
            <w:pPr>
              <w:jc w:val="left"/>
              <w:rPr>
                <w:sz w:val="22"/>
                <w:szCs w:val="22"/>
              </w:rPr>
            </w:pPr>
            <w:r w:rsidRPr="003E5F80">
              <w:rPr>
                <w:sz w:val="22"/>
                <w:szCs w:val="22"/>
              </w:rPr>
              <w:t>citi iemesli</w:t>
            </w:r>
          </w:p>
        </w:tc>
        <w:tc>
          <w:tcPr>
            <w:tcW w:w="702" w:type="dxa"/>
            <w:noWrap/>
            <w:vAlign w:val="center"/>
            <w:hideMark/>
          </w:tcPr>
          <w:p w:rsidR="0007337F" w:rsidRPr="003E5F80" w:rsidRDefault="0007337F" w:rsidP="00DC464A">
            <w:pPr>
              <w:jc w:val="center"/>
              <w:rPr>
                <w:sz w:val="22"/>
                <w:szCs w:val="22"/>
              </w:rPr>
            </w:pPr>
            <w:r w:rsidRPr="003E5F80">
              <w:rPr>
                <w:sz w:val="22"/>
                <w:szCs w:val="22"/>
              </w:rPr>
              <w:t>0,2</w:t>
            </w:r>
          </w:p>
        </w:tc>
        <w:tc>
          <w:tcPr>
            <w:tcW w:w="702" w:type="dxa"/>
            <w:noWrap/>
            <w:vAlign w:val="center"/>
            <w:hideMark/>
          </w:tcPr>
          <w:p w:rsidR="0007337F" w:rsidRPr="003E5F80" w:rsidRDefault="0007337F" w:rsidP="00DC464A">
            <w:pPr>
              <w:jc w:val="center"/>
              <w:rPr>
                <w:sz w:val="22"/>
                <w:szCs w:val="22"/>
              </w:rPr>
            </w:pPr>
            <w:r w:rsidRPr="003E5F80">
              <w:rPr>
                <w:sz w:val="22"/>
                <w:szCs w:val="22"/>
              </w:rPr>
              <w:t>0,4</w:t>
            </w:r>
          </w:p>
        </w:tc>
        <w:tc>
          <w:tcPr>
            <w:tcW w:w="702" w:type="dxa"/>
            <w:noWrap/>
            <w:vAlign w:val="center"/>
            <w:hideMark/>
          </w:tcPr>
          <w:p w:rsidR="0007337F" w:rsidRPr="003E5F80" w:rsidRDefault="0007337F" w:rsidP="00DC464A">
            <w:pPr>
              <w:jc w:val="center"/>
              <w:rPr>
                <w:sz w:val="22"/>
                <w:szCs w:val="22"/>
              </w:rPr>
            </w:pPr>
            <w:r w:rsidRPr="003E5F80">
              <w:rPr>
                <w:sz w:val="22"/>
                <w:szCs w:val="22"/>
              </w:rPr>
              <w:t>0,2</w:t>
            </w:r>
          </w:p>
        </w:tc>
        <w:tc>
          <w:tcPr>
            <w:tcW w:w="702" w:type="dxa"/>
            <w:noWrap/>
            <w:vAlign w:val="center"/>
            <w:hideMark/>
          </w:tcPr>
          <w:p w:rsidR="0007337F" w:rsidRPr="003E5F80" w:rsidRDefault="0007337F" w:rsidP="00DC464A">
            <w:pPr>
              <w:jc w:val="center"/>
              <w:rPr>
                <w:sz w:val="22"/>
                <w:szCs w:val="22"/>
              </w:rPr>
            </w:pPr>
            <w:r w:rsidRPr="003E5F80">
              <w:rPr>
                <w:sz w:val="22"/>
                <w:szCs w:val="22"/>
              </w:rPr>
              <w:t>0,4</w:t>
            </w:r>
          </w:p>
        </w:tc>
        <w:tc>
          <w:tcPr>
            <w:tcW w:w="703" w:type="dxa"/>
            <w:noWrap/>
            <w:vAlign w:val="center"/>
            <w:hideMark/>
          </w:tcPr>
          <w:p w:rsidR="0007337F" w:rsidRPr="003E5F80" w:rsidRDefault="0007337F" w:rsidP="00DC464A">
            <w:pPr>
              <w:jc w:val="center"/>
              <w:rPr>
                <w:sz w:val="22"/>
                <w:szCs w:val="22"/>
              </w:rPr>
            </w:pPr>
            <w:r w:rsidRPr="003E5F80">
              <w:rPr>
                <w:sz w:val="22"/>
                <w:szCs w:val="22"/>
              </w:rPr>
              <w:t>0,3</w:t>
            </w:r>
          </w:p>
        </w:tc>
        <w:tc>
          <w:tcPr>
            <w:tcW w:w="702" w:type="dxa"/>
            <w:noWrap/>
            <w:vAlign w:val="center"/>
            <w:hideMark/>
          </w:tcPr>
          <w:p w:rsidR="0007337F" w:rsidRPr="003E5F80" w:rsidRDefault="0007337F" w:rsidP="00DC464A">
            <w:pPr>
              <w:jc w:val="center"/>
              <w:rPr>
                <w:sz w:val="22"/>
                <w:szCs w:val="22"/>
              </w:rPr>
            </w:pPr>
            <w:r w:rsidRPr="003E5F80">
              <w:rPr>
                <w:sz w:val="22"/>
                <w:szCs w:val="22"/>
              </w:rPr>
              <w:t>0,4</w:t>
            </w:r>
          </w:p>
        </w:tc>
        <w:tc>
          <w:tcPr>
            <w:tcW w:w="702" w:type="dxa"/>
            <w:noWrap/>
            <w:vAlign w:val="center"/>
            <w:hideMark/>
          </w:tcPr>
          <w:p w:rsidR="0007337F" w:rsidRPr="003E5F80" w:rsidRDefault="0007337F" w:rsidP="00DC464A">
            <w:pPr>
              <w:jc w:val="center"/>
              <w:rPr>
                <w:sz w:val="22"/>
                <w:szCs w:val="22"/>
              </w:rPr>
            </w:pPr>
            <w:r w:rsidRPr="003E5F80">
              <w:rPr>
                <w:sz w:val="22"/>
                <w:szCs w:val="22"/>
              </w:rPr>
              <w:t>0,2</w:t>
            </w:r>
          </w:p>
        </w:tc>
        <w:tc>
          <w:tcPr>
            <w:tcW w:w="702" w:type="dxa"/>
            <w:noWrap/>
            <w:vAlign w:val="center"/>
            <w:hideMark/>
          </w:tcPr>
          <w:p w:rsidR="0007337F" w:rsidRPr="003E5F80" w:rsidRDefault="0007337F" w:rsidP="00DC464A">
            <w:pPr>
              <w:jc w:val="center"/>
              <w:rPr>
                <w:sz w:val="22"/>
                <w:szCs w:val="22"/>
              </w:rPr>
            </w:pPr>
            <w:r w:rsidRPr="003E5F80">
              <w:rPr>
                <w:sz w:val="22"/>
                <w:szCs w:val="22"/>
              </w:rPr>
              <w:t>0,1</w:t>
            </w:r>
          </w:p>
        </w:tc>
        <w:tc>
          <w:tcPr>
            <w:tcW w:w="703" w:type="dxa"/>
            <w:noWrap/>
            <w:vAlign w:val="center"/>
            <w:hideMark/>
          </w:tcPr>
          <w:p w:rsidR="0007337F" w:rsidRPr="003E5F80" w:rsidRDefault="0007337F" w:rsidP="00DC464A">
            <w:pPr>
              <w:jc w:val="center"/>
              <w:rPr>
                <w:sz w:val="22"/>
                <w:szCs w:val="22"/>
              </w:rPr>
            </w:pPr>
            <w:r w:rsidRPr="003E5F80">
              <w:rPr>
                <w:sz w:val="22"/>
                <w:szCs w:val="22"/>
              </w:rPr>
              <w:t>0,2</w:t>
            </w:r>
          </w:p>
        </w:tc>
      </w:tr>
    </w:tbl>
    <w:p w:rsidR="0007337F" w:rsidRPr="0067470E" w:rsidRDefault="0067470E" w:rsidP="005A62EE">
      <w:pPr>
        <w:spacing w:line="240" w:lineRule="auto"/>
        <w:rPr>
          <w:sz w:val="20"/>
          <w:szCs w:val="20"/>
        </w:rPr>
      </w:pPr>
      <w:r w:rsidRPr="0067470E">
        <w:rPr>
          <w:sz w:val="20"/>
          <w:szCs w:val="20"/>
        </w:rPr>
        <w:t>Avots: CSP, “VPG071. Pārbaužu veikšana vai ārstēšanās pie medicīnas speciālista (izņemot zobārstu) un apstākļi, kas traucējuši veikt pārbaudes vai ārstēšanos 16 gadus veciem un vecākiem iedzīvotājiem (%)”</w:t>
      </w:r>
    </w:p>
    <w:p w:rsidR="0067470E" w:rsidRDefault="0067470E" w:rsidP="00064C1E"/>
    <w:p w:rsidR="0007337F" w:rsidRPr="00966D80" w:rsidRDefault="0035631F" w:rsidP="00064C1E">
      <w:r>
        <w:t>G</w:t>
      </w:r>
      <w:r w:rsidR="00264478">
        <w:t>alvenais iemesls, kā</w:t>
      </w:r>
      <w:r w:rsidR="0007337F" w:rsidRPr="00966D80">
        <w:t>dēļ personas nav veikušas medicīniskās pārbaudes vai ārstēšanos</w:t>
      </w:r>
      <w:r w:rsidR="00264478">
        <w:t>,</w:t>
      </w:r>
      <w:r w:rsidR="0007337F" w:rsidRPr="00966D80">
        <w:t xml:space="preserve"> ir </w:t>
      </w:r>
      <w:r w:rsidR="00264478">
        <w:t>finansiāli ierobežojumi (</w:t>
      </w:r>
      <w:r w:rsidR="00922A20">
        <w:t xml:space="preserve">sk. </w:t>
      </w:r>
      <w:r w:rsidR="00833CD9">
        <w:t>2.1</w:t>
      </w:r>
      <w:r w:rsidR="00264478">
        <w:t>. tabul</w:t>
      </w:r>
      <w:r w:rsidR="00922A20">
        <w:t>u</w:t>
      </w:r>
      <w:r w:rsidR="00264478">
        <w:t xml:space="preserve"> un</w:t>
      </w:r>
      <w:r w:rsidR="005408FC">
        <w:t xml:space="preserve"> 2.10</w:t>
      </w:r>
      <w:r w:rsidR="00264478">
        <w:t>. attēl</w:t>
      </w:r>
      <w:r w:rsidR="00922A20">
        <w:t>u</w:t>
      </w:r>
      <w:r w:rsidR="00264478">
        <w:t>)</w:t>
      </w:r>
      <w:r w:rsidR="0007337F" w:rsidRPr="00966D80">
        <w:t>. Kopš 2015</w:t>
      </w:r>
      <w:r w:rsidR="0007337F">
        <w:t>. gada</w:t>
      </w:r>
      <w:r w:rsidR="0007337F" w:rsidRPr="00966D80">
        <w:t xml:space="preserve"> </w:t>
      </w:r>
      <w:r>
        <w:t>šī iemesla minēšanas biežums</w:t>
      </w:r>
      <w:r w:rsidR="0007337F" w:rsidRPr="00966D80">
        <w:t xml:space="preserve"> ir </w:t>
      </w:r>
      <w:r>
        <w:t>samazinājies</w:t>
      </w:r>
      <w:r w:rsidR="0007337F" w:rsidRPr="00966D80">
        <w:t xml:space="preserve"> (</w:t>
      </w:r>
      <w:r>
        <w:t xml:space="preserve">no </w:t>
      </w:r>
      <w:r w:rsidR="0007337F" w:rsidRPr="00966D80">
        <w:t>6,8% uz 4,5% 2017</w:t>
      </w:r>
      <w:r w:rsidR="0007337F">
        <w:t>. gadā</w:t>
      </w:r>
      <w:r w:rsidR="0007337F" w:rsidRPr="00966D80">
        <w:t>), taču</w:t>
      </w:r>
      <w:r>
        <w:t xml:space="preserve"> tas joprojām ir nozīmīgākais</w:t>
      </w:r>
      <w:r w:rsidR="0007337F" w:rsidRPr="00966D80">
        <w:t xml:space="preserve"> iemesls</w:t>
      </w:r>
      <w:r>
        <w:t>,</w:t>
      </w:r>
      <w:r w:rsidR="0007337F" w:rsidRPr="00966D80">
        <w:t xml:space="preserve"> kāpēc nav veikta pārbaude vai ārstēšanās. Cits samērā bieži sastopams iemesls bijis saistīts ar pašas personas vēlmi </w:t>
      </w:r>
      <w:r w:rsidR="00264478">
        <w:t>„</w:t>
      </w:r>
      <w:r w:rsidR="0007337F" w:rsidRPr="00966D80">
        <w:t>nogaidīt un paskatīties</w:t>
      </w:r>
      <w:r>
        <w:t>,</w:t>
      </w:r>
      <w:r w:rsidR="0007337F" w:rsidRPr="00966D80">
        <w:t xml:space="preserve"> vai ar laiku nekļūs labāk”, no 2009. līdz 2016</w:t>
      </w:r>
      <w:r w:rsidR="0007337F">
        <w:t>. gada</w:t>
      </w:r>
      <w:r w:rsidR="0007337F" w:rsidRPr="00966D80">
        <w:t>m tā rīkojās vidēji 3,2% personu, bet 2017</w:t>
      </w:r>
      <w:r w:rsidR="0007337F">
        <w:t>. gadā</w:t>
      </w:r>
      <w:r w:rsidR="0007337F" w:rsidRPr="00966D80">
        <w:t xml:space="preserve"> šis rādītājs 2,3%. Ilgais gaidīšanas laiks rindā bija par iemeslu, kāpēc 1,3% cilvēku 2017</w:t>
      </w:r>
      <w:r w:rsidR="0007337F">
        <w:t>. gadā</w:t>
      </w:r>
      <w:r w:rsidR="0007337F" w:rsidRPr="00966D80">
        <w:t xml:space="preserve"> neveic medicīnisko pārbaudi vai ārstēšanos, </w:t>
      </w:r>
      <w:r w:rsidR="00264478">
        <w:t xml:space="preserve">un, </w:t>
      </w:r>
      <w:r w:rsidR="0007337F" w:rsidRPr="00966D80">
        <w:t>salīdzinot ar 2015</w:t>
      </w:r>
      <w:r w:rsidR="0007337F">
        <w:t>. gadu</w:t>
      </w:r>
      <w:r w:rsidR="0007337F" w:rsidRPr="00966D80">
        <w:t>, šis rādītājs ir krities par 1,2</w:t>
      </w:r>
      <w:r w:rsidR="00264478">
        <w:t xml:space="preserve"> procentpunktiem.</w:t>
      </w:r>
      <w:r w:rsidR="0007337F" w:rsidRPr="00966D80">
        <w:t xml:space="preserve"> Laika trūkuma dēļ (darba apstākļu dēļ vai bija jārūpējas par bērniem vai citiem cilvēkiem) 2</w:t>
      </w:r>
      <w:r w:rsidR="00264478">
        <w:t>0</w:t>
      </w:r>
      <w:r w:rsidR="0007337F" w:rsidRPr="00966D80">
        <w:t>17</w:t>
      </w:r>
      <w:r w:rsidR="0007337F">
        <w:t>. gadā</w:t>
      </w:r>
      <w:r w:rsidR="0007337F" w:rsidRPr="00966D80">
        <w:t xml:space="preserve"> 1</w:t>
      </w:r>
      <w:r w:rsidR="00264478">
        <w:t>,</w:t>
      </w:r>
      <w:r w:rsidR="0007337F" w:rsidRPr="00966D80">
        <w:t>1% cilvēku neveica medicīnisko pārbaudi vai ārstēšanos. Citi iemesli</w:t>
      </w:r>
      <w:r w:rsidR="0007337F">
        <w:t xml:space="preserve"> – </w:t>
      </w:r>
      <w:r w:rsidR="0007337F" w:rsidRPr="00966D80">
        <w:t>pārbaudes vai ārstēšanās neveikšana garā ceļa vai transporta trūkuma dēļ, pārbaudes neveikšanu baiļu no slimnīcas</w:t>
      </w:r>
      <w:r w:rsidR="00681F27">
        <w:t xml:space="preserve"> dēļ, labu ārstu vai speciālistu</w:t>
      </w:r>
      <w:r w:rsidR="0007337F" w:rsidRPr="00966D80">
        <w:t xml:space="preserve"> nezināšana</w:t>
      </w:r>
      <w:r w:rsidR="0007337F">
        <w:t xml:space="preserve"> – </w:t>
      </w:r>
      <w:r w:rsidR="0007337F" w:rsidRPr="00966D80">
        <w:t>nevienā no gadiem nav pārsnieguši 0</w:t>
      </w:r>
      <w:r w:rsidR="00264478">
        <w:t>,</w:t>
      </w:r>
      <w:r w:rsidR="0007337F" w:rsidRPr="00966D80">
        <w:t xml:space="preserve">6%, līdz ar to </w:t>
      </w:r>
      <w:r w:rsidR="00015EF7">
        <w:t>šos iemeslus</w:t>
      </w:r>
      <w:r w:rsidR="0007337F" w:rsidRPr="00966D80">
        <w:t xml:space="preserve"> var uzskatīt par </w:t>
      </w:r>
      <w:r w:rsidR="00015EF7">
        <w:t>maznozīmīgiem</w:t>
      </w:r>
      <w:r w:rsidR="0007337F" w:rsidRPr="00966D80">
        <w:t>.</w:t>
      </w:r>
    </w:p>
    <w:p w:rsidR="00264478" w:rsidRDefault="00264478" w:rsidP="00064C1E">
      <w:pPr>
        <w:rPr>
          <w:b/>
        </w:rPr>
      </w:pPr>
    </w:p>
    <w:p w:rsidR="00264478" w:rsidRPr="00966D80" w:rsidRDefault="00264478" w:rsidP="00064C1E">
      <w:r w:rsidRPr="00966D80">
        <w:t xml:space="preserve">Skatoties </w:t>
      </w:r>
      <w:r w:rsidR="0035631F">
        <w:t>galveno</w:t>
      </w:r>
      <w:r w:rsidRPr="00966D80">
        <w:t xml:space="preserve"> iemeslu, </w:t>
      </w:r>
      <w:r w:rsidR="0035631F">
        <w:t>kas liecina par nevienlīdzību veselības aprūpes pakalpojumu pieejamībā, t.i., finansiālos šķēršļus veikt ārstēšanos vai pārbaudi</w:t>
      </w:r>
      <w:r>
        <w:t xml:space="preserve"> (</w:t>
      </w:r>
      <w:r w:rsidR="00922A20">
        <w:t>sk.</w:t>
      </w:r>
      <w:r w:rsidR="005408FC">
        <w:t xml:space="preserve"> 2.10</w:t>
      </w:r>
      <w:r w:rsidR="00922A20">
        <w:t>. attēlu</w:t>
      </w:r>
      <w:r>
        <w:t>),</w:t>
      </w:r>
      <w:r w:rsidRPr="00966D80">
        <w:t xml:space="preserve"> redzams, ka no 2009. līdz 2011</w:t>
      </w:r>
      <w:r>
        <w:t>. gada</w:t>
      </w:r>
      <w:r w:rsidRPr="00966D80">
        <w:t xml:space="preserve">m </w:t>
      </w:r>
      <w:r w:rsidR="0035631F">
        <w:t>tā nozīme</w:t>
      </w:r>
      <w:r w:rsidRPr="00966D80">
        <w:t xml:space="preserve"> pieauga no 8% līdz 14,5%. </w:t>
      </w:r>
      <w:r w:rsidR="0035631F">
        <w:t xml:space="preserve">Tādējādi redzams, ka ekonomiskā recesija būtiski ietekmēja iedzīvotāju iespējas parūpēties par savu veselību. </w:t>
      </w:r>
      <w:r w:rsidRPr="00966D80">
        <w:t>Pēc 2013</w:t>
      </w:r>
      <w:r>
        <w:t>. </w:t>
      </w:r>
      <w:r w:rsidR="00000985">
        <w:t>g</w:t>
      </w:r>
      <w:r>
        <w:t>ada</w:t>
      </w:r>
      <w:r w:rsidR="00000985">
        <w:t xml:space="preserve"> (arī uzlabojoties </w:t>
      </w:r>
      <w:r w:rsidR="00000985" w:rsidRPr="00B72270">
        <w:t>ekonomiskajai situācijai valstī)</w:t>
      </w:r>
      <w:r w:rsidRPr="00B72270">
        <w:t xml:space="preserve"> </w:t>
      </w:r>
      <w:r w:rsidR="00000985" w:rsidRPr="00B72270">
        <w:t xml:space="preserve">šī iemesla minēšanas biežums samazinās, līdz </w:t>
      </w:r>
      <w:r w:rsidRPr="00B72270">
        <w:t xml:space="preserve">2017. gadā </w:t>
      </w:r>
      <w:r w:rsidR="00B72270" w:rsidRPr="00B72270">
        <w:t>finansiālu iemeslu dēļ pie ārsta nevērsās</w:t>
      </w:r>
      <w:r w:rsidRPr="00B72270">
        <w:t xml:space="preserve"> 4,5%.</w:t>
      </w:r>
    </w:p>
    <w:bookmarkStart w:id="401" w:name="_Toc6219203"/>
    <w:bookmarkStart w:id="402" w:name="_Toc6220146"/>
    <w:p w:rsidR="0007337F" w:rsidRPr="00966D80" w:rsidRDefault="00AD3EDD" w:rsidP="00F13B93">
      <w:pPr>
        <w:pStyle w:val="Caption"/>
      </w:pPr>
      <w:r>
        <w:lastRenderedPageBreak/>
        <w:fldChar w:fldCharType="begin"/>
      </w:r>
      <w:r w:rsidR="006B5456">
        <w:instrText xml:space="preserve"> STYLEREF 1 \s </w:instrText>
      </w:r>
      <w:r>
        <w:fldChar w:fldCharType="separate"/>
      </w:r>
      <w:bookmarkStart w:id="403" w:name="_Toc6855798"/>
      <w:r w:rsidR="00224B50">
        <w:rPr>
          <w:noProof/>
        </w:rPr>
        <w:t>2</w:t>
      </w:r>
      <w:r>
        <w:fldChar w:fldCharType="end"/>
      </w:r>
      <w:r w:rsidR="006B5456">
        <w:t>.</w:t>
      </w:r>
      <w:r>
        <w:fldChar w:fldCharType="begin"/>
      </w:r>
      <w:r w:rsidR="000F1524">
        <w:instrText xml:space="preserve"> SEQ Ilustrācija \* ARABIC \s 1 </w:instrText>
      </w:r>
      <w:r>
        <w:fldChar w:fldCharType="separate"/>
      </w:r>
      <w:r w:rsidR="00224B50">
        <w:rPr>
          <w:noProof/>
        </w:rPr>
        <w:t>10</w:t>
      </w:r>
      <w:r>
        <w:rPr>
          <w:noProof/>
        </w:rPr>
        <w:fldChar w:fldCharType="end"/>
      </w:r>
      <w:r w:rsidR="00264478">
        <w:t xml:space="preserve">. attēls. </w:t>
      </w:r>
      <w:r w:rsidR="0007337F" w:rsidRPr="00966D80">
        <w:t xml:space="preserve">Pārbaužu veikšana vai ārstēšanās pie medicīnas speciālista (izņemot zobārstu) un apstākļi, kas traucējuši veikt pārbaudes vai ārstēšanos 16 gadus veciem un vecākiem (%). Neveica pārbaudi vai ārstēšanos, jo nevarēja </w:t>
      </w:r>
      <w:r w:rsidR="0007337F" w:rsidRPr="00D3739C">
        <w:t>to</w:t>
      </w:r>
      <w:r w:rsidR="0007337F" w:rsidRPr="00966D80">
        <w:t xml:space="preserve"> atļauties. Visas personas</w:t>
      </w:r>
      <w:bookmarkEnd w:id="401"/>
      <w:bookmarkEnd w:id="402"/>
      <w:bookmarkEnd w:id="403"/>
    </w:p>
    <w:p w:rsidR="0007337F" w:rsidRDefault="00842D28" w:rsidP="00064C1E">
      <w:pPr>
        <w:jc w:val="center"/>
      </w:pPr>
      <w:r w:rsidRPr="00842D28">
        <w:rPr>
          <w:noProof/>
        </w:rPr>
        <w:drawing>
          <wp:inline distT="0" distB="0" distL="0" distR="0">
            <wp:extent cx="6160797" cy="1876425"/>
            <wp:effectExtent l="19050" t="0" r="0" b="0"/>
            <wp:docPr id="128"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3"/>
                    <a:srcRect/>
                    <a:stretch>
                      <a:fillRect/>
                    </a:stretch>
                  </pic:blipFill>
                  <pic:spPr bwMode="auto">
                    <a:xfrm>
                      <a:off x="0" y="0"/>
                      <a:ext cx="6160797" cy="1876425"/>
                    </a:xfrm>
                    <a:prstGeom prst="rect">
                      <a:avLst/>
                    </a:prstGeom>
                    <a:noFill/>
                    <a:ln w="9525">
                      <a:noFill/>
                      <a:miter lim="800000"/>
                      <a:headEnd/>
                      <a:tailEnd/>
                    </a:ln>
                  </pic:spPr>
                </pic:pic>
              </a:graphicData>
            </a:graphic>
          </wp:inline>
        </w:drawing>
      </w:r>
    </w:p>
    <w:p w:rsidR="0007337F" w:rsidRDefault="0067470E" w:rsidP="005A62EE">
      <w:pPr>
        <w:spacing w:line="240" w:lineRule="auto"/>
        <w:rPr>
          <w:sz w:val="20"/>
          <w:szCs w:val="20"/>
        </w:rPr>
      </w:pPr>
      <w:r w:rsidRPr="0067470E">
        <w:rPr>
          <w:sz w:val="20"/>
          <w:szCs w:val="20"/>
        </w:rPr>
        <w:t>Avots: CSP, “VPG071. Pārbaužu veikšana vai ārstēšanās pie medicīnas speciālista (izņemot zobārstu) un apstākļi, kas traucējuši veikt pārbaudes vai ārstēšanos 16 gadus veciem un vecākiem iedzīvotājiem (%)”.</w:t>
      </w:r>
    </w:p>
    <w:p w:rsidR="0067470E" w:rsidRPr="0067470E" w:rsidRDefault="0067470E" w:rsidP="00064C1E">
      <w:pPr>
        <w:rPr>
          <w:sz w:val="20"/>
          <w:szCs w:val="20"/>
        </w:rPr>
      </w:pPr>
    </w:p>
    <w:p w:rsidR="00264478" w:rsidRPr="00966D80" w:rsidRDefault="00264478" w:rsidP="00064C1E">
      <w:r w:rsidRPr="00966D80">
        <w:t xml:space="preserve">Skatoties to personu rādītājus, kuri finansiālu iemeslu dēļ </w:t>
      </w:r>
      <w:r w:rsidR="006A358A">
        <w:t xml:space="preserve">vismaz reizi gada laikā </w:t>
      </w:r>
      <w:r w:rsidRPr="00966D80">
        <w:t>nevarēja atļauties medicīniskas pārbaudes vai ārstēšanos</w:t>
      </w:r>
      <w:r>
        <w:t>,</w:t>
      </w:r>
      <w:r w:rsidRPr="00966D80">
        <w:t xml:space="preserve"> redzams, ka </w:t>
      </w:r>
      <w:r w:rsidR="006A358A">
        <w:t xml:space="preserve">visbiežāk šāda situācija bijusi personām ar zemākiem ienākumiem un </w:t>
      </w:r>
      <w:r w:rsidRPr="00966D80">
        <w:t>retāk ar šo situāciju saskārās turīgākās personas</w:t>
      </w:r>
      <w:r>
        <w:t xml:space="preserve"> (</w:t>
      </w:r>
      <w:r w:rsidR="00922A20">
        <w:t>sk.</w:t>
      </w:r>
      <w:r w:rsidR="005408FC">
        <w:t xml:space="preserve"> 2.11</w:t>
      </w:r>
      <w:r w:rsidR="00922A20">
        <w:t>. attēlu</w:t>
      </w:r>
      <w:r>
        <w:t>)</w:t>
      </w:r>
      <w:r w:rsidRPr="00966D80">
        <w:t>. 1</w:t>
      </w:r>
      <w:r>
        <w:t>. kvint</w:t>
      </w:r>
      <w:r w:rsidRPr="00966D80">
        <w:t>iļu grupā, kurā iekļautas trūcīgākās personas, no 2009</w:t>
      </w:r>
      <w:r>
        <w:t>. gada</w:t>
      </w:r>
      <w:r w:rsidRPr="00966D80">
        <w:t xml:space="preserve"> līdz 2011</w:t>
      </w:r>
      <w:r>
        <w:t>. gada</w:t>
      </w:r>
      <w:r w:rsidRPr="00966D80">
        <w:t>m redzam</w:t>
      </w:r>
      <w:r w:rsidR="006A358A">
        <w:t>s</w:t>
      </w:r>
      <w:r w:rsidRPr="00966D80">
        <w:t xml:space="preserve"> </w:t>
      </w:r>
      <w:r w:rsidR="006A358A">
        <w:t>šī iemesla minēšanas biežuma</w:t>
      </w:r>
      <w:r w:rsidRPr="00966D80">
        <w:t xml:space="preserve"> pieaugums no 16,7% līdz 24,1%, bet pēc tam vērojams kritums līdz 18,6%. 2017</w:t>
      </w:r>
      <w:r>
        <w:t>. gadā</w:t>
      </w:r>
      <w:r w:rsidRPr="00966D80">
        <w:t xml:space="preserve"> finansiāli iemesli kavēja</w:t>
      </w:r>
      <w:r w:rsidR="006A358A">
        <w:t xml:space="preserve"> veikt nepieciešamo ārstēšanos</w:t>
      </w:r>
      <w:r w:rsidRPr="00966D80">
        <w:t xml:space="preserve"> 9,6% </w:t>
      </w:r>
      <w:r w:rsidR="006A358A">
        <w:t xml:space="preserve">iedzīvotāji, kuru ienākumi atbilst </w:t>
      </w:r>
      <w:r w:rsidRPr="00966D80">
        <w:t>1</w:t>
      </w:r>
      <w:r>
        <w:t>. kvint</w:t>
      </w:r>
      <w:r w:rsidRPr="00966D80">
        <w:t>iļu grup</w:t>
      </w:r>
      <w:r w:rsidR="006A358A">
        <w:t>ai</w:t>
      </w:r>
      <w:r w:rsidRPr="00966D80">
        <w:t xml:space="preserve">. </w:t>
      </w:r>
      <w:r w:rsidR="006A358A">
        <w:t xml:space="preserve">Katrai nākamajai kvintiļu grupai rezultātu izmaiņu līkne atkārto galveno tendenci, taču finanšu iemeslu nozīme samazinās. Aplūkojot 2017. gada rezultātus, 9,6% iedzīvotāji ar ienākumiem 1. </w:t>
      </w:r>
      <w:r w:rsidR="007653C9">
        <w:t>k</w:t>
      </w:r>
      <w:r w:rsidR="006A358A">
        <w:t xml:space="preserve">vintiļu grupā minēja finansiālos iemeslus kā galveno traucēkli; tas bija arī svarīgākais iemesls 6,5% personu 2. </w:t>
      </w:r>
      <w:r w:rsidR="007653C9">
        <w:t>k</w:t>
      </w:r>
      <w:r w:rsidR="006A358A">
        <w:t xml:space="preserve">vintiļu grupā, 3,8% </w:t>
      </w:r>
      <w:r w:rsidR="007653C9">
        <w:t xml:space="preserve">personu </w:t>
      </w:r>
      <w:r w:rsidR="006A358A">
        <w:t xml:space="preserve">3. </w:t>
      </w:r>
      <w:r w:rsidR="007653C9">
        <w:t>k</w:t>
      </w:r>
      <w:r w:rsidR="006A358A">
        <w:t>vintiļu grupā, 1,9</w:t>
      </w:r>
      <w:r w:rsidR="007653C9">
        <w:t>%</w:t>
      </w:r>
      <w:r w:rsidR="006A358A">
        <w:t xml:space="preserve"> – 4. </w:t>
      </w:r>
      <w:r w:rsidR="007653C9">
        <w:t>k</w:t>
      </w:r>
      <w:r w:rsidR="006A358A">
        <w:t>vintiļu grupā un 1%</w:t>
      </w:r>
      <w:r w:rsidR="007653C9">
        <w:t xml:space="preserve"> personu</w:t>
      </w:r>
      <w:r w:rsidR="006A358A">
        <w:t xml:space="preserve"> </w:t>
      </w:r>
      <w:r w:rsidR="007653C9">
        <w:t>5</w:t>
      </w:r>
      <w:r w:rsidR="006A358A">
        <w:t xml:space="preserve">. </w:t>
      </w:r>
      <w:r w:rsidR="007653C9">
        <w:t>k</w:t>
      </w:r>
      <w:r w:rsidR="006A358A">
        <w:t>vintiļu grupā.</w:t>
      </w:r>
    </w:p>
    <w:bookmarkStart w:id="404" w:name="_Toc6219204"/>
    <w:bookmarkStart w:id="405" w:name="_Toc6220147"/>
    <w:p w:rsidR="0007337F" w:rsidRPr="00966D80" w:rsidRDefault="00AD3EDD" w:rsidP="00F13B93">
      <w:pPr>
        <w:pStyle w:val="Caption"/>
      </w:pPr>
      <w:r>
        <w:lastRenderedPageBreak/>
        <w:fldChar w:fldCharType="begin"/>
      </w:r>
      <w:r w:rsidR="006B5456">
        <w:instrText xml:space="preserve"> STYLEREF 1 \s </w:instrText>
      </w:r>
      <w:r>
        <w:fldChar w:fldCharType="separate"/>
      </w:r>
      <w:bookmarkStart w:id="406" w:name="_Toc6855799"/>
      <w:r w:rsidR="00224B50">
        <w:rPr>
          <w:noProof/>
        </w:rPr>
        <w:t>2</w:t>
      </w:r>
      <w:r>
        <w:fldChar w:fldCharType="end"/>
      </w:r>
      <w:r w:rsidR="006B5456">
        <w:t>.</w:t>
      </w:r>
      <w:r>
        <w:fldChar w:fldCharType="begin"/>
      </w:r>
      <w:r w:rsidR="000F1524">
        <w:instrText xml:space="preserve"> SEQ Ilustrācija \* ARABIC \s 1 </w:instrText>
      </w:r>
      <w:r>
        <w:fldChar w:fldCharType="separate"/>
      </w:r>
      <w:r w:rsidR="00224B50">
        <w:rPr>
          <w:noProof/>
        </w:rPr>
        <w:t>11</w:t>
      </w:r>
      <w:r>
        <w:rPr>
          <w:noProof/>
        </w:rPr>
        <w:fldChar w:fldCharType="end"/>
      </w:r>
      <w:r w:rsidR="00264478">
        <w:t xml:space="preserve">. attēls. </w:t>
      </w:r>
      <w:r w:rsidR="0007337F" w:rsidRPr="00966D80">
        <w:t xml:space="preserve">Pārbaužu veikšana vai ārstēšanās pie medicīnas speciālista (izņemot zobārstu) un apstākļi, kas traucējuši veikt pārbaudes vai ārstēšanos </w:t>
      </w:r>
      <w:r w:rsidR="0007337F" w:rsidRPr="00D3739C">
        <w:t>16</w:t>
      </w:r>
      <w:r w:rsidR="0007337F" w:rsidRPr="00966D80">
        <w:t xml:space="preserve"> gadus veciem un vecākiem (%). Neveica pārbaudi vai ārstēšanos, jo nevarēja to atļauties</w:t>
      </w:r>
      <w:r w:rsidR="006A358A">
        <w:t>,</w:t>
      </w:r>
      <w:r w:rsidR="0007337F">
        <w:t> kvint</w:t>
      </w:r>
      <w:r w:rsidR="0007337F" w:rsidRPr="00966D80">
        <w:t>iļu grupu griezumā</w:t>
      </w:r>
      <w:bookmarkEnd w:id="404"/>
      <w:bookmarkEnd w:id="405"/>
      <w:bookmarkEnd w:id="406"/>
    </w:p>
    <w:p w:rsidR="0007337F" w:rsidRDefault="00B34639" w:rsidP="00064C1E">
      <w:pPr>
        <w:jc w:val="center"/>
      </w:pPr>
      <w:r w:rsidRPr="00B34639">
        <w:rPr>
          <w:noProof/>
        </w:rPr>
        <w:drawing>
          <wp:inline distT="0" distB="0" distL="0" distR="0">
            <wp:extent cx="6154420" cy="3768012"/>
            <wp:effectExtent l="19050" t="0" r="0" b="0"/>
            <wp:docPr id="152"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4"/>
                    <a:srcRect/>
                    <a:stretch>
                      <a:fillRect/>
                    </a:stretch>
                  </pic:blipFill>
                  <pic:spPr bwMode="auto">
                    <a:xfrm>
                      <a:off x="0" y="0"/>
                      <a:ext cx="6154420" cy="3768012"/>
                    </a:xfrm>
                    <a:prstGeom prst="rect">
                      <a:avLst/>
                    </a:prstGeom>
                    <a:noFill/>
                    <a:ln w="9525">
                      <a:noFill/>
                      <a:miter lim="800000"/>
                      <a:headEnd/>
                      <a:tailEnd/>
                    </a:ln>
                  </pic:spPr>
                </pic:pic>
              </a:graphicData>
            </a:graphic>
          </wp:inline>
        </w:drawing>
      </w:r>
    </w:p>
    <w:p w:rsidR="0007337F" w:rsidRPr="0067470E" w:rsidRDefault="0067470E" w:rsidP="005A62EE">
      <w:pPr>
        <w:spacing w:line="240" w:lineRule="auto"/>
        <w:rPr>
          <w:sz w:val="20"/>
          <w:szCs w:val="20"/>
        </w:rPr>
      </w:pPr>
      <w:r w:rsidRPr="0067470E">
        <w:rPr>
          <w:sz w:val="20"/>
          <w:szCs w:val="20"/>
        </w:rPr>
        <w:t>Avots: CSP, “VPG071. Pārbaužu veikšana vai ārstēšanās pie medicīnas speciālista (izņemot zobārstu) un apstākļi, kas traucējuši veikt pārbaudes vai ārstēšanos 16 gadus veciem un vecākiem iedzīvotājiem (%)”.</w:t>
      </w:r>
    </w:p>
    <w:p w:rsidR="0067470E" w:rsidRPr="00966D80" w:rsidRDefault="0067470E" w:rsidP="00064C1E"/>
    <w:p w:rsidR="0007337F" w:rsidRPr="00966D80" w:rsidRDefault="00930DB4" w:rsidP="00064C1E">
      <w:r>
        <w:t>Šie rezultāti pilsētu un lauku griezumā atkārto tendenci, kas tika novērota, vērtējot to personu īpatsvaru, kuras gada laikā vismaz reizi nav vērušās pie ārsta, lai gan bijusi vajadzība. Tādējādi laika posmā</w:t>
      </w:r>
      <w:r w:rsidR="0007337F" w:rsidRPr="00966D80">
        <w:t xml:space="preserve"> </w:t>
      </w:r>
      <w:r>
        <w:t>n</w:t>
      </w:r>
      <w:r w:rsidR="0007337F" w:rsidRPr="00966D80">
        <w:t>o 2009. līdz 2015</w:t>
      </w:r>
      <w:r w:rsidR="0007337F">
        <w:t>. gada</w:t>
      </w:r>
      <w:r w:rsidR="0007337F" w:rsidRPr="00966D80">
        <w:t>m tieši pilsētās situācija, ka</w:t>
      </w:r>
      <w:r>
        <w:t>d</w:t>
      </w:r>
      <w:r w:rsidR="0007337F" w:rsidRPr="00966D80">
        <w:t xml:space="preserve"> finansiālie apstākļi traucēja personai veikt medicīnisko pārbaudi vai ārstēšanos</w:t>
      </w:r>
      <w:r w:rsidR="00264478">
        <w:t>,</w:t>
      </w:r>
      <w:r w:rsidR="0007337F" w:rsidRPr="00966D80">
        <w:t xml:space="preserve"> bija </w:t>
      </w:r>
      <w:r w:rsidRPr="00966D80">
        <w:t xml:space="preserve">sastopami </w:t>
      </w:r>
      <w:r w:rsidR="0007337F" w:rsidRPr="00966D80">
        <w:t>biežāk. Sākot ar 2015</w:t>
      </w:r>
      <w:r w:rsidR="0007337F">
        <w:t>. gadu</w:t>
      </w:r>
      <w:r w:rsidR="0007337F" w:rsidRPr="00966D80">
        <w:t>, dati rāda pretēju situāciju, ka laukos cilvēku skaits, kuri finansiālu iemeslu dēļ nevarēja veikt medicīnisku pārbaudi vai procedūru</w:t>
      </w:r>
      <w:r>
        <w:t>,</w:t>
      </w:r>
      <w:r w:rsidR="0007337F" w:rsidRPr="00966D80">
        <w:t xml:space="preserve"> bija lielāks, 2015</w:t>
      </w:r>
      <w:r w:rsidR="0007337F">
        <w:t>. gadā</w:t>
      </w:r>
      <w:r w:rsidR="0007337F" w:rsidRPr="00966D80">
        <w:t xml:space="preserve"> 7,4% </w:t>
      </w:r>
      <w:r>
        <w:t>lauku iedzīvotāju (</w:t>
      </w:r>
      <w:r w:rsidR="0007337F" w:rsidRPr="00966D80">
        <w:t>pret pilsētu 6,6%</w:t>
      </w:r>
      <w:r>
        <w:t>) un</w:t>
      </w:r>
      <w:r w:rsidR="0007337F" w:rsidRPr="00966D80">
        <w:t xml:space="preserve"> 2016</w:t>
      </w:r>
      <w:r w:rsidR="0007337F">
        <w:t>. gadā</w:t>
      </w:r>
      <w:r w:rsidR="0007337F" w:rsidRPr="00966D80">
        <w:t xml:space="preserve"> 6,4% </w:t>
      </w:r>
      <w:r>
        <w:t>lauku (</w:t>
      </w:r>
      <w:r w:rsidR="0007337F" w:rsidRPr="00966D80">
        <w:t>pret pilsētu 4,8%</w:t>
      </w:r>
      <w:r>
        <w:t>).</w:t>
      </w:r>
      <w:r w:rsidR="0007337F" w:rsidRPr="00966D80">
        <w:t xml:space="preserve"> 2017</w:t>
      </w:r>
      <w:r w:rsidR="0007337F">
        <w:t>. gadā</w:t>
      </w:r>
      <w:r w:rsidR="0007337F" w:rsidRPr="00966D80">
        <w:t xml:space="preserve"> </w:t>
      </w:r>
      <w:r>
        <w:t>šī iemesla minēšanas biežums pilsētu un lauku iedzīvotāju vidū kļūst vienāds</w:t>
      </w:r>
      <w:r w:rsidR="0007337F" w:rsidRPr="00966D80">
        <w:t>.</w:t>
      </w:r>
    </w:p>
    <w:p w:rsidR="0007337F" w:rsidRPr="00966D80" w:rsidRDefault="0007337F" w:rsidP="00064C1E"/>
    <w:p w:rsidR="0007337F" w:rsidRPr="00966D80" w:rsidRDefault="00E34FAF" w:rsidP="00064C1E">
      <w:r>
        <w:t>D</w:t>
      </w:r>
      <w:r w:rsidR="000B72CD">
        <w:t>zimumu griezumā</w:t>
      </w:r>
      <w:r>
        <w:t xml:space="preserve"> redzams, ka</w:t>
      </w:r>
      <w:r w:rsidR="0007337F" w:rsidRPr="00966D80">
        <w:t xml:space="preserve"> </w:t>
      </w:r>
      <w:r>
        <w:t>kopumā s</w:t>
      </w:r>
      <w:r w:rsidR="0007337F" w:rsidRPr="00966D80">
        <w:t>ieviet</w:t>
      </w:r>
      <w:r>
        <w:t>ēm raksturīgs neveikt</w:t>
      </w:r>
      <w:r w:rsidR="0007337F" w:rsidRPr="00966D80">
        <w:t xml:space="preserve"> medicīnisku procedūru vai ārstēšanos</w:t>
      </w:r>
      <w:r w:rsidR="0007337F" w:rsidRPr="00F53AFC">
        <w:t xml:space="preserve"> </w:t>
      </w:r>
      <w:r w:rsidR="0007337F" w:rsidRPr="00966D80">
        <w:t>finansiālu apsvērumu</w:t>
      </w:r>
      <w:r w:rsidR="0007337F">
        <w:t xml:space="preserve"> dēļ</w:t>
      </w:r>
      <w:r w:rsidRPr="00E34FAF">
        <w:t xml:space="preserve"> </w:t>
      </w:r>
      <w:r w:rsidRPr="00966D80">
        <w:t>biežāk</w:t>
      </w:r>
      <w:r>
        <w:t xml:space="preserve"> nekā vīriešiem</w:t>
      </w:r>
      <w:r w:rsidR="0007337F" w:rsidRPr="00966D80">
        <w:t xml:space="preserve">. </w:t>
      </w:r>
      <w:r>
        <w:t>Kopējā iemesla minēšanas biežuma līkne ir līdzīga citiem datiem, un</w:t>
      </w:r>
      <w:r w:rsidR="0007337F" w:rsidRPr="00966D80">
        <w:t xml:space="preserve"> 2017</w:t>
      </w:r>
      <w:r w:rsidR="0007337F">
        <w:t>. gadā</w:t>
      </w:r>
      <w:r w:rsidR="0007337F" w:rsidRPr="00966D80">
        <w:t xml:space="preserve"> abos gadījumos šie rādītāji sasniedza zemāk</w:t>
      </w:r>
      <w:r w:rsidR="0007337F">
        <w:t>o</w:t>
      </w:r>
      <w:r w:rsidR="0007337F" w:rsidRPr="00966D80">
        <w:t xml:space="preserve"> punktu</w:t>
      </w:r>
      <w:r w:rsidR="0007337F">
        <w:t>:</w:t>
      </w:r>
      <w:r w:rsidR="0007337F" w:rsidRPr="00966D80">
        <w:t xml:space="preserve"> 3,7% vīriešu norādīja, ka </w:t>
      </w:r>
      <w:r w:rsidR="0007337F">
        <w:t>nav veikuši</w:t>
      </w:r>
      <w:r w:rsidR="0007337F" w:rsidRPr="00966D80">
        <w:t xml:space="preserve"> kādu medicīnisku procedūru vai ārstēšanos</w:t>
      </w:r>
      <w:r w:rsidR="0007337F" w:rsidRPr="00F53AFC">
        <w:t xml:space="preserve"> </w:t>
      </w:r>
      <w:r w:rsidR="0007337F" w:rsidRPr="00966D80">
        <w:t>finansiālu</w:t>
      </w:r>
      <w:r w:rsidR="0007337F">
        <w:t xml:space="preserve"> iemeslu dēļ</w:t>
      </w:r>
      <w:r w:rsidR="0007337F" w:rsidRPr="00966D80">
        <w:t xml:space="preserve">, kamēr sievietēm šis </w:t>
      </w:r>
      <w:r w:rsidR="0007337F">
        <w:t>rādītāj</w:t>
      </w:r>
      <w:r w:rsidR="0007337F" w:rsidRPr="00966D80">
        <w:t>s bija 5%.</w:t>
      </w:r>
    </w:p>
    <w:p w:rsidR="00E93805" w:rsidRDefault="00E93805" w:rsidP="00064C1E"/>
    <w:p w:rsidR="0007337F" w:rsidRPr="00966D80" w:rsidRDefault="009E2E3C" w:rsidP="00064C1E">
      <w:r>
        <w:t>P</w:t>
      </w:r>
      <w:r w:rsidR="00E93805">
        <w:t xml:space="preserve">ieaugot </w:t>
      </w:r>
      <w:r w:rsidR="0007337F" w:rsidRPr="00966D80">
        <w:t xml:space="preserve">vecumam, palielinās iespēja, ka persona </w:t>
      </w:r>
      <w:r w:rsidR="000B72CD">
        <w:t xml:space="preserve">neveiks </w:t>
      </w:r>
      <w:r w:rsidR="000B72CD" w:rsidRPr="00966D80">
        <w:t>kādu medicīnisku procedūru vai ārstēšanos</w:t>
      </w:r>
      <w:r w:rsidR="000B72CD" w:rsidRPr="00F53AFC">
        <w:t xml:space="preserve"> </w:t>
      </w:r>
      <w:r w:rsidR="000B72CD" w:rsidRPr="00966D80">
        <w:t>finansiālu</w:t>
      </w:r>
      <w:r w:rsidR="000B72CD">
        <w:t xml:space="preserve"> iemeslu dēļ</w:t>
      </w:r>
      <w:r w:rsidR="0007337F" w:rsidRPr="00966D80">
        <w:t xml:space="preserve">. </w:t>
      </w:r>
      <w:r w:rsidR="00E93805">
        <w:t xml:space="preserve">Tā </w:t>
      </w:r>
      <w:r w:rsidR="0007337F" w:rsidRPr="00966D80">
        <w:t>2017.</w:t>
      </w:r>
      <w:r w:rsidR="00DE1C08">
        <w:t xml:space="preserve"> </w:t>
      </w:r>
      <w:r w:rsidR="0007337F" w:rsidRPr="00966D80">
        <w:t>gad</w:t>
      </w:r>
      <w:r w:rsidR="00E93805">
        <w:t>ā</w:t>
      </w:r>
      <w:r w:rsidR="0007337F" w:rsidRPr="00966D80">
        <w:t xml:space="preserve"> vecuma grupā </w:t>
      </w:r>
      <w:r w:rsidR="0007337F">
        <w:t xml:space="preserve">no 16 līdz </w:t>
      </w:r>
      <w:r w:rsidR="0007337F" w:rsidRPr="00966D80">
        <w:t>24 gad</w:t>
      </w:r>
      <w:r w:rsidR="0007337F">
        <w:t xml:space="preserve">iem </w:t>
      </w:r>
      <w:r w:rsidR="0007337F" w:rsidRPr="00966D80">
        <w:t xml:space="preserve">1,8% personu bija šāda problēma, pēc tam, </w:t>
      </w:r>
      <w:r w:rsidR="0007337F">
        <w:t xml:space="preserve">pieaugot </w:t>
      </w:r>
      <w:r w:rsidR="0007337F" w:rsidRPr="00966D80">
        <w:t xml:space="preserve">vecumam, redzams, ka šo personu īpatsvars turpina pieaugt, </w:t>
      </w:r>
      <w:r w:rsidR="0007337F" w:rsidRPr="00966D80">
        <w:lastRenderedPageBreak/>
        <w:t>līdz vecuma grupā 55</w:t>
      </w:r>
      <w:r w:rsidR="0007337F">
        <w:t>–</w:t>
      </w:r>
      <w:r w:rsidR="0007337F" w:rsidRPr="00966D80">
        <w:t>64 tas sasniedz 6</w:t>
      </w:r>
      <w:r>
        <w:t>,</w:t>
      </w:r>
      <w:r w:rsidR="0007337F" w:rsidRPr="00966D80">
        <w:t>4%, bet pēc tam, šim rādītājam atkal ir tendence kristies un vecuma grupā, kurā ietilpst 65 gadus vecāki cilvēki 5,6% saskārās ar šo problēmu.</w:t>
      </w:r>
    </w:p>
    <w:p w:rsidR="0007337F" w:rsidRPr="00966D80" w:rsidRDefault="00C011F1" w:rsidP="00064C1E">
      <w:r>
        <w:t>Tā kā zobu veselība un iespējas veikt savlaicīgu ārstēšanu pie zobārsta ir viena no jomām, kurā visbiežāk starptautiski ir novērota nevienlīdzība, t</w:t>
      </w:r>
      <w:r w:rsidR="000B72CD">
        <w:t>urpinājumā EU-S</w:t>
      </w:r>
      <w:r w:rsidR="00E93805">
        <w:t>I</w:t>
      </w:r>
      <w:r w:rsidR="000B72CD">
        <w:t xml:space="preserve">LC dati izmantoti, lai </w:t>
      </w:r>
      <w:r>
        <w:t xml:space="preserve">novērtētu, cik bieži Latvijas iedzīvotāji sastopas ar gadījumiem, kad viņiem ir bijusi nepieciešama pārbaude vai ārstēšanās pie zobārsta, taču tā nav veikta (2.12. un 2.13. attēls), un cik liela nozīme šajā situācijā bija pakalpojuma dārdzībai (2.2. tabula). </w:t>
      </w:r>
      <w:r w:rsidR="009E2E3C">
        <w:t xml:space="preserve">Šie rādītāji Latvijas situācijā ir būtiski arī tādēļ, ka </w:t>
      </w:r>
      <w:r w:rsidR="009E2E3C" w:rsidRPr="00885437">
        <w:t xml:space="preserve">pieaugušajiem zobārstniecība ir maksas pakalpojums. </w:t>
      </w:r>
      <w:r w:rsidR="0009657F" w:rsidRPr="00885437">
        <w:t xml:space="preserve">Tā kā saskaņā ar EU-SILC metodoloģiju aptaujā tiek aptverti iedzīvotāji no 16 gadu vecuma, t.i., pēc darbspējas vecuma sasniegšanas, savukārt </w:t>
      </w:r>
      <w:r w:rsidR="00885437" w:rsidRPr="00885437">
        <w:t xml:space="preserve">Latvijā iedzīvotāju </w:t>
      </w:r>
      <w:r w:rsidR="0009657F" w:rsidRPr="00885437">
        <w:t xml:space="preserve">vecuma grupā līdz 18 gadiem zobārstniecība ir </w:t>
      </w:r>
      <w:r w:rsidR="00885437" w:rsidRPr="00885437">
        <w:t>valsts budžeta līdzekļu apmaksāts</w:t>
      </w:r>
      <w:r w:rsidR="0009657F" w:rsidRPr="00885437">
        <w:t xml:space="preserve"> pakalpojums, izslēdzot šo grupu no datiem, </w:t>
      </w:r>
      <w:r w:rsidR="00885437" w:rsidRPr="00885437">
        <w:t xml:space="preserve">2.12. un 2.13. attēlā redzamais zobārstniecības neapmeklēšanas īpatsvars pilngadību sasniegušo personu grupā </w:t>
      </w:r>
      <w:r w:rsidR="0009657F" w:rsidRPr="00885437">
        <w:t xml:space="preserve">būtu </w:t>
      </w:r>
      <w:r w:rsidR="00885437">
        <w:t xml:space="preserve">vēl </w:t>
      </w:r>
      <w:r w:rsidR="00885437" w:rsidRPr="00885437">
        <w:t>augstāks</w:t>
      </w:r>
      <w:r w:rsidR="0009657F" w:rsidRPr="00885437">
        <w:t>.</w:t>
      </w:r>
      <w:r w:rsidR="0009657F">
        <w:t xml:space="preserve"> </w:t>
      </w:r>
      <w:r w:rsidR="0007337F" w:rsidRPr="00966D80">
        <w:t>Apskatot datus</w:t>
      </w:r>
      <w:r w:rsidR="00DF4932">
        <w:t>,</w:t>
      </w:r>
      <w:r w:rsidR="0007337F" w:rsidRPr="00966D80">
        <w:t xml:space="preserve"> jāņem vērā piezīme par laika rindas pārrāvumu 2015</w:t>
      </w:r>
      <w:r w:rsidR="0007337F">
        <w:t>. gadā</w:t>
      </w:r>
      <w:r w:rsidR="0007337F" w:rsidRPr="00966D80">
        <w:t xml:space="preserve"> saistībā ar izmaiņām metodoloģijā, līdz ar to visu periodu no 2009. līdz 2017</w:t>
      </w:r>
      <w:r w:rsidR="0007337F">
        <w:t>. gada</w:t>
      </w:r>
      <w:r w:rsidR="0007337F" w:rsidRPr="00966D80">
        <w:t>m nevar skatīt vienoti.</w:t>
      </w:r>
    </w:p>
    <w:bookmarkStart w:id="407" w:name="_Toc6219205"/>
    <w:bookmarkStart w:id="408" w:name="_Toc6220148"/>
    <w:p w:rsidR="0007337F" w:rsidRPr="00966D80" w:rsidRDefault="00AD3EDD" w:rsidP="00F13B93">
      <w:pPr>
        <w:pStyle w:val="Caption"/>
      </w:pPr>
      <w:r>
        <w:fldChar w:fldCharType="begin"/>
      </w:r>
      <w:r w:rsidR="006B5456">
        <w:instrText xml:space="preserve"> STYLEREF 1 \s </w:instrText>
      </w:r>
      <w:r>
        <w:fldChar w:fldCharType="separate"/>
      </w:r>
      <w:bookmarkStart w:id="409" w:name="_Toc6855800"/>
      <w:r w:rsidR="00224B50">
        <w:rPr>
          <w:noProof/>
        </w:rPr>
        <w:t>2</w:t>
      </w:r>
      <w:r>
        <w:fldChar w:fldCharType="end"/>
      </w:r>
      <w:r w:rsidR="006B5456">
        <w:t>.</w:t>
      </w:r>
      <w:r>
        <w:fldChar w:fldCharType="begin"/>
      </w:r>
      <w:r w:rsidR="000F1524">
        <w:instrText xml:space="preserve"> SEQ Ilustrācija \* ARABIC \s 1 </w:instrText>
      </w:r>
      <w:r>
        <w:fldChar w:fldCharType="separate"/>
      </w:r>
      <w:r w:rsidR="00224B50">
        <w:rPr>
          <w:noProof/>
        </w:rPr>
        <w:t>12</w:t>
      </w:r>
      <w:r>
        <w:rPr>
          <w:noProof/>
        </w:rPr>
        <w:fldChar w:fldCharType="end"/>
      </w:r>
      <w:r w:rsidR="00264478">
        <w:t xml:space="preserve">. attēls. </w:t>
      </w:r>
      <w:r w:rsidR="0007337F" w:rsidRPr="00966D80">
        <w:t xml:space="preserve">Zobārsta apmeklējumi un zobārsta neapmeklēšanas iemesls 16 gadus veciem un vecākiem iedzīvotājiem (%). Bija vismaz viens </w:t>
      </w:r>
      <w:r w:rsidR="0007337F" w:rsidRPr="00D3739C">
        <w:t>gadījums</w:t>
      </w:r>
      <w:r w:rsidR="0007337F" w:rsidRPr="00966D80">
        <w:t xml:space="preserve">, kad neveica </w:t>
      </w:r>
      <w:r w:rsidR="00C011F1">
        <w:t xml:space="preserve">personai </w:t>
      </w:r>
      <w:r w:rsidR="0007337F" w:rsidRPr="00966D80">
        <w:t>nepieciešamo pārbaudi vai ārstēšanos pie zobārsta. Visas personas vecumā no 16 gadiem</w:t>
      </w:r>
      <w:bookmarkEnd w:id="407"/>
      <w:bookmarkEnd w:id="408"/>
      <w:bookmarkEnd w:id="409"/>
    </w:p>
    <w:p w:rsidR="0007337F" w:rsidRDefault="00842D28" w:rsidP="00064C1E">
      <w:pPr>
        <w:jc w:val="center"/>
      </w:pPr>
      <w:r w:rsidRPr="00842D28">
        <w:rPr>
          <w:noProof/>
        </w:rPr>
        <w:drawing>
          <wp:inline distT="0" distB="0" distL="0" distR="0">
            <wp:extent cx="6154420" cy="3796461"/>
            <wp:effectExtent l="19050" t="0" r="0" b="0"/>
            <wp:docPr id="12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5"/>
                    <a:srcRect/>
                    <a:stretch>
                      <a:fillRect/>
                    </a:stretch>
                  </pic:blipFill>
                  <pic:spPr bwMode="auto">
                    <a:xfrm>
                      <a:off x="0" y="0"/>
                      <a:ext cx="6154420" cy="3796461"/>
                    </a:xfrm>
                    <a:prstGeom prst="rect">
                      <a:avLst/>
                    </a:prstGeom>
                    <a:noFill/>
                    <a:ln w="9525">
                      <a:noFill/>
                      <a:miter lim="800000"/>
                      <a:headEnd/>
                      <a:tailEnd/>
                    </a:ln>
                  </pic:spPr>
                </pic:pic>
              </a:graphicData>
            </a:graphic>
          </wp:inline>
        </w:drawing>
      </w:r>
    </w:p>
    <w:p w:rsidR="0007337F" w:rsidRPr="0067470E" w:rsidRDefault="0067470E" w:rsidP="005A62EE">
      <w:pPr>
        <w:spacing w:line="240" w:lineRule="auto"/>
        <w:rPr>
          <w:sz w:val="20"/>
          <w:szCs w:val="20"/>
        </w:rPr>
      </w:pPr>
      <w:r w:rsidRPr="0067470E">
        <w:rPr>
          <w:sz w:val="20"/>
          <w:szCs w:val="20"/>
        </w:rPr>
        <w:t>Avots: CSP, “VPG091. Zobārsta apmeklējumi un zobārsta neapmeklēšanas iemesls 16 gadus veciem un vecākiem iedzīvotājiem (%)”.</w:t>
      </w:r>
    </w:p>
    <w:p w:rsidR="0067470E" w:rsidRPr="0067470E" w:rsidRDefault="0067470E" w:rsidP="00064C1E">
      <w:pPr>
        <w:rPr>
          <w:sz w:val="20"/>
          <w:szCs w:val="20"/>
        </w:rPr>
      </w:pPr>
    </w:p>
    <w:p w:rsidR="0007337F" w:rsidRPr="00966D80" w:rsidRDefault="00984C0D" w:rsidP="00064C1E">
      <w:r w:rsidRPr="00984C0D">
        <w:t>Ekonomiskās recesijas apstākļos</w:t>
      </w:r>
      <w:r w:rsidR="0007337F" w:rsidRPr="00984C0D">
        <w:t xml:space="preserve"> no 2009. līdz 2011. gadam </w:t>
      </w:r>
      <w:r w:rsidRPr="00984C0D">
        <w:t>to iedzīvotāju īpatsvars</w:t>
      </w:r>
      <w:r w:rsidR="0007337F" w:rsidRPr="00984C0D">
        <w:t xml:space="preserve">, kuriem bijis vismaz viens gadījums, kad netika veikta </w:t>
      </w:r>
      <w:r w:rsidR="00955717" w:rsidRPr="00984C0D">
        <w:t xml:space="preserve">personai nepieciešamā </w:t>
      </w:r>
      <w:r w:rsidR="0007337F" w:rsidRPr="00984C0D">
        <w:t>medicīniskā pārbaude va</w:t>
      </w:r>
      <w:r w:rsidR="000B72CD" w:rsidRPr="00984C0D">
        <w:t>i</w:t>
      </w:r>
      <w:r w:rsidR="0007337F" w:rsidRPr="00984C0D">
        <w:t xml:space="preserve"> ārstēšanās pie zobārsta, </w:t>
      </w:r>
      <w:r w:rsidRPr="00984C0D">
        <w:t>pieauga</w:t>
      </w:r>
      <w:r w:rsidR="0007337F" w:rsidRPr="00984C0D">
        <w:t xml:space="preserve"> no 16,4% līdz 23%. </w:t>
      </w:r>
      <w:r w:rsidRPr="00984C0D">
        <w:t>Kopš 2015. gada šis rādītājs ir samazinājies līdz</w:t>
      </w:r>
      <w:r w:rsidR="0007337F" w:rsidRPr="00984C0D">
        <w:t xml:space="preserve"> 16,7%, ko var skaidrot </w:t>
      </w:r>
      <w:r w:rsidRPr="00984C0D">
        <w:t xml:space="preserve">arī </w:t>
      </w:r>
      <w:r w:rsidR="0007337F" w:rsidRPr="00984C0D">
        <w:t>ar izmaiņām metodoloģijā un tam sekojošo laika lī</w:t>
      </w:r>
      <w:r w:rsidR="00955717" w:rsidRPr="00984C0D">
        <w:t>k</w:t>
      </w:r>
      <w:r w:rsidR="0007337F" w:rsidRPr="00984C0D">
        <w:t>n</w:t>
      </w:r>
      <w:r w:rsidR="00955717" w:rsidRPr="00984C0D">
        <w:t>e</w:t>
      </w:r>
      <w:r w:rsidR="0007337F" w:rsidRPr="00984C0D">
        <w:t xml:space="preserve">s pārrāvumu. No </w:t>
      </w:r>
      <w:r w:rsidR="0007337F" w:rsidRPr="00984C0D">
        <w:lastRenderedPageBreak/>
        <w:t xml:space="preserve">2015. līdz 2017. gadam šis rādītājs bijis 16,5 – </w:t>
      </w:r>
      <w:r w:rsidR="00955717" w:rsidRPr="00984C0D">
        <w:t>16,8% robežās, kas nozīmē, ka šāds iedzīvotāju īpatsvars vidēji gadā nav vērsies pie zobārsta, lai gan izjutis tādu vajadzību</w:t>
      </w:r>
      <w:r w:rsidR="009E2E3C" w:rsidRPr="00984C0D">
        <w:t xml:space="preserve"> (sk.</w:t>
      </w:r>
      <w:r w:rsidR="005408FC">
        <w:t xml:space="preserve"> 2.12</w:t>
      </w:r>
      <w:r w:rsidR="009E2E3C" w:rsidRPr="00984C0D">
        <w:t>. attēlu)</w:t>
      </w:r>
      <w:r w:rsidRPr="00984C0D">
        <w:t>.</w:t>
      </w:r>
    </w:p>
    <w:bookmarkStart w:id="410" w:name="_Toc6219206"/>
    <w:bookmarkStart w:id="411" w:name="_Toc6220149"/>
    <w:p w:rsidR="0007337F" w:rsidRPr="00966D80" w:rsidRDefault="00AD3EDD" w:rsidP="00F13B93">
      <w:pPr>
        <w:pStyle w:val="Caption"/>
      </w:pPr>
      <w:r>
        <w:fldChar w:fldCharType="begin"/>
      </w:r>
      <w:r w:rsidR="006B5456">
        <w:instrText xml:space="preserve"> STYLEREF 1 \s </w:instrText>
      </w:r>
      <w:r>
        <w:fldChar w:fldCharType="separate"/>
      </w:r>
      <w:bookmarkStart w:id="412" w:name="_Toc6855801"/>
      <w:r w:rsidR="00224B50">
        <w:rPr>
          <w:noProof/>
        </w:rPr>
        <w:t>2</w:t>
      </w:r>
      <w:r>
        <w:fldChar w:fldCharType="end"/>
      </w:r>
      <w:r w:rsidR="006B5456">
        <w:t>.</w:t>
      </w:r>
      <w:r>
        <w:fldChar w:fldCharType="begin"/>
      </w:r>
      <w:r w:rsidR="000F1524">
        <w:instrText xml:space="preserve"> SEQ Ilustrācija \* ARABIC \s 1 </w:instrText>
      </w:r>
      <w:r>
        <w:fldChar w:fldCharType="separate"/>
      </w:r>
      <w:r w:rsidR="00224B50">
        <w:rPr>
          <w:noProof/>
        </w:rPr>
        <w:t>13</w:t>
      </w:r>
      <w:r>
        <w:rPr>
          <w:noProof/>
        </w:rPr>
        <w:fldChar w:fldCharType="end"/>
      </w:r>
      <w:r w:rsidR="000B72CD">
        <w:t xml:space="preserve">. attēls. </w:t>
      </w:r>
      <w:r w:rsidR="0007337F" w:rsidRPr="00966D80">
        <w:t xml:space="preserve">Zobārsta apmeklējumi un zobārsta neapmeklēšanas iemesls 16 gadus veciem un vecākiem iedzīvotājiem (%). Bija vismaz viens gadījums, </w:t>
      </w:r>
      <w:r w:rsidR="0007337F" w:rsidRPr="00D3739C">
        <w:t>kad</w:t>
      </w:r>
      <w:r w:rsidR="0007337F" w:rsidRPr="00966D80">
        <w:t xml:space="preserve"> neveica nepieciešamo pārbaudi vai ārstēšanos</w:t>
      </w:r>
      <w:r w:rsidR="00681F27">
        <w:t>,</w:t>
      </w:r>
      <w:r w:rsidR="0007337F">
        <w:t> kvint</w:t>
      </w:r>
      <w:r w:rsidR="0007337F" w:rsidRPr="00966D80">
        <w:t>iļu grupu griezumā</w:t>
      </w:r>
      <w:bookmarkEnd w:id="410"/>
      <w:bookmarkEnd w:id="411"/>
      <w:bookmarkEnd w:id="412"/>
    </w:p>
    <w:p w:rsidR="0007337F" w:rsidRDefault="00842D28" w:rsidP="00064C1E">
      <w:pPr>
        <w:jc w:val="center"/>
      </w:pPr>
      <w:r w:rsidRPr="00842D28">
        <w:rPr>
          <w:noProof/>
        </w:rPr>
        <w:drawing>
          <wp:inline distT="0" distB="0" distL="0" distR="0">
            <wp:extent cx="6154420" cy="3248398"/>
            <wp:effectExtent l="19050" t="0" r="0" b="0"/>
            <wp:docPr id="13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6"/>
                    <a:srcRect/>
                    <a:stretch>
                      <a:fillRect/>
                    </a:stretch>
                  </pic:blipFill>
                  <pic:spPr bwMode="auto">
                    <a:xfrm>
                      <a:off x="0" y="0"/>
                      <a:ext cx="6154420" cy="3248398"/>
                    </a:xfrm>
                    <a:prstGeom prst="rect">
                      <a:avLst/>
                    </a:prstGeom>
                    <a:noFill/>
                    <a:ln w="9525">
                      <a:noFill/>
                      <a:miter lim="800000"/>
                      <a:headEnd/>
                      <a:tailEnd/>
                    </a:ln>
                  </pic:spPr>
                </pic:pic>
              </a:graphicData>
            </a:graphic>
          </wp:inline>
        </w:drawing>
      </w:r>
    </w:p>
    <w:p w:rsidR="0007337F" w:rsidRPr="0067470E" w:rsidRDefault="0067470E" w:rsidP="005A62EE">
      <w:pPr>
        <w:spacing w:line="240" w:lineRule="auto"/>
        <w:rPr>
          <w:sz w:val="20"/>
          <w:szCs w:val="20"/>
        </w:rPr>
      </w:pPr>
      <w:r w:rsidRPr="0067470E">
        <w:rPr>
          <w:sz w:val="20"/>
          <w:szCs w:val="20"/>
        </w:rPr>
        <w:t>Avots: CSP, “VPG091. Zobārsta apmeklējumi un zobārsta neapmeklēšanas iemesls 16 gadus veciem un vecākiem iedzīvotājiem (%)”.</w:t>
      </w:r>
    </w:p>
    <w:p w:rsidR="0067470E" w:rsidRPr="00966D80" w:rsidRDefault="0067470E" w:rsidP="00064C1E"/>
    <w:p w:rsidR="0007337F" w:rsidRDefault="002714B5" w:rsidP="00064C1E">
      <w:r>
        <w:t>Ienākuma k</w:t>
      </w:r>
      <w:r w:rsidR="0007337F" w:rsidRPr="00966D80">
        <w:t xml:space="preserve">vintiļu </w:t>
      </w:r>
      <w:r>
        <w:t xml:space="preserve">grupu </w:t>
      </w:r>
      <w:r w:rsidR="0007337F" w:rsidRPr="00966D80">
        <w:t xml:space="preserve">griezumā </w:t>
      </w:r>
      <w:r w:rsidR="000B72CD">
        <w:t>(</w:t>
      </w:r>
      <w:r w:rsidR="00922A20">
        <w:t>sk.</w:t>
      </w:r>
      <w:r w:rsidR="005408FC">
        <w:t xml:space="preserve"> 2.13</w:t>
      </w:r>
      <w:r w:rsidR="00922A20">
        <w:t>. attēlu</w:t>
      </w:r>
      <w:r w:rsidR="000B72CD">
        <w:t xml:space="preserve">) </w:t>
      </w:r>
      <w:r w:rsidR="0007337F" w:rsidRPr="00966D80">
        <w:t xml:space="preserve">situācija ir līdzīga kā iepriekš aprakstītajā gadījumā par ārsta apmeklējumu, </w:t>
      </w:r>
      <w:r>
        <w:t>tikai iedzīvotāju īpatsvars, kas nav vēr</w:t>
      </w:r>
      <w:r w:rsidR="0067470E">
        <w:t>s</w:t>
      </w:r>
      <w:r>
        <w:t>ušies pie zobārsta visās ienākumu grupās ir augstāks. Tas nozīmē, ka iedzīvotājiem raksturīgi atteikties no finansiāli ietilpīgāko veselības aprūpes vajadzību apmierināšanas. Kopējā t</w:t>
      </w:r>
      <w:r w:rsidR="0007337F" w:rsidRPr="00966D80">
        <w:t>endence rāda, ka</w:t>
      </w:r>
      <w:r>
        <w:t>,</w:t>
      </w:r>
      <w:r w:rsidR="0007337F" w:rsidRPr="00966D80">
        <w:t xml:space="preserve"> samazinoties personas turīgumam, palielinās iespēja, ka viņ</w:t>
      </w:r>
      <w:r>
        <w:t>a</w:t>
      </w:r>
      <w:r w:rsidR="0007337F" w:rsidRPr="00966D80">
        <w:t xml:space="preserve"> būs </w:t>
      </w:r>
      <w:r>
        <w:t>piedzīvojusi</w:t>
      </w:r>
      <w:r w:rsidR="0007337F" w:rsidRPr="00966D80">
        <w:t xml:space="preserve"> situāciju, kad nav veikta medicīniska pārbaude vai ārstēšanās pie zobārsta. 1</w:t>
      </w:r>
      <w:r w:rsidR="0007337F">
        <w:t>. kvint</w:t>
      </w:r>
      <w:r w:rsidR="0007337F" w:rsidRPr="00966D80">
        <w:t>iļu grupā, kurā iekļautas mazturīgākās personas, augstākais rādītājs sasnieg</w:t>
      </w:r>
      <w:r w:rsidR="0067470E">
        <w:t>t</w:t>
      </w:r>
      <w:r w:rsidR="0007337F" w:rsidRPr="00966D80">
        <w:t>s 2011</w:t>
      </w:r>
      <w:r w:rsidR="0007337F">
        <w:t>. gadā</w:t>
      </w:r>
      <w:r w:rsidR="0007337F" w:rsidRPr="00966D80">
        <w:t>, kad 38% šīs grupas personām bija vismaz viens šāds gadījums, tajā pašā gadā augstākais rādītājs</w:t>
      </w:r>
      <w:r w:rsidR="0007337F">
        <w:t xml:space="preserve"> – </w:t>
      </w:r>
      <w:r w:rsidR="0007337F" w:rsidRPr="00966D80">
        <w:t xml:space="preserve">11,5% </w:t>
      </w:r>
      <w:r>
        <w:t>–</w:t>
      </w:r>
      <w:r w:rsidR="0007337F" w:rsidRPr="00966D80">
        <w:t xml:space="preserve"> sasniegts arī turīgākajā jeb 5</w:t>
      </w:r>
      <w:r w:rsidR="0007337F">
        <w:t>. kvint</w:t>
      </w:r>
      <w:r w:rsidR="0007337F" w:rsidRPr="00966D80">
        <w:t>iļu grupā. Skatoties 201</w:t>
      </w:r>
      <w:r>
        <w:t>7</w:t>
      </w:r>
      <w:r w:rsidR="0007337F">
        <w:t>. gada</w:t>
      </w:r>
      <w:r w:rsidR="0007337F" w:rsidRPr="00966D80">
        <w:t xml:space="preserve"> </w:t>
      </w:r>
      <w:r>
        <w:t xml:space="preserve">datus, redzams, ka </w:t>
      </w:r>
      <w:r w:rsidR="0007337F" w:rsidRPr="00966D80">
        <w:t>5</w:t>
      </w:r>
      <w:r w:rsidR="0007337F">
        <w:t>. kvint</w:t>
      </w:r>
      <w:r w:rsidR="0007337F" w:rsidRPr="00966D80">
        <w:t xml:space="preserve">iļu grupā </w:t>
      </w:r>
      <w:r>
        <w:t>nepieciešamo zobārsta apmeklējumu neveica</w:t>
      </w:r>
      <w:r w:rsidR="0007337F" w:rsidRPr="00966D80">
        <w:t xml:space="preserve"> 7,5% </w:t>
      </w:r>
      <w:r>
        <w:t>iedzīvotāju, 4. kvintiļu grupā – 12,7%, 3. kvintiļu grupā – 16,3%, 2. kvintiļu grupā – 20,8% un 1. kvintiļu grupā – 27,6%.</w:t>
      </w:r>
      <w:r w:rsidR="00511978">
        <w:t xml:space="preserve"> </w:t>
      </w:r>
      <w:r w:rsidR="0007337F" w:rsidRPr="00966D80">
        <w:t>2017</w:t>
      </w:r>
      <w:r w:rsidR="0007337F">
        <w:t>. gadā</w:t>
      </w:r>
      <w:r w:rsidR="0007337F" w:rsidRPr="00966D80">
        <w:t xml:space="preserve"> 16,4% </w:t>
      </w:r>
      <w:r w:rsidR="00511978">
        <w:t>pilsētās dzīvojošo</w:t>
      </w:r>
      <w:r w:rsidR="0007337F" w:rsidRPr="00966D80">
        <w:t xml:space="preserve"> vismaz </w:t>
      </w:r>
      <w:r w:rsidR="00511978">
        <w:t>vienu reizi</w:t>
      </w:r>
      <w:r w:rsidR="0007337F" w:rsidRPr="00966D80">
        <w:t xml:space="preserve"> neveica nepieciešamo pārbaudi vai ārstēšanos</w:t>
      </w:r>
      <w:r w:rsidR="00511978">
        <w:t xml:space="preserve"> pie zobārsta</w:t>
      </w:r>
      <w:r w:rsidR="0007337F" w:rsidRPr="00966D80">
        <w:t>, kamēr laukos šis rādītājs bija par 3,5</w:t>
      </w:r>
      <w:r w:rsidR="00511978">
        <w:t xml:space="preserve"> procentpunktiem</w:t>
      </w:r>
      <w:r w:rsidR="0007337F" w:rsidRPr="00966D80">
        <w:t xml:space="preserve"> augstāks</w:t>
      </w:r>
      <w:r w:rsidR="0007337F">
        <w:t xml:space="preserve"> – </w:t>
      </w:r>
      <w:r w:rsidR="0007337F" w:rsidRPr="00966D80">
        <w:t>17,9%.</w:t>
      </w:r>
      <w:r w:rsidR="00511978">
        <w:t xml:space="preserve"> Savukārt dzimumu griezumā attiecībā uz zobārstniecības pakalpojumu neizmantošanu, lai gan bijusi tāda vajadzība, statistiski nozīmīgas atšķirības 2017. gadā nav novērotas.</w:t>
      </w:r>
    </w:p>
    <w:p w:rsidR="005408FC" w:rsidRDefault="005408FC" w:rsidP="00064C1E"/>
    <w:p w:rsidR="0007337F" w:rsidRPr="00966D80" w:rsidRDefault="00511978" w:rsidP="00064C1E">
      <w:r>
        <w:t xml:space="preserve">Līdzīgi kā iepriekš, nevienlīdzības kontekstā būtiski ir iemesli, kāpēc persona nav apmeklējusi zobārstu, lai gan bijusi tāda nepieciešamība (sk. visus iemeslus 2.2. tabulā), no kuriem vissvarīgākais ir finanšu barjera (nevarēja atļauties). Kopumā, kā rāda 2.2. tabulā ietvertie dati, </w:t>
      </w:r>
      <w:r>
        <w:lastRenderedPageBreak/>
        <w:t>ilgākā laika perspektīvā tas ir uzskatāms par nozīmīgāko šķērsli, kura dēļ iedzīvotāji atteikušies no zobārsta apmeklējuma, turklāt ekonomiskās recesijas apstākļos, t.i., no 2009. gada līdz 2011. gadam, tika novērots šī iemesla minēšanas biežuma kāpums par 7 procentpunktiem</w:t>
      </w:r>
      <w:r w:rsidRPr="00966D80">
        <w:t xml:space="preserve"> </w:t>
      </w:r>
      <w:r>
        <w:t xml:space="preserve">– </w:t>
      </w:r>
      <w:r w:rsidRPr="00966D80">
        <w:t>no 13,3% uz 20,3%.</w:t>
      </w:r>
      <w:r>
        <w:t xml:space="preserve"> Tā stabils samazinājums ir novērojams tikai kopš 2015. gada, kas var tikt skaidrots arī ar metodoloģijas izmaiņām, tādējādi </w:t>
      </w:r>
      <w:r w:rsidR="00DA7C70">
        <w:t xml:space="preserve">nevar gūt </w:t>
      </w:r>
      <w:r>
        <w:t>pilnīgu pārliecību par situācijas uzlabošanos attiecībā uz atteikšanos no zobārstniecības finanšu iemeslu dēļ</w:t>
      </w:r>
      <w:r w:rsidR="00DA7C70">
        <w:t xml:space="preserve"> (sk. </w:t>
      </w:r>
      <w:r w:rsidR="00AD3EDD">
        <w:fldChar w:fldCharType="begin"/>
      </w:r>
      <w:r w:rsidR="00F13B93">
        <w:instrText xml:space="preserve"> REF _Ref6495806 \h </w:instrText>
      </w:r>
      <w:r w:rsidR="00AD3EDD">
        <w:fldChar w:fldCharType="separate"/>
      </w:r>
      <w:r w:rsidR="00224B50">
        <w:rPr>
          <w:noProof/>
        </w:rPr>
        <w:t>2</w:t>
      </w:r>
      <w:r w:rsidR="00224B50">
        <w:t>.</w:t>
      </w:r>
      <w:r w:rsidR="00224B50">
        <w:rPr>
          <w:noProof/>
        </w:rPr>
        <w:t>2</w:t>
      </w:r>
      <w:r w:rsidR="00AD3EDD">
        <w:fldChar w:fldCharType="end"/>
      </w:r>
      <w:r w:rsidR="00DA7C70">
        <w:t xml:space="preserve">. tabulu un </w:t>
      </w:r>
      <w:r w:rsidR="00AD3EDD">
        <w:fldChar w:fldCharType="begin"/>
      </w:r>
      <w:r w:rsidR="00F13B93">
        <w:instrText xml:space="preserve"> REF _Ref6495840 \h </w:instrText>
      </w:r>
      <w:r w:rsidR="00AD3EDD">
        <w:fldChar w:fldCharType="separate"/>
      </w:r>
      <w:r w:rsidR="00224B50">
        <w:rPr>
          <w:noProof/>
        </w:rPr>
        <w:t>2</w:t>
      </w:r>
      <w:r w:rsidR="00224B50">
        <w:t>.</w:t>
      </w:r>
      <w:r w:rsidR="00224B50">
        <w:rPr>
          <w:noProof/>
        </w:rPr>
        <w:t>14</w:t>
      </w:r>
      <w:r w:rsidR="00AD3EDD">
        <w:fldChar w:fldCharType="end"/>
      </w:r>
      <w:r w:rsidR="00DA7C70">
        <w:t>. attēlu).</w:t>
      </w:r>
    </w:p>
    <w:bookmarkStart w:id="413" w:name="_Ref6495806"/>
    <w:p w:rsidR="0007337F" w:rsidRPr="00966D80" w:rsidRDefault="00AD3EDD" w:rsidP="00F13B93">
      <w:pPr>
        <w:pStyle w:val="Caption"/>
      </w:pPr>
      <w:r>
        <w:fldChar w:fldCharType="begin"/>
      </w:r>
      <w:r w:rsidR="00A46B54">
        <w:instrText xml:space="preserve"> STYLEREF 1 \s </w:instrText>
      </w:r>
      <w:r>
        <w:fldChar w:fldCharType="separate"/>
      </w:r>
      <w:bookmarkStart w:id="414" w:name="_Toc6857675"/>
      <w:r w:rsidR="00224B50">
        <w:rPr>
          <w:noProof/>
        </w:rPr>
        <w:t>2</w:t>
      </w:r>
      <w:r>
        <w:fldChar w:fldCharType="end"/>
      </w:r>
      <w:r w:rsidR="00A46B54">
        <w:t>.</w:t>
      </w:r>
      <w:r>
        <w:fldChar w:fldCharType="begin"/>
      </w:r>
      <w:r w:rsidR="000F1524">
        <w:instrText xml:space="preserve"> SEQ Tabula \* ARABIC \s 1 </w:instrText>
      </w:r>
      <w:r>
        <w:fldChar w:fldCharType="separate"/>
      </w:r>
      <w:r w:rsidR="00224B50">
        <w:rPr>
          <w:noProof/>
        </w:rPr>
        <w:t>2</w:t>
      </w:r>
      <w:r>
        <w:rPr>
          <w:noProof/>
        </w:rPr>
        <w:fldChar w:fldCharType="end"/>
      </w:r>
      <w:bookmarkEnd w:id="413"/>
      <w:r w:rsidR="00CA25ED">
        <w:t xml:space="preserve">. tabula. </w:t>
      </w:r>
      <w:r w:rsidR="0007337F" w:rsidRPr="00966D80">
        <w:t xml:space="preserve">Zobārsta apmeklējumi un zobārsta </w:t>
      </w:r>
      <w:r w:rsidR="0007337F" w:rsidRPr="00D3739C">
        <w:t>neapmeklēšanas</w:t>
      </w:r>
      <w:r w:rsidR="0007337F" w:rsidRPr="00966D80">
        <w:t xml:space="preserve"> iemesls 16 gadus veciem un vecākiem iedzīvotājiem (%). Visi iedzīvotāji</w:t>
      </w:r>
      <w:bookmarkEnd w:id="414"/>
    </w:p>
    <w:tbl>
      <w:tblPr>
        <w:tblStyle w:val="TableGrid"/>
        <w:tblW w:w="9639" w:type="dxa"/>
        <w:tblInd w:w="108" w:type="dxa"/>
        <w:tblLayout w:type="fixed"/>
        <w:tblLook w:val="04A0"/>
      </w:tblPr>
      <w:tblGrid>
        <w:gridCol w:w="3397"/>
        <w:gridCol w:w="693"/>
        <w:gridCol w:w="694"/>
        <w:gridCol w:w="693"/>
        <w:gridCol w:w="694"/>
        <w:gridCol w:w="693"/>
        <w:gridCol w:w="694"/>
        <w:gridCol w:w="693"/>
        <w:gridCol w:w="694"/>
        <w:gridCol w:w="694"/>
      </w:tblGrid>
      <w:tr w:rsidR="0007337F" w:rsidRPr="00037D97" w:rsidTr="006106B3">
        <w:trPr>
          <w:trHeight w:val="255"/>
        </w:trPr>
        <w:tc>
          <w:tcPr>
            <w:tcW w:w="3397" w:type="dxa"/>
            <w:shd w:val="clear" w:color="auto" w:fill="B8CCE4" w:themeFill="accent1" w:themeFillTint="66"/>
            <w:noWrap/>
            <w:vAlign w:val="center"/>
            <w:hideMark/>
          </w:tcPr>
          <w:p w:rsidR="0007337F" w:rsidRPr="00037D97" w:rsidRDefault="0007337F" w:rsidP="006106B3">
            <w:pPr>
              <w:jc w:val="left"/>
              <w:rPr>
                <w:b/>
                <w:bCs/>
                <w:color w:val="002060"/>
                <w:sz w:val="22"/>
                <w:szCs w:val="22"/>
              </w:rPr>
            </w:pPr>
            <w:r w:rsidRPr="00037D97">
              <w:rPr>
                <w:b/>
                <w:bCs/>
                <w:color w:val="002060"/>
                <w:sz w:val="22"/>
                <w:szCs w:val="22"/>
              </w:rPr>
              <w:t>Iemesls</w:t>
            </w:r>
            <w:r w:rsidR="00325DCB" w:rsidRPr="00037D97">
              <w:rPr>
                <w:b/>
                <w:bCs/>
                <w:color w:val="002060"/>
                <w:sz w:val="22"/>
                <w:szCs w:val="22"/>
              </w:rPr>
              <w:t>, kāpēc neapmeklēja zobārstu:</w:t>
            </w:r>
          </w:p>
        </w:tc>
        <w:tc>
          <w:tcPr>
            <w:tcW w:w="693" w:type="dxa"/>
            <w:shd w:val="clear" w:color="auto" w:fill="B8CCE4" w:themeFill="accent1" w:themeFillTint="66"/>
            <w:noWrap/>
            <w:vAlign w:val="center"/>
            <w:hideMark/>
          </w:tcPr>
          <w:p w:rsidR="0007337F" w:rsidRPr="00037D97" w:rsidRDefault="0007337F" w:rsidP="00325DCB">
            <w:pPr>
              <w:jc w:val="center"/>
              <w:rPr>
                <w:b/>
                <w:bCs/>
                <w:color w:val="002060"/>
                <w:sz w:val="22"/>
                <w:szCs w:val="22"/>
              </w:rPr>
            </w:pPr>
            <w:r w:rsidRPr="00037D97">
              <w:rPr>
                <w:b/>
                <w:bCs/>
                <w:color w:val="002060"/>
                <w:sz w:val="22"/>
                <w:szCs w:val="22"/>
              </w:rPr>
              <w:t>2009</w:t>
            </w:r>
          </w:p>
        </w:tc>
        <w:tc>
          <w:tcPr>
            <w:tcW w:w="694" w:type="dxa"/>
            <w:shd w:val="clear" w:color="auto" w:fill="B8CCE4" w:themeFill="accent1" w:themeFillTint="66"/>
            <w:noWrap/>
            <w:vAlign w:val="center"/>
            <w:hideMark/>
          </w:tcPr>
          <w:p w:rsidR="0007337F" w:rsidRPr="00037D97" w:rsidRDefault="0007337F" w:rsidP="00325DCB">
            <w:pPr>
              <w:jc w:val="center"/>
              <w:rPr>
                <w:b/>
                <w:bCs/>
                <w:color w:val="002060"/>
                <w:sz w:val="22"/>
                <w:szCs w:val="22"/>
              </w:rPr>
            </w:pPr>
            <w:r w:rsidRPr="00037D97">
              <w:rPr>
                <w:b/>
                <w:bCs/>
                <w:color w:val="002060"/>
                <w:sz w:val="22"/>
                <w:szCs w:val="22"/>
              </w:rPr>
              <w:t>2010</w:t>
            </w:r>
          </w:p>
        </w:tc>
        <w:tc>
          <w:tcPr>
            <w:tcW w:w="693" w:type="dxa"/>
            <w:shd w:val="clear" w:color="auto" w:fill="B8CCE4" w:themeFill="accent1" w:themeFillTint="66"/>
            <w:noWrap/>
            <w:vAlign w:val="center"/>
            <w:hideMark/>
          </w:tcPr>
          <w:p w:rsidR="0007337F" w:rsidRPr="00037D97" w:rsidRDefault="0007337F" w:rsidP="00325DCB">
            <w:pPr>
              <w:jc w:val="center"/>
              <w:rPr>
                <w:b/>
                <w:bCs/>
                <w:color w:val="002060"/>
                <w:sz w:val="22"/>
                <w:szCs w:val="22"/>
              </w:rPr>
            </w:pPr>
            <w:r w:rsidRPr="00037D97">
              <w:rPr>
                <w:b/>
                <w:bCs/>
                <w:color w:val="002060"/>
                <w:sz w:val="22"/>
                <w:szCs w:val="22"/>
              </w:rPr>
              <w:t>2011</w:t>
            </w:r>
          </w:p>
        </w:tc>
        <w:tc>
          <w:tcPr>
            <w:tcW w:w="694" w:type="dxa"/>
            <w:shd w:val="clear" w:color="auto" w:fill="B8CCE4" w:themeFill="accent1" w:themeFillTint="66"/>
            <w:noWrap/>
            <w:vAlign w:val="center"/>
            <w:hideMark/>
          </w:tcPr>
          <w:p w:rsidR="0007337F" w:rsidRPr="00037D97" w:rsidRDefault="0007337F" w:rsidP="00325DCB">
            <w:pPr>
              <w:jc w:val="center"/>
              <w:rPr>
                <w:b/>
                <w:bCs/>
                <w:color w:val="002060"/>
                <w:sz w:val="22"/>
                <w:szCs w:val="22"/>
              </w:rPr>
            </w:pPr>
            <w:r w:rsidRPr="00037D97">
              <w:rPr>
                <w:b/>
                <w:bCs/>
                <w:color w:val="002060"/>
                <w:sz w:val="22"/>
                <w:szCs w:val="22"/>
              </w:rPr>
              <w:t>2012</w:t>
            </w:r>
          </w:p>
        </w:tc>
        <w:tc>
          <w:tcPr>
            <w:tcW w:w="693" w:type="dxa"/>
            <w:shd w:val="clear" w:color="auto" w:fill="B8CCE4" w:themeFill="accent1" w:themeFillTint="66"/>
            <w:noWrap/>
            <w:vAlign w:val="center"/>
            <w:hideMark/>
          </w:tcPr>
          <w:p w:rsidR="0007337F" w:rsidRPr="00037D97" w:rsidRDefault="0007337F" w:rsidP="00325DCB">
            <w:pPr>
              <w:jc w:val="center"/>
              <w:rPr>
                <w:b/>
                <w:bCs/>
                <w:color w:val="002060"/>
                <w:sz w:val="22"/>
                <w:szCs w:val="22"/>
              </w:rPr>
            </w:pPr>
            <w:r w:rsidRPr="00037D97">
              <w:rPr>
                <w:b/>
                <w:bCs/>
                <w:color w:val="002060"/>
                <w:sz w:val="22"/>
                <w:szCs w:val="22"/>
              </w:rPr>
              <w:t>2013</w:t>
            </w:r>
          </w:p>
        </w:tc>
        <w:tc>
          <w:tcPr>
            <w:tcW w:w="694" w:type="dxa"/>
            <w:shd w:val="clear" w:color="auto" w:fill="B8CCE4" w:themeFill="accent1" w:themeFillTint="66"/>
            <w:noWrap/>
            <w:vAlign w:val="center"/>
            <w:hideMark/>
          </w:tcPr>
          <w:p w:rsidR="0007337F" w:rsidRPr="00037D97" w:rsidRDefault="0007337F" w:rsidP="00325DCB">
            <w:pPr>
              <w:jc w:val="center"/>
              <w:rPr>
                <w:b/>
                <w:bCs/>
                <w:color w:val="002060"/>
                <w:sz w:val="22"/>
                <w:szCs w:val="22"/>
              </w:rPr>
            </w:pPr>
            <w:r w:rsidRPr="00037D97">
              <w:rPr>
                <w:b/>
                <w:bCs/>
                <w:color w:val="002060"/>
                <w:sz w:val="22"/>
                <w:szCs w:val="22"/>
              </w:rPr>
              <w:t>2014</w:t>
            </w:r>
          </w:p>
        </w:tc>
        <w:tc>
          <w:tcPr>
            <w:tcW w:w="693" w:type="dxa"/>
            <w:shd w:val="clear" w:color="auto" w:fill="B8CCE4" w:themeFill="accent1" w:themeFillTint="66"/>
            <w:noWrap/>
            <w:vAlign w:val="center"/>
            <w:hideMark/>
          </w:tcPr>
          <w:p w:rsidR="0007337F" w:rsidRPr="00037D97" w:rsidRDefault="0007337F" w:rsidP="00325DCB">
            <w:pPr>
              <w:jc w:val="center"/>
              <w:rPr>
                <w:b/>
                <w:bCs/>
                <w:color w:val="002060"/>
                <w:sz w:val="22"/>
                <w:szCs w:val="22"/>
              </w:rPr>
            </w:pPr>
            <w:r w:rsidRPr="00037D97">
              <w:rPr>
                <w:b/>
                <w:bCs/>
                <w:color w:val="002060"/>
                <w:sz w:val="22"/>
                <w:szCs w:val="22"/>
              </w:rPr>
              <w:t>2015</w:t>
            </w:r>
          </w:p>
        </w:tc>
        <w:tc>
          <w:tcPr>
            <w:tcW w:w="694" w:type="dxa"/>
            <w:shd w:val="clear" w:color="auto" w:fill="B8CCE4" w:themeFill="accent1" w:themeFillTint="66"/>
            <w:noWrap/>
            <w:vAlign w:val="center"/>
            <w:hideMark/>
          </w:tcPr>
          <w:p w:rsidR="0007337F" w:rsidRPr="00037D97" w:rsidRDefault="0007337F" w:rsidP="00325DCB">
            <w:pPr>
              <w:jc w:val="center"/>
              <w:rPr>
                <w:b/>
                <w:bCs/>
                <w:color w:val="002060"/>
                <w:sz w:val="22"/>
                <w:szCs w:val="22"/>
              </w:rPr>
            </w:pPr>
            <w:r w:rsidRPr="00037D97">
              <w:rPr>
                <w:b/>
                <w:bCs/>
                <w:color w:val="002060"/>
                <w:sz w:val="22"/>
                <w:szCs w:val="22"/>
              </w:rPr>
              <w:t>2016</w:t>
            </w:r>
          </w:p>
        </w:tc>
        <w:tc>
          <w:tcPr>
            <w:tcW w:w="694" w:type="dxa"/>
            <w:shd w:val="clear" w:color="auto" w:fill="B8CCE4" w:themeFill="accent1" w:themeFillTint="66"/>
            <w:noWrap/>
            <w:vAlign w:val="center"/>
            <w:hideMark/>
          </w:tcPr>
          <w:p w:rsidR="0007337F" w:rsidRPr="00037D97" w:rsidRDefault="0007337F" w:rsidP="00325DCB">
            <w:pPr>
              <w:jc w:val="center"/>
              <w:rPr>
                <w:b/>
                <w:bCs/>
                <w:color w:val="002060"/>
                <w:sz w:val="22"/>
                <w:szCs w:val="22"/>
              </w:rPr>
            </w:pPr>
            <w:r w:rsidRPr="00037D97">
              <w:rPr>
                <w:b/>
                <w:bCs/>
                <w:color w:val="002060"/>
                <w:sz w:val="22"/>
                <w:szCs w:val="22"/>
              </w:rPr>
              <w:t>2017</w:t>
            </w:r>
          </w:p>
        </w:tc>
      </w:tr>
      <w:tr w:rsidR="0007337F" w:rsidRPr="00C03D4E" w:rsidTr="00325DCB">
        <w:trPr>
          <w:trHeight w:val="255"/>
        </w:trPr>
        <w:tc>
          <w:tcPr>
            <w:tcW w:w="3397" w:type="dxa"/>
            <w:noWrap/>
            <w:hideMark/>
          </w:tcPr>
          <w:p w:rsidR="0007337F" w:rsidRPr="00C03D4E" w:rsidRDefault="0007337F" w:rsidP="00064C1E">
            <w:pPr>
              <w:rPr>
                <w:sz w:val="22"/>
                <w:szCs w:val="22"/>
              </w:rPr>
            </w:pPr>
            <w:r w:rsidRPr="00C03D4E">
              <w:rPr>
                <w:sz w:val="22"/>
                <w:szCs w:val="22"/>
              </w:rPr>
              <w:t>nevarēja to atļauties</w:t>
            </w:r>
            <w:r w:rsidR="00325DCB">
              <w:rPr>
                <w:sz w:val="22"/>
                <w:szCs w:val="22"/>
              </w:rPr>
              <w:t xml:space="preserve"> </w:t>
            </w:r>
            <w:r w:rsidR="00323FB2">
              <w:rPr>
                <w:sz w:val="22"/>
                <w:szCs w:val="22"/>
              </w:rPr>
              <w:t>(par dārgu)</w:t>
            </w:r>
          </w:p>
        </w:tc>
        <w:tc>
          <w:tcPr>
            <w:tcW w:w="693" w:type="dxa"/>
            <w:noWrap/>
            <w:hideMark/>
          </w:tcPr>
          <w:p w:rsidR="0007337F" w:rsidRPr="00C03D4E" w:rsidRDefault="0007337F" w:rsidP="00325DCB">
            <w:pPr>
              <w:jc w:val="center"/>
              <w:rPr>
                <w:sz w:val="22"/>
                <w:szCs w:val="22"/>
              </w:rPr>
            </w:pPr>
            <w:r w:rsidRPr="00C03D4E">
              <w:rPr>
                <w:sz w:val="22"/>
                <w:szCs w:val="22"/>
              </w:rPr>
              <w:t>13,3</w:t>
            </w:r>
          </w:p>
        </w:tc>
        <w:tc>
          <w:tcPr>
            <w:tcW w:w="694" w:type="dxa"/>
            <w:noWrap/>
            <w:hideMark/>
          </w:tcPr>
          <w:p w:rsidR="0007337F" w:rsidRPr="00C03D4E" w:rsidRDefault="0007337F" w:rsidP="00325DCB">
            <w:pPr>
              <w:jc w:val="center"/>
              <w:rPr>
                <w:sz w:val="22"/>
                <w:szCs w:val="22"/>
              </w:rPr>
            </w:pPr>
            <w:r w:rsidRPr="00C03D4E">
              <w:rPr>
                <w:sz w:val="22"/>
                <w:szCs w:val="22"/>
              </w:rPr>
              <w:t>17,9</w:t>
            </w:r>
          </w:p>
        </w:tc>
        <w:tc>
          <w:tcPr>
            <w:tcW w:w="693" w:type="dxa"/>
            <w:noWrap/>
            <w:hideMark/>
          </w:tcPr>
          <w:p w:rsidR="0007337F" w:rsidRPr="00C03D4E" w:rsidRDefault="0007337F" w:rsidP="00325DCB">
            <w:pPr>
              <w:jc w:val="center"/>
              <w:rPr>
                <w:sz w:val="22"/>
                <w:szCs w:val="22"/>
              </w:rPr>
            </w:pPr>
            <w:r w:rsidRPr="00C03D4E">
              <w:rPr>
                <w:sz w:val="22"/>
                <w:szCs w:val="22"/>
              </w:rPr>
              <w:t>20,3</w:t>
            </w:r>
          </w:p>
        </w:tc>
        <w:tc>
          <w:tcPr>
            <w:tcW w:w="694" w:type="dxa"/>
            <w:noWrap/>
            <w:hideMark/>
          </w:tcPr>
          <w:p w:rsidR="0007337F" w:rsidRPr="00C03D4E" w:rsidRDefault="0007337F" w:rsidP="00325DCB">
            <w:pPr>
              <w:jc w:val="center"/>
              <w:rPr>
                <w:sz w:val="22"/>
                <w:szCs w:val="22"/>
              </w:rPr>
            </w:pPr>
            <w:r w:rsidRPr="00C03D4E">
              <w:rPr>
                <w:sz w:val="22"/>
                <w:szCs w:val="22"/>
              </w:rPr>
              <w:t>17,5</w:t>
            </w:r>
          </w:p>
        </w:tc>
        <w:tc>
          <w:tcPr>
            <w:tcW w:w="693" w:type="dxa"/>
            <w:noWrap/>
            <w:hideMark/>
          </w:tcPr>
          <w:p w:rsidR="0007337F" w:rsidRPr="00C03D4E" w:rsidRDefault="0007337F" w:rsidP="00325DCB">
            <w:pPr>
              <w:jc w:val="center"/>
              <w:rPr>
                <w:sz w:val="22"/>
                <w:szCs w:val="22"/>
              </w:rPr>
            </w:pPr>
            <w:r w:rsidRPr="00C03D4E">
              <w:rPr>
                <w:sz w:val="22"/>
                <w:szCs w:val="22"/>
              </w:rPr>
              <w:t>18,4</w:t>
            </w:r>
          </w:p>
        </w:tc>
        <w:tc>
          <w:tcPr>
            <w:tcW w:w="694" w:type="dxa"/>
            <w:noWrap/>
            <w:hideMark/>
          </w:tcPr>
          <w:p w:rsidR="0007337F" w:rsidRPr="00C03D4E" w:rsidRDefault="0007337F" w:rsidP="00325DCB">
            <w:pPr>
              <w:jc w:val="center"/>
              <w:rPr>
                <w:sz w:val="22"/>
                <w:szCs w:val="22"/>
              </w:rPr>
            </w:pPr>
            <w:r w:rsidRPr="00C03D4E">
              <w:rPr>
                <w:sz w:val="22"/>
                <w:szCs w:val="22"/>
              </w:rPr>
              <w:t>17,6</w:t>
            </w:r>
          </w:p>
        </w:tc>
        <w:tc>
          <w:tcPr>
            <w:tcW w:w="693" w:type="dxa"/>
            <w:noWrap/>
            <w:hideMark/>
          </w:tcPr>
          <w:p w:rsidR="0007337F" w:rsidRPr="00C03D4E" w:rsidRDefault="0007337F" w:rsidP="00325DCB">
            <w:pPr>
              <w:jc w:val="center"/>
              <w:rPr>
                <w:sz w:val="22"/>
                <w:szCs w:val="22"/>
              </w:rPr>
            </w:pPr>
            <w:r w:rsidRPr="00C03D4E">
              <w:rPr>
                <w:sz w:val="22"/>
                <w:szCs w:val="22"/>
              </w:rPr>
              <w:t>13,5</w:t>
            </w:r>
          </w:p>
        </w:tc>
        <w:tc>
          <w:tcPr>
            <w:tcW w:w="694" w:type="dxa"/>
            <w:noWrap/>
            <w:hideMark/>
          </w:tcPr>
          <w:p w:rsidR="0007337F" w:rsidRPr="00C03D4E" w:rsidRDefault="0007337F" w:rsidP="00325DCB">
            <w:pPr>
              <w:jc w:val="center"/>
              <w:rPr>
                <w:sz w:val="22"/>
                <w:szCs w:val="22"/>
              </w:rPr>
            </w:pPr>
            <w:r w:rsidRPr="00C03D4E">
              <w:rPr>
                <w:sz w:val="22"/>
                <w:szCs w:val="22"/>
              </w:rPr>
              <w:t>13,2</w:t>
            </w:r>
          </w:p>
        </w:tc>
        <w:tc>
          <w:tcPr>
            <w:tcW w:w="694" w:type="dxa"/>
            <w:noWrap/>
            <w:hideMark/>
          </w:tcPr>
          <w:p w:rsidR="0007337F" w:rsidRPr="00C03D4E" w:rsidRDefault="0007337F" w:rsidP="00325DCB">
            <w:pPr>
              <w:jc w:val="center"/>
              <w:rPr>
                <w:sz w:val="22"/>
                <w:szCs w:val="22"/>
              </w:rPr>
            </w:pPr>
            <w:r w:rsidRPr="00C03D4E">
              <w:rPr>
                <w:sz w:val="22"/>
                <w:szCs w:val="22"/>
              </w:rPr>
              <w:t>13,4</w:t>
            </w:r>
          </w:p>
        </w:tc>
      </w:tr>
      <w:tr w:rsidR="0007337F" w:rsidRPr="00C03D4E" w:rsidTr="00325DCB">
        <w:trPr>
          <w:trHeight w:val="255"/>
        </w:trPr>
        <w:tc>
          <w:tcPr>
            <w:tcW w:w="3397" w:type="dxa"/>
            <w:noWrap/>
            <w:hideMark/>
          </w:tcPr>
          <w:p w:rsidR="0007337F" w:rsidRPr="00C03D4E" w:rsidRDefault="0007337F" w:rsidP="00064C1E">
            <w:pPr>
              <w:rPr>
                <w:sz w:val="22"/>
                <w:szCs w:val="22"/>
              </w:rPr>
            </w:pPr>
            <w:r w:rsidRPr="00C03D4E">
              <w:rPr>
                <w:sz w:val="22"/>
                <w:szCs w:val="22"/>
              </w:rPr>
              <w:t>pārāk ilgi jāgaida uz pieņemšanu/rindas</w:t>
            </w:r>
          </w:p>
        </w:tc>
        <w:tc>
          <w:tcPr>
            <w:tcW w:w="693" w:type="dxa"/>
            <w:noWrap/>
            <w:hideMark/>
          </w:tcPr>
          <w:p w:rsidR="0007337F" w:rsidRPr="00C03D4E" w:rsidRDefault="0007337F" w:rsidP="00325DCB">
            <w:pPr>
              <w:jc w:val="center"/>
              <w:rPr>
                <w:sz w:val="22"/>
                <w:szCs w:val="22"/>
              </w:rPr>
            </w:pPr>
            <w:r w:rsidRPr="00C03D4E">
              <w:rPr>
                <w:sz w:val="22"/>
                <w:szCs w:val="22"/>
              </w:rPr>
              <w:t>0,4</w:t>
            </w:r>
          </w:p>
        </w:tc>
        <w:tc>
          <w:tcPr>
            <w:tcW w:w="694" w:type="dxa"/>
            <w:noWrap/>
            <w:hideMark/>
          </w:tcPr>
          <w:p w:rsidR="0007337F" w:rsidRPr="00C03D4E" w:rsidRDefault="0007337F" w:rsidP="00325DCB">
            <w:pPr>
              <w:jc w:val="center"/>
              <w:rPr>
                <w:sz w:val="22"/>
                <w:szCs w:val="22"/>
              </w:rPr>
            </w:pPr>
            <w:r w:rsidRPr="00C03D4E">
              <w:rPr>
                <w:sz w:val="22"/>
                <w:szCs w:val="22"/>
              </w:rPr>
              <w:t>0,2</w:t>
            </w:r>
          </w:p>
        </w:tc>
        <w:tc>
          <w:tcPr>
            <w:tcW w:w="693" w:type="dxa"/>
            <w:noWrap/>
            <w:hideMark/>
          </w:tcPr>
          <w:p w:rsidR="0007337F" w:rsidRPr="00C03D4E" w:rsidRDefault="0007337F" w:rsidP="00325DCB">
            <w:pPr>
              <w:jc w:val="center"/>
              <w:rPr>
                <w:sz w:val="22"/>
                <w:szCs w:val="22"/>
              </w:rPr>
            </w:pPr>
            <w:r w:rsidRPr="00C03D4E">
              <w:rPr>
                <w:sz w:val="22"/>
                <w:szCs w:val="22"/>
              </w:rPr>
              <w:t>0,3</w:t>
            </w:r>
          </w:p>
        </w:tc>
        <w:tc>
          <w:tcPr>
            <w:tcW w:w="694" w:type="dxa"/>
            <w:noWrap/>
            <w:hideMark/>
          </w:tcPr>
          <w:p w:rsidR="0007337F" w:rsidRPr="00C03D4E" w:rsidRDefault="0007337F" w:rsidP="00325DCB">
            <w:pPr>
              <w:jc w:val="center"/>
              <w:rPr>
                <w:sz w:val="22"/>
                <w:szCs w:val="22"/>
              </w:rPr>
            </w:pPr>
            <w:r w:rsidRPr="00C03D4E">
              <w:rPr>
                <w:sz w:val="22"/>
                <w:szCs w:val="22"/>
              </w:rPr>
              <w:t>0,3</w:t>
            </w:r>
          </w:p>
        </w:tc>
        <w:tc>
          <w:tcPr>
            <w:tcW w:w="693" w:type="dxa"/>
            <w:noWrap/>
            <w:hideMark/>
          </w:tcPr>
          <w:p w:rsidR="0007337F" w:rsidRPr="00C03D4E" w:rsidRDefault="0007337F" w:rsidP="00325DCB">
            <w:pPr>
              <w:jc w:val="center"/>
              <w:rPr>
                <w:sz w:val="22"/>
                <w:szCs w:val="22"/>
              </w:rPr>
            </w:pPr>
            <w:r w:rsidRPr="00C03D4E">
              <w:rPr>
                <w:sz w:val="22"/>
                <w:szCs w:val="22"/>
              </w:rPr>
              <w:t>0,4</w:t>
            </w:r>
          </w:p>
        </w:tc>
        <w:tc>
          <w:tcPr>
            <w:tcW w:w="694" w:type="dxa"/>
            <w:noWrap/>
            <w:hideMark/>
          </w:tcPr>
          <w:p w:rsidR="0007337F" w:rsidRPr="00C03D4E" w:rsidRDefault="0007337F" w:rsidP="00325DCB">
            <w:pPr>
              <w:jc w:val="center"/>
              <w:rPr>
                <w:sz w:val="22"/>
                <w:szCs w:val="22"/>
              </w:rPr>
            </w:pPr>
            <w:r w:rsidRPr="00C03D4E">
              <w:rPr>
                <w:sz w:val="22"/>
                <w:szCs w:val="22"/>
              </w:rPr>
              <w:t>0,4</w:t>
            </w:r>
          </w:p>
        </w:tc>
        <w:tc>
          <w:tcPr>
            <w:tcW w:w="693" w:type="dxa"/>
            <w:noWrap/>
            <w:hideMark/>
          </w:tcPr>
          <w:p w:rsidR="0007337F" w:rsidRPr="00C03D4E" w:rsidRDefault="0007337F" w:rsidP="00325DCB">
            <w:pPr>
              <w:jc w:val="center"/>
              <w:rPr>
                <w:sz w:val="22"/>
                <w:szCs w:val="22"/>
              </w:rPr>
            </w:pPr>
            <w:r w:rsidRPr="00C03D4E">
              <w:rPr>
                <w:sz w:val="22"/>
                <w:szCs w:val="22"/>
              </w:rPr>
              <w:t>0,2</w:t>
            </w:r>
          </w:p>
        </w:tc>
        <w:tc>
          <w:tcPr>
            <w:tcW w:w="694" w:type="dxa"/>
            <w:noWrap/>
            <w:hideMark/>
          </w:tcPr>
          <w:p w:rsidR="0007337F" w:rsidRPr="00C03D4E" w:rsidRDefault="0007337F" w:rsidP="00325DCB">
            <w:pPr>
              <w:jc w:val="center"/>
              <w:rPr>
                <w:sz w:val="22"/>
                <w:szCs w:val="22"/>
              </w:rPr>
            </w:pPr>
            <w:r w:rsidRPr="00C03D4E">
              <w:rPr>
                <w:sz w:val="22"/>
                <w:szCs w:val="22"/>
              </w:rPr>
              <w:t>0,3</w:t>
            </w:r>
          </w:p>
        </w:tc>
        <w:tc>
          <w:tcPr>
            <w:tcW w:w="694" w:type="dxa"/>
            <w:noWrap/>
            <w:hideMark/>
          </w:tcPr>
          <w:p w:rsidR="0007337F" w:rsidRPr="00C03D4E" w:rsidRDefault="0007337F" w:rsidP="00325DCB">
            <w:pPr>
              <w:jc w:val="center"/>
              <w:rPr>
                <w:sz w:val="22"/>
                <w:szCs w:val="22"/>
              </w:rPr>
            </w:pPr>
            <w:r w:rsidRPr="00C03D4E">
              <w:rPr>
                <w:sz w:val="22"/>
                <w:szCs w:val="22"/>
              </w:rPr>
              <w:t>0,4</w:t>
            </w:r>
          </w:p>
        </w:tc>
      </w:tr>
      <w:tr w:rsidR="0007337F" w:rsidRPr="00C03D4E" w:rsidTr="00325DCB">
        <w:trPr>
          <w:trHeight w:val="255"/>
        </w:trPr>
        <w:tc>
          <w:tcPr>
            <w:tcW w:w="3397" w:type="dxa"/>
            <w:noWrap/>
            <w:hideMark/>
          </w:tcPr>
          <w:p w:rsidR="0007337F" w:rsidRPr="00C03D4E" w:rsidRDefault="0007337F" w:rsidP="00064C1E">
            <w:pPr>
              <w:rPr>
                <w:sz w:val="22"/>
                <w:szCs w:val="22"/>
              </w:rPr>
            </w:pPr>
            <w:r w:rsidRPr="00C03D4E">
              <w:rPr>
                <w:sz w:val="22"/>
                <w:szCs w:val="22"/>
              </w:rPr>
              <w:t>nevarēja izbrīvēt laiku darba apstākļu dēļ vai bija jārūpējas par bērniem vai citiem cilvēkiem</w:t>
            </w:r>
          </w:p>
        </w:tc>
        <w:tc>
          <w:tcPr>
            <w:tcW w:w="693" w:type="dxa"/>
            <w:noWrap/>
            <w:hideMark/>
          </w:tcPr>
          <w:p w:rsidR="0007337F" w:rsidRPr="00C03D4E" w:rsidRDefault="0007337F" w:rsidP="00325DCB">
            <w:pPr>
              <w:jc w:val="center"/>
              <w:rPr>
                <w:sz w:val="22"/>
                <w:szCs w:val="22"/>
              </w:rPr>
            </w:pPr>
            <w:r w:rsidRPr="00C03D4E">
              <w:rPr>
                <w:sz w:val="22"/>
                <w:szCs w:val="22"/>
              </w:rPr>
              <w:t>0,8</w:t>
            </w:r>
          </w:p>
        </w:tc>
        <w:tc>
          <w:tcPr>
            <w:tcW w:w="694" w:type="dxa"/>
            <w:noWrap/>
            <w:hideMark/>
          </w:tcPr>
          <w:p w:rsidR="0007337F" w:rsidRPr="00C03D4E" w:rsidRDefault="0007337F" w:rsidP="00325DCB">
            <w:pPr>
              <w:jc w:val="center"/>
              <w:rPr>
                <w:sz w:val="22"/>
                <w:szCs w:val="22"/>
              </w:rPr>
            </w:pPr>
            <w:r w:rsidRPr="00C03D4E">
              <w:rPr>
                <w:sz w:val="22"/>
                <w:szCs w:val="22"/>
              </w:rPr>
              <w:t>0,7</w:t>
            </w:r>
          </w:p>
        </w:tc>
        <w:tc>
          <w:tcPr>
            <w:tcW w:w="693" w:type="dxa"/>
            <w:noWrap/>
            <w:hideMark/>
          </w:tcPr>
          <w:p w:rsidR="0007337F" w:rsidRPr="00C03D4E" w:rsidRDefault="0007337F" w:rsidP="00325DCB">
            <w:pPr>
              <w:jc w:val="center"/>
              <w:rPr>
                <w:sz w:val="22"/>
                <w:szCs w:val="22"/>
              </w:rPr>
            </w:pPr>
            <w:r w:rsidRPr="00C03D4E">
              <w:rPr>
                <w:sz w:val="22"/>
                <w:szCs w:val="22"/>
              </w:rPr>
              <w:t>0,6</w:t>
            </w:r>
          </w:p>
        </w:tc>
        <w:tc>
          <w:tcPr>
            <w:tcW w:w="694" w:type="dxa"/>
            <w:noWrap/>
            <w:hideMark/>
          </w:tcPr>
          <w:p w:rsidR="0007337F" w:rsidRPr="00C03D4E" w:rsidRDefault="0007337F" w:rsidP="00325DCB">
            <w:pPr>
              <w:jc w:val="center"/>
              <w:rPr>
                <w:sz w:val="22"/>
                <w:szCs w:val="22"/>
              </w:rPr>
            </w:pPr>
            <w:r w:rsidRPr="00C03D4E">
              <w:rPr>
                <w:sz w:val="22"/>
                <w:szCs w:val="22"/>
              </w:rPr>
              <w:t>0,6</w:t>
            </w:r>
          </w:p>
        </w:tc>
        <w:tc>
          <w:tcPr>
            <w:tcW w:w="693" w:type="dxa"/>
            <w:noWrap/>
            <w:hideMark/>
          </w:tcPr>
          <w:p w:rsidR="0007337F" w:rsidRPr="00C03D4E" w:rsidRDefault="0007337F" w:rsidP="00325DCB">
            <w:pPr>
              <w:jc w:val="center"/>
              <w:rPr>
                <w:sz w:val="22"/>
                <w:szCs w:val="22"/>
              </w:rPr>
            </w:pPr>
            <w:r w:rsidRPr="00C03D4E">
              <w:rPr>
                <w:sz w:val="22"/>
                <w:szCs w:val="22"/>
              </w:rPr>
              <w:t>0,7</w:t>
            </w:r>
          </w:p>
        </w:tc>
        <w:tc>
          <w:tcPr>
            <w:tcW w:w="694" w:type="dxa"/>
            <w:noWrap/>
            <w:hideMark/>
          </w:tcPr>
          <w:p w:rsidR="0007337F" w:rsidRPr="00C03D4E" w:rsidRDefault="0007337F" w:rsidP="00325DCB">
            <w:pPr>
              <w:jc w:val="center"/>
              <w:rPr>
                <w:sz w:val="22"/>
                <w:szCs w:val="22"/>
              </w:rPr>
            </w:pPr>
            <w:r w:rsidRPr="00C03D4E">
              <w:rPr>
                <w:sz w:val="22"/>
                <w:szCs w:val="22"/>
              </w:rPr>
              <w:t>0,7</w:t>
            </w:r>
          </w:p>
        </w:tc>
        <w:tc>
          <w:tcPr>
            <w:tcW w:w="693" w:type="dxa"/>
            <w:noWrap/>
            <w:hideMark/>
          </w:tcPr>
          <w:p w:rsidR="0007337F" w:rsidRPr="00C03D4E" w:rsidRDefault="0007337F" w:rsidP="00325DCB">
            <w:pPr>
              <w:jc w:val="center"/>
              <w:rPr>
                <w:sz w:val="22"/>
                <w:szCs w:val="22"/>
              </w:rPr>
            </w:pPr>
            <w:r w:rsidRPr="00C03D4E">
              <w:rPr>
                <w:sz w:val="22"/>
                <w:szCs w:val="22"/>
              </w:rPr>
              <w:t>0,7</w:t>
            </w:r>
          </w:p>
        </w:tc>
        <w:tc>
          <w:tcPr>
            <w:tcW w:w="694" w:type="dxa"/>
            <w:noWrap/>
            <w:hideMark/>
          </w:tcPr>
          <w:p w:rsidR="0007337F" w:rsidRPr="00C03D4E" w:rsidRDefault="0007337F" w:rsidP="00325DCB">
            <w:pPr>
              <w:jc w:val="center"/>
              <w:rPr>
                <w:sz w:val="22"/>
                <w:szCs w:val="22"/>
              </w:rPr>
            </w:pPr>
            <w:r w:rsidRPr="00C03D4E">
              <w:rPr>
                <w:sz w:val="22"/>
                <w:szCs w:val="22"/>
              </w:rPr>
              <w:t>0,8</w:t>
            </w:r>
          </w:p>
        </w:tc>
        <w:tc>
          <w:tcPr>
            <w:tcW w:w="694" w:type="dxa"/>
            <w:noWrap/>
            <w:hideMark/>
          </w:tcPr>
          <w:p w:rsidR="0007337F" w:rsidRPr="00C03D4E" w:rsidRDefault="0007337F" w:rsidP="00325DCB">
            <w:pPr>
              <w:jc w:val="center"/>
              <w:rPr>
                <w:sz w:val="22"/>
                <w:szCs w:val="22"/>
              </w:rPr>
            </w:pPr>
            <w:r w:rsidRPr="00C03D4E">
              <w:rPr>
                <w:sz w:val="22"/>
                <w:szCs w:val="22"/>
              </w:rPr>
              <w:t>0,9</w:t>
            </w:r>
          </w:p>
        </w:tc>
      </w:tr>
      <w:tr w:rsidR="0007337F" w:rsidRPr="00C03D4E" w:rsidTr="00325DCB">
        <w:trPr>
          <w:trHeight w:val="255"/>
        </w:trPr>
        <w:tc>
          <w:tcPr>
            <w:tcW w:w="3397" w:type="dxa"/>
            <w:noWrap/>
            <w:hideMark/>
          </w:tcPr>
          <w:p w:rsidR="0007337F" w:rsidRPr="00C03D4E" w:rsidRDefault="0007337F" w:rsidP="00064C1E">
            <w:pPr>
              <w:rPr>
                <w:sz w:val="22"/>
                <w:szCs w:val="22"/>
              </w:rPr>
            </w:pPr>
            <w:r w:rsidRPr="00C03D4E">
              <w:rPr>
                <w:sz w:val="22"/>
                <w:szCs w:val="22"/>
              </w:rPr>
              <w:t>bija pārāk tālu jābrauc/ nav transporta līdzekļu</w:t>
            </w:r>
          </w:p>
        </w:tc>
        <w:tc>
          <w:tcPr>
            <w:tcW w:w="693" w:type="dxa"/>
            <w:noWrap/>
            <w:hideMark/>
          </w:tcPr>
          <w:p w:rsidR="0007337F" w:rsidRPr="00C03D4E" w:rsidRDefault="0007337F" w:rsidP="00325DCB">
            <w:pPr>
              <w:jc w:val="center"/>
              <w:rPr>
                <w:sz w:val="22"/>
                <w:szCs w:val="22"/>
              </w:rPr>
            </w:pPr>
            <w:r w:rsidRPr="00C03D4E">
              <w:rPr>
                <w:sz w:val="22"/>
                <w:szCs w:val="22"/>
              </w:rPr>
              <w:t>0,2</w:t>
            </w:r>
          </w:p>
        </w:tc>
        <w:tc>
          <w:tcPr>
            <w:tcW w:w="694" w:type="dxa"/>
            <w:noWrap/>
            <w:hideMark/>
          </w:tcPr>
          <w:p w:rsidR="0007337F" w:rsidRPr="00C03D4E" w:rsidRDefault="0007337F" w:rsidP="00325DCB">
            <w:pPr>
              <w:jc w:val="center"/>
              <w:rPr>
                <w:sz w:val="22"/>
                <w:szCs w:val="22"/>
              </w:rPr>
            </w:pPr>
            <w:r w:rsidRPr="00C03D4E">
              <w:rPr>
                <w:sz w:val="22"/>
                <w:szCs w:val="22"/>
              </w:rPr>
              <w:t>0,2</w:t>
            </w:r>
          </w:p>
        </w:tc>
        <w:tc>
          <w:tcPr>
            <w:tcW w:w="693" w:type="dxa"/>
            <w:noWrap/>
            <w:hideMark/>
          </w:tcPr>
          <w:p w:rsidR="0007337F" w:rsidRPr="00C03D4E" w:rsidRDefault="0007337F" w:rsidP="00325DCB">
            <w:pPr>
              <w:jc w:val="center"/>
              <w:rPr>
                <w:sz w:val="22"/>
                <w:szCs w:val="22"/>
              </w:rPr>
            </w:pPr>
            <w:r w:rsidRPr="00C03D4E">
              <w:rPr>
                <w:sz w:val="22"/>
                <w:szCs w:val="22"/>
              </w:rPr>
              <w:t>0,1</w:t>
            </w:r>
          </w:p>
        </w:tc>
        <w:tc>
          <w:tcPr>
            <w:tcW w:w="694" w:type="dxa"/>
            <w:noWrap/>
            <w:hideMark/>
          </w:tcPr>
          <w:p w:rsidR="0007337F" w:rsidRPr="00C03D4E" w:rsidRDefault="0007337F" w:rsidP="00325DCB">
            <w:pPr>
              <w:jc w:val="center"/>
              <w:rPr>
                <w:sz w:val="22"/>
                <w:szCs w:val="22"/>
              </w:rPr>
            </w:pPr>
            <w:r w:rsidRPr="00C03D4E">
              <w:rPr>
                <w:sz w:val="22"/>
                <w:szCs w:val="22"/>
              </w:rPr>
              <w:t>0,2</w:t>
            </w:r>
          </w:p>
        </w:tc>
        <w:tc>
          <w:tcPr>
            <w:tcW w:w="693" w:type="dxa"/>
            <w:noWrap/>
            <w:hideMark/>
          </w:tcPr>
          <w:p w:rsidR="0007337F" w:rsidRPr="00C03D4E" w:rsidRDefault="0007337F" w:rsidP="00325DCB">
            <w:pPr>
              <w:jc w:val="center"/>
              <w:rPr>
                <w:sz w:val="22"/>
                <w:szCs w:val="22"/>
              </w:rPr>
            </w:pPr>
            <w:r w:rsidRPr="00C03D4E">
              <w:rPr>
                <w:sz w:val="22"/>
                <w:szCs w:val="22"/>
              </w:rPr>
              <w:t>0,1</w:t>
            </w:r>
          </w:p>
        </w:tc>
        <w:tc>
          <w:tcPr>
            <w:tcW w:w="694" w:type="dxa"/>
            <w:noWrap/>
            <w:hideMark/>
          </w:tcPr>
          <w:p w:rsidR="0007337F" w:rsidRPr="00C03D4E" w:rsidRDefault="0007337F" w:rsidP="00325DCB">
            <w:pPr>
              <w:jc w:val="center"/>
              <w:rPr>
                <w:sz w:val="22"/>
                <w:szCs w:val="22"/>
              </w:rPr>
            </w:pPr>
            <w:r w:rsidRPr="00C03D4E">
              <w:rPr>
                <w:sz w:val="22"/>
                <w:szCs w:val="22"/>
              </w:rPr>
              <w:t>0,1</w:t>
            </w:r>
          </w:p>
        </w:tc>
        <w:tc>
          <w:tcPr>
            <w:tcW w:w="693" w:type="dxa"/>
            <w:noWrap/>
            <w:hideMark/>
          </w:tcPr>
          <w:p w:rsidR="0007337F" w:rsidRPr="00C03D4E" w:rsidRDefault="0007337F" w:rsidP="00325DCB">
            <w:pPr>
              <w:jc w:val="center"/>
              <w:rPr>
                <w:sz w:val="22"/>
                <w:szCs w:val="22"/>
              </w:rPr>
            </w:pPr>
            <w:r w:rsidRPr="00C03D4E">
              <w:rPr>
                <w:sz w:val="22"/>
                <w:szCs w:val="22"/>
              </w:rPr>
              <w:t>0,2</w:t>
            </w:r>
          </w:p>
        </w:tc>
        <w:tc>
          <w:tcPr>
            <w:tcW w:w="694" w:type="dxa"/>
            <w:noWrap/>
            <w:hideMark/>
          </w:tcPr>
          <w:p w:rsidR="0007337F" w:rsidRPr="00C03D4E" w:rsidRDefault="0007337F" w:rsidP="00325DCB">
            <w:pPr>
              <w:jc w:val="center"/>
              <w:rPr>
                <w:sz w:val="22"/>
                <w:szCs w:val="22"/>
              </w:rPr>
            </w:pPr>
            <w:r w:rsidRPr="00C03D4E">
              <w:rPr>
                <w:sz w:val="22"/>
                <w:szCs w:val="22"/>
              </w:rPr>
              <w:t>0,1</w:t>
            </w:r>
          </w:p>
        </w:tc>
        <w:tc>
          <w:tcPr>
            <w:tcW w:w="694" w:type="dxa"/>
            <w:noWrap/>
            <w:hideMark/>
          </w:tcPr>
          <w:p w:rsidR="0007337F" w:rsidRPr="00C03D4E" w:rsidRDefault="0007337F" w:rsidP="00325DCB">
            <w:pPr>
              <w:jc w:val="center"/>
              <w:rPr>
                <w:sz w:val="22"/>
                <w:szCs w:val="22"/>
              </w:rPr>
            </w:pPr>
            <w:r w:rsidRPr="00C03D4E">
              <w:rPr>
                <w:sz w:val="22"/>
                <w:szCs w:val="22"/>
              </w:rPr>
              <w:t>0,1</w:t>
            </w:r>
          </w:p>
        </w:tc>
      </w:tr>
      <w:tr w:rsidR="0007337F" w:rsidRPr="00C03D4E" w:rsidTr="00325DCB">
        <w:trPr>
          <w:trHeight w:val="255"/>
        </w:trPr>
        <w:tc>
          <w:tcPr>
            <w:tcW w:w="3397" w:type="dxa"/>
            <w:noWrap/>
            <w:hideMark/>
          </w:tcPr>
          <w:p w:rsidR="0007337F" w:rsidRPr="00C03D4E" w:rsidRDefault="0007337F" w:rsidP="00064C1E">
            <w:pPr>
              <w:rPr>
                <w:sz w:val="22"/>
                <w:szCs w:val="22"/>
              </w:rPr>
            </w:pPr>
            <w:r w:rsidRPr="00C03D4E">
              <w:rPr>
                <w:sz w:val="22"/>
                <w:szCs w:val="22"/>
              </w:rPr>
              <w:t>bailes no ārstiem/ slimnīcas/ izmeklēšanas</w:t>
            </w:r>
          </w:p>
        </w:tc>
        <w:tc>
          <w:tcPr>
            <w:tcW w:w="693" w:type="dxa"/>
            <w:noWrap/>
            <w:hideMark/>
          </w:tcPr>
          <w:p w:rsidR="0007337F" w:rsidRPr="00C03D4E" w:rsidRDefault="0007337F" w:rsidP="00325DCB">
            <w:pPr>
              <w:jc w:val="center"/>
              <w:rPr>
                <w:sz w:val="22"/>
                <w:szCs w:val="22"/>
              </w:rPr>
            </w:pPr>
            <w:r w:rsidRPr="00C03D4E">
              <w:rPr>
                <w:sz w:val="22"/>
                <w:szCs w:val="22"/>
              </w:rPr>
              <w:t>1,1</w:t>
            </w:r>
          </w:p>
        </w:tc>
        <w:tc>
          <w:tcPr>
            <w:tcW w:w="694" w:type="dxa"/>
            <w:noWrap/>
            <w:hideMark/>
          </w:tcPr>
          <w:p w:rsidR="0007337F" w:rsidRPr="00C03D4E" w:rsidRDefault="0007337F" w:rsidP="00325DCB">
            <w:pPr>
              <w:jc w:val="center"/>
              <w:rPr>
                <w:sz w:val="22"/>
                <w:szCs w:val="22"/>
              </w:rPr>
            </w:pPr>
            <w:r w:rsidRPr="00C03D4E">
              <w:rPr>
                <w:sz w:val="22"/>
                <w:szCs w:val="22"/>
              </w:rPr>
              <w:t>1,5</w:t>
            </w:r>
          </w:p>
        </w:tc>
        <w:tc>
          <w:tcPr>
            <w:tcW w:w="693" w:type="dxa"/>
            <w:noWrap/>
            <w:hideMark/>
          </w:tcPr>
          <w:p w:rsidR="0007337F" w:rsidRPr="00C03D4E" w:rsidRDefault="0007337F" w:rsidP="00325DCB">
            <w:pPr>
              <w:jc w:val="center"/>
              <w:rPr>
                <w:sz w:val="22"/>
                <w:szCs w:val="22"/>
              </w:rPr>
            </w:pPr>
            <w:r w:rsidRPr="00C03D4E">
              <w:rPr>
                <w:sz w:val="22"/>
                <w:szCs w:val="22"/>
              </w:rPr>
              <w:t>1,2</w:t>
            </w:r>
          </w:p>
        </w:tc>
        <w:tc>
          <w:tcPr>
            <w:tcW w:w="694" w:type="dxa"/>
            <w:noWrap/>
            <w:hideMark/>
          </w:tcPr>
          <w:p w:rsidR="0007337F" w:rsidRPr="00C03D4E" w:rsidRDefault="0007337F" w:rsidP="00325DCB">
            <w:pPr>
              <w:jc w:val="center"/>
              <w:rPr>
                <w:sz w:val="22"/>
                <w:szCs w:val="22"/>
              </w:rPr>
            </w:pPr>
            <w:r w:rsidRPr="00C03D4E">
              <w:rPr>
                <w:sz w:val="22"/>
                <w:szCs w:val="22"/>
              </w:rPr>
              <w:t>1,4</w:t>
            </w:r>
          </w:p>
        </w:tc>
        <w:tc>
          <w:tcPr>
            <w:tcW w:w="693" w:type="dxa"/>
            <w:noWrap/>
            <w:hideMark/>
          </w:tcPr>
          <w:p w:rsidR="0007337F" w:rsidRPr="00C03D4E" w:rsidRDefault="0007337F" w:rsidP="00325DCB">
            <w:pPr>
              <w:jc w:val="center"/>
              <w:rPr>
                <w:sz w:val="22"/>
                <w:szCs w:val="22"/>
              </w:rPr>
            </w:pPr>
            <w:r w:rsidRPr="00C03D4E">
              <w:rPr>
                <w:sz w:val="22"/>
                <w:szCs w:val="22"/>
              </w:rPr>
              <w:t>1</w:t>
            </w:r>
            <w:r w:rsidR="00511978">
              <w:rPr>
                <w:sz w:val="22"/>
                <w:szCs w:val="22"/>
              </w:rPr>
              <w:t>,0</w:t>
            </w:r>
          </w:p>
        </w:tc>
        <w:tc>
          <w:tcPr>
            <w:tcW w:w="694" w:type="dxa"/>
            <w:noWrap/>
            <w:hideMark/>
          </w:tcPr>
          <w:p w:rsidR="0007337F" w:rsidRPr="00C03D4E" w:rsidRDefault="0007337F" w:rsidP="00325DCB">
            <w:pPr>
              <w:jc w:val="center"/>
              <w:rPr>
                <w:sz w:val="22"/>
                <w:szCs w:val="22"/>
              </w:rPr>
            </w:pPr>
            <w:r w:rsidRPr="00C03D4E">
              <w:rPr>
                <w:sz w:val="22"/>
                <w:szCs w:val="22"/>
              </w:rPr>
              <w:t>1,4</w:t>
            </w:r>
          </w:p>
        </w:tc>
        <w:tc>
          <w:tcPr>
            <w:tcW w:w="693" w:type="dxa"/>
            <w:noWrap/>
            <w:hideMark/>
          </w:tcPr>
          <w:p w:rsidR="0007337F" w:rsidRPr="00C03D4E" w:rsidRDefault="0007337F" w:rsidP="00325DCB">
            <w:pPr>
              <w:jc w:val="center"/>
              <w:rPr>
                <w:sz w:val="22"/>
                <w:szCs w:val="22"/>
              </w:rPr>
            </w:pPr>
            <w:r w:rsidRPr="00C03D4E">
              <w:rPr>
                <w:sz w:val="22"/>
                <w:szCs w:val="22"/>
              </w:rPr>
              <w:t>1,3</w:t>
            </w:r>
          </w:p>
        </w:tc>
        <w:tc>
          <w:tcPr>
            <w:tcW w:w="694" w:type="dxa"/>
            <w:noWrap/>
            <w:hideMark/>
          </w:tcPr>
          <w:p w:rsidR="0007337F" w:rsidRPr="00C03D4E" w:rsidRDefault="0007337F" w:rsidP="00325DCB">
            <w:pPr>
              <w:jc w:val="center"/>
              <w:rPr>
                <w:sz w:val="22"/>
                <w:szCs w:val="22"/>
              </w:rPr>
            </w:pPr>
            <w:r w:rsidRPr="00C03D4E">
              <w:rPr>
                <w:sz w:val="22"/>
                <w:szCs w:val="22"/>
              </w:rPr>
              <w:t>1,2</w:t>
            </w:r>
          </w:p>
        </w:tc>
        <w:tc>
          <w:tcPr>
            <w:tcW w:w="694" w:type="dxa"/>
            <w:noWrap/>
            <w:hideMark/>
          </w:tcPr>
          <w:p w:rsidR="0007337F" w:rsidRPr="00C03D4E" w:rsidRDefault="0007337F" w:rsidP="00325DCB">
            <w:pPr>
              <w:jc w:val="center"/>
              <w:rPr>
                <w:sz w:val="22"/>
                <w:szCs w:val="22"/>
              </w:rPr>
            </w:pPr>
            <w:r w:rsidRPr="00C03D4E">
              <w:rPr>
                <w:sz w:val="22"/>
                <w:szCs w:val="22"/>
              </w:rPr>
              <w:t>1,1</w:t>
            </w:r>
          </w:p>
        </w:tc>
      </w:tr>
      <w:tr w:rsidR="0007337F" w:rsidRPr="00C03D4E" w:rsidTr="00325DCB">
        <w:trPr>
          <w:trHeight w:val="255"/>
        </w:trPr>
        <w:tc>
          <w:tcPr>
            <w:tcW w:w="3397" w:type="dxa"/>
            <w:noWrap/>
            <w:hideMark/>
          </w:tcPr>
          <w:p w:rsidR="0007337F" w:rsidRPr="00C03D4E" w:rsidRDefault="0007337F" w:rsidP="00064C1E">
            <w:pPr>
              <w:rPr>
                <w:sz w:val="22"/>
                <w:szCs w:val="22"/>
              </w:rPr>
            </w:pPr>
            <w:r w:rsidRPr="00C03D4E">
              <w:rPr>
                <w:sz w:val="22"/>
                <w:szCs w:val="22"/>
              </w:rPr>
              <w:t>gribēja nogaidīt un paskatīties, vai ar laiku nekļūst labāk</w:t>
            </w:r>
          </w:p>
        </w:tc>
        <w:tc>
          <w:tcPr>
            <w:tcW w:w="693" w:type="dxa"/>
            <w:noWrap/>
            <w:hideMark/>
          </w:tcPr>
          <w:p w:rsidR="0007337F" w:rsidRPr="00C03D4E" w:rsidRDefault="0007337F" w:rsidP="00325DCB">
            <w:pPr>
              <w:jc w:val="center"/>
              <w:rPr>
                <w:sz w:val="22"/>
                <w:szCs w:val="22"/>
              </w:rPr>
            </w:pPr>
            <w:r w:rsidRPr="00C03D4E">
              <w:rPr>
                <w:sz w:val="22"/>
                <w:szCs w:val="22"/>
              </w:rPr>
              <w:t>0,5</w:t>
            </w:r>
          </w:p>
        </w:tc>
        <w:tc>
          <w:tcPr>
            <w:tcW w:w="694" w:type="dxa"/>
            <w:noWrap/>
            <w:hideMark/>
          </w:tcPr>
          <w:p w:rsidR="0007337F" w:rsidRPr="00C03D4E" w:rsidRDefault="0007337F" w:rsidP="00325DCB">
            <w:pPr>
              <w:jc w:val="center"/>
              <w:rPr>
                <w:sz w:val="22"/>
                <w:szCs w:val="22"/>
              </w:rPr>
            </w:pPr>
            <w:r w:rsidRPr="00C03D4E">
              <w:rPr>
                <w:sz w:val="22"/>
                <w:szCs w:val="22"/>
              </w:rPr>
              <w:t>0,5</w:t>
            </w:r>
          </w:p>
        </w:tc>
        <w:tc>
          <w:tcPr>
            <w:tcW w:w="693" w:type="dxa"/>
            <w:noWrap/>
            <w:hideMark/>
          </w:tcPr>
          <w:p w:rsidR="0007337F" w:rsidRPr="00C03D4E" w:rsidRDefault="0007337F" w:rsidP="00325DCB">
            <w:pPr>
              <w:jc w:val="center"/>
              <w:rPr>
                <w:sz w:val="22"/>
                <w:szCs w:val="22"/>
              </w:rPr>
            </w:pPr>
            <w:r w:rsidRPr="00C03D4E">
              <w:rPr>
                <w:sz w:val="22"/>
                <w:szCs w:val="22"/>
              </w:rPr>
              <w:t>0,3</w:t>
            </w:r>
          </w:p>
        </w:tc>
        <w:tc>
          <w:tcPr>
            <w:tcW w:w="694" w:type="dxa"/>
            <w:noWrap/>
            <w:hideMark/>
          </w:tcPr>
          <w:p w:rsidR="0007337F" w:rsidRPr="00C03D4E" w:rsidRDefault="0007337F" w:rsidP="00325DCB">
            <w:pPr>
              <w:jc w:val="center"/>
              <w:rPr>
                <w:sz w:val="22"/>
                <w:szCs w:val="22"/>
              </w:rPr>
            </w:pPr>
            <w:r w:rsidRPr="00C03D4E">
              <w:rPr>
                <w:sz w:val="22"/>
                <w:szCs w:val="22"/>
              </w:rPr>
              <w:t>0,4</w:t>
            </w:r>
          </w:p>
        </w:tc>
        <w:tc>
          <w:tcPr>
            <w:tcW w:w="693" w:type="dxa"/>
            <w:noWrap/>
            <w:hideMark/>
          </w:tcPr>
          <w:p w:rsidR="0007337F" w:rsidRPr="00C03D4E" w:rsidRDefault="0007337F" w:rsidP="00325DCB">
            <w:pPr>
              <w:jc w:val="center"/>
              <w:rPr>
                <w:sz w:val="22"/>
                <w:szCs w:val="22"/>
              </w:rPr>
            </w:pPr>
            <w:r w:rsidRPr="00C03D4E">
              <w:rPr>
                <w:sz w:val="22"/>
                <w:szCs w:val="22"/>
              </w:rPr>
              <w:t>0,5</w:t>
            </w:r>
          </w:p>
        </w:tc>
        <w:tc>
          <w:tcPr>
            <w:tcW w:w="694" w:type="dxa"/>
            <w:noWrap/>
            <w:hideMark/>
          </w:tcPr>
          <w:p w:rsidR="0007337F" w:rsidRPr="00C03D4E" w:rsidRDefault="0007337F" w:rsidP="00325DCB">
            <w:pPr>
              <w:jc w:val="center"/>
              <w:rPr>
                <w:sz w:val="22"/>
                <w:szCs w:val="22"/>
              </w:rPr>
            </w:pPr>
            <w:r w:rsidRPr="00C03D4E">
              <w:rPr>
                <w:sz w:val="22"/>
                <w:szCs w:val="22"/>
              </w:rPr>
              <w:t>0,7</w:t>
            </w:r>
          </w:p>
        </w:tc>
        <w:tc>
          <w:tcPr>
            <w:tcW w:w="693" w:type="dxa"/>
            <w:noWrap/>
            <w:hideMark/>
          </w:tcPr>
          <w:p w:rsidR="0007337F" w:rsidRPr="00C03D4E" w:rsidRDefault="0007337F" w:rsidP="00325DCB">
            <w:pPr>
              <w:jc w:val="center"/>
              <w:rPr>
                <w:sz w:val="22"/>
                <w:szCs w:val="22"/>
              </w:rPr>
            </w:pPr>
            <w:r w:rsidRPr="00C03D4E">
              <w:rPr>
                <w:sz w:val="22"/>
                <w:szCs w:val="22"/>
              </w:rPr>
              <w:t>0,5</w:t>
            </w:r>
          </w:p>
        </w:tc>
        <w:tc>
          <w:tcPr>
            <w:tcW w:w="694" w:type="dxa"/>
            <w:noWrap/>
            <w:hideMark/>
          </w:tcPr>
          <w:p w:rsidR="0007337F" w:rsidRPr="00C03D4E" w:rsidRDefault="0007337F" w:rsidP="00325DCB">
            <w:pPr>
              <w:jc w:val="center"/>
              <w:rPr>
                <w:sz w:val="22"/>
                <w:szCs w:val="22"/>
              </w:rPr>
            </w:pPr>
            <w:r w:rsidRPr="00C03D4E">
              <w:rPr>
                <w:sz w:val="22"/>
                <w:szCs w:val="22"/>
              </w:rPr>
              <w:t>0,6</w:t>
            </w:r>
          </w:p>
        </w:tc>
        <w:tc>
          <w:tcPr>
            <w:tcW w:w="694" w:type="dxa"/>
            <w:noWrap/>
            <w:hideMark/>
          </w:tcPr>
          <w:p w:rsidR="0007337F" w:rsidRPr="00C03D4E" w:rsidRDefault="0007337F" w:rsidP="00325DCB">
            <w:pPr>
              <w:jc w:val="center"/>
              <w:rPr>
                <w:sz w:val="22"/>
                <w:szCs w:val="22"/>
              </w:rPr>
            </w:pPr>
            <w:r w:rsidRPr="00C03D4E">
              <w:rPr>
                <w:sz w:val="22"/>
                <w:szCs w:val="22"/>
              </w:rPr>
              <w:t>0,7</w:t>
            </w:r>
          </w:p>
        </w:tc>
      </w:tr>
      <w:tr w:rsidR="0007337F" w:rsidRPr="00C03D4E" w:rsidTr="00325DCB">
        <w:trPr>
          <w:trHeight w:val="255"/>
        </w:trPr>
        <w:tc>
          <w:tcPr>
            <w:tcW w:w="3397" w:type="dxa"/>
            <w:noWrap/>
            <w:hideMark/>
          </w:tcPr>
          <w:p w:rsidR="0007337F" w:rsidRPr="00C03D4E" w:rsidRDefault="0007337F" w:rsidP="00064C1E">
            <w:pPr>
              <w:rPr>
                <w:sz w:val="22"/>
                <w:szCs w:val="22"/>
              </w:rPr>
            </w:pPr>
            <w:r w:rsidRPr="00C03D4E">
              <w:rPr>
                <w:sz w:val="22"/>
                <w:szCs w:val="22"/>
              </w:rPr>
              <w:t>nezināja nevienu labu ārstu vai speciālistu</w:t>
            </w:r>
          </w:p>
        </w:tc>
        <w:tc>
          <w:tcPr>
            <w:tcW w:w="693" w:type="dxa"/>
            <w:noWrap/>
            <w:hideMark/>
          </w:tcPr>
          <w:p w:rsidR="0007337F" w:rsidRPr="00C03D4E" w:rsidRDefault="0007337F" w:rsidP="00325DCB">
            <w:pPr>
              <w:jc w:val="center"/>
              <w:rPr>
                <w:sz w:val="22"/>
                <w:szCs w:val="22"/>
              </w:rPr>
            </w:pPr>
            <w:r w:rsidRPr="00C03D4E">
              <w:rPr>
                <w:sz w:val="22"/>
                <w:szCs w:val="22"/>
              </w:rPr>
              <w:t>...</w:t>
            </w:r>
          </w:p>
        </w:tc>
        <w:tc>
          <w:tcPr>
            <w:tcW w:w="694" w:type="dxa"/>
            <w:noWrap/>
            <w:hideMark/>
          </w:tcPr>
          <w:p w:rsidR="0007337F" w:rsidRPr="00C03D4E" w:rsidRDefault="0007337F" w:rsidP="00325DCB">
            <w:pPr>
              <w:jc w:val="center"/>
              <w:rPr>
                <w:sz w:val="22"/>
                <w:szCs w:val="22"/>
              </w:rPr>
            </w:pPr>
            <w:r w:rsidRPr="00C03D4E">
              <w:rPr>
                <w:sz w:val="22"/>
                <w:szCs w:val="22"/>
              </w:rPr>
              <w:t>0,1</w:t>
            </w:r>
          </w:p>
        </w:tc>
        <w:tc>
          <w:tcPr>
            <w:tcW w:w="693" w:type="dxa"/>
            <w:noWrap/>
            <w:hideMark/>
          </w:tcPr>
          <w:p w:rsidR="0007337F" w:rsidRPr="00C03D4E" w:rsidRDefault="0007337F" w:rsidP="00325DCB">
            <w:pPr>
              <w:jc w:val="center"/>
              <w:rPr>
                <w:sz w:val="22"/>
                <w:szCs w:val="22"/>
              </w:rPr>
            </w:pPr>
            <w:r w:rsidRPr="00C03D4E">
              <w:rPr>
                <w:sz w:val="22"/>
                <w:szCs w:val="22"/>
              </w:rPr>
              <w:t>0,1</w:t>
            </w:r>
          </w:p>
        </w:tc>
        <w:tc>
          <w:tcPr>
            <w:tcW w:w="694" w:type="dxa"/>
            <w:noWrap/>
            <w:hideMark/>
          </w:tcPr>
          <w:p w:rsidR="0007337F" w:rsidRPr="00C03D4E" w:rsidRDefault="0007337F" w:rsidP="00325DCB">
            <w:pPr>
              <w:jc w:val="center"/>
              <w:rPr>
                <w:sz w:val="22"/>
                <w:szCs w:val="22"/>
              </w:rPr>
            </w:pPr>
            <w:r w:rsidRPr="00C03D4E">
              <w:rPr>
                <w:sz w:val="22"/>
                <w:szCs w:val="22"/>
              </w:rPr>
              <w:t>0,1</w:t>
            </w:r>
          </w:p>
        </w:tc>
        <w:tc>
          <w:tcPr>
            <w:tcW w:w="693" w:type="dxa"/>
            <w:noWrap/>
            <w:hideMark/>
          </w:tcPr>
          <w:p w:rsidR="0007337F" w:rsidRPr="00C03D4E" w:rsidRDefault="0007337F" w:rsidP="00325DCB">
            <w:pPr>
              <w:jc w:val="center"/>
              <w:rPr>
                <w:sz w:val="22"/>
                <w:szCs w:val="22"/>
              </w:rPr>
            </w:pPr>
            <w:r w:rsidRPr="00C03D4E">
              <w:rPr>
                <w:sz w:val="22"/>
                <w:szCs w:val="22"/>
              </w:rPr>
              <w:t>0,1</w:t>
            </w:r>
          </w:p>
        </w:tc>
        <w:tc>
          <w:tcPr>
            <w:tcW w:w="694" w:type="dxa"/>
            <w:noWrap/>
            <w:hideMark/>
          </w:tcPr>
          <w:p w:rsidR="0007337F" w:rsidRPr="00C03D4E" w:rsidRDefault="0007337F" w:rsidP="00325DCB">
            <w:pPr>
              <w:jc w:val="center"/>
              <w:rPr>
                <w:sz w:val="22"/>
                <w:szCs w:val="22"/>
              </w:rPr>
            </w:pPr>
            <w:r w:rsidRPr="00C03D4E">
              <w:rPr>
                <w:sz w:val="22"/>
                <w:szCs w:val="22"/>
              </w:rPr>
              <w:t>0,1</w:t>
            </w:r>
          </w:p>
        </w:tc>
        <w:tc>
          <w:tcPr>
            <w:tcW w:w="693" w:type="dxa"/>
            <w:noWrap/>
            <w:hideMark/>
          </w:tcPr>
          <w:p w:rsidR="0007337F" w:rsidRPr="00C03D4E" w:rsidRDefault="0007337F" w:rsidP="00325DCB">
            <w:pPr>
              <w:jc w:val="center"/>
              <w:rPr>
                <w:sz w:val="22"/>
                <w:szCs w:val="22"/>
              </w:rPr>
            </w:pPr>
            <w:r w:rsidRPr="00C03D4E">
              <w:rPr>
                <w:sz w:val="22"/>
                <w:szCs w:val="22"/>
              </w:rPr>
              <w:t>0,1</w:t>
            </w:r>
          </w:p>
        </w:tc>
        <w:tc>
          <w:tcPr>
            <w:tcW w:w="694" w:type="dxa"/>
            <w:noWrap/>
            <w:hideMark/>
          </w:tcPr>
          <w:p w:rsidR="0007337F" w:rsidRPr="00C03D4E" w:rsidRDefault="0007337F" w:rsidP="00325DCB">
            <w:pPr>
              <w:jc w:val="center"/>
              <w:rPr>
                <w:sz w:val="22"/>
                <w:szCs w:val="22"/>
              </w:rPr>
            </w:pPr>
            <w:r w:rsidRPr="00C03D4E">
              <w:rPr>
                <w:sz w:val="22"/>
                <w:szCs w:val="22"/>
              </w:rPr>
              <w:t>0,1</w:t>
            </w:r>
          </w:p>
        </w:tc>
        <w:tc>
          <w:tcPr>
            <w:tcW w:w="694" w:type="dxa"/>
            <w:noWrap/>
            <w:hideMark/>
          </w:tcPr>
          <w:p w:rsidR="0007337F" w:rsidRPr="00C03D4E" w:rsidRDefault="0007337F" w:rsidP="00325DCB">
            <w:pPr>
              <w:jc w:val="center"/>
              <w:rPr>
                <w:sz w:val="22"/>
                <w:szCs w:val="22"/>
              </w:rPr>
            </w:pPr>
            <w:r w:rsidRPr="00C03D4E">
              <w:rPr>
                <w:sz w:val="22"/>
                <w:szCs w:val="22"/>
              </w:rPr>
              <w:t>...</w:t>
            </w:r>
          </w:p>
        </w:tc>
      </w:tr>
      <w:tr w:rsidR="0007337F" w:rsidRPr="00C03D4E" w:rsidTr="00325DCB">
        <w:trPr>
          <w:trHeight w:val="255"/>
        </w:trPr>
        <w:tc>
          <w:tcPr>
            <w:tcW w:w="3397" w:type="dxa"/>
            <w:noWrap/>
            <w:hideMark/>
          </w:tcPr>
          <w:p w:rsidR="0007337F" w:rsidRPr="00C03D4E" w:rsidRDefault="0007337F" w:rsidP="00064C1E">
            <w:pPr>
              <w:rPr>
                <w:sz w:val="22"/>
                <w:szCs w:val="22"/>
              </w:rPr>
            </w:pPr>
            <w:r w:rsidRPr="00C03D4E">
              <w:rPr>
                <w:sz w:val="22"/>
                <w:szCs w:val="22"/>
              </w:rPr>
              <w:t>citi iemesli</w:t>
            </w:r>
          </w:p>
        </w:tc>
        <w:tc>
          <w:tcPr>
            <w:tcW w:w="693" w:type="dxa"/>
            <w:noWrap/>
            <w:hideMark/>
          </w:tcPr>
          <w:p w:rsidR="0007337F" w:rsidRPr="00C03D4E" w:rsidRDefault="0007337F" w:rsidP="00325DCB">
            <w:pPr>
              <w:jc w:val="center"/>
              <w:rPr>
                <w:sz w:val="22"/>
                <w:szCs w:val="22"/>
              </w:rPr>
            </w:pPr>
            <w:r w:rsidRPr="00C03D4E">
              <w:rPr>
                <w:sz w:val="22"/>
                <w:szCs w:val="22"/>
              </w:rPr>
              <w:t>0,1</w:t>
            </w:r>
          </w:p>
        </w:tc>
        <w:tc>
          <w:tcPr>
            <w:tcW w:w="694" w:type="dxa"/>
            <w:noWrap/>
            <w:hideMark/>
          </w:tcPr>
          <w:p w:rsidR="0007337F" w:rsidRPr="00C03D4E" w:rsidRDefault="0007337F" w:rsidP="00325DCB">
            <w:pPr>
              <w:jc w:val="center"/>
              <w:rPr>
                <w:sz w:val="22"/>
                <w:szCs w:val="22"/>
              </w:rPr>
            </w:pPr>
            <w:r w:rsidRPr="00C03D4E">
              <w:rPr>
                <w:sz w:val="22"/>
                <w:szCs w:val="22"/>
              </w:rPr>
              <w:t>0,2</w:t>
            </w:r>
          </w:p>
        </w:tc>
        <w:tc>
          <w:tcPr>
            <w:tcW w:w="693" w:type="dxa"/>
            <w:noWrap/>
            <w:hideMark/>
          </w:tcPr>
          <w:p w:rsidR="0007337F" w:rsidRPr="00C03D4E" w:rsidRDefault="0007337F" w:rsidP="00325DCB">
            <w:pPr>
              <w:jc w:val="center"/>
              <w:rPr>
                <w:sz w:val="22"/>
                <w:szCs w:val="22"/>
              </w:rPr>
            </w:pPr>
            <w:r w:rsidRPr="00C03D4E">
              <w:rPr>
                <w:sz w:val="22"/>
                <w:szCs w:val="22"/>
              </w:rPr>
              <w:t>0,1</w:t>
            </w:r>
          </w:p>
        </w:tc>
        <w:tc>
          <w:tcPr>
            <w:tcW w:w="694" w:type="dxa"/>
            <w:noWrap/>
            <w:hideMark/>
          </w:tcPr>
          <w:p w:rsidR="0007337F" w:rsidRPr="00C03D4E" w:rsidRDefault="0007337F" w:rsidP="00325DCB">
            <w:pPr>
              <w:jc w:val="center"/>
              <w:rPr>
                <w:sz w:val="22"/>
                <w:szCs w:val="22"/>
              </w:rPr>
            </w:pPr>
            <w:r w:rsidRPr="00C03D4E">
              <w:rPr>
                <w:sz w:val="22"/>
                <w:szCs w:val="22"/>
              </w:rPr>
              <w:t>0,3</w:t>
            </w:r>
          </w:p>
        </w:tc>
        <w:tc>
          <w:tcPr>
            <w:tcW w:w="693" w:type="dxa"/>
            <w:noWrap/>
            <w:hideMark/>
          </w:tcPr>
          <w:p w:rsidR="0007337F" w:rsidRPr="00C03D4E" w:rsidRDefault="0007337F" w:rsidP="00325DCB">
            <w:pPr>
              <w:jc w:val="center"/>
              <w:rPr>
                <w:sz w:val="22"/>
                <w:szCs w:val="22"/>
              </w:rPr>
            </w:pPr>
            <w:r w:rsidRPr="00C03D4E">
              <w:rPr>
                <w:sz w:val="22"/>
                <w:szCs w:val="22"/>
              </w:rPr>
              <w:t>0,3</w:t>
            </w:r>
          </w:p>
        </w:tc>
        <w:tc>
          <w:tcPr>
            <w:tcW w:w="694" w:type="dxa"/>
            <w:noWrap/>
            <w:hideMark/>
          </w:tcPr>
          <w:p w:rsidR="0007337F" w:rsidRPr="00C03D4E" w:rsidRDefault="0007337F" w:rsidP="00325DCB">
            <w:pPr>
              <w:jc w:val="center"/>
              <w:rPr>
                <w:sz w:val="22"/>
                <w:szCs w:val="22"/>
              </w:rPr>
            </w:pPr>
            <w:r w:rsidRPr="00C03D4E">
              <w:rPr>
                <w:sz w:val="22"/>
                <w:szCs w:val="22"/>
              </w:rPr>
              <w:t>0,3</w:t>
            </w:r>
          </w:p>
        </w:tc>
        <w:tc>
          <w:tcPr>
            <w:tcW w:w="693" w:type="dxa"/>
            <w:noWrap/>
            <w:hideMark/>
          </w:tcPr>
          <w:p w:rsidR="0007337F" w:rsidRPr="00C03D4E" w:rsidRDefault="0007337F" w:rsidP="00325DCB">
            <w:pPr>
              <w:jc w:val="center"/>
              <w:rPr>
                <w:sz w:val="22"/>
                <w:szCs w:val="22"/>
              </w:rPr>
            </w:pPr>
            <w:r w:rsidRPr="00C03D4E">
              <w:rPr>
                <w:sz w:val="22"/>
                <w:szCs w:val="22"/>
              </w:rPr>
              <w:t>0,2</w:t>
            </w:r>
          </w:p>
        </w:tc>
        <w:tc>
          <w:tcPr>
            <w:tcW w:w="694" w:type="dxa"/>
            <w:noWrap/>
            <w:hideMark/>
          </w:tcPr>
          <w:p w:rsidR="0007337F" w:rsidRPr="00C03D4E" w:rsidRDefault="0007337F" w:rsidP="00325DCB">
            <w:pPr>
              <w:jc w:val="center"/>
              <w:rPr>
                <w:sz w:val="22"/>
                <w:szCs w:val="22"/>
              </w:rPr>
            </w:pPr>
            <w:r w:rsidRPr="00C03D4E">
              <w:rPr>
                <w:sz w:val="22"/>
                <w:szCs w:val="22"/>
              </w:rPr>
              <w:t>0,2</w:t>
            </w:r>
          </w:p>
        </w:tc>
        <w:tc>
          <w:tcPr>
            <w:tcW w:w="694" w:type="dxa"/>
            <w:noWrap/>
            <w:hideMark/>
          </w:tcPr>
          <w:p w:rsidR="0007337F" w:rsidRPr="00C03D4E" w:rsidRDefault="0007337F" w:rsidP="00325DCB">
            <w:pPr>
              <w:jc w:val="center"/>
              <w:rPr>
                <w:sz w:val="22"/>
                <w:szCs w:val="22"/>
              </w:rPr>
            </w:pPr>
            <w:r w:rsidRPr="00C03D4E">
              <w:rPr>
                <w:sz w:val="22"/>
                <w:szCs w:val="22"/>
              </w:rPr>
              <w:t>0,2</w:t>
            </w:r>
          </w:p>
        </w:tc>
      </w:tr>
    </w:tbl>
    <w:p w:rsidR="0007337F" w:rsidRPr="0067470E" w:rsidRDefault="0067470E" w:rsidP="005A62EE">
      <w:pPr>
        <w:spacing w:line="240" w:lineRule="auto"/>
        <w:rPr>
          <w:sz w:val="20"/>
          <w:szCs w:val="20"/>
        </w:rPr>
      </w:pPr>
      <w:r w:rsidRPr="0067470E">
        <w:rPr>
          <w:sz w:val="20"/>
          <w:szCs w:val="20"/>
        </w:rPr>
        <w:t>Avots: CSP, “VPG091. Zobārsta apmeklējumi un zobārsta neapmeklēšanas iemesls 16 gadus veciem un vecākiem iedzīvotājiem (%)”.</w:t>
      </w:r>
    </w:p>
    <w:p w:rsidR="0067470E" w:rsidRDefault="0067470E" w:rsidP="00064C1E"/>
    <w:p w:rsidR="0007337F" w:rsidRDefault="0007337F" w:rsidP="00064C1E">
      <w:r w:rsidRPr="00966D80">
        <w:t>Otrs populārākais iemesls, kāpēc zobārsts netika apmeklēts</w:t>
      </w:r>
      <w:r w:rsidR="0030326A">
        <w:t>,</w:t>
      </w:r>
      <w:r w:rsidRPr="00966D80">
        <w:t xml:space="preserve"> ir bijis saistīts ar personas bailēm no zobārsta</w:t>
      </w:r>
      <w:r w:rsidR="00DA7C70">
        <w:t xml:space="preserve"> (</w:t>
      </w:r>
      <w:r w:rsidR="00AD3EDD">
        <w:fldChar w:fldCharType="begin"/>
      </w:r>
      <w:r w:rsidR="00F13B93">
        <w:instrText xml:space="preserve"> REF _Ref6495806 \h </w:instrText>
      </w:r>
      <w:r w:rsidR="00AD3EDD">
        <w:fldChar w:fldCharType="separate"/>
      </w:r>
      <w:r w:rsidR="00224B50">
        <w:rPr>
          <w:noProof/>
        </w:rPr>
        <w:t>2</w:t>
      </w:r>
      <w:r w:rsidR="00224B50">
        <w:t>.</w:t>
      </w:r>
      <w:r w:rsidR="00224B50">
        <w:rPr>
          <w:noProof/>
        </w:rPr>
        <w:t>2</w:t>
      </w:r>
      <w:r w:rsidR="00AD3EDD">
        <w:fldChar w:fldCharType="end"/>
      </w:r>
      <w:r w:rsidR="00DA7C70">
        <w:t>. tabula)</w:t>
      </w:r>
      <w:r w:rsidRPr="00966D80">
        <w:t>. Citi iemesli</w:t>
      </w:r>
      <w:r>
        <w:t xml:space="preserve"> – </w:t>
      </w:r>
      <w:r w:rsidRPr="00966D80">
        <w:t>zobārsta neapmeklēšana rindu dēļ, zobārsta neapmeklēšana laika trūkuma dēļ, zobārsta neapmeklēšana attāluma un transporta dēļ, zobārsta neapmeklēšana ar cerību, ka paliks labāk, zobārsta neapmeklēšana, jo nav zināms labs speciālists</w:t>
      </w:r>
      <w:r>
        <w:t xml:space="preserve"> – </w:t>
      </w:r>
      <w:r w:rsidRPr="00966D80">
        <w:t>nevienā no gadiem nav pārsnieguši 0</w:t>
      </w:r>
      <w:r w:rsidR="00DA7C70">
        <w:t>,</w:t>
      </w:r>
      <w:r w:rsidRPr="00966D80">
        <w:t xml:space="preserve">7% rādītājus, līdz ar to tos </w:t>
      </w:r>
      <w:r w:rsidR="00DA7C70">
        <w:t>visus var uzskatīt par maznozīmīgiem</w:t>
      </w:r>
      <w:r w:rsidRPr="00966D80">
        <w:t>.</w:t>
      </w:r>
    </w:p>
    <w:bookmarkStart w:id="415" w:name="_Ref6495840"/>
    <w:bookmarkStart w:id="416" w:name="_Toc6219207"/>
    <w:bookmarkStart w:id="417" w:name="_Toc6220150"/>
    <w:p w:rsidR="0007337F" w:rsidRPr="00966D80" w:rsidRDefault="00AD3EDD" w:rsidP="00F13B93">
      <w:pPr>
        <w:pStyle w:val="Caption"/>
      </w:pPr>
      <w:r>
        <w:lastRenderedPageBreak/>
        <w:fldChar w:fldCharType="begin"/>
      </w:r>
      <w:r w:rsidR="006B5456">
        <w:instrText xml:space="preserve"> STYLEREF 1 \s </w:instrText>
      </w:r>
      <w:r>
        <w:fldChar w:fldCharType="separate"/>
      </w:r>
      <w:bookmarkStart w:id="418" w:name="_Toc6855802"/>
      <w:r w:rsidR="00224B50">
        <w:rPr>
          <w:noProof/>
        </w:rPr>
        <w:t>2</w:t>
      </w:r>
      <w:r>
        <w:fldChar w:fldCharType="end"/>
      </w:r>
      <w:r w:rsidR="006B5456">
        <w:t>.</w:t>
      </w:r>
      <w:r>
        <w:fldChar w:fldCharType="begin"/>
      </w:r>
      <w:r w:rsidR="000F1524">
        <w:instrText xml:space="preserve"> SEQ Ilustrācija \* ARABIC \s 1 </w:instrText>
      </w:r>
      <w:r>
        <w:fldChar w:fldCharType="separate"/>
      </w:r>
      <w:r w:rsidR="00224B50">
        <w:rPr>
          <w:noProof/>
        </w:rPr>
        <w:t>14</w:t>
      </w:r>
      <w:r>
        <w:rPr>
          <w:noProof/>
        </w:rPr>
        <w:fldChar w:fldCharType="end"/>
      </w:r>
      <w:bookmarkEnd w:id="415"/>
      <w:r w:rsidR="0030326A">
        <w:t xml:space="preserve">. attēls. </w:t>
      </w:r>
      <w:r w:rsidR="0007337F" w:rsidRPr="00966D80">
        <w:t xml:space="preserve">Zobārsta apmeklējumi un zobārsta neapmeklēšanas iemesls 16 gadus veciem un vecākiem iedzīvotājiem (%). Neapmeklēja zobārstu, jo </w:t>
      </w:r>
      <w:r w:rsidR="0007337F" w:rsidRPr="00D3739C">
        <w:t>nevarēja</w:t>
      </w:r>
      <w:r w:rsidR="0007337F" w:rsidRPr="00966D80">
        <w:t xml:space="preserve"> to atļauties. Visas personas</w:t>
      </w:r>
      <w:bookmarkEnd w:id="416"/>
      <w:bookmarkEnd w:id="417"/>
      <w:bookmarkEnd w:id="418"/>
    </w:p>
    <w:p w:rsidR="0007337F" w:rsidRPr="00966D80" w:rsidRDefault="00842D28" w:rsidP="00064C1E">
      <w:pPr>
        <w:rPr>
          <w:b/>
        </w:rPr>
      </w:pPr>
      <w:r w:rsidRPr="00842D28">
        <w:rPr>
          <w:noProof/>
        </w:rPr>
        <w:drawing>
          <wp:inline distT="0" distB="0" distL="0" distR="0">
            <wp:extent cx="6154420" cy="3772541"/>
            <wp:effectExtent l="19050" t="0" r="0" b="0"/>
            <wp:docPr id="13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7"/>
                    <a:srcRect/>
                    <a:stretch>
                      <a:fillRect/>
                    </a:stretch>
                  </pic:blipFill>
                  <pic:spPr bwMode="auto">
                    <a:xfrm>
                      <a:off x="0" y="0"/>
                      <a:ext cx="6154420" cy="3772541"/>
                    </a:xfrm>
                    <a:prstGeom prst="rect">
                      <a:avLst/>
                    </a:prstGeom>
                    <a:noFill/>
                    <a:ln w="9525">
                      <a:noFill/>
                      <a:miter lim="800000"/>
                      <a:headEnd/>
                      <a:tailEnd/>
                    </a:ln>
                  </pic:spPr>
                </pic:pic>
              </a:graphicData>
            </a:graphic>
          </wp:inline>
        </w:drawing>
      </w:r>
    </w:p>
    <w:p w:rsidR="0007337F" w:rsidRPr="005A62EE" w:rsidRDefault="005A62EE" w:rsidP="005A62EE">
      <w:pPr>
        <w:spacing w:line="240" w:lineRule="auto"/>
        <w:rPr>
          <w:sz w:val="20"/>
          <w:szCs w:val="20"/>
        </w:rPr>
      </w:pPr>
      <w:r w:rsidRPr="005A62EE">
        <w:rPr>
          <w:sz w:val="20"/>
          <w:szCs w:val="20"/>
        </w:rPr>
        <w:t xml:space="preserve">Avots: CSP, “VPG091. Zobārsta apmeklējumi un zobārsta neapmeklēšanas iemesls 16 gadus veciem un vecākiem iedzīvotājiem (%)”. </w:t>
      </w:r>
    </w:p>
    <w:p w:rsidR="005A62EE" w:rsidRDefault="005A62EE" w:rsidP="00064C1E">
      <w:pPr>
        <w:rPr>
          <w:b/>
        </w:rPr>
      </w:pPr>
    </w:p>
    <w:p w:rsidR="00DA7C70" w:rsidRDefault="00DA7C70" w:rsidP="00064C1E">
      <w:r>
        <w:t>Zobārsta neapmeklēšanas finanšu trūkuma dēļ biežuma analīze k</w:t>
      </w:r>
      <w:r w:rsidR="0030326A" w:rsidRPr="00966D80">
        <w:t xml:space="preserve">vintiļu grupu griezumā </w:t>
      </w:r>
      <w:r w:rsidR="0030326A">
        <w:t>(</w:t>
      </w:r>
      <w:r w:rsidR="00922A20">
        <w:t>sk.</w:t>
      </w:r>
      <w:r w:rsidR="005408FC">
        <w:t xml:space="preserve"> 2.15</w:t>
      </w:r>
      <w:r w:rsidR="00922A20">
        <w:t>. attēlu</w:t>
      </w:r>
      <w:r w:rsidR="0030326A">
        <w:t xml:space="preserve">) </w:t>
      </w:r>
      <w:r w:rsidR="0030326A" w:rsidRPr="00966D80">
        <w:t>rāda</w:t>
      </w:r>
      <w:r>
        <w:t xml:space="preserve"> likumsakarīgu tendenci</w:t>
      </w:r>
      <w:r w:rsidR="0030326A" w:rsidRPr="00966D80">
        <w:t xml:space="preserve">, </w:t>
      </w:r>
      <w:r>
        <w:t>un proti, šo iemeslu biežāk nosauc trūcīgākas personas. Samazinoties personas trūcīgumam, samazinās šī iemesla minēšanas biežums, taču arī relatīvi turīgākas personas, t.i., ar ienākumiem, kas atbilst 5. kvintiļu grupai, ir piedzīvojušas situācijas, kad zobārstu nav apmeklējušas finanšu trūkuma dēļ. Finanšu trūkuma ietekmi uz personu iespējām apmeklēt zobārstu pastiprināja ekonomiskā recesija. Kopumā 2017. gadā zobārstu finanšu trūkuma dēļ vismaz reizi gada laikā nav apmeklējuši 24,4% iedzīvotāji ar ienākumiem, kas atbilst 1. kvintiļu grupai, 18,2% iedzīvotāju 2. kvintiļu grupā, 13% iedzīvotāji 3. kvintiļu</w:t>
      </w:r>
      <w:r w:rsidR="00681F27">
        <w:t xml:space="preserve"> grupā, 8,2% – 4. kvintiļu grupā</w:t>
      </w:r>
      <w:r>
        <w:t xml:space="preserve"> un 4,1% – 5. kvintiļu grup</w:t>
      </w:r>
      <w:r w:rsidR="00681F27">
        <w:t>ā</w:t>
      </w:r>
      <w:r>
        <w:t>.</w:t>
      </w:r>
    </w:p>
    <w:p w:rsidR="00DA7C70" w:rsidRDefault="00DA7C70" w:rsidP="00064C1E"/>
    <w:p w:rsidR="00D21A2E" w:rsidRPr="00966D80" w:rsidRDefault="00D21A2E" w:rsidP="00D21A2E">
      <w:r>
        <w:t>Salīdzinot lauku un pilsētu iedzīvotājus, būtiski nozīmīgas atšķirības zobārsta neapmeklēšanā nav novērotas, t.i., ienākumu līmenim ir būtiskāka nozīme par ģeogrāfisko pieejamību.</w:t>
      </w:r>
      <w:r w:rsidR="00DA7C70" w:rsidRPr="00966D80">
        <w:t xml:space="preserve"> 2017</w:t>
      </w:r>
      <w:r w:rsidR="00DA7C70">
        <w:t>. gadā</w:t>
      </w:r>
      <w:r w:rsidR="00DA7C70" w:rsidRPr="00966D80">
        <w:t xml:space="preserve"> laukos bija </w:t>
      </w:r>
      <w:r w:rsidR="00681F27">
        <w:t xml:space="preserve">par </w:t>
      </w:r>
      <w:r w:rsidR="00DA7C70" w:rsidRPr="00966D80">
        <w:t>2,1</w:t>
      </w:r>
      <w:r>
        <w:t xml:space="preserve"> procentpunktiem</w:t>
      </w:r>
      <w:r w:rsidR="00DA7C70" w:rsidRPr="00966D80">
        <w:t xml:space="preserve"> vairāk to personu, kuras neapmeklēja</w:t>
      </w:r>
      <w:r>
        <w:t xml:space="preserve"> zobārstu, un proti, pilsētās šis rādītājs </w:t>
      </w:r>
      <w:r w:rsidR="00DA7C70" w:rsidRPr="00966D80">
        <w:t>bija</w:t>
      </w:r>
      <w:r w:rsidR="00DA7C70">
        <w:t xml:space="preserve"> </w:t>
      </w:r>
      <w:r w:rsidR="00DA7C70" w:rsidRPr="00966D80">
        <w:t>12,</w:t>
      </w:r>
      <w:r>
        <w:t>7%</w:t>
      </w:r>
      <w:r w:rsidR="00DA7C70" w:rsidRPr="00966D80">
        <w:t>, bet laukos</w:t>
      </w:r>
      <w:r w:rsidR="00DA7C70">
        <w:t xml:space="preserve"> – </w:t>
      </w:r>
      <w:r w:rsidR="00DA7C70" w:rsidRPr="00966D80">
        <w:t>14,8%.</w:t>
      </w:r>
      <w:r>
        <w:t xml:space="preserve"> Dzimumu griezumā vērojams, ka </w:t>
      </w:r>
      <w:r w:rsidRPr="00966D80">
        <w:t>2017</w:t>
      </w:r>
      <w:r>
        <w:t>. gadā</w:t>
      </w:r>
      <w:r w:rsidRPr="00966D80">
        <w:t xml:space="preserve"> 12,4% vīriešu nepameklēja zobārstu, jo nevarēja to atļauties, kamēr sieviešu grupā šis rādītājs </w:t>
      </w:r>
      <w:r>
        <w:t>bija</w:t>
      </w:r>
      <w:r w:rsidRPr="00966D80">
        <w:t xml:space="preserve"> 14,1%.</w:t>
      </w:r>
      <w:r>
        <w:t xml:space="preserve"> Dati vecuma griezumā rāda, ka seniori ar šo problēmu saskaras biežāk, un proti, </w:t>
      </w:r>
      <w:r w:rsidRPr="00966D80">
        <w:t>2017.</w:t>
      </w:r>
      <w:r w:rsidR="00DE1C08">
        <w:t xml:space="preserve"> </w:t>
      </w:r>
      <w:r w:rsidRPr="00966D80">
        <w:t>gad</w:t>
      </w:r>
      <w:r>
        <w:t>ā</w:t>
      </w:r>
      <w:r w:rsidRPr="00966D80">
        <w:t xml:space="preserve"> vecuma grupā</w:t>
      </w:r>
      <w:r>
        <w:t xml:space="preserve"> no 16 līdz </w:t>
      </w:r>
      <w:r w:rsidRPr="00966D80">
        <w:t xml:space="preserve">24 gadiem 6,6% personu bija šāda problēma, pēc tam, </w:t>
      </w:r>
      <w:r>
        <w:t>pieaugot</w:t>
      </w:r>
      <w:r w:rsidRPr="00966D80">
        <w:t xml:space="preserve"> vecumam, redzams, ka šo personu īpatsvars turpina pieaugt, līdz vecuma grupā 55</w:t>
      </w:r>
      <w:r>
        <w:t>–</w:t>
      </w:r>
      <w:r w:rsidRPr="00966D80">
        <w:t>64 tas sasniedz 23</w:t>
      </w:r>
      <w:r>
        <w:t>,</w:t>
      </w:r>
      <w:r w:rsidRPr="00966D80">
        <w:t xml:space="preserve">1%, </w:t>
      </w:r>
      <w:r>
        <w:t>lai gan</w:t>
      </w:r>
      <w:r w:rsidRPr="00966D80">
        <w:t xml:space="preserve"> vecuma grupā, kurā ietilpst 75 gadus vecāki cilvēki</w:t>
      </w:r>
      <w:r>
        <w:t>,</w:t>
      </w:r>
      <w:r w:rsidRPr="00966D80">
        <w:t xml:space="preserve"> ar šo problēmu saskārās 14%</w:t>
      </w:r>
      <w:r>
        <w:t xml:space="preserve"> iedzīvotāju</w:t>
      </w:r>
      <w:r w:rsidRPr="00966D80">
        <w:t>.</w:t>
      </w:r>
    </w:p>
    <w:bookmarkStart w:id="419" w:name="_Toc6219208"/>
    <w:bookmarkStart w:id="420" w:name="_Toc6220151"/>
    <w:p w:rsidR="0007337F" w:rsidRPr="00966D80" w:rsidRDefault="00AD3EDD" w:rsidP="00F13B93">
      <w:pPr>
        <w:pStyle w:val="Caption"/>
      </w:pPr>
      <w:r>
        <w:lastRenderedPageBreak/>
        <w:fldChar w:fldCharType="begin"/>
      </w:r>
      <w:r w:rsidR="006B5456">
        <w:instrText xml:space="preserve"> STYLEREF 1 \s </w:instrText>
      </w:r>
      <w:r>
        <w:fldChar w:fldCharType="separate"/>
      </w:r>
      <w:bookmarkStart w:id="421" w:name="_Toc6855803"/>
      <w:r w:rsidR="00224B50">
        <w:rPr>
          <w:noProof/>
        </w:rPr>
        <w:t>2</w:t>
      </w:r>
      <w:r>
        <w:fldChar w:fldCharType="end"/>
      </w:r>
      <w:r w:rsidR="006B5456">
        <w:t>.</w:t>
      </w:r>
      <w:r>
        <w:fldChar w:fldCharType="begin"/>
      </w:r>
      <w:r w:rsidR="000F1524">
        <w:instrText xml:space="preserve"> SEQ Ilustrācija \* ARABIC \s 1 </w:instrText>
      </w:r>
      <w:r>
        <w:fldChar w:fldCharType="separate"/>
      </w:r>
      <w:r w:rsidR="00224B50">
        <w:rPr>
          <w:noProof/>
        </w:rPr>
        <w:t>15</w:t>
      </w:r>
      <w:r>
        <w:rPr>
          <w:noProof/>
        </w:rPr>
        <w:fldChar w:fldCharType="end"/>
      </w:r>
      <w:r w:rsidR="0030326A">
        <w:t xml:space="preserve">. attēls. </w:t>
      </w:r>
      <w:r w:rsidR="0007337F" w:rsidRPr="00966D80">
        <w:t xml:space="preserve">Zobārsta apmeklējumi un zobārsta </w:t>
      </w:r>
      <w:r w:rsidR="0007337F" w:rsidRPr="00D3739C">
        <w:t>neapmeklēšanas</w:t>
      </w:r>
      <w:r w:rsidR="0007337F" w:rsidRPr="00966D80">
        <w:t xml:space="preserve"> iemesls 16 gadus veciem un vecākiem iedzīvotājiem (%). Neapmeklēja zobārstu, jo nevarēja to atļauties</w:t>
      </w:r>
      <w:r w:rsidR="0007337F">
        <w:t>. kvint</w:t>
      </w:r>
      <w:r w:rsidR="0007337F" w:rsidRPr="00966D80">
        <w:t>iļu grupu griezumā</w:t>
      </w:r>
      <w:bookmarkEnd w:id="419"/>
      <w:bookmarkEnd w:id="420"/>
      <w:bookmarkEnd w:id="421"/>
    </w:p>
    <w:p w:rsidR="0007337F" w:rsidRPr="00966D80" w:rsidRDefault="00842D28" w:rsidP="00064C1E">
      <w:pPr>
        <w:jc w:val="center"/>
        <w:rPr>
          <w:b/>
        </w:rPr>
      </w:pPr>
      <w:r w:rsidRPr="00842D28">
        <w:rPr>
          <w:noProof/>
        </w:rPr>
        <w:drawing>
          <wp:inline distT="0" distB="0" distL="0" distR="0">
            <wp:extent cx="6154420" cy="3760624"/>
            <wp:effectExtent l="19050" t="0" r="0" b="0"/>
            <wp:docPr id="131"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8"/>
                    <a:srcRect/>
                    <a:stretch>
                      <a:fillRect/>
                    </a:stretch>
                  </pic:blipFill>
                  <pic:spPr bwMode="auto">
                    <a:xfrm>
                      <a:off x="0" y="0"/>
                      <a:ext cx="6154420" cy="3760624"/>
                    </a:xfrm>
                    <a:prstGeom prst="rect">
                      <a:avLst/>
                    </a:prstGeom>
                    <a:noFill/>
                    <a:ln w="9525">
                      <a:noFill/>
                      <a:miter lim="800000"/>
                      <a:headEnd/>
                      <a:tailEnd/>
                    </a:ln>
                  </pic:spPr>
                </pic:pic>
              </a:graphicData>
            </a:graphic>
          </wp:inline>
        </w:drawing>
      </w:r>
    </w:p>
    <w:p w:rsidR="0007337F" w:rsidRPr="005A62EE" w:rsidRDefault="005A62EE" w:rsidP="005A62EE">
      <w:pPr>
        <w:spacing w:line="240" w:lineRule="auto"/>
        <w:rPr>
          <w:sz w:val="20"/>
          <w:szCs w:val="20"/>
        </w:rPr>
      </w:pPr>
      <w:r w:rsidRPr="005A62EE">
        <w:rPr>
          <w:sz w:val="20"/>
          <w:szCs w:val="20"/>
        </w:rPr>
        <w:t xml:space="preserve">Avots: CSP, “VPG091. Zobārsta apmeklējumi un zobārsta neapmeklēšanas iemesls 16 gadus veciem un vecākiem iedzīvotājiem (%)”. </w:t>
      </w:r>
    </w:p>
    <w:p w:rsidR="005A62EE" w:rsidRDefault="005A62EE" w:rsidP="00064C1E"/>
    <w:p w:rsidR="0007337F" w:rsidRDefault="00D21A2E" w:rsidP="00064C1E">
      <w:r w:rsidRPr="00167563">
        <w:t>Paplašinātā</w:t>
      </w:r>
      <w:r w:rsidR="0007337F" w:rsidRPr="00167563">
        <w:t xml:space="preserve"> EU-SILC </w:t>
      </w:r>
      <w:r w:rsidRPr="00167563">
        <w:t xml:space="preserve">2017. gada </w:t>
      </w:r>
      <w:r w:rsidR="0007337F" w:rsidRPr="00167563">
        <w:t xml:space="preserve">veselības moduļa dati sniedz plašākas iespējas raksturot nevienlīdzību veselības aprūpes jomā, </w:t>
      </w:r>
      <w:r w:rsidR="00EC3B8F" w:rsidRPr="00167563">
        <w:t xml:space="preserve">dzīvesveida sekas, </w:t>
      </w:r>
      <w:r w:rsidR="0007337F" w:rsidRPr="00167563">
        <w:t xml:space="preserve">kā arī </w:t>
      </w:r>
      <w:r w:rsidRPr="00167563">
        <w:t xml:space="preserve">sniegt </w:t>
      </w:r>
      <w:r w:rsidR="00EC3B8F" w:rsidRPr="00167563">
        <w:t xml:space="preserve">bērnu </w:t>
      </w:r>
      <w:r w:rsidR="0007337F" w:rsidRPr="00167563">
        <w:t xml:space="preserve">veselības stāvokļa </w:t>
      </w:r>
      <w:r w:rsidRPr="00167563">
        <w:t>paš</w:t>
      </w:r>
      <w:r w:rsidR="0007337F" w:rsidRPr="00167563">
        <w:t>novērtējumu.</w:t>
      </w:r>
      <w:r w:rsidRPr="00167563">
        <w:t xml:space="preserve"> Raugoties no nevienlīdzības perspektīvas, turpmāk aplūkoti dati, cik lielu finanšu slogu dažāda tipa mājsaimniecībām un iedzīvotājiem ar ienākumiem atšķirīgās kvintiļu grupās rada viena vai otra veida ārstēšanās izdevumi, kā arī medikamentu iegāde.</w:t>
      </w:r>
      <w:r w:rsidR="00167563">
        <w:t xml:space="preserve"> Šī informācija var būt noderīga politikas veidotājiem, domājot par to, kurās jomās būtu visvairāk mazināms iedzīvotāju tiešmaksājumu veselības aprūpē radītais slogs</w:t>
      </w:r>
      <w:r w:rsidR="00102A2E">
        <w:t>, ievērojot to, ka aptauju dati ļauj konstatēt vispārējo situāciju, nevis veic detalizētu cenu salīdzinājumu dažādās izmaksu grupās</w:t>
      </w:r>
      <w:r w:rsidR="00167563">
        <w:t>.</w:t>
      </w:r>
    </w:p>
    <w:p w:rsidR="00102A2E" w:rsidRDefault="00102A2E" w:rsidP="00102A2E"/>
    <w:p w:rsidR="00E457FF" w:rsidRPr="00966D80" w:rsidRDefault="00102A2E" w:rsidP="00E457FF">
      <w:r>
        <w:t>Pirmais rādītāj</w:t>
      </w:r>
      <w:r w:rsidRPr="00966D80">
        <w:t>s raksturo</w:t>
      </w:r>
      <w:r>
        <w:t>,</w:t>
      </w:r>
      <w:r w:rsidRPr="00966D80">
        <w:t xml:space="preserve"> cik lielā mērā </w:t>
      </w:r>
      <w:r>
        <w:t xml:space="preserve">vispārējās </w:t>
      </w:r>
      <w:r w:rsidRPr="00966D80">
        <w:t>veselības pārbaudes vai ārstēšanās izmaksas bija apgrūtinājums mājsaimniecības budžetam</w:t>
      </w:r>
      <w:r>
        <w:t xml:space="preserve"> (sk.</w:t>
      </w:r>
      <w:r w:rsidR="005408FC">
        <w:t xml:space="preserve"> 2.16</w:t>
      </w:r>
      <w:r>
        <w:t>. attēlu)</w:t>
      </w:r>
      <w:r w:rsidRPr="00966D80">
        <w:t>. Respondenti tika lūgti šo jautājumu novērtēt, izmantojot četrus atbilžu variantus</w:t>
      </w:r>
      <w:r>
        <w:t> – „</w:t>
      </w:r>
      <w:r w:rsidRPr="00966D80">
        <w:t xml:space="preserve">ļoti apgrūtinošas”, </w:t>
      </w:r>
      <w:r>
        <w:t>„</w:t>
      </w:r>
      <w:r w:rsidRPr="00966D80">
        <w:t xml:space="preserve">nedaudz apgrūtinošas”, </w:t>
      </w:r>
      <w:r>
        <w:t>„</w:t>
      </w:r>
      <w:r w:rsidRPr="00966D80">
        <w:t xml:space="preserve">nemaz nebija apgrūtinošas” vai </w:t>
      </w:r>
      <w:r>
        <w:t>šādu izmaksu</w:t>
      </w:r>
      <w:r w:rsidRPr="00966D80">
        <w:t xml:space="preserve"> 2017</w:t>
      </w:r>
      <w:r>
        <w:t>. gadā</w:t>
      </w:r>
      <w:r w:rsidRPr="00966D80">
        <w:t xml:space="preserve"> nebija.</w:t>
      </w:r>
      <w:r>
        <w:t xml:space="preserve"> Vidēji sabiedrībā (sk.</w:t>
      </w:r>
      <w:r w:rsidR="005408FC">
        <w:t xml:space="preserve"> 2.16</w:t>
      </w:r>
      <w:r>
        <w:t xml:space="preserve">. attēlu) </w:t>
      </w:r>
      <w:r w:rsidRPr="00966D80">
        <w:t xml:space="preserve">41,7% </w:t>
      </w:r>
      <w:r>
        <w:t>gadījumu</w:t>
      </w:r>
      <w:r w:rsidRPr="00966D80">
        <w:t xml:space="preserve"> šīs izmaksas tika raksturotas kā </w:t>
      </w:r>
      <w:r>
        <w:t>„</w:t>
      </w:r>
      <w:r w:rsidRPr="00966D80">
        <w:t>nedaudz apgrūtinošas</w:t>
      </w:r>
      <w:r>
        <w:t>”</w:t>
      </w:r>
      <w:r w:rsidRPr="00966D80">
        <w:t xml:space="preserve">, </w:t>
      </w:r>
      <w:r>
        <w:t>tomēr</w:t>
      </w:r>
      <w:r w:rsidRPr="00966D80">
        <w:t xml:space="preserve"> </w:t>
      </w:r>
      <w:r>
        <w:t>„</w:t>
      </w:r>
      <w:r w:rsidRPr="00966D80">
        <w:t>ļoti apgrūtinošas”</w:t>
      </w:r>
      <w:r>
        <w:t xml:space="preserve"> tās bija </w:t>
      </w:r>
      <w:r w:rsidRPr="00966D80">
        <w:t>26,5% gadījumu</w:t>
      </w:r>
      <w:r>
        <w:t>, tādējādi kopējā iedzīvotāju nosliece ir uzskatīt vispārējās ārstēšanās izmaksas par zināmu apgrūtinājumu izraisošām</w:t>
      </w:r>
      <w:r w:rsidRPr="00966D80">
        <w:t>.</w:t>
      </w:r>
      <w:r>
        <w:t xml:space="preserve"> Vienlaikus redzams, ka visnozīmīgāko slogu tas rada personām 65+ gadu vecumā (38,2% „ļoti apgrūtinošas”), salīdzinot ar citām iedzīvotāju grupām (2.16. attēls).</w:t>
      </w:r>
      <w:r w:rsidR="00E457FF">
        <w:t xml:space="preserve"> M</w:t>
      </w:r>
      <w:r w:rsidR="00E457FF" w:rsidRPr="00966D80">
        <w:t>ājsaimniecības, kurās ir pāris ar trīs un vairāk bērniem</w:t>
      </w:r>
      <w:r w:rsidR="00E457FF">
        <w:t xml:space="preserve"> visbiežāk </w:t>
      </w:r>
      <w:r w:rsidR="00E457FF" w:rsidRPr="00966D80">
        <w:t xml:space="preserve">veselības pārbaužu vai ārstēšanās izmaksas novērtē kā </w:t>
      </w:r>
      <w:r w:rsidR="00E457FF">
        <w:t>„</w:t>
      </w:r>
      <w:r w:rsidR="00E457FF" w:rsidRPr="00966D80">
        <w:t>nedaudz apgrūtinošas”</w:t>
      </w:r>
      <w:r w:rsidR="00E457FF">
        <w:t> (</w:t>
      </w:r>
      <w:r w:rsidR="00E457FF" w:rsidRPr="00966D80">
        <w:t>53,4%</w:t>
      </w:r>
      <w:r w:rsidR="00E457FF">
        <w:t>)</w:t>
      </w:r>
      <w:r w:rsidR="00E457FF" w:rsidRPr="00966D80">
        <w:t>. Mājsaimniecības, kurās ir divi bērni</w:t>
      </w:r>
      <w:r w:rsidR="00E457FF">
        <w:t>,</w:t>
      </w:r>
      <w:r w:rsidR="00E457FF" w:rsidRPr="00966D80">
        <w:t xml:space="preserve"> 51% </w:t>
      </w:r>
      <w:r w:rsidR="00E457FF" w:rsidRPr="00966D80">
        <w:lastRenderedPageBreak/>
        <w:t xml:space="preserve">gadījumu veselības pārbaužu vai ārstēšanās izmaksas novērtējušas kā </w:t>
      </w:r>
      <w:r w:rsidR="00E457FF">
        <w:t>„</w:t>
      </w:r>
      <w:r w:rsidR="00E457FF" w:rsidRPr="00966D80">
        <w:t>nedaudz apgrūtinošas”, bet mājsaimniecības, kurās ir pāris arvienu bērnu</w:t>
      </w:r>
      <w:r w:rsidR="00E457FF">
        <w:t>,</w:t>
      </w:r>
      <w:r w:rsidR="00E457FF" w:rsidRPr="00966D80">
        <w:t xml:space="preserve"> to darījušas 50,9% gadījumu. </w:t>
      </w:r>
      <w:r w:rsidR="00E457FF">
        <w:t xml:space="preserve">Tādējādi bērnu skaits pilnā ģimenē (tos audzina pāris) pašnovērtējumu, cik lielu slogu rada veselības pārbaudes un ārstēšanās izmaksas, ietekmē nelielā mērā. Lielāka nozīme ir pieaugušo skaitam ģimenē, un proti, mājsaimniecībās, kurās ir viens pieaugušais ar bērniem (nepilnās ģimenes) veselības pārbaužu vai ārstēšanās izmaksu slogs tiek vērtēts atšķirīgi – biežāk nekā gadījumā, ja bērnus audzina pāris, tiek minēts atbilžu variants </w:t>
      </w:r>
      <w:r w:rsidR="006A696A">
        <w:t>„ļoti apgrūtinošas” (17,8%), kā arī uzmanība ir jāpievērš apstāklim, ka 10,2% šo mājsaimniecību norāda, ka tādu izmaksu nav bijis. Tā kā visiem iedzīvotājiem vismaz reizi gadā būtu jāveic vismaz veselības profilaktiskās apskates pie ģimenes ārsta, tad šāda atbilde var liecināt par dažādiem apstākļiem – gan to, ka nepilno ģimeņu vecāki vairāk paļaujas uz tādiem veselības aprūpes pakalpojumiem, kuri bērniem pieejami bezmaksas, bet vecāki saņem atvieglojumus, balstoties uz trūcīgas personas statusu, gan pastāv risks, ka kāds no ģimenes locekļiem gada laikā nav vērsties pie ārsta pat profilaktisko apskašu veikšanas nolūkā.</w:t>
      </w:r>
    </w:p>
    <w:bookmarkStart w:id="422" w:name="_Toc6219209"/>
    <w:bookmarkStart w:id="423" w:name="_Toc6220152"/>
    <w:p w:rsidR="0007337F" w:rsidRPr="00966D80" w:rsidRDefault="00AD3EDD" w:rsidP="00F13B93">
      <w:pPr>
        <w:pStyle w:val="Caption"/>
      </w:pPr>
      <w:r>
        <w:fldChar w:fldCharType="begin"/>
      </w:r>
      <w:r w:rsidR="006B5456">
        <w:instrText xml:space="preserve"> STYLEREF 1 \s </w:instrText>
      </w:r>
      <w:r>
        <w:fldChar w:fldCharType="separate"/>
      </w:r>
      <w:bookmarkStart w:id="424" w:name="_Toc6855804"/>
      <w:r w:rsidR="00224B50">
        <w:rPr>
          <w:noProof/>
        </w:rPr>
        <w:t>2</w:t>
      </w:r>
      <w:r>
        <w:fldChar w:fldCharType="end"/>
      </w:r>
      <w:r w:rsidR="006B5456">
        <w:t>.</w:t>
      </w:r>
      <w:r>
        <w:fldChar w:fldCharType="begin"/>
      </w:r>
      <w:r w:rsidR="000F1524">
        <w:instrText xml:space="preserve"> SEQ Ilustrācija \* ARABIC \s 1 </w:instrText>
      </w:r>
      <w:r>
        <w:fldChar w:fldCharType="separate"/>
      </w:r>
      <w:r w:rsidR="00224B50">
        <w:rPr>
          <w:noProof/>
        </w:rPr>
        <w:t>16</w:t>
      </w:r>
      <w:r>
        <w:rPr>
          <w:noProof/>
        </w:rPr>
        <w:fldChar w:fldCharType="end"/>
      </w:r>
      <w:r w:rsidR="00E44507">
        <w:t>.</w:t>
      </w:r>
      <w:r w:rsidR="00EC3B8F">
        <w:t xml:space="preserve"> attēls. </w:t>
      </w:r>
      <w:r w:rsidR="0007337F" w:rsidRPr="00966D80">
        <w:t>Ārstēšanās un medikamentu izmaksu slogs mājsaimniecībām 2017</w:t>
      </w:r>
      <w:r w:rsidR="0007337F">
        <w:t>. gadā</w:t>
      </w:r>
      <w:r w:rsidR="0007337F" w:rsidRPr="00966D80">
        <w:t xml:space="preserve">. Cik lielā mērā veselības pārbaužu vai ārstēšanās izmaksas pie </w:t>
      </w:r>
      <w:r w:rsidR="0007337F" w:rsidRPr="00D3739C">
        <w:t>medicīnas</w:t>
      </w:r>
      <w:r w:rsidR="0007337F" w:rsidRPr="00966D80">
        <w:t xml:space="preserve"> speciālista (izņemot zobārstu) mājsaimniecībai pēdējo 12 mēnešu laikā bija apgrūtinošas. Visas mājsaimniecības </w:t>
      </w:r>
      <w:r w:rsidR="0007337F">
        <w:t>un m</w:t>
      </w:r>
      <w:r w:rsidR="0007337F" w:rsidRPr="00966D80">
        <w:t>ājsaimniecību tipu griezums</w:t>
      </w:r>
      <w:bookmarkEnd w:id="422"/>
      <w:bookmarkEnd w:id="423"/>
      <w:bookmarkEnd w:id="424"/>
    </w:p>
    <w:p w:rsidR="0007337F" w:rsidRPr="00966D80" w:rsidRDefault="00842D28" w:rsidP="00064C1E">
      <w:pPr>
        <w:rPr>
          <w:b/>
        </w:rPr>
      </w:pPr>
      <w:r w:rsidRPr="00842D28">
        <w:rPr>
          <w:noProof/>
        </w:rPr>
        <w:drawing>
          <wp:inline distT="0" distB="0" distL="0" distR="0">
            <wp:extent cx="6154420" cy="3694130"/>
            <wp:effectExtent l="19050" t="0" r="0" b="0"/>
            <wp:docPr id="133"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9"/>
                    <a:srcRect/>
                    <a:stretch>
                      <a:fillRect/>
                    </a:stretch>
                  </pic:blipFill>
                  <pic:spPr bwMode="auto">
                    <a:xfrm>
                      <a:off x="0" y="0"/>
                      <a:ext cx="6154420" cy="3694130"/>
                    </a:xfrm>
                    <a:prstGeom prst="rect">
                      <a:avLst/>
                    </a:prstGeom>
                    <a:noFill/>
                    <a:ln w="9525">
                      <a:noFill/>
                      <a:miter lim="800000"/>
                      <a:headEnd/>
                      <a:tailEnd/>
                    </a:ln>
                  </pic:spPr>
                </pic:pic>
              </a:graphicData>
            </a:graphic>
          </wp:inline>
        </w:drawing>
      </w:r>
    </w:p>
    <w:p w:rsidR="0007337F" w:rsidRPr="005A62EE" w:rsidRDefault="005A62EE" w:rsidP="00C33A64">
      <w:pPr>
        <w:pStyle w:val="avotiemft10"/>
      </w:pPr>
      <w:bookmarkStart w:id="425" w:name="_Toc6841573"/>
      <w:r w:rsidRPr="005A62EE">
        <w:t>Avots: CSP</w:t>
      </w:r>
      <w:r>
        <w:t>,</w:t>
      </w:r>
      <w:r w:rsidRPr="005A62EE">
        <w:t xml:space="preserve"> “MOD17_04. Ārstēšanās un medikamentu izmaksu slogs </w:t>
      </w:r>
      <w:r w:rsidRPr="00DA49DB">
        <w:t>mājsaimniecībām</w:t>
      </w:r>
      <w:r w:rsidRPr="005A62EE">
        <w:t xml:space="preserve"> 2017. gadā (%)”</w:t>
      </w:r>
      <w:bookmarkEnd w:id="425"/>
    </w:p>
    <w:p w:rsidR="005A62EE" w:rsidRDefault="005A62EE" w:rsidP="00064C1E"/>
    <w:p w:rsidR="003F5745" w:rsidRPr="00966D80" w:rsidRDefault="003F5745" w:rsidP="00064C1E">
      <w:r w:rsidRPr="00966D80">
        <w:t>Skatoties šo rādītāju griezumu pa kvintiļu grupām</w:t>
      </w:r>
      <w:r>
        <w:t xml:space="preserve"> (</w:t>
      </w:r>
      <w:r w:rsidR="00922A20">
        <w:t xml:space="preserve">sk. </w:t>
      </w:r>
      <w:r w:rsidR="005408FC">
        <w:t>2.17</w:t>
      </w:r>
      <w:r w:rsidR="00922A20">
        <w:t>. attēlu</w:t>
      </w:r>
      <w:r>
        <w:t>),</w:t>
      </w:r>
      <w:r w:rsidRPr="00966D80">
        <w:t xml:space="preserve"> redzams, ka 2017</w:t>
      </w:r>
      <w:r>
        <w:t>. gadā</w:t>
      </w:r>
      <w:r w:rsidRPr="00966D80">
        <w:t xml:space="preserve"> </w:t>
      </w:r>
      <w:r w:rsidR="00D54950">
        <w:t>trūcīgākas personas biežāk</w:t>
      </w:r>
      <w:r w:rsidRPr="00966D80">
        <w:t xml:space="preserve"> ar veselību saistīt</w:t>
      </w:r>
      <w:r w:rsidR="00D54950">
        <w:t>os</w:t>
      </w:r>
      <w:r w:rsidRPr="00966D80">
        <w:t xml:space="preserve"> izdevum</w:t>
      </w:r>
      <w:r w:rsidR="00D54950">
        <w:t>us</w:t>
      </w:r>
      <w:r w:rsidRPr="00966D80">
        <w:t xml:space="preserve"> raksturot</w:t>
      </w:r>
      <w:r w:rsidR="00D54950">
        <w:t>o</w:t>
      </w:r>
      <w:r w:rsidRPr="00966D80">
        <w:t xml:space="preserve"> kā </w:t>
      </w:r>
      <w:r>
        <w:t>„</w:t>
      </w:r>
      <w:r w:rsidRPr="00966D80">
        <w:t xml:space="preserve">nedaudz apgrūtinoši” vai </w:t>
      </w:r>
      <w:r>
        <w:t>„</w:t>
      </w:r>
      <w:r w:rsidRPr="00966D80">
        <w:t>ļoti apgrūtinoš</w:t>
      </w:r>
      <w:r>
        <w:t>i</w:t>
      </w:r>
      <w:r w:rsidRPr="00966D80">
        <w:t>”</w:t>
      </w:r>
      <w:r>
        <w:t>.</w:t>
      </w:r>
      <w:r w:rsidRPr="00966D80">
        <w:t xml:space="preserve"> 1</w:t>
      </w:r>
      <w:r>
        <w:t>. kvint</w:t>
      </w:r>
      <w:r w:rsidRPr="00966D80">
        <w:t>iļu grupā</w:t>
      </w:r>
      <w:r w:rsidR="00E457FF">
        <w:t xml:space="preserve"> </w:t>
      </w:r>
      <w:r w:rsidRPr="00966D80">
        <w:t>š</w:t>
      </w:r>
      <w:r>
        <w:t>i</w:t>
      </w:r>
      <w:r w:rsidRPr="00966D80">
        <w:t>s atbilžu variantu sadalījums bija attiecīgi 37,4% un 36,1%, 2</w:t>
      </w:r>
      <w:r>
        <w:t>. kvint</w:t>
      </w:r>
      <w:r w:rsidRPr="00966D80">
        <w:t>iļu grupā</w:t>
      </w:r>
      <w:r w:rsidR="00E457FF">
        <w:t xml:space="preserve"> (pensijas vecuma cilvēki)</w:t>
      </w:r>
      <w:r>
        <w:t xml:space="preserve"> – </w:t>
      </w:r>
      <w:r w:rsidRPr="00966D80">
        <w:t>37,8% un 40,2%. 45,1% 3</w:t>
      </w:r>
      <w:r>
        <w:t>. kvint</w:t>
      </w:r>
      <w:r w:rsidRPr="00966D80">
        <w:t xml:space="preserve">iļu grupas mājsaimniecību veselības pārbaužu vai ārstēšanās izmaksas </w:t>
      </w:r>
      <w:r>
        <w:t xml:space="preserve">raksturo </w:t>
      </w:r>
      <w:r w:rsidRPr="00966D80">
        <w:t xml:space="preserve">kā “nedaudz apgrūtinošas”, </w:t>
      </w:r>
      <w:r w:rsidRPr="00966D80">
        <w:lastRenderedPageBreak/>
        <w:t>kamēr 4</w:t>
      </w:r>
      <w:r>
        <w:t>. kvint</w:t>
      </w:r>
      <w:r w:rsidRPr="00966D80">
        <w:t>iļu grupā šis rādītājs bija 47,5%, bet 5</w:t>
      </w:r>
      <w:r>
        <w:t>. kvint</w:t>
      </w:r>
      <w:r w:rsidRPr="00966D80">
        <w:t>iļu grupā</w:t>
      </w:r>
      <w:r>
        <w:t xml:space="preserve"> – </w:t>
      </w:r>
      <w:r w:rsidRPr="00966D80">
        <w:t>40,6</w:t>
      </w:r>
      <w:r w:rsidR="00E457FF">
        <w:t>%</w:t>
      </w:r>
      <w:r w:rsidRPr="00966D80">
        <w:t xml:space="preserve">. Savukārt veselības pārbaužu vai ārstēšanās izmaksu novērtējums kā </w:t>
      </w:r>
      <w:r>
        <w:t>“</w:t>
      </w:r>
      <w:r w:rsidRPr="00966D80">
        <w:t>ļoti apgrūtinošs</w:t>
      </w:r>
      <w:r>
        <w:t>”</w:t>
      </w:r>
      <w:r w:rsidRPr="00966D80">
        <w:t xml:space="preserve"> 3</w:t>
      </w:r>
      <w:r>
        <w:t>. kvint</w:t>
      </w:r>
      <w:r w:rsidRPr="00966D80">
        <w:t>iļu gru</w:t>
      </w:r>
      <w:r>
        <w:t>pā tika novērtēts 26,6% no visiem gadījumiem</w:t>
      </w:r>
      <w:r w:rsidRPr="00966D80">
        <w:t>, 4</w:t>
      </w:r>
      <w:r>
        <w:t>. kvint</w:t>
      </w:r>
      <w:r w:rsidRPr="00966D80">
        <w:t>iļu grupā 17,5%, bet 5</w:t>
      </w:r>
      <w:r>
        <w:t>. kvint</w:t>
      </w:r>
      <w:r w:rsidRPr="00966D80">
        <w:t>iļu grupā</w:t>
      </w:r>
      <w:r>
        <w:t xml:space="preserve"> – </w:t>
      </w:r>
      <w:r w:rsidRPr="00966D80">
        <w:t>17,1%.</w:t>
      </w:r>
      <w:r w:rsidR="00E457FF">
        <w:t xml:space="preserve"> </w:t>
      </w:r>
    </w:p>
    <w:bookmarkStart w:id="426" w:name="_Toc6219210"/>
    <w:bookmarkStart w:id="427" w:name="_Toc6220153"/>
    <w:p w:rsidR="0007337F" w:rsidRDefault="00AD3EDD" w:rsidP="00F13B93">
      <w:pPr>
        <w:pStyle w:val="Caption"/>
      </w:pPr>
      <w:r>
        <w:fldChar w:fldCharType="begin"/>
      </w:r>
      <w:r w:rsidR="006B5456">
        <w:instrText xml:space="preserve"> STYLEREF 1 \s </w:instrText>
      </w:r>
      <w:r>
        <w:fldChar w:fldCharType="separate"/>
      </w:r>
      <w:bookmarkStart w:id="428" w:name="_Toc6855805"/>
      <w:r w:rsidR="00224B50">
        <w:rPr>
          <w:noProof/>
        </w:rPr>
        <w:t>2</w:t>
      </w:r>
      <w:r>
        <w:fldChar w:fldCharType="end"/>
      </w:r>
      <w:r w:rsidR="006B5456">
        <w:t>.</w:t>
      </w:r>
      <w:r>
        <w:fldChar w:fldCharType="begin"/>
      </w:r>
      <w:r w:rsidR="000F1524">
        <w:instrText xml:space="preserve"> SEQ Ilustrācija \* ARABIC \s 1 </w:instrText>
      </w:r>
      <w:r>
        <w:fldChar w:fldCharType="separate"/>
      </w:r>
      <w:r w:rsidR="00224B50">
        <w:rPr>
          <w:noProof/>
        </w:rPr>
        <w:t>17</w:t>
      </w:r>
      <w:r>
        <w:rPr>
          <w:noProof/>
        </w:rPr>
        <w:fldChar w:fldCharType="end"/>
      </w:r>
      <w:r w:rsidR="003F5745">
        <w:t xml:space="preserve">. attēls. </w:t>
      </w:r>
      <w:r w:rsidR="0007337F" w:rsidRPr="00966D80">
        <w:t>Ārstēšanās un medikamentu izmaksu slogs mājsaimniecībām 2017</w:t>
      </w:r>
      <w:r w:rsidR="0007337F">
        <w:t>. gadā</w:t>
      </w:r>
      <w:r w:rsidR="0007337F" w:rsidRPr="00966D80">
        <w:t xml:space="preserve">. Cik lielā mērā veselības pārbaužu vai ārstēšanās izmaksas pie </w:t>
      </w:r>
      <w:r w:rsidR="0007337F" w:rsidRPr="00D3739C">
        <w:t>medicīnas</w:t>
      </w:r>
      <w:r w:rsidR="0007337F" w:rsidRPr="00966D80">
        <w:t xml:space="preserve"> speciālista (izņemot zobārstu) mājsaimniecībai pēdējo 12 mēnešu laikā bija apgrūtinošas. </w:t>
      </w:r>
      <w:r w:rsidR="0007337F">
        <w:t xml:space="preserve">Kvintiļu grupu </w:t>
      </w:r>
      <w:r w:rsidR="0007337F" w:rsidRPr="00966D80">
        <w:t>griezums</w:t>
      </w:r>
      <w:bookmarkEnd w:id="426"/>
      <w:bookmarkEnd w:id="427"/>
      <w:bookmarkEnd w:id="428"/>
    </w:p>
    <w:p w:rsidR="00EC3B8F" w:rsidRDefault="00842D28" w:rsidP="00064C1E">
      <w:r w:rsidRPr="00842D28">
        <w:rPr>
          <w:noProof/>
        </w:rPr>
        <w:drawing>
          <wp:inline distT="0" distB="0" distL="0" distR="0">
            <wp:extent cx="6154420" cy="3498847"/>
            <wp:effectExtent l="19050" t="0" r="0" b="0"/>
            <wp:docPr id="136"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0"/>
                    <a:srcRect/>
                    <a:stretch>
                      <a:fillRect/>
                    </a:stretch>
                  </pic:blipFill>
                  <pic:spPr bwMode="auto">
                    <a:xfrm>
                      <a:off x="0" y="0"/>
                      <a:ext cx="6154420" cy="3498847"/>
                    </a:xfrm>
                    <a:prstGeom prst="rect">
                      <a:avLst/>
                    </a:prstGeom>
                    <a:noFill/>
                    <a:ln w="9525">
                      <a:noFill/>
                      <a:miter lim="800000"/>
                      <a:headEnd/>
                      <a:tailEnd/>
                    </a:ln>
                  </pic:spPr>
                </pic:pic>
              </a:graphicData>
            </a:graphic>
          </wp:inline>
        </w:drawing>
      </w:r>
    </w:p>
    <w:p w:rsidR="003F5745" w:rsidRPr="005A62EE" w:rsidRDefault="005A62EE" w:rsidP="00C33A64">
      <w:pPr>
        <w:pStyle w:val="avotiemft10"/>
      </w:pPr>
      <w:bookmarkStart w:id="429" w:name="_Toc6841574"/>
      <w:r w:rsidRPr="005A62EE">
        <w:t>Avots: CSP</w:t>
      </w:r>
      <w:r>
        <w:t>,</w:t>
      </w:r>
      <w:r w:rsidRPr="005A62EE">
        <w:t xml:space="preserve"> “</w:t>
      </w:r>
      <w:r w:rsidRPr="00DA49DB">
        <w:t>MOD17</w:t>
      </w:r>
      <w:r w:rsidRPr="005A62EE">
        <w:t>_04. Ārstēšanās un medikamentu izmaksu slogs mājsaimniecībām 2017. gadā (%)”</w:t>
      </w:r>
      <w:bookmarkEnd w:id="429"/>
    </w:p>
    <w:p w:rsidR="005A62EE" w:rsidRDefault="005A62EE" w:rsidP="00064C1E"/>
    <w:p w:rsidR="0007337F" w:rsidRPr="00966D80" w:rsidRDefault="0007337F" w:rsidP="00064C1E">
      <w:r w:rsidRPr="00966D80">
        <w:t xml:space="preserve">Pilsētu un lauku griezumā redzams, ka abas </w:t>
      </w:r>
      <w:r w:rsidR="003F5745" w:rsidRPr="00966D80">
        <w:t>mājsaimniecīb</w:t>
      </w:r>
      <w:r w:rsidR="003F5745">
        <w:t>u</w:t>
      </w:r>
      <w:r w:rsidR="003F5745" w:rsidRPr="00966D80">
        <w:t xml:space="preserve"> </w:t>
      </w:r>
      <w:r w:rsidRPr="00966D80">
        <w:t xml:space="preserve">grupas gandrīz identiski novērtē veselības pārbaužu vai ārstēšanās izmaksas kā </w:t>
      </w:r>
      <w:r w:rsidR="003F5745">
        <w:t>„</w:t>
      </w:r>
      <w:r w:rsidRPr="00966D80">
        <w:t>nedaudz apgrūtinošas”, jo pilsētu mājsaimniecību grupā šādu vērtējumu sniegušas 41,9% mājsaimniecību, bet lauku</w:t>
      </w:r>
      <w:r>
        <w:t xml:space="preserve"> – </w:t>
      </w:r>
      <w:r w:rsidRPr="00966D80">
        <w:t xml:space="preserve">41,2%. Lielāka atšķirība parādās gadījumos, kad izmaksas tiek vērtētas kā </w:t>
      </w:r>
      <w:r w:rsidR="003F5745">
        <w:t>„</w:t>
      </w:r>
      <w:r w:rsidRPr="00966D80">
        <w:t>ļoti apgrūtinošas”, jo pilsētās šādu vērtējumu sniegušas 25,7% mājsaimniecības, bet laukos</w:t>
      </w:r>
      <w:r>
        <w:t> –</w:t>
      </w:r>
      <w:r w:rsidRPr="00966D80">
        <w:t xml:space="preserve"> 28%. Ņemot vērā to</w:t>
      </w:r>
      <w:r>
        <w:t>,</w:t>
      </w:r>
      <w:r w:rsidRPr="00966D80">
        <w:t xml:space="preserve"> var secināt, ka pavisam nedaudz, bet tomēr laukos veselības pārbaužu vai ārstēšanās izmaksas mājsaimniecībām ir apgrūtinošākas.</w:t>
      </w:r>
    </w:p>
    <w:p w:rsidR="0007337F" w:rsidRPr="00966D80" w:rsidRDefault="0007337F" w:rsidP="00246B0E"/>
    <w:p w:rsidR="0007337F" w:rsidRPr="00966D80" w:rsidRDefault="0007337F" w:rsidP="00064C1E">
      <w:r w:rsidRPr="00966D80">
        <w:t xml:space="preserve">Reģionu griezumā redzams, ka Kurzemes reģionā veselības pārbaužu vai ārstēšanās izmaksas visbiežāk tiek novērtētas kā </w:t>
      </w:r>
      <w:r w:rsidR="003D1702">
        <w:t>„</w:t>
      </w:r>
      <w:r w:rsidRPr="00966D80">
        <w:t>nedaudz apgrūtinošas</w:t>
      </w:r>
      <w:r>
        <w:t xml:space="preserve">” – </w:t>
      </w:r>
      <w:r w:rsidRPr="00966D80">
        <w:t xml:space="preserve">šādu vērtējumu sniegušas 47,1% mājsaimniecības, kamēr šajā pašā reģionā šīs izmaksas kā </w:t>
      </w:r>
      <w:r w:rsidR="003D1702">
        <w:t>„</w:t>
      </w:r>
      <w:r w:rsidRPr="00966D80">
        <w:t xml:space="preserve">ļoti apgrūtinošas” novērtējušas 20,2% mājsaimniecības. Vidzemes reģionā veselības pārbaužu vai ārstēšanās izmaksas kā </w:t>
      </w:r>
      <w:r w:rsidR="003D1702">
        <w:t>„</w:t>
      </w:r>
      <w:r w:rsidRPr="00966D80">
        <w:t xml:space="preserve">nedaudz apgrūtinošas” novērtējušas 44,2% mājsaimniecību, bet 27,2% sniegušas vērtējumu </w:t>
      </w:r>
      <w:r w:rsidR="003D1702">
        <w:t>„</w:t>
      </w:r>
      <w:r w:rsidRPr="00966D80">
        <w:t>ļoti apgrūtinošas”. Pierīgas reģionā šo vērtējumu īpatsvars ir 42% un 29,2%, bet Rīgas</w:t>
      </w:r>
      <w:r>
        <w:t xml:space="preserve"> – </w:t>
      </w:r>
      <w:r w:rsidRPr="00966D80">
        <w:t>31% un 20,7%. Zemgales un Latgales reģionos, salīdzinot ar pārējiem</w:t>
      </w:r>
      <w:r>
        <w:t>,</w:t>
      </w:r>
      <w:r w:rsidRPr="00966D80">
        <w:t xml:space="preserve"> biežāk konstatēti gadījumi, kad veselības pārbaužu vai ārstēšanās izmaksas tiek novērtētas kā </w:t>
      </w:r>
      <w:r w:rsidR="003D1702">
        <w:t>„</w:t>
      </w:r>
      <w:r w:rsidRPr="00966D80">
        <w:t>ļoti apgrūtinošas”, Zemgalē šis rādītājs ir 36,5%, bet Latgalē</w:t>
      </w:r>
      <w:r>
        <w:t xml:space="preserve"> – </w:t>
      </w:r>
      <w:r w:rsidRPr="00966D80">
        <w:t xml:space="preserve">33,5%. Neskatoties uz to, arī veselības pārbaužu vai ārstēšanās izmaksu </w:t>
      </w:r>
      <w:r w:rsidRPr="00966D80">
        <w:lastRenderedPageBreak/>
        <w:t xml:space="preserve">novērtējums kā </w:t>
      </w:r>
      <w:r w:rsidR="003D1702">
        <w:t>„</w:t>
      </w:r>
      <w:r w:rsidRPr="00966D80">
        <w:t>nedaudz apgrūtinošs” Zemgales un Latgales reģionā ir tuvu 40%, attiecīgie rādītāji ir 38,2% un 39,4%.</w:t>
      </w:r>
    </w:p>
    <w:p w:rsidR="0007337F" w:rsidRPr="00966D80" w:rsidRDefault="0007337F" w:rsidP="00246B0E"/>
    <w:p w:rsidR="0007337F" w:rsidRPr="00966D80" w:rsidRDefault="003F5745" w:rsidP="00064C1E">
      <w:r>
        <w:t>Šī rādītāja analīzes noslēgumā</w:t>
      </w:r>
      <w:r w:rsidR="0007337F">
        <w:t xml:space="preserve"> apskatīts griezums </w:t>
      </w:r>
      <w:r w:rsidR="0007337F" w:rsidRPr="00966D80">
        <w:t>starp mājsaimniecībām zem nabadzības riska sliekšņa un mājsaimniecībām virs nabadzības riska sliekšņa. 45,1% mājsaimniecību, kas ir virs nabadzības riska sliekšņa</w:t>
      </w:r>
      <w:r w:rsidR="0007337F">
        <w:t>,</w:t>
      </w:r>
      <w:r w:rsidR="0007337F" w:rsidRPr="00966D80">
        <w:t xml:space="preserve"> veselības pārbaužu vai ārstēšanās izmaksas novērtē kā </w:t>
      </w:r>
      <w:r w:rsidR="003D1702">
        <w:t>„</w:t>
      </w:r>
      <w:r w:rsidR="0007337F" w:rsidRPr="00966D80">
        <w:t>nedaudz apgrūtinošas”, savukārt mājsaimniecības zem nabadzības riska sliekšņa šādu pašu vērtējumu sniegušas 33,6%</w:t>
      </w:r>
      <w:r w:rsidR="0007337F">
        <w:t xml:space="preserve"> gadījumu. Pretēja situācija redzama, apskatot </w:t>
      </w:r>
      <w:r w:rsidR="0007337F" w:rsidRPr="00966D80">
        <w:t xml:space="preserve">novērtējumu, kas veselības pārbaužu vai ārstēšanās izmaksas novērtē kā </w:t>
      </w:r>
      <w:r w:rsidR="003D1702">
        <w:t>„</w:t>
      </w:r>
      <w:r w:rsidR="0007337F" w:rsidRPr="00966D80">
        <w:t xml:space="preserve">ļoti apgrūtinošas”, jo </w:t>
      </w:r>
      <w:r w:rsidR="0007337F">
        <w:t>tajā</w:t>
      </w:r>
      <w:r w:rsidR="0007337F" w:rsidRPr="00966D80">
        <w:t xml:space="preserve"> šādu vērtējumu sniedz 39,9% mājsaimniecību zem nabadzības riska sliekšņa, kamēr mājsaimniecības virs nabadzības riska sliekšņa to dara 20,8% gadījumu. </w:t>
      </w:r>
    </w:p>
    <w:bookmarkStart w:id="430" w:name="_Toc6219211"/>
    <w:bookmarkStart w:id="431" w:name="_Toc6220154"/>
    <w:p w:rsidR="003F5745" w:rsidRPr="00966D80" w:rsidRDefault="00AD3EDD" w:rsidP="00F13B93">
      <w:pPr>
        <w:pStyle w:val="Caption"/>
      </w:pPr>
      <w:r>
        <w:fldChar w:fldCharType="begin"/>
      </w:r>
      <w:r w:rsidR="006B5456">
        <w:instrText xml:space="preserve"> STYLEREF 1 \s </w:instrText>
      </w:r>
      <w:r>
        <w:fldChar w:fldCharType="separate"/>
      </w:r>
      <w:bookmarkStart w:id="432" w:name="_Toc6855806"/>
      <w:r w:rsidR="00224B50">
        <w:rPr>
          <w:noProof/>
        </w:rPr>
        <w:t>2</w:t>
      </w:r>
      <w:r>
        <w:fldChar w:fldCharType="end"/>
      </w:r>
      <w:r w:rsidR="006B5456">
        <w:t>.</w:t>
      </w:r>
      <w:r>
        <w:fldChar w:fldCharType="begin"/>
      </w:r>
      <w:r w:rsidR="000F1524">
        <w:instrText xml:space="preserve"> SEQ Ilustrācija \* ARABIC \s 1 </w:instrText>
      </w:r>
      <w:r>
        <w:fldChar w:fldCharType="separate"/>
      </w:r>
      <w:r w:rsidR="00224B50">
        <w:rPr>
          <w:noProof/>
        </w:rPr>
        <w:t>18</w:t>
      </w:r>
      <w:r>
        <w:rPr>
          <w:noProof/>
        </w:rPr>
        <w:fldChar w:fldCharType="end"/>
      </w:r>
      <w:r w:rsidR="003F5745">
        <w:t xml:space="preserve">. attēls. </w:t>
      </w:r>
      <w:r w:rsidR="003F5745" w:rsidRPr="00966D80">
        <w:t>Ārstēšanās un medikamentu izmaksu slogs mājsaimniecībām 2017</w:t>
      </w:r>
      <w:r w:rsidR="003F5745">
        <w:t>. gadā</w:t>
      </w:r>
      <w:r w:rsidR="003F5745" w:rsidRPr="00966D80">
        <w:t xml:space="preserve">. Cik lielā mērā zobu pārbaužu vai ārstēšanas izmaksas mājsaimniecībai </w:t>
      </w:r>
      <w:r w:rsidR="003F5745" w:rsidRPr="00D3739C">
        <w:t>pēdējo</w:t>
      </w:r>
      <w:r w:rsidR="003F5745" w:rsidRPr="00966D80">
        <w:t xml:space="preserve"> 12 mēnešu laikā bija apgrūtinošas. Visas mājsaimniecības</w:t>
      </w:r>
      <w:r w:rsidR="003F5745">
        <w:t xml:space="preserve"> un m</w:t>
      </w:r>
      <w:r w:rsidR="003F5745" w:rsidRPr="00966D80">
        <w:t>ājsaimniecību tipu griezums</w:t>
      </w:r>
      <w:bookmarkEnd w:id="430"/>
      <w:bookmarkEnd w:id="431"/>
      <w:bookmarkEnd w:id="432"/>
    </w:p>
    <w:p w:rsidR="0007337F" w:rsidRDefault="00D07345" w:rsidP="00064C1E">
      <w:r w:rsidRPr="00D07345">
        <w:rPr>
          <w:noProof/>
        </w:rPr>
        <w:drawing>
          <wp:inline distT="0" distB="0" distL="0" distR="0">
            <wp:extent cx="6154420" cy="3826121"/>
            <wp:effectExtent l="19050" t="0" r="0" b="0"/>
            <wp:docPr id="137"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1"/>
                    <a:srcRect/>
                    <a:stretch>
                      <a:fillRect/>
                    </a:stretch>
                  </pic:blipFill>
                  <pic:spPr bwMode="auto">
                    <a:xfrm>
                      <a:off x="0" y="0"/>
                      <a:ext cx="6154420" cy="3826121"/>
                    </a:xfrm>
                    <a:prstGeom prst="rect">
                      <a:avLst/>
                    </a:prstGeom>
                    <a:noFill/>
                    <a:ln w="9525">
                      <a:noFill/>
                      <a:miter lim="800000"/>
                      <a:headEnd/>
                      <a:tailEnd/>
                    </a:ln>
                  </pic:spPr>
                </pic:pic>
              </a:graphicData>
            </a:graphic>
          </wp:inline>
        </w:drawing>
      </w:r>
    </w:p>
    <w:p w:rsidR="003F5745" w:rsidRPr="005A62EE" w:rsidRDefault="005A62EE" w:rsidP="00C33A64">
      <w:pPr>
        <w:pStyle w:val="avotiemft10"/>
      </w:pPr>
      <w:bookmarkStart w:id="433" w:name="_Toc6841575"/>
      <w:r w:rsidRPr="005A62EE">
        <w:t>Avots: CSP, “</w:t>
      </w:r>
      <w:r w:rsidRPr="00DA49DB">
        <w:t>MOD17</w:t>
      </w:r>
      <w:r w:rsidRPr="005A62EE">
        <w:t>_04. Ārstēšanās un medikamentu izmaksu slogs mājsaimniecībām 2017. gadā (%)”.</w:t>
      </w:r>
      <w:bookmarkEnd w:id="433"/>
    </w:p>
    <w:p w:rsidR="005A62EE" w:rsidRPr="00073F17" w:rsidRDefault="005A62EE" w:rsidP="00064C1E"/>
    <w:p w:rsidR="0007337F" w:rsidRDefault="003D1702" w:rsidP="00064C1E">
      <w:r>
        <w:t>Z</w:t>
      </w:r>
      <w:r w:rsidR="0007337F" w:rsidRPr="00966D80">
        <w:t>obu pārbaužu vai ārstēšanas izmaksu novērtējum</w:t>
      </w:r>
      <w:r w:rsidR="0007337F">
        <w:t>s</w:t>
      </w:r>
      <w:r w:rsidR="00E55525">
        <w:t xml:space="preserve"> (</w:t>
      </w:r>
      <w:r w:rsidR="00922A20">
        <w:t>sk.</w:t>
      </w:r>
      <w:r w:rsidR="005408FC">
        <w:t xml:space="preserve"> 2.18.</w:t>
      </w:r>
      <w:r w:rsidR="00922A20">
        <w:t xml:space="preserve"> attēlu</w:t>
      </w:r>
      <w:r w:rsidR="00E55525">
        <w:t>)</w:t>
      </w:r>
      <w:r>
        <w:t xml:space="preserve"> rāda, ka šīs izmaksas rada lielāku slogu, turklāt pieaug arī iedzīvotāju skaits, kuriem šādu izdevumu gada griezumā nav bijis</w:t>
      </w:r>
      <w:r w:rsidR="004406C1">
        <w:t>.</w:t>
      </w:r>
      <w:r w:rsidR="0007337F">
        <w:t xml:space="preserve"> </w:t>
      </w:r>
      <w:r w:rsidR="004406C1">
        <w:t>Vidēji</w:t>
      </w:r>
      <w:r w:rsidR="0007337F" w:rsidRPr="00966D80">
        <w:t xml:space="preserve"> 30,6% mājsaimniecības zobu pārbaužu vai ārstēšanas izmaksas novērtējušas kā </w:t>
      </w:r>
      <w:r w:rsidR="00E55525">
        <w:t>„</w:t>
      </w:r>
      <w:r w:rsidR="0007337F" w:rsidRPr="00966D80">
        <w:t xml:space="preserve">nedaudz apgrūtinošas”, </w:t>
      </w:r>
      <w:r w:rsidR="0007337F">
        <w:t>savukārt 27,7% šīs izmaksas</w:t>
      </w:r>
      <w:r w:rsidR="0007337F" w:rsidRPr="00966D80">
        <w:t xml:space="preserve"> novērtējušās kā </w:t>
      </w:r>
      <w:r w:rsidR="00E55525">
        <w:t>„</w:t>
      </w:r>
      <w:r w:rsidR="004406C1">
        <w:t>ļoti apgrūtinošas”, t.i., vērtējumam ir raksturīga liela polaritāte, un atbilžu īpatsvari būtiski atšķiras dažādu mājsaimniecību tipu un ienākumu grupu griezumā.</w:t>
      </w:r>
    </w:p>
    <w:p w:rsidR="004406C1" w:rsidRDefault="004406C1" w:rsidP="00064C1E"/>
    <w:p w:rsidR="004406C1" w:rsidRPr="00966D80" w:rsidRDefault="004406C1" w:rsidP="004406C1">
      <w:r w:rsidRPr="00966D80">
        <w:lastRenderedPageBreak/>
        <w:t xml:space="preserve">Mājsaimniecības tipu griezumā </w:t>
      </w:r>
      <w:r>
        <w:t xml:space="preserve">(sk. </w:t>
      </w:r>
      <w:r w:rsidR="005408FC">
        <w:t>2.18</w:t>
      </w:r>
      <w:r>
        <w:t xml:space="preserve">. attēlu) </w:t>
      </w:r>
      <w:r w:rsidRPr="00966D80">
        <w:t>redzams, ka visbiežāk</w:t>
      </w:r>
      <w:r>
        <w:t xml:space="preserve"> – </w:t>
      </w:r>
      <w:r w:rsidRPr="00966D80">
        <w:t>45,8% gadījumu</w:t>
      </w:r>
      <w:r>
        <w:t xml:space="preserve"> – </w:t>
      </w:r>
      <w:r w:rsidRPr="00966D80">
        <w:t xml:space="preserve">zobu pārbaužu vai ārstēšanas izmaksu novērtējumu kā </w:t>
      </w:r>
      <w:r>
        <w:t>„</w:t>
      </w:r>
      <w:r w:rsidRPr="00966D80">
        <w:t>nedaudz apgrūtinošu” sniedza mājsaimniecības, kurās ir pāris ar diviem bērniem, savukārt pāris ar vienu bērnu šādu vērtējumu sniedz</w:t>
      </w:r>
      <w:r>
        <w:t>a</w:t>
      </w:r>
      <w:r w:rsidRPr="00966D80">
        <w:t xml:space="preserve"> 45,5% gadījumu. Trešā mājsaimniecība, k</w:t>
      </w:r>
      <w:r>
        <w:t>as</w:t>
      </w:r>
      <w:r w:rsidRPr="00966D80">
        <w:t xml:space="preserve"> biežāk minēja, ka zobu pārbaužu vai ārstēšanas izmaksas bija </w:t>
      </w:r>
      <w:r>
        <w:t>„</w:t>
      </w:r>
      <w:r w:rsidRPr="00966D80">
        <w:t>nedaudz apgrūtinošas”</w:t>
      </w:r>
      <w:r>
        <w:t>,</w:t>
      </w:r>
      <w:r w:rsidRPr="00966D80">
        <w:t xml:space="preserve"> bija mājsaimniecība, kurā ir pāris ar trīs un vairāk bērniem</w:t>
      </w:r>
      <w:r>
        <w:t xml:space="preserve"> – </w:t>
      </w:r>
      <w:r w:rsidRPr="00966D80">
        <w:t>41,8%.</w:t>
      </w:r>
    </w:p>
    <w:p w:rsidR="004406C1" w:rsidRPr="00966D80" w:rsidRDefault="004406C1" w:rsidP="004406C1"/>
    <w:p w:rsidR="004406C1" w:rsidRPr="00966D80" w:rsidRDefault="004406C1" w:rsidP="004406C1">
      <w:r w:rsidRPr="00966D80">
        <w:t>Mājsaimniecības, kas zobu pārbaužu vai ārstēšanas izmaksas visbiežāk</w:t>
      </w:r>
      <w:r>
        <w:t xml:space="preserve"> – </w:t>
      </w:r>
      <w:r w:rsidRPr="00966D80">
        <w:t>30,5% gadījumu</w:t>
      </w:r>
      <w:r>
        <w:t xml:space="preserve"> – </w:t>
      </w:r>
      <w:r w:rsidRPr="00966D80">
        <w:t>novērtējušās kā “ļoti apgrūtinošas”</w:t>
      </w:r>
      <w:r>
        <w:t>,</w:t>
      </w:r>
      <w:r w:rsidRPr="00966D80">
        <w:t xml:space="preserve"> sastāv no pāra ar trīs un vairāk bērniem, tāpat kā gadījumos, kad sniegts novērtējums, ka šīs izmaksas ir “nedaudz apgrūtinošas”. 29,5% gadījumu mājsaimniecības, kurās ir pāris bez bērniem</w:t>
      </w:r>
      <w:r>
        <w:t>, šīs izmaksas novērtējušas</w:t>
      </w:r>
      <w:r w:rsidRPr="00966D80">
        <w:t xml:space="preserve"> kā “ļoti apgrūtinošas”, bet 26,9% šo variantu </w:t>
      </w:r>
      <w:r>
        <w:t>norādījušas</w:t>
      </w:r>
      <w:r w:rsidRPr="00966D80">
        <w:t xml:space="preserve"> mājsaimniecības, </w:t>
      </w:r>
      <w:r>
        <w:t>kurās ir</w:t>
      </w:r>
      <w:r w:rsidRPr="00966D80">
        <w:t xml:space="preserve"> viena persona vecumā no 16</w:t>
      </w:r>
      <w:r>
        <w:t xml:space="preserve"> līdz </w:t>
      </w:r>
      <w:r w:rsidRPr="00966D80">
        <w:t>64 gadiem.</w:t>
      </w:r>
    </w:p>
    <w:bookmarkStart w:id="434" w:name="_Toc6219212"/>
    <w:bookmarkStart w:id="435" w:name="_Toc6220155"/>
    <w:p w:rsidR="003F5745" w:rsidRDefault="00AD3EDD" w:rsidP="00F13B93">
      <w:pPr>
        <w:pStyle w:val="Caption"/>
      </w:pPr>
      <w:r>
        <w:fldChar w:fldCharType="begin"/>
      </w:r>
      <w:r w:rsidR="006B5456">
        <w:instrText xml:space="preserve"> STYLEREF 1 \s </w:instrText>
      </w:r>
      <w:r>
        <w:fldChar w:fldCharType="separate"/>
      </w:r>
      <w:bookmarkStart w:id="436" w:name="_Toc6855807"/>
      <w:r w:rsidR="00224B50">
        <w:rPr>
          <w:noProof/>
        </w:rPr>
        <w:t>2</w:t>
      </w:r>
      <w:r>
        <w:fldChar w:fldCharType="end"/>
      </w:r>
      <w:r w:rsidR="006B5456">
        <w:t>.</w:t>
      </w:r>
      <w:r>
        <w:fldChar w:fldCharType="begin"/>
      </w:r>
      <w:r w:rsidR="000F1524">
        <w:instrText xml:space="preserve"> SEQ Ilustrācija \* ARABIC \s 1 </w:instrText>
      </w:r>
      <w:r>
        <w:fldChar w:fldCharType="separate"/>
      </w:r>
      <w:r w:rsidR="00224B50">
        <w:rPr>
          <w:noProof/>
        </w:rPr>
        <w:t>19</w:t>
      </w:r>
      <w:r>
        <w:rPr>
          <w:noProof/>
        </w:rPr>
        <w:fldChar w:fldCharType="end"/>
      </w:r>
      <w:r w:rsidR="003F5745">
        <w:t xml:space="preserve">. attēls. </w:t>
      </w:r>
      <w:r w:rsidR="003F5745" w:rsidRPr="00966D80">
        <w:t xml:space="preserve">Ārstēšanās un medikamentu izmaksu slogs </w:t>
      </w:r>
      <w:r w:rsidR="003F5745" w:rsidRPr="00D3739C">
        <w:t>mājsaimniecībām</w:t>
      </w:r>
      <w:r w:rsidR="003F5745" w:rsidRPr="00966D80">
        <w:t xml:space="preserve"> 2017</w:t>
      </w:r>
      <w:r w:rsidR="003F5745">
        <w:t>. gadā</w:t>
      </w:r>
      <w:r w:rsidR="003F5745" w:rsidRPr="00966D80">
        <w:t xml:space="preserve">. Cik lielā mērā zobu pārbaužu vai ārstēšanas izmaksas mājsaimniecībai pēdējo 12 mēnešu laikā bija apgrūtinošas. </w:t>
      </w:r>
      <w:r w:rsidR="003F5745">
        <w:t>Kvin</w:t>
      </w:r>
      <w:r w:rsidR="00E55525">
        <w:t>t</w:t>
      </w:r>
      <w:r w:rsidR="003F5745">
        <w:t>iļu grupu</w:t>
      </w:r>
      <w:r w:rsidR="003F5745" w:rsidRPr="00966D80">
        <w:t xml:space="preserve"> griezums</w:t>
      </w:r>
      <w:bookmarkEnd w:id="434"/>
      <w:bookmarkEnd w:id="435"/>
      <w:bookmarkEnd w:id="436"/>
    </w:p>
    <w:p w:rsidR="003F5745" w:rsidRDefault="00D07345" w:rsidP="00064C1E">
      <w:r w:rsidRPr="00D07345">
        <w:rPr>
          <w:noProof/>
        </w:rPr>
        <w:drawing>
          <wp:inline distT="0" distB="0" distL="0" distR="0">
            <wp:extent cx="6154420" cy="3814111"/>
            <wp:effectExtent l="19050" t="0" r="0" b="0"/>
            <wp:docPr id="138"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2"/>
                    <a:srcRect/>
                    <a:stretch>
                      <a:fillRect/>
                    </a:stretch>
                  </pic:blipFill>
                  <pic:spPr bwMode="auto">
                    <a:xfrm>
                      <a:off x="0" y="0"/>
                      <a:ext cx="6154420" cy="3814111"/>
                    </a:xfrm>
                    <a:prstGeom prst="rect">
                      <a:avLst/>
                    </a:prstGeom>
                    <a:noFill/>
                    <a:ln w="9525">
                      <a:noFill/>
                      <a:miter lim="800000"/>
                      <a:headEnd/>
                      <a:tailEnd/>
                    </a:ln>
                  </pic:spPr>
                </pic:pic>
              </a:graphicData>
            </a:graphic>
          </wp:inline>
        </w:drawing>
      </w:r>
    </w:p>
    <w:p w:rsidR="003F5745" w:rsidRPr="005A62EE" w:rsidRDefault="005A62EE" w:rsidP="00C33A64">
      <w:pPr>
        <w:pStyle w:val="avotiemft10"/>
      </w:pPr>
      <w:bookmarkStart w:id="437" w:name="_Toc6841576"/>
      <w:r w:rsidRPr="005A62EE">
        <w:t>Avots: CSP, “MOD17_04. Ārstēšanās un medikamentu izmaksu slogs mājsaimniecībām 2017. gadā (%)”.</w:t>
      </w:r>
      <w:bookmarkEnd w:id="437"/>
    </w:p>
    <w:p w:rsidR="005A62EE" w:rsidRDefault="005A62EE" w:rsidP="00064C1E"/>
    <w:p w:rsidR="0007337F" w:rsidRPr="00966D80" w:rsidRDefault="0007337F" w:rsidP="00064C1E">
      <w:r w:rsidRPr="00966D80">
        <w:t>Pievēršoties kvintiļu griezumam</w:t>
      </w:r>
      <w:r w:rsidR="00E55525">
        <w:t xml:space="preserve"> (</w:t>
      </w:r>
      <w:r w:rsidR="00922A20">
        <w:t>sk.</w:t>
      </w:r>
      <w:r w:rsidR="005408FC">
        <w:t xml:space="preserve"> 2.19</w:t>
      </w:r>
      <w:r w:rsidR="00922A20">
        <w:t>. attēlu</w:t>
      </w:r>
      <w:r w:rsidR="00E55525">
        <w:t>)</w:t>
      </w:r>
      <w:r w:rsidRPr="00966D80">
        <w:t>, redzam</w:t>
      </w:r>
      <w:r w:rsidR="004406C1">
        <w:t>s, ka</w:t>
      </w:r>
      <w:r w:rsidRPr="00966D80">
        <w:t xml:space="preserve"> zobu pārbaužu vai ārstēšanas izmaksas kā </w:t>
      </w:r>
      <w:r w:rsidR="00E55525">
        <w:t>„</w:t>
      </w:r>
      <w:r w:rsidRPr="00966D80">
        <w:t>ļoti apgrūtinošas”</w:t>
      </w:r>
      <w:r w:rsidR="004406C1">
        <w:t xml:space="preserve"> biežāk vērtē trūcīgākie iedzīvotāji, vienlaikus 2. </w:t>
      </w:r>
      <w:r w:rsidR="00681F27">
        <w:t>k</w:t>
      </w:r>
      <w:r w:rsidR="004406C1">
        <w:t>vintiļu grupā (pensijas vecuma iedzīvotāji) ļoti raksturīga tendence ir norādīt, ka šādu izdevumu gada griezumā nav bijis (37%).</w:t>
      </w:r>
      <w:r w:rsidRPr="00966D80">
        <w:t xml:space="preserve"> </w:t>
      </w:r>
      <w:r w:rsidR="004406C1">
        <w:t>P</w:t>
      </w:r>
      <w:r w:rsidRPr="00966D80">
        <w:t xml:space="preserve">alielinoties mājsaimniecības turībai, samazinās apgrūtinājums, ko </w:t>
      </w:r>
      <w:r w:rsidR="004406C1">
        <w:t>zobārstniecības</w:t>
      </w:r>
      <w:r w:rsidRPr="00966D80">
        <w:t xml:space="preserve"> izmaksas rada mājsaimniecība</w:t>
      </w:r>
      <w:r>
        <w:t>i</w:t>
      </w:r>
      <w:r w:rsidRPr="00966D80">
        <w:t>. 1</w:t>
      </w:r>
      <w:r>
        <w:t>. kvint</w:t>
      </w:r>
      <w:r w:rsidRPr="00966D80">
        <w:t xml:space="preserve">iļu grupā zobu pārbaužu vai ārstēšanas izmaksas kā </w:t>
      </w:r>
      <w:r w:rsidR="00E55525">
        <w:t>„</w:t>
      </w:r>
      <w:r w:rsidRPr="00966D80">
        <w:t>ļoti apgrūtinoš</w:t>
      </w:r>
      <w:r>
        <w:t>a</w:t>
      </w:r>
      <w:r w:rsidRPr="00966D80">
        <w:t>s” bija</w:t>
      </w:r>
      <w:r>
        <w:t xml:space="preserve"> norādījušas</w:t>
      </w:r>
      <w:r w:rsidRPr="00966D80">
        <w:t xml:space="preserve"> 37% mājsaimniecību, kamēr 21,7% tās bija </w:t>
      </w:r>
      <w:r w:rsidR="00E55525">
        <w:t>„</w:t>
      </w:r>
      <w:r w:rsidRPr="00966D80">
        <w:t>nedaudz apgrūtinošas</w:t>
      </w:r>
      <w:r>
        <w:t>”</w:t>
      </w:r>
      <w:r w:rsidRPr="00966D80">
        <w:t>. 2</w:t>
      </w:r>
      <w:r>
        <w:t>. kvint</w:t>
      </w:r>
      <w:r w:rsidRPr="00966D80">
        <w:t xml:space="preserve">iļu grupā 31,9% norādījuši, ka zobu pārbaužu vai ārstēšanas izmaksas bija </w:t>
      </w:r>
      <w:r w:rsidR="00E55525">
        <w:t>„</w:t>
      </w:r>
      <w:r w:rsidRPr="00966D80">
        <w:t>ļ</w:t>
      </w:r>
      <w:r>
        <w:t>oti apgrūtinošas”, bet 21,3% –</w:t>
      </w:r>
      <w:r w:rsidRPr="00966D80">
        <w:t xml:space="preserve"> </w:t>
      </w:r>
      <w:r w:rsidR="00E55525">
        <w:t>„</w:t>
      </w:r>
      <w:r w:rsidRPr="00966D80">
        <w:t>nedaudz apgrūtinošas. 3., 4. un 5</w:t>
      </w:r>
      <w:r>
        <w:t>. kvint</w:t>
      </w:r>
      <w:r w:rsidRPr="00966D80">
        <w:t xml:space="preserve">iļu grupā redzama situācija, kad </w:t>
      </w:r>
      <w:r w:rsidRPr="00966D80">
        <w:lastRenderedPageBreak/>
        <w:t xml:space="preserve">novērtējums </w:t>
      </w:r>
      <w:r w:rsidR="00E55525">
        <w:t>„</w:t>
      </w:r>
      <w:r w:rsidRPr="00966D80">
        <w:t xml:space="preserve">nedaudz apgrūtinošas” bija biežāk sastopams </w:t>
      </w:r>
      <w:r>
        <w:t>ne</w:t>
      </w:r>
      <w:r w:rsidRPr="00966D80">
        <w:t xml:space="preserve">kā </w:t>
      </w:r>
      <w:r w:rsidR="00E55525">
        <w:t>„</w:t>
      </w:r>
      <w:r w:rsidRPr="00966D80">
        <w:t>ļoti apgrūtinošas”, jo 3</w:t>
      </w:r>
      <w:r>
        <w:t>. kvint</w:t>
      </w:r>
      <w:r w:rsidRPr="00966D80">
        <w:t xml:space="preserve">iļu grupā 33% norādīja, ka zobu pārbaužu vai ārstēšanas izmaksas bija </w:t>
      </w:r>
      <w:r w:rsidR="00E55525">
        <w:t>„</w:t>
      </w:r>
      <w:r w:rsidRPr="00966D80">
        <w:t xml:space="preserve">nedaudz apgrūtinošas”, savukārt 30% tās novērtēja kā </w:t>
      </w:r>
      <w:r w:rsidR="00E55525">
        <w:t>„</w:t>
      </w:r>
      <w:r w:rsidRPr="00966D80">
        <w:t>ļoti apgrūtinošas”. 4</w:t>
      </w:r>
      <w:r>
        <w:t>. kvint</w:t>
      </w:r>
      <w:r w:rsidRPr="00966D80">
        <w:t>iļu grupā šie paši novērtējumu ir attiecīgi 38,9% un 23,4%, bet 5</w:t>
      </w:r>
      <w:r>
        <w:t>. kvint</w:t>
      </w:r>
      <w:r w:rsidRPr="00966D80">
        <w:t>iļu grupā bija mazākais īpatsvars, kas norādīja, ka zobu pārbauž</w:t>
      </w:r>
      <w:r w:rsidR="00E55525">
        <w:t>u vai ārstēšanas izmaksas bija „</w:t>
      </w:r>
      <w:r w:rsidRPr="00966D80">
        <w:t>ļoti apgrūtinošas”</w:t>
      </w:r>
      <w:r>
        <w:t xml:space="preserve"> – </w:t>
      </w:r>
      <w:r w:rsidRPr="00966D80">
        <w:t xml:space="preserve">16,9%, bet kā </w:t>
      </w:r>
      <w:r w:rsidR="00E55525">
        <w:t>„</w:t>
      </w:r>
      <w:r w:rsidRPr="00966D80">
        <w:t>nedaudz apgrūtinošas” tās bija 38,2</w:t>
      </w:r>
      <w:r w:rsidR="00E55525">
        <w:t>%</w:t>
      </w:r>
      <w:r w:rsidRPr="00966D80">
        <w:t xml:space="preserve"> mājsaimniecību.</w:t>
      </w:r>
    </w:p>
    <w:p w:rsidR="0007337F" w:rsidRPr="00966D80" w:rsidRDefault="0007337F" w:rsidP="00064C1E"/>
    <w:p w:rsidR="0007337F" w:rsidRPr="00966D80" w:rsidRDefault="0007337F" w:rsidP="00064C1E">
      <w:r w:rsidRPr="00966D80">
        <w:t xml:space="preserve">Pilsētu un lauku griezumā redzams, ka </w:t>
      </w:r>
      <w:r w:rsidR="004406C1">
        <w:t>nedaudz mazāku slogu zobārstniecības izdevumi rada pilsētu iedzīvotājiem. Savukārt r</w:t>
      </w:r>
      <w:r w:rsidRPr="00966D80">
        <w:t xml:space="preserve">eģionu griezumā zobu pārbaužu vai ārstēšanas izmaksas kā </w:t>
      </w:r>
      <w:r w:rsidR="00681F27">
        <w:t>„</w:t>
      </w:r>
      <w:r w:rsidRPr="00966D80">
        <w:t>ļoti apgrūtinošas” visbiežāk</w:t>
      </w:r>
      <w:r>
        <w:t xml:space="preserve"> – </w:t>
      </w:r>
      <w:r w:rsidRPr="00966D80">
        <w:t>36,8% gadījumu</w:t>
      </w:r>
      <w:r>
        <w:t xml:space="preserve"> – </w:t>
      </w:r>
      <w:r w:rsidRPr="00966D80">
        <w:t xml:space="preserve">novērtētas Pierīgas reģionā, kamēr šajā pašā reģionā kā </w:t>
      </w:r>
      <w:r w:rsidR="00681F27">
        <w:t>„</w:t>
      </w:r>
      <w:r w:rsidRPr="00966D80">
        <w:t>nedaudz apgrūtinošas” tās novērtējušas 25,6% mājsaimniecību. Latgales reģionā zobu pārbaužu vai ārstēšanas izmaksas 29,9% gadījumu novērtētas kā “ļoti apgrūtinošas”</w:t>
      </w:r>
      <w:r>
        <w:t>,</w:t>
      </w:r>
      <w:r w:rsidRPr="00966D80">
        <w:t xml:space="preserve"> bet 24,1% kā </w:t>
      </w:r>
      <w:r w:rsidR="00681F27">
        <w:t>„</w:t>
      </w:r>
      <w:r w:rsidRPr="00966D80">
        <w:t xml:space="preserve">nedaudz apgrūtinošas”. Zemgales reģionā “ļoti apgrūtinošas” šīs izmaksas bija 29,6% mājsaimniecību, bet </w:t>
      </w:r>
      <w:r w:rsidR="00681F27">
        <w:t>„</w:t>
      </w:r>
      <w:r w:rsidRPr="00966D80">
        <w:t>nedaudz apgrūtinošas”</w:t>
      </w:r>
      <w:r>
        <w:t xml:space="preserve"> – </w:t>
      </w:r>
      <w:r w:rsidRPr="00966D80">
        <w:t xml:space="preserve">36,6%. Rīgas reģionā 26,9% zobu pārbaužu vai ārstēšanas izmaksas bija ļoti apgrūtinošas, bet 32,1% tās novērtēja kā </w:t>
      </w:r>
      <w:r w:rsidR="00681F27">
        <w:t>„</w:t>
      </w:r>
      <w:r w:rsidRPr="00966D80">
        <w:t>nedaudz apgrūtinošas</w:t>
      </w:r>
      <w:r>
        <w:t>”</w:t>
      </w:r>
      <w:r w:rsidRPr="00966D80">
        <w:t>. Kurzemes reģionā šie rādītāji ir attiecīgi 20,6% un 36,6%, bet Vidzemes reģionā zobu pārbaužu vai ārstēšanas izmaksas visretāk</w:t>
      </w:r>
      <w:r>
        <w:t xml:space="preserve"> – </w:t>
      </w:r>
      <w:r w:rsidRPr="00966D80">
        <w:t>18,5% gadījumu –</w:t>
      </w:r>
      <w:r w:rsidR="00681F27">
        <w:t xml:space="preserve"> </w:t>
      </w:r>
      <w:r w:rsidRPr="00966D80">
        <w:t xml:space="preserve">novērtētas kā </w:t>
      </w:r>
      <w:r w:rsidR="00681F27">
        <w:t>„</w:t>
      </w:r>
      <w:r w:rsidRPr="00966D80">
        <w:t>ļoti apgr</w:t>
      </w:r>
      <w:r w:rsidR="00681F27">
        <w:t>ūtinošas”, bet 36,6% gadījumu tā</w:t>
      </w:r>
      <w:r w:rsidRPr="00966D80">
        <w:t xml:space="preserve">s novērtētas kā </w:t>
      </w:r>
      <w:r w:rsidR="00681F27">
        <w:t>„</w:t>
      </w:r>
      <w:r w:rsidRPr="00966D80">
        <w:t>nedaudz apgrūtinošas”.</w:t>
      </w:r>
    </w:p>
    <w:p w:rsidR="0007337F" w:rsidRPr="00966D80" w:rsidRDefault="0007337F" w:rsidP="00064C1E"/>
    <w:p w:rsidR="0007337F" w:rsidRPr="00966D80" w:rsidRDefault="0007337F" w:rsidP="00064C1E">
      <w:r>
        <w:t xml:space="preserve">Šīs </w:t>
      </w:r>
      <w:r w:rsidR="00E55525">
        <w:t>rādītāja analīzes</w:t>
      </w:r>
      <w:r>
        <w:t xml:space="preserve"> noslēgumā apskatīts griezums</w:t>
      </w:r>
      <w:r w:rsidRPr="00966D80">
        <w:t xml:space="preserve"> starp mājsaimniecībām zem nabadzības riska sliekšņa un mājsaimniecībām virs nabadzības riska sliekšņa. </w:t>
      </w:r>
      <w:r>
        <w:t>32,2% mājsaimniecību, k</w:t>
      </w:r>
      <w:r w:rsidRPr="00966D80">
        <w:t>as ir zem nabadzības riska sliekšņa</w:t>
      </w:r>
      <w:r>
        <w:t>,</w:t>
      </w:r>
      <w:r w:rsidRPr="00966D80">
        <w:t xml:space="preserve"> norādījušas, ka zobu pārbaužu vai ārstēšanas izmaksas bija </w:t>
      </w:r>
      <w:r w:rsidR="00681F27">
        <w:t>„</w:t>
      </w:r>
      <w:r w:rsidRPr="00966D80">
        <w:t>ļoti apgrūtinošas”, kamēr mājsaimniecības, kas ir virs nabadzības riska sliekšņa</w:t>
      </w:r>
      <w:r>
        <w:t>,</w:t>
      </w:r>
      <w:r w:rsidRPr="00966D80">
        <w:t xml:space="preserve"> šādu novērtējumu sniegušas 25,8% gadījumu. Pretēja situācija ir skatoties novērtējumu, ka zobu pārbaužu vai ārstēšanas izmaksas ir </w:t>
      </w:r>
      <w:r w:rsidR="00681F27">
        <w:t>„</w:t>
      </w:r>
      <w:r w:rsidRPr="00966D80">
        <w:t xml:space="preserve">nedaudz apgrūtinošas”. Šajā gadījumā 36,8% mājsaimniecību, kas ir virs nabadzības sliekšņa zobu pārbaužu vai ārstēšanas izmaksas novērtējušas kā </w:t>
      </w:r>
      <w:r w:rsidR="00681F27">
        <w:t>„</w:t>
      </w:r>
      <w:r w:rsidRPr="00966D80">
        <w:t>nedaudz apgrūtinošas”, kamēr mājsaimniecības zem nabadzības sliekšņa to darījušas 32,2% gadījumu.</w:t>
      </w:r>
    </w:p>
    <w:p w:rsidR="0007337F" w:rsidRDefault="0007337F" w:rsidP="00064C1E"/>
    <w:p w:rsidR="00E55525" w:rsidRPr="00966D80" w:rsidRDefault="004406C1" w:rsidP="00064C1E">
      <w:r>
        <w:t>R</w:t>
      </w:r>
      <w:r w:rsidR="00E55525" w:rsidRPr="00966D80">
        <w:t xml:space="preserve">ecepšu un bezrecepšu medikamentu izmaksu </w:t>
      </w:r>
      <w:r>
        <w:t xml:space="preserve">radītā sloga </w:t>
      </w:r>
      <w:r w:rsidR="00E55525" w:rsidRPr="00966D80">
        <w:t>novērtējum</w:t>
      </w:r>
      <w:r>
        <w:t>ā</w:t>
      </w:r>
      <w:r w:rsidR="00E55525">
        <w:t xml:space="preserve"> (</w:t>
      </w:r>
      <w:r w:rsidR="00922A20">
        <w:t>sk.</w:t>
      </w:r>
      <w:r w:rsidR="009049B5">
        <w:t xml:space="preserve"> 2.20</w:t>
      </w:r>
      <w:r w:rsidR="00E55525">
        <w:t>. un</w:t>
      </w:r>
      <w:r w:rsidR="009049B5">
        <w:t xml:space="preserve"> 2.21</w:t>
      </w:r>
      <w:r w:rsidR="00E55525">
        <w:t>. attēl</w:t>
      </w:r>
      <w:r w:rsidR="00922A20">
        <w:t>u</w:t>
      </w:r>
      <w:r w:rsidR="00E55525">
        <w:t>)</w:t>
      </w:r>
      <w:r>
        <w:t xml:space="preserve"> redzams, ka</w:t>
      </w:r>
      <w:r w:rsidR="00E55525" w:rsidRPr="00966D80">
        <w:t xml:space="preserve"> </w:t>
      </w:r>
      <w:r>
        <w:t>kopumā</w:t>
      </w:r>
      <w:r w:rsidR="00E55525" w:rsidRPr="00966D80">
        <w:t xml:space="preserve"> 41,2% mājsaimniecību </w:t>
      </w:r>
      <w:r>
        <w:t xml:space="preserve">šīs </w:t>
      </w:r>
      <w:r w:rsidR="00E55525" w:rsidRPr="00966D80">
        <w:t xml:space="preserve">izmaksas bijušas </w:t>
      </w:r>
      <w:r>
        <w:t>„</w:t>
      </w:r>
      <w:r w:rsidR="00E55525" w:rsidRPr="00966D80">
        <w:t xml:space="preserve">nedaudz apgrūtinošas”, kamēr 30,1% mājsaimniecību tās novērtējušas kā </w:t>
      </w:r>
      <w:r>
        <w:t>„</w:t>
      </w:r>
      <w:r w:rsidR="00E55525" w:rsidRPr="00966D80">
        <w:t>ļoti apgrūtinošas”.</w:t>
      </w:r>
      <w:r>
        <w:t xml:space="preserve"> Aplūkojot šos datu</w:t>
      </w:r>
      <w:r w:rsidR="00681F27">
        <w:t>s</w:t>
      </w:r>
      <w:r>
        <w:t xml:space="preserve"> salīdzinājumā ar iepriekšējām izmaksām, redzams, ka to radītais slogs uz dažādiem mājsaimniecību tipiem atšķiras. Attiecībā uz ģimenēm ar bērniem kopumā lielāku slogu rada zobārstniecības izdevumi, savukārt attiecībā uz mājsaimniecībām, kurās dzīvo pensijas vecuma cilvēki (personas 65+ gadu vecumā, pāris bez bērniem), redzama pretēja tendence – vislielāko slogu visu izmaksu vidū rada medikamentu iegāde.</w:t>
      </w:r>
    </w:p>
    <w:p w:rsidR="00E55525" w:rsidRDefault="00E55525" w:rsidP="00064C1E"/>
    <w:p w:rsidR="00F2737E" w:rsidRPr="00966D80" w:rsidRDefault="00E718DC" w:rsidP="00064C1E">
      <w:r>
        <w:t xml:space="preserve">Aplūkojot sīkāk medikamentu iegādes izmaksu vērtējumu </w:t>
      </w:r>
      <w:r w:rsidR="00F2737E" w:rsidRPr="00966D80">
        <w:t>mājsaimniecības tip</w:t>
      </w:r>
      <w:r>
        <w:t>u griezumā</w:t>
      </w:r>
      <w:r w:rsidR="00F2737E">
        <w:t xml:space="preserve"> (</w:t>
      </w:r>
      <w:r w:rsidR="00922A20">
        <w:t xml:space="preserve">sk. </w:t>
      </w:r>
      <w:r w:rsidR="009049B5">
        <w:t xml:space="preserve"> 2.20.</w:t>
      </w:r>
      <w:r w:rsidR="00922A20">
        <w:t xml:space="preserve"> attēlu</w:t>
      </w:r>
      <w:r w:rsidR="00F2737E">
        <w:t>)</w:t>
      </w:r>
      <w:r>
        <w:t>,</w:t>
      </w:r>
      <w:r w:rsidR="00F2737E" w:rsidRPr="00966D80">
        <w:t xml:space="preserve"> </w:t>
      </w:r>
      <w:r>
        <w:t>š</w:t>
      </w:r>
      <w:r w:rsidR="00F2737E" w:rsidRPr="00966D80">
        <w:t xml:space="preserve">īs izmaksas kā </w:t>
      </w:r>
      <w:r>
        <w:t>„</w:t>
      </w:r>
      <w:r w:rsidR="00F2737E" w:rsidRPr="00966D80">
        <w:t>nedaudz apgrūtinošas” visbiežāk</w:t>
      </w:r>
      <w:r w:rsidR="00F2737E">
        <w:t> – 47,3% gadījumu </w:t>
      </w:r>
      <w:r w:rsidR="00F2737E" w:rsidRPr="00966D80">
        <w:t>–</w:t>
      </w:r>
      <w:r w:rsidR="00F2737E">
        <w:t xml:space="preserve"> </w:t>
      </w:r>
      <w:r w:rsidR="00F2737E" w:rsidRPr="00966D80">
        <w:t>novērtējušas mājsaimniecības, kurās ir pāris ar vienu bērnu</w:t>
      </w:r>
      <w:r w:rsidR="00F2737E">
        <w:t>,</w:t>
      </w:r>
      <w:r w:rsidR="00F2737E" w:rsidRPr="00966D80">
        <w:t xml:space="preserve"> un mājsaimniecības, kurās ir pāris ar diviem bērniem</w:t>
      </w:r>
      <w:r w:rsidR="00F2737E">
        <w:t>.</w:t>
      </w:r>
      <w:r w:rsidR="00F2737E" w:rsidRPr="00966D80">
        <w:t xml:space="preserve"> </w:t>
      </w:r>
      <w:r w:rsidR="00F2737E">
        <w:t>Š</w:t>
      </w:r>
      <w:r w:rsidR="00F2737E" w:rsidRPr="00966D80">
        <w:t xml:space="preserve">is rādītājs ir </w:t>
      </w:r>
      <w:r w:rsidR="00F2737E">
        <w:t>a</w:t>
      </w:r>
      <w:r w:rsidR="00F2737E" w:rsidRPr="00966D80">
        <w:t>ugsts ar</w:t>
      </w:r>
      <w:r w:rsidR="00F2737E">
        <w:t>ī</w:t>
      </w:r>
      <w:r w:rsidR="00F2737E" w:rsidRPr="00966D80">
        <w:t xml:space="preserve"> mājsaimniecībās, kur</w:t>
      </w:r>
      <w:r w:rsidR="00F2737E">
        <w:t>ās ir</w:t>
      </w:r>
      <w:r w:rsidR="00F2737E" w:rsidRPr="00966D80">
        <w:t xml:space="preserve"> viens pieaugušais ar bērniem, šīs mājsaimniecības 45,3% gadījumu norādījušas recepšu un bezrecepšu medikamentu izmaksas bija </w:t>
      </w:r>
      <w:r>
        <w:t>„</w:t>
      </w:r>
      <w:r w:rsidR="00F2737E" w:rsidRPr="00966D80">
        <w:t xml:space="preserve">nedaudz apgrūtinošas”. Trešais augstākais šī rādītāja novērtējums bijis mājsaimniecību grupā, kurā ietilpst </w:t>
      </w:r>
      <w:r w:rsidR="00F2737E" w:rsidRPr="00966D80">
        <w:lastRenderedPageBreak/>
        <w:t xml:space="preserve">mājsaimniecības, kurās ir viens pieaugušais ar bērnu, šīs mājsaimniecības 45,3% gadījumu norādījušas, ka recepšu un bezrecepšu medikamentu izmaksas bija </w:t>
      </w:r>
      <w:r>
        <w:t>„</w:t>
      </w:r>
      <w:r w:rsidR="00F2737E" w:rsidRPr="00966D80">
        <w:t>nedaudz apgrūtinošas”.</w:t>
      </w:r>
    </w:p>
    <w:p w:rsidR="00F2737E" w:rsidRPr="00966D80" w:rsidRDefault="00F2737E" w:rsidP="00064C1E"/>
    <w:p w:rsidR="00F2737E" w:rsidRPr="00966D80" w:rsidRDefault="00F2737E" w:rsidP="00064C1E">
      <w:r w:rsidRPr="00966D80">
        <w:t xml:space="preserve">Mājsaimniecību griezumā recepšu un bezrecepšu medikamentu izmaksas kā </w:t>
      </w:r>
      <w:r w:rsidR="00E718DC">
        <w:t>„</w:t>
      </w:r>
      <w:r w:rsidRPr="00966D80">
        <w:t xml:space="preserve">ļoti </w:t>
      </w:r>
      <w:r>
        <w:t>ap</w:t>
      </w:r>
      <w:r w:rsidRPr="00966D80">
        <w:t>grūtinošas” biežāk novērtēt</w:t>
      </w:r>
      <w:r w:rsidR="00DF4932">
        <w:t>a</w:t>
      </w:r>
      <w:r w:rsidRPr="00966D80">
        <w:t>s gadījumos, kad mājsaimniecībās ir viena persona, kura ir vecāka par 65 gadiem, šādas mājsaimniecības vairāk nekā pusē</w:t>
      </w:r>
      <w:r>
        <w:t xml:space="preserve"> – </w:t>
      </w:r>
      <w:r w:rsidRPr="00966D80">
        <w:t>5</w:t>
      </w:r>
      <w:r>
        <w:t xml:space="preserve">1,6% </w:t>
      </w:r>
      <w:r w:rsidRPr="00966D80">
        <w:t>gadījumu</w:t>
      </w:r>
      <w:r>
        <w:t xml:space="preserve"> – </w:t>
      </w:r>
      <w:r w:rsidRPr="00966D80">
        <w:t>norādījušas, ka recepšu un bezrecepšu medikamentu izmaksas bijušas ļot</w:t>
      </w:r>
      <w:r>
        <w:t>i apgrūtinošas. Zemāks š</w:t>
      </w:r>
      <w:r w:rsidR="00DF4932">
        <w:t>i</w:t>
      </w:r>
      <w:r>
        <w:t>s rādītāj</w:t>
      </w:r>
      <w:r w:rsidRPr="00966D80">
        <w:t>s bijis mājsaimniecību grupā, kurās ir pāris bez bērniem</w:t>
      </w:r>
      <w:r>
        <w:t xml:space="preserve"> – </w:t>
      </w:r>
      <w:r w:rsidRPr="00966D80">
        <w:t xml:space="preserve">31,8%, bet mājsaimniecībās, kurās ir viena persona, kurai ir </w:t>
      </w:r>
      <w:r>
        <w:t xml:space="preserve">no 16 līdz </w:t>
      </w:r>
      <w:r w:rsidRPr="00966D80">
        <w:t>64 gadiem</w:t>
      </w:r>
      <w:r>
        <w:t>,</w:t>
      </w:r>
      <w:r w:rsidRPr="00966D80">
        <w:t xml:space="preserve"> šis </w:t>
      </w:r>
      <w:r>
        <w:t>rādītājs</w:t>
      </w:r>
      <w:r w:rsidRPr="00966D80">
        <w:t xml:space="preserve"> ir 23,4%.</w:t>
      </w:r>
    </w:p>
    <w:bookmarkStart w:id="438" w:name="_Toc6219213"/>
    <w:bookmarkStart w:id="439" w:name="_Toc6220156"/>
    <w:p w:rsidR="0007337F" w:rsidRPr="00966D80" w:rsidRDefault="00AD3EDD" w:rsidP="00F13B93">
      <w:pPr>
        <w:pStyle w:val="Caption"/>
      </w:pPr>
      <w:r>
        <w:fldChar w:fldCharType="begin"/>
      </w:r>
      <w:r w:rsidR="006B5456">
        <w:instrText xml:space="preserve"> STYLEREF 1 \s </w:instrText>
      </w:r>
      <w:r>
        <w:fldChar w:fldCharType="separate"/>
      </w:r>
      <w:bookmarkStart w:id="440" w:name="_Toc6855808"/>
      <w:r w:rsidR="00224B50">
        <w:rPr>
          <w:noProof/>
        </w:rPr>
        <w:t>2</w:t>
      </w:r>
      <w:r>
        <w:fldChar w:fldCharType="end"/>
      </w:r>
      <w:r w:rsidR="006B5456">
        <w:t>.</w:t>
      </w:r>
      <w:r>
        <w:fldChar w:fldCharType="begin"/>
      </w:r>
      <w:r w:rsidR="000F1524">
        <w:instrText xml:space="preserve"> SEQ Ilustrācija \* ARABIC \s 1 </w:instrText>
      </w:r>
      <w:r>
        <w:fldChar w:fldCharType="separate"/>
      </w:r>
      <w:r w:rsidR="00224B50">
        <w:rPr>
          <w:noProof/>
        </w:rPr>
        <w:t>20</w:t>
      </w:r>
      <w:r>
        <w:rPr>
          <w:noProof/>
        </w:rPr>
        <w:fldChar w:fldCharType="end"/>
      </w:r>
      <w:r w:rsidR="00E55525">
        <w:t xml:space="preserve">. attēls. </w:t>
      </w:r>
      <w:r w:rsidR="0007337F" w:rsidRPr="00966D80">
        <w:t>Ārstēšanās un medikamentu izmaksu slogs mājsaimniecībām 2017</w:t>
      </w:r>
      <w:r w:rsidR="0007337F">
        <w:t>. gadā</w:t>
      </w:r>
      <w:r w:rsidR="0007337F" w:rsidRPr="00966D80">
        <w:t xml:space="preserve">. Cik lielā mērā recepšu un bezrecepšu medikamentu izmaksas </w:t>
      </w:r>
      <w:r w:rsidR="0007337F" w:rsidRPr="00D3739C">
        <w:t>mājsaimniecībai</w:t>
      </w:r>
      <w:r w:rsidR="0007337F" w:rsidRPr="00966D80">
        <w:t xml:space="preserve"> pēdējo 12 mēnešu laikā bija apgrūtinošas. Visas mājsaimniecības</w:t>
      </w:r>
      <w:r w:rsidR="0007337F">
        <w:t xml:space="preserve"> un</w:t>
      </w:r>
      <w:r w:rsidR="0007337F" w:rsidRPr="00966D80">
        <w:t xml:space="preserve"> </w:t>
      </w:r>
      <w:r w:rsidR="0007337F">
        <w:t>m</w:t>
      </w:r>
      <w:r w:rsidR="0007337F" w:rsidRPr="00966D80">
        <w:t>ājsaimniecību tipu griezums</w:t>
      </w:r>
      <w:bookmarkEnd w:id="438"/>
      <w:bookmarkEnd w:id="439"/>
      <w:bookmarkEnd w:id="440"/>
    </w:p>
    <w:p w:rsidR="0007337F" w:rsidRDefault="00F2737E" w:rsidP="00064C1E">
      <w:r w:rsidRPr="00F2737E">
        <w:rPr>
          <w:noProof/>
        </w:rPr>
        <w:drawing>
          <wp:inline distT="0" distB="0" distL="0" distR="0">
            <wp:extent cx="6154420" cy="3749074"/>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4420" cy="3749074"/>
                    </a:xfrm>
                    <a:prstGeom prst="rect">
                      <a:avLst/>
                    </a:prstGeom>
                    <a:noFill/>
                    <a:ln>
                      <a:noFill/>
                    </a:ln>
                  </pic:spPr>
                </pic:pic>
              </a:graphicData>
            </a:graphic>
          </wp:inline>
        </w:drawing>
      </w:r>
    </w:p>
    <w:p w:rsidR="00E55525" w:rsidRPr="005A62EE" w:rsidRDefault="005A62EE" w:rsidP="00C33A64">
      <w:pPr>
        <w:pStyle w:val="avotiemft10"/>
      </w:pPr>
      <w:bookmarkStart w:id="441" w:name="_Toc6841577"/>
      <w:r w:rsidRPr="005A62EE">
        <w:t>Avots: CSP “MOD17_</w:t>
      </w:r>
      <w:r w:rsidRPr="00DA49DB">
        <w:t>04</w:t>
      </w:r>
      <w:r w:rsidRPr="005A62EE">
        <w:t>. Ārstēšanās un medikamentu izmaksu slogs mājsaimniecībām 2017. gadā (%)”.</w:t>
      </w:r>
      <w:bookmarkEnd w:id="441"/>
    </w:p>
    <w:p w:rsidR="005A62EE" w:rsidRDefault="005A62EE" w:rsidP="00064C1E"/>
    <w:p w:rsidR="00F2737E" w:rsidRPr="00966D80" w:rsidRDefault="00F2737E" w:rsidP="00064C1E">
      <w:r w:rsidRPr="00966D80">
        <w:t xml:space="preserve">Kvintiļu grupās </w:t>
      </w:r>
      <w:r>
        <w:t>(</w:t>
      </w:r>
      <w:r w:rsidR="009049B5">
        <w:t>sk.2.21</w:t>
      </w:r>
      <w:r w:rsidR="00922A20">
        <w:t>. attēlu</w:t>
      </w:r>
      <w:r>
        <w:t xml:space="preserve">) </w:t>
      </w:r>
      <w:r w:rsidRPr="00966D80">
        <w:t>redzama situācij</w:t>
      </w:r>
      <w:r>
        <w:t>a</w:t>
      </w:r>
      <w:r w:rsidRPr="00966D80">
        <w:t>, ka 1. un 2</w:t>
      </w:r>
      <w:r>
        <w:t>. kvint</w:t>
      </w:r>
      <w:r w:rsidRPr="00966D80">
        <w:t xml:space="preserve">iļu grupā esošās mājsaimniecības recepšu un bezrecepšu medikamentu izmaksas regulārāk novērtējušās kā </w:t>
      </w:r>
      <w:r w:rsidR="00681F27">
        <w:t>„</w:t>
      </w:r>
      <w:r w:rsidR="00C548CE">
        <w:t>ļ</w:t>
      </w:r>
      <w:r w:rsidRPr="00966D80">
        <w:t>oti apgrūtinošas”, 2</w:t>
      </w:r>
      <w:r>
        <w:t>. kvint</w:t>
      </w:r>
      <w:r w:rsidRPr="00966D80">
        <w:t>iļu grupa 48,4% mājsaimniecību snieguš</w:t>
      </w:r>
      <w:r w:rsidR="00681F27">
        <w:t>a</w:t>
      </w:r>
      <w:r w:rsidRPr="00966D80">
        <w:t>s šādu vērtējumu, bet 1</w:t>
      </w:r>
      <w:r>
        <w:t>. kvint</w:t>
      </w:r>
      <w:r w:rsidRPr="00966D80">
        <w:t>iļu grupā –</w:t>
      </w:r>
      <w:r w:rsidR="00681F27">
        <w:t xml:space="preserve"> </w:t>
      </w:r>
      <w:r w:rsidRPr="00966D80">
        <w:t>40,2%. Turpinot par 1. un 2</w:t>
      </w:r>
      <w:r>
        <w:t>. kvint</w:t>
      </w:r>
      <w:r w:rsidRPr="00966D80">
        <w:t xml:space="preserve">iļu grupu, jānorāda, ka izmaksu novērtējums kā </w:t>
      </w:r>
      <w:r w:rsidR="00681F27">
        <w:t>„</w:t>
      </w:r>
      <w:r w:rsidRPr="00966D80">
        <w:t>nedaudz apgrūtinošas” minēts retāk</w:t>
      </w:r>
      <w:r>
        <w:t xml:space="preserve"> – </w:t>
      </w:r>
      <w:r w:rsidRPr="00966D80">
        <w:t>attiecīgi 38,6% u</w:t>
      </w:r>
      <w:r w:rsidR="00681F27">
        <w:t>n</w:t>
      </w:r>
      <w:r w:rsidRPr="00966D80">
        <w:t xml:space="preserve"> 35,9% gadījumu</w:t>
      </w:r>
      <w:r>
        <w:t xml:space="preserve"> – </w:t>
      </w:r>
      <w:r w:rsidRPr="00966D80">
        <w:t>nekā 3., 4. un 5</w:t>
      </w:r>
      <w:r>
        <w:t>. kvint</w:t>
      </w:r>
      <w:r w:rsidRPr="00966D80">
        <w:t xml:space="preserve">iļu grupā, kur šie rādītāji ir attiecīgi 46,6%, 44,5% un 40,5%. Pievēršoties recepšu un bezrecepšu medikamentu izmaksu </w:t>
      </w:r>
      <w:r w:rsidR="00681F27">
        <w:t>„</w:t>
      </w:r>
      <w:r w:rsidRPr="00966D80">
        <w:t>ļoti apgrūtinoši” novērtējumam 3., 4. un 5</w:t>
      </w:r>
      <w:r>
        <w:t>. kvint</w:t>
      </w:r>
      <w:r w:rsidR="00220F9B">
        <w:t>iļu grupā, jānorā</w:t>
      </w:r>
      <w:r w:rsidRPr="00966D80">
        <w:t>da, ka šeit redzama tendence, ka</w:t>
      </w:r>
      <w:r>
        <w:t>,</w:t>
      </w:r>
      <w:r w:rsidRPr="00966D80">
        <w:t xml:space="preserve"> </w:t>
      </w:r>
      <w:r>
        <w:t>pieaugot</w:t>
      </w:r>
      <w:r w:rsidRPr="00966D80">
        <w:t xml:space="preserve"> turīgumam, šāda novērtējuma izmantošanas īpatsvars samazinās. 3</w:t>
      </w:r>
      <w:r>
        <w:t>. kvint</w:t>
      </w:r>
      <w:r w:rsidRPr="00966D80">
        <w:t xml:space="preserve">iļu grupā 25,9% mājsaimniecību norādīja, ka recepšu un bezrecepšu medikamentu izmaksas tām bijušas, ļoti </w:t>
      </w:r>
      <w:r w:rsidRPr="00966D80">
        <w:lastRenderedPageBreak/>
        <w:t>apgrūtinoš</w:t>
      </w:r>
      <w:r>
        <w:t>a</w:t>
      </w:r>
      <w:r w:rsidRPr="00966D80">
        <w:t>s, 4</w:t>
      </w:r>
      <w:r>
        <w:t>. kvint</w:t>
      </w:r>
      <w:r w:rsidRPr="00966D80">
        <w:t>iļu grupā šo mājsaimniecību īpatsvars bija 21,6%, bet 5</w:t>
      </w:r>
      <w:r>
        <w:t>. kvint</w:t>
      </w:r>
      <w:r w:rsidRPr="00966D80">
        <w:t>iļu grupā, kurā ietvertas visturīgākās mājsaimniecības</w:t>
      </w:r>
      <w:r>
        <w:t>,</w:t>
      </w:r>
      <w:r w:rsidRPr="00966D80">
        <w:t xml:space="preserve"> tas bija viszemākais –</w:t>
      </w:r>
      <w:r>
        <w:t xml:space="preserve"> </w:t>
      </w:r>
      <w:r w:rsidRPr="00966D80">
        <w:t>10,5%.</w:t>
      </w:r>
    </w:p>
    <w:bookmarkStart w:id="442" w:name="_Toc6219214"/>
    <w:bookmarkStart w:id="443" w:name="_Toc6220157"/>
    <w:p w:rsidR="0007337F" w:rsidRPr="00966D80" w:rsidRDefault="00AD3EDD" w:rsidP="00F13B93">
      <w:pPr>
        <w:pStyle w:val="Caption"/>
      </w:pPr>
      <w:r>
        <w:fldChar w:fldCharType="begin"/>
      </w:r>
      <w:r w:rsidR="006B5456">
        <w:instrText xml:space="preserve"> STYLEREF 1 \s </w:instrText>
      </w:r>
      <w:r>
        <w:fldChar w:fldCharType="separate"/>
      </w:r>
      <w:bookmarkStart w:id="444" w:name="_Toc6855809"/>
      <w:r w:rsidR="00224B50">
        <w:rPr>
          <w:noProof/>
        </w:rPr>
        <w:t>2</w:t>
      </w:r>
      <w:r>
        <w:fldChar w:fldCharType="end"/>
      </w:r>
      <w:r w:rsidR="006B5456">
        <w:t>.</w:t>
      </w:r>
      <w:r>
        <w:fldChar w:fldCharType="begin"/>
      </w:r>
      <w:r w:rsidR="000F1524">
        <w:instrText xml:space="preserve"> SEQ Ilustrācija \* ARABIC \s 1 </w:instrText>
      </w:r>
      <w:r>
        <w:fldChar w:fldCharType="separate"/>
      </w:r>
      <w:r w:rsidR="00224B50">
        <w:rPr>
          <w:noProof/>
        </w:rPr>
        <w:t>21</w:t>
      </w:r>
      <w:r>
        <w:rPr>
          <w:noProof/>
        </w:rPr>
        <w:fldChar w:fldCharType="end"/>
      </w:r>
      <w:r w:rsidR="00E55525">
        <w:t xml:space="preserve">. attēls. </w:t>
      </w:r>
      <w:r w:rsidR="0007337F" w:rsidRPr="00966D80">
        <w:t xml:space="preserve">Ārstēšanās un medikamentu izmaksu slogs </w:t>
      </w:r>
      <w:r w:rsidR="0007337F" w:rsidRPr="00D3739C">
        <w:t>mājsaimniecībām</w:t>
      </w:r>
      <w:r w:rsidR="0007337F" w:rsidRPr="00966D80">
        <w:t xml:space="preserve"> 2017</w:t>
      </w:r>
      <w:r w:rsidR="0007337F">
        <w:t>. gadā</w:t>
      </w:r>
      <w:r w:rsidR="0007337F" w:rsidRPr="00966D80">
        <w:t xml:space="preserve">. Cik lielā mērā recepšu un bezrecepšu medikamentu izmaksas mājsaimniecībai pēdējo 12 mēnešu laikā bija apgrūtinošas. </w:t>
      </w:r>
      <w:r w:rsidR="0007337F">
        <w:t>Kvintiļu grupu griezums</w:t>
      </w:r>
      <w:bookmarkEnd w:id="442"/>
      <w:bookmarkEnd w:id="443"/>
      <w:bookmarkEnd w:id="444"/>
    </w:p>
    <w:p w:rsidR="00D07345" w:rsidRDefault="00D07345" w:rsidP="00917E78">
      <w:pPr>
        <w:pStyle w:val="avotiemft10"/>
      </w:pPr>
      <w:bookmarkStart w:id="445" w:name="_Toc6841578"/>
      <w:r w:rsidRPr="00D07345">
        <w:rPr>
          <w:noProof/>
        </w:rPr>
        <w:drawing>
          <wp:inline distT="0" distB="0" distL="0" distR="0">
            <wp:extent cx="6154420" cy="3759387"/>
            <wp:effectExtent l="19050" t="0" r="0" b="0"/>
            <wp:docPr id="139"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4"/>
                    <a:srcRect/>
                    <a:stretch>
                      <a:fillRect/>
                    </a:stretch>
                  </pic:blipFill>
                  <pic:spPr bwMode="auto">
                    <a:xfrm>
                      <a:off x="0" y="0"/>
                      <a:ext cx="6154420" cy="3759387"/>
                    </a:xfrm>
                    <a:prstGeom prst="rect">
                      <a:avLst/>
                    </a:prstGeom>
                    <a:noFill/>
                    <a:ln w="9525">
                      <a:noFill/>
                      <a:miter lim="800000"/>
                      <a:headEnd/>
                      <a:tailEnd/>
                    </a:ln>
                  </pic:spPr>
                </pic:pic>
              </a:graphicData>
            </a:graphic>
          </wp:inline>
        </w:drawing>
      </w:r>
    </w:p>
    <w:p w:rsidR="0007337F" w:rsidRPr="005A62EE" w:rsidRDefault="005A62EE" w:rsidP="00C33A64">
      <w:pPr>
        <w:pStyle w:val="avotiemft10"/>
      </w:pPr>
      <w:r w:rsidRPr="005A62EE">
        <w:t>Avots: CSP “MOD17_04. Ārstēšanās un medikamentu izmaksu slogs mājsaimniecībām 2017. gadā (%)”.</w:t>
      </w:r>
      <w:bookmarkEnd w:id="445"/>
    </w:p>
    <w:p w:rsidR="005A62EE" w:rsidRPr="00966D80" w:rsidRDefault="005A62EE" w:rsidP="00064C1E"/>
    <w:p w:rsidR="0007337F" w:rsidRPr="00966D80" w:rsidRDefault="0007337F" w:rsidP="00064C1E">
      <w:r w:rsidRPr="00966D80">
        <w:t>Skatoties datus lauku un pilsētu griezumā, var secināt, ka lauk</w:t>
      </w:r>
      <w:r w:rsidR="00E718DC">
        <w:t>os dzīvojošiem</w:t>
      </w:r>
      <w:r w:rsidRPr="00966D80">
        <w:t xml:space="preserve"> recepšu un bezrecepšu medikamentu izmaksas bijušas vairāk apgrūtinošas. Reģionu griezumā recepšu un bezrecepšu medikamentu izmaksas kā </w:t>
      </w:r>
      <w:r w:rsidR="0035269A">
        <w:t>„</w:t>
      </w:r>
      <w:r w:rsidRPr="00966D80">
        <w:t>ļoti apgrūtinošas” visbiežāk</w:t>
      </w:r>
      <w:r>
        <w:t xml:space="preserve"> – </w:t>
      </w:r>
      <w:r w:rsidRPr="00966D80">
        <w:t>38,8% gadījumu</w:t>
      </w:r>
      <w:r>
        <w:t xml:space="preserve"> – </w:t>
      </w:r>
      <w:r w:rsidRPr="00966D80">
        <w:t xml:space="preserve">novērtējušas mājsaimniecības, kas atrodas Zemgales reģionā, tajā pašā laikā 40% mājsaimniecību šīs izmaksas novērtējušas kā </w:t>
      </w:r>
      <w:r w:rsidR="00681F27">
        <w:t>„</w:t>
      </w:r>
      <w:r w:rsidRPr="00966D80">
        <w:t xml:space="preserve">nedaudz apgrūtinošas”. Latgales reģionā 38,2% mājsaimniecību recepšu un bezrecepšu medikamentu izmaksas novērtējušas kā </w:t>
      </w:r>
      <w:r w:rsidR="0035269A">
        <w:t>„</w:t>
      </w:r>
      <w:r w:rsidRPr="00966D80">
        <w:t xml:space="preserve">ļoti apgrūtinošas”, bet vērtējums </w:t>
      </w:r>
      <w:r w:rsidR="00681F27">
        <w:t>„</w:t>
      </w:r>
      <w:r w:rsidRPr="00966D80">
        <w:t xml:space="preserve">nedaudz apgrūtinošas” izmantots 38,5% gadījumu. Virs 30% recepšu un bezrecepšu medikamentu izmaksas kā </w:t>
      </w:r>
      <w:r w:rsidR="0035269A">
        <w:t>„</w:t>
      </w:r>
      <w:r w:rsidRPr="00966D80">
        <w:t xml:space="preserve">ļoti apgrūtinošas” novērtētās arī Vidzemes reģionā (31%), kur tajā pašā laikā kā </w:t>
      </w:r>
      <w:r w:rsidR="0035269A">
        <w:t>„</w:t>
      </w:r>
      <w:r w:rsidRPr="00966D80">
        <w:t>nedaudz apgrūtinošas” tās novērtēju</w:t>
      </w:r>
      <w:r w:rsidR="00681F27">
        <w:t>s</w:t>
      </w:r>
      <w:r w:rsidRPr="00966D80">
        <w:t>i puse no reģiona mājsaimniecībām</w:t>
      </w:r>
      <w:r>
        <w:t xml:space="preserve"> – </w:t>
      </w:r>
      <w:r w:rsidRPr="00966D80">
        <w:t xml:space="preserve">50,5%. Savukārt Pierīgas reģionā recepšu un bezrecepšu medikamentu izmaksas bijušas </w:t>
      </w:r>
      <w:r w:rsidR="00681F27">
        <w:t>„</w:t>
      </w:r>
      <w:r w:rsidRPr="00966D80">
        <w:t xml:space="preserve">ļoti apgrūtinošas” 26,1% mājsaimniecību, bet </w:t>
      </w:r>
      <w:r w:rsidR="00681F27">
        <w:t>„</w:t>
      </w:r>
      <w:r w:rsidRPr="00966D80">
        <w:t>nedaudz apgrūtinošas”</w:t>
      </w:r>
      <w:r>
        <w:t xml:space="preserve"> – </w:t>
      </w:r>
      <w:r w:rsidRPr="00966D80">
        <w:t xml:space="preserve">41,5%. Reģionu griezuma noslēgumā vēl par Rīgas reģiona mājsaimniecībām, kur 26,1% norādīja, ka recepšu un bezrecepšu medikamentu izmaksas ir </w:t>
      </w:r>
      <w:r w:rsidR="00681F27">
        <w:t>„</w:t>
      </w:r>
      <w:r w:rsidRPr="00966D80">
        <w:t xml:space="preserve">ļoti apgrūtinošas”, bet 41,5%, ka </w:t>
      </w:r>
      <w:r w:rsidR="00681F27">
        <w:t>„</w:t>
      </w:r>
      <w:r w:rsidRPr="00966D80">
        <w:t>nedaudz apgrūtinošas”.</w:t>
      </w:r>
    </w:p>
    <w:p w:rsidR="0007337F" w:rsidRPr="00966D80" w:rsidRDefault="0007337F" w:rsidP="00064C1E"/>
    <w:p w:rsidR="0007337F" w:rsidRPr="00966D80" w:rsidRDefault="0007337F" w:rsidP="00064C1E">
      <w:r w:rsidRPr="00966D80">
        <w:t>Noslē</w:t>
      </w:r>
      <w:r w:rsidR="00DF4932">
        <w:t>gumā sniegts šo datu</w:t>
      </w:r>
      <w:r w:rsidRPr="00966D80">
        <w:t xml:space="preserve"> aprakst</w:t>
      </w:r>
      <w:r w:rsidR="00DF4932">
        <w:t>s</w:t>
      </w:r>
      <w:r w:rsidRPr="00966D80">
        <w:t xml:space="preserve"> mājsaimniecīb</w:t>
      </w:r>
      <w:r w:rsidR="00DF4932">
        <w:t>u</w:t>
      </w:r>
      <w:r w:rsidRPr="00966D80">
        <w:t xml:space="preserve"> zem nabadzības riska sliekšņa un mājsaimniecīb</w:t>
      </w:r>
      <w:r w:rsidR="00DF4932">
        <w:t>u</w:t>
      </w:r>
      <w:r w:rsidRPr="00966D80">
        <w:t xml:space="preserve"> virs nabadzības riska sliekšņa</w:t>
      </w:r>
      <w:r w:rsidR="00DF4932">
        <w:t xml:space="preserve"> griezumā</w:t>
      </w:r>
      <w:r w:rsidRPr="00966D80">
        <w:t xml:space="preserve">. </w:t>
      </w:r>
      <w:r w:rsidR="002F7F5B">
        <w:t>Kopumā</w:t>
      </w:r>
      <w:r w:rsidRPr="00966D80">
        <w:t xml:space="preserve"> mājsaimniecības zem nabadzības riska sliekšņa biežāk </w:t>
      </w:r>
      <w:r w:rsidR="00E718DC">
        <w:t>–</w:t>
      </w:r>
      <w:r w:rsidRPr="00966D80">
        <w:t xml:space="preserve"> 47,5% gadījumu</w:t>
      </w:r>
      <w:r>
        <w:t xml:space="preserve"> – </w:t>
      </w:r>
      <w:r w:rsidRPr="00966D80">
        <w:t xml:space="preserve">norādījušas, ka recepšu un bezrecepšu medikamentu </w:t>
      </w:r>
      <w:r w:rsidRPr="00966D80">
        <w:lastRenderedPageBreak/>
        <w:t xml:space="preserve">izmaksas ir </w:t>
      </w:r>
      <w:r w:rsidR="002F7F5B">
        <w:t>„</w:t>
      </w:r>
      <w:r w:rsidRPr="00966D80">
        <w:t xml:space="preserve">ļoti apgrūtinošas”, kamēr mājsaimniecības, kas ir virs nabadzības riska sliekšņa šādu vērtējumu sniegušas 22,7% gadījumu. Novērtējumā </w:t>
      </w:r>
      <w:r w:rsidR="002F7F5B">
        <w:t>„</w:t>
      </w:r>
      <w:r w:rsidRPr="00966D80">
        <w:t xml:space="preserve">nedaudz apgrūtinošas” situācija ir </w:t>
      </w:r>
      <w:r>
        <w:t>citāda</w:t>
      </w:r>
      <w:r w:rsidRPr="00966D80">
        <w:t xml:space="preserve">, jo mājsaimniecības virs nabadzības riska sliekšņa 44,3% gadījumu norādījušas, ka recepšu un bezrecepšu medikamentu izmaksas ir </w:t>
      </w:r>
      <w:r w:rsidR="002F7F5B">
        <w:t>„</w:t>
      </w:r>
      <w:r w:rsidRPr="00966D80">
        <w:t>nedaudz apgrūtinošas”, bet mājsaimniecības zem nabadzības riska sliekšņa šādu vērtējumu sniegušas 34,1% gadījumu.</w:t>
      </w:r>
    </w:p>
    <w:p w:rsidR="0007337F" w:rsidRPr="00966D80" w:rsidRDefault="0007337F" w:rsidP="00064C1E"/>
    <w:p w:rsidR="00F85012" w:rsidRDefault="002F7F5B" w:rsidP="002F7F5B">
      <w:r>
        <w:t>Tā kā starptautiskās organizācijas ir vērsušas uzmanību uz to, ka nevienlīdzība veselības aprūpes jomā var izpausties caur personas nevēršanos pie ārsta vispār, jo pastāv finanšu grūtības vai cita veida ierobežojumi savlaicīgi saņemt ārstniecības pakalpojumus, tad</w:t>
      </w:r>
      <w:r w:rsidRPr="002F7F5B">
        <w:t xml:space="preserve"> </w:t>
      </w:r>
      <w:r>
        <w:t>t</w:t>
      </w:r>
      <w:r w:rsidRPr="00E718DC">
        <w:t xml:space="preserve">urpinājumā </w:t>
      </w:r>
      <w:r>
        <w:t>sniegts salīdzinājums</w:t>
      </w:r>
      <w:r w:rsidRPr="00E718DC">
        <w:t xml:space="preserve"> par konsultēšanas biežumu pie</w:t>
      </w:r>
      <w:r w:rsidR="002C1872">
        <w:t xml:space="preserve"> trīs nozīmīgākajām veselības aprūpes personu</w:t>
      </w:r>
      <w:r w:rsidR="00F85012">
        <w:t xml:space="preserve"> un </w:t>
      </w:r>
      <w:r w:rsidR="002B3A61">
        <w:t xml:space="preserve">to sniegtajām </w:t>
      </w:r>
      <w:r w:rsidR="001C4D07">
        <w:t>trīs vispārīgām ārstniecības</w:t>
      </w:r>
      <w:r w:rsidR="00F85012">
        <w:t xml:space="preserve"> pakalpojumu</w:t>
      </w:r>
      <w:r w:rsidR="002C1872">
        <w:t xml:space="preserve"> grupām</w:t>
      </w:r>
      <w:r w:rsidR="00F85012">
        <w:t>.</w:t>
      </w:r>
      <w:r w:rsidR="002C1872">
        <w:t xml:space="preserve"> </w:t>
      </w:r>
      <w:r w:rsidR="00F85012">
        <w:t>Tie ir:</w:t>
      </w:r>
      <w:r w:rsidR="00F85012" w:rsidRPr="00E718DC">
        <w:t xml:space="preserve"> </w:t>
      </w:r>
      <w:r w:rsidR="00F85012">
        <w:t xml:space="preserve">pirmkārt, </w:t>
      </w:r>
      <w:r w:rsidR="00F85012" w:rsidRPr="00E718DC">
        <w:t xml:space="preserve">ģimenes ārsta, </w:t>
      </w:r>
      <w:r w:rsidR="00F85012">
        <w:t xml:space="preserve">otrkārt, </w:t>
      </w:r>
      <w:r w:rsidR="00F85012" w:rsidRPr="00E718DC">
        <w:t>medicīnas vai ķirurģijas</w:t>
      </w:r>
      <w:r w:rsidR="00F85012" w:rsidRPr="00966D80">
        <w:t xml:space="preserve"> speciālista</w:t>
      </w:r>
      <w:r w:rsidR="00F85012">
        <w:t xml:space="preserve"> (t.i., jebkura cita ārsta speciālista)</w:t>
      </w:r>
      <w:r w:rsidR="00F85012" w:rsidRPr="00966D80">
        <w:t xml:space="preserve">, </w:t>
      </w:r>
      <w:r w:rsidR="00F85012">
        <w:t xml:space="preserve">un, treškārt, </w:t>
      </w:r>
      <w:r w:rsidR="00F85012" w:rsidRPr="00966D80">
        <w:t>zobārsta, ortodonta vai higiēnista</w:t>
      </w:r>
      <w:r w:rsidR="00F85012">
        <w:t xml:space="preserve"> (sk. </w:t>
      </w:r>
      <w:r w:rsidR="009049B5">
        <w:t>2.22</w:t>
      </w:r>
      <w:r w:rsidR="00F85012">
        <w:t xml:space="preserve">. attēlu) </w:t>
      </w:r>
      <w:r w:rsidR="001C4D07">
        <w:t>pakalpojumi</w:t>
      </w:r>
      <w:r w:rsidR="00F85012">
        <w:t xml:space="preserve">, </w:t>
      </w:r>
      <w:r w:rsidR="001C4D07">
        <w:t xml:space="preserve">un datu turpmākā analīze ir veikta, </w:t>
      </w:r>
      <w:r w:rsidR="00F85012">
        <w:t>ņemot vērā iedzīvotāju ienākumu līmeni (ienākumu kvintiļu grupu)</w:t>
      </w:r>
      <w:r w:rsidR="00F85012" w:rsidRPr="00966D80">
        <w:t>.</w:t>
      </w:r>
      <w:r w:rsidR="00F85012">
        <w:t xml:space="preserve"> Šīs ārstniecības personu un pakalpojumu grupas</w:t>
      </w:r>
      <w:r w:rsidR="002C1872">
        <w:t xml:space="preserve"> vienlaicīgi pārstāv atšķirīgus izmaksu līmeņus, t.i., sākot no izmaksu un tiesību aktu izpratnē vispieejamākā līmeņa</w:t>
      </w:r>
      <w:r w:rsidR="00F85012">
        <w:t xml:space="preserve"> (ģimenes ārsta)</w:t>
      </w:r>
      <w:r w:rsidR="002C1872">
        <w:t xml:space="preserve"> un noslēdzot ar salīdzinoši dārgāk</w:t>
      </w:r>
      <w:r w:rsidR="00F85012">
        <w:t>o</w:t>
      </w:r>
      <w:r w:rsidR="002C1872">
        <w:t xml:space="preserve"> izmaksu līmeni veselības aprūpē</w:t>
      </w:r>
      <w:r w:rsidR="00F85012">
        <w:t xml:space="preserve"> (zobārstniecību </w:t>
      </w:r>
      <w:r w:rsidR="002B3A61">
        <w:t xml:space="preserve">kopumā </w:t>
      </w:r>
      <w:r w:rsidR="00F85012">
        <w:t>un ar šo jomu saistītiem specifiskiem</w:t>
      </w:r>
      <w:r w:rsidR="002B3A61">
        <w:t>, t.sk. šauri pieprasītiem,</w:t>
      </w:r>
      <w:r w:rsidR="00F85012">
        <w:t xml:space="preserve"> pakalpojumiem, piemēram, </w:t>
      </w:r>
      <w:r w:rsidR="00F85012" w:rsidRPr="00F85012">
        <w:t>ortodontisk</w:t>
      </w:r>
      <w:r w:rsidR="00F85012">
        <w:t>o</w:t>
      </w:r>
      <w:r w:rsidR="00F85012" w:rsidRPr="00F85012">
        <w:t xml:space="preserve"> ārstēšan</w:t>
      </w:r>
      <w:r w:rsidR="00F85012">
        <w:t>u)</w:t>
      </w:r>
      <w:r w:rsidR="002C1872">
        <w:t xml:space="preserve">. </w:t>
      </w:r>
      <w:r w:rsidR="00A67859">
        <w:t>Aplūkojot ārstniecības personu grupas, ir lietoti EU-SILC aptaujā lietotie apzīmējumi</w:t>
      </w:r>
      <w:r w:rsidR="00F85012">
        <w:t>, kas ir vispārīgāki par Latvijas tiesību aktos lietoto ārstu speciālistu iedalījumu</w:t>
      </w:r>
      <w:r w:rsidR="00A67859">
        <w:t xml:space="preserve">. </w:t>
      </w:r>
      <w:r w:rsidR="001C4D07">
        <w:t>Tāpat redzams, ka ārstniecības personu un to sniegto pakalpojumu grupas ir definētas pietiekami plaši, lai uz iegūto datu anal</w:t>
      </w:r>
      <w:r w:rsidR="001C6747">
        <w:t>īzē būtu pielietojami</w:t>
      </w:r>
      <w:r w:rsidR="001C4D07">
        <w:t xml:space="preserve"> </w:t>
      </w:r>
      <w:r w:rsidR="001C6747">
        <w:t xml:space="preserve">tie </w:t>
      </w:r>
      <w:r w:rsidR="001C4D07">
        <w:t>matemātiskās statistikas principi, kas ir būtiski nevienlīdzības veselības aprūpē aspekta</w:t>
      </w:r>
      <w:r w:rsidR="001C6747">
        <w:t xml:space="preserve"> ietvaros</w:t>
      </w:r>
      <w:r w:rsidR="001C4D07">
        <w:t xml:space="preserve"> (sk. sīkāk nākamo rindkopu).</w:t>
      </w:r>
    </w:p>
    <w:p w:rsidR="00F85012" w:rsidRDefault="00F85012" w:rsidP="002F7F5B"/>
    <w:p w:rsidR="002F7F5B" w:rsidRDefault="002C1872" w:rsidP="002F7F5B">
      <w:r>
        <w:t xml:space="preserve">Vērtējot </w:t>
      </w:r>
      <w:r w:rsidR="002F7F5B">
        <w:t>datus</w:t>
      </w:r>
      <w:r w:rsidR="00A87E17">
        <w:t xml:space="preserve"> (sk.</w:t>
      </w:r>
      <w:r w:rsidR="009049B5">
        <w:t xml:space="preserve"> 2.22</w:t>
      </w:r>
      <w:r w:rsidR="00A87E17">
        <w:t>. attēlu un turpmāk)</w:t>
      </w:r>
      <w:r w:rsidR="002F7F5B">
        <w:t xml:space="preserve">, </w:t>
      </w:r>
      <w:r>
        <w:t>galvenā vērība</w:t>
      </w:r>
      <w:r w:rsidR="002F7F5B">
        <w:t xml:space="preserve"> ir jāpievērš tam, cik bieži </w:t>
      </w:r>
      <w:r w:rsidR="0007337F" w:rsidRPr="00966D80">
        <w:t xml:space="preserve">konkrētajā </w:t>
      </w:r>
      <w:r w:rsidR="002F7F5B">
        <w:t xml:space="preserve">iedzīvotāju </w:t>
      </w:r>
      <w:r w:rsidR="0007337F" w:rsidRPr="00966D80">
        <w:t>grupā šāda veida konsultācijas 2017</w:t>
      </w:r>
      <w:r w:rsidR="0007337F">
        <w:t>. gadā</w:t>
      </w:r>
      <w:r w:rsidR="0007337F" w:rsidRPr="00966D80">
        <w:t xml:space="preserve"> nav notikušas ne reizi</w:t>
      </w:r>
      <w:r w:rsidR="002F7F5B">
        <w:t>.</w:t>
      </w:r>
      <w:r w:rsidR="0007337F" w:rsidRPr="00966D80">
        <w:t xml:space="preserve"> </w:t>
      </w:r>
      <w:r w:rsidR="002F7F5B">
        <w:t>Svarīgi, ka datu sadalījumam (t.i., atbilžu īpatsvaram, cik bieži iedzīvotāji nav vērsušies pie attiecīgā speciālista) visās ienākumu grupās ir jābūt aptuveni līdzīgam, jo, balstoties uz m</w:t>
      </w:r>
      <w:r w:rsidR="004F5401">
        <w:t>a</w:t>
      </w:r>
      <w:r w:rsidR="002F7F5B">
        <w:t>temātiskās statistikas principiem, uzskatāms, ka vajadzība</w:t>
      </w:r>
      <w:r>
        <w:t>i</w:t>
      </w:r>
      <w:r w:rsidR="002F7F5B">
        <w:t xml:space="preserve"> pēc ārstniecības pakalpojumiem visās sabiedrības grupās būtu jābūt līdzīgai (un atšķirīb</w:t>
      </w:r>
      <w:r w:rsidR="00A87E17">
        <w:t>as</w:t>
      </w:r>
      <w:r w:rsidR="002F7F5B">
        <w:t>, ko nosaka citi sociāli demogrāfiskie faktoriem, piemēram, vecums un dzimums, šādā iedalījumā vienmērīgi izlīdzinās).</w:t>
      </w:r>
      <w:r>
        <w:t xml:space="preserve"> Balstoties uz šo analīzes principu, tiek noteikts, ka p</w:t>
      </w:r>
      <w:r w:rsidR="002F7F5B">
        <w:t>ar nevienlīdzīb</w:t>
      </w:r>
      <w:r>
        <w:t>as</w:t>
      </w:r>
      <w:r w:rsidR="002F7F5B">
        <w:t xml:space="preserve"> veselības aprūpes</w:t>
      </w:r>
      <w:r>
        <w:t xml:space="preserve"> jomā indikatoru uzskatāms tas</w:t>
      </w:r>
      <w:r w:rsidR="00F2737E">
        <w:t xml:space="preserve">, ka </w:t>
      </w:r>
      <w:r>
        <w:t xml:space="preserve">zemākās iedzīvotāju ienākumu grupās </w:t>
      </w:r>
      <w:r w:rsidR="00F2737E">
        <w:t xml:space="preserve">ārsts </w:t>
      </w:r>
      <w:r w:rsidR="00A87E17">
        <w:t xml:space="preserve">ne reizi gada laikā </w:t>
      </w:r>
      <w:r w:rsidR="00F2737E">
        <w:t>nav apmeklē</w:t>
      </w:r>
      <w:r>
        <w:t>ts biežāk, nekā iedzīvotāju ar augstākiem ienākumiem grupās.</w:t>
      </w:r>
    </w:p>
    <w:bookmarkStart w:id="446" w:name="_Toc6219215"/>
    <w:bookmarkStart w:id="447" w:name="_Toc6220158"/>
    <w:p w:rsidR="0007337F" w:rsidRPr="00966D80" w:rsidRDefault="00AD3EDD" w:rsidP="00F13B93">
      <w:pPr>
        <w:pStyle w:val="Caption"/>
      </w:pPr>
      <w:r>
        <w:lastRenderedPageBreak/>
        <w:fldChar w:fldCharType="begin"/>
      </w:r>
      <w:r w:rsidR="006B5456">
        <w:instrText xml:space="preserve"> STYLEREF 1 \s </w:instrText>
      </w:r>
      <w:r>
        <w:fldChar w:fldCharType="separate"/>
      </w:r>
      <w:bookmarkStart w:id="448" w:name="_Toc6855810"/>
      <w:r w:rsidR="00224B50">
        <w:rPr>
          <w:noProof/>
        </w:rPr>
        <w:t>2</w:t>
      </w:r>
      <w:r>
        <w:fldChar w:fldCharType="end"/>
      </w:r>
      <w:r w:rsidR="006B5456">
        <w:t>.</w:t>
      </w:r>
      <w:r>
        <w:fldChar w:fldCharType="begin"/>
      </w:r>
      <w:r w:rsidR="000F1524">
        <w:instrText xml:space="preserve"> SEQ Ilustrācija \* ARABIC \s 1 </w:instrText>
      </w:r>
      <w:r>
        <w:fldChar w:fldCharType="separate"/>
      </w:r>
      <w:r w:rsidR="00224B50">
        <w:rPr>
          <w:noProof/>
        </w:rPr>
        <w:t>22</w:t>
      </w:r>
      <w:r>
        <w:rPr>
          <w:noProof/>
        </w:rPr>
        <w:fldChar w:fldCharType="end"/>
      </w:r>
      <w:r w:rsidR="00F2737E">
        <w:t xml:space="preserve">. attēls. </w:t>
      </w:r>
      <w:r w:rsidR="0007337F" w:rsidRPr="00966D80">
        <w:t xml:space="preserve">Iedzīvotāju </w:t>
      </w:r>
      <w:r w:rsidR="0007337F" w:rsidRPr="00D3739C">
        <w:t>konsultēšanas</w:t>
      </w:r>
      <w:r w:rsidR="0007337F" w:rsidRPr="00966D80">
        <w:t xml:space="preserve"> biežums pie ģimenes (vispārējās prakses) ārsta, medicīnas vai ķirurģijas speciālista, zobārsta, ortodonta vai higiēnista 2017</w:t>
      </w:r>
      <w:r w:rsidR="0007337F">
        <w:t>. gadā</w:t>
      </w:r>
      <w:r w:rsidR="0007337F" w:rsidRPr="00966D80">
        <w:t xml:space="preserve"> (%). Ne reizi nav notikusi konsultācija. Visas personas</w:t>
      </w:r>
      <w:r w:rsidR="0007337F">
        <w:t xml:space="preserve"> un kvint</w:t>
      </w:r>
      <w:r w:rsidR="0007337F" w:rsidRPr="00966D80">
        <w:t>iļu grupu griezums</w:t>
      </w:r>
      <w:bookmarkEnd w:id="446"/>
      <w:bookmarkEnd w:id="447"/>
      <w:bookmarkEnd w:id="448"/>
    </w:p>
    <w:p w:rsidR="0007337F" w:rsidRPr="00966D80" w:rsidRDefault="00D07345" w:rsidP="00064C1E">
      <w:pPr>
        <w:rPr>
          <w:b/>
        </w:rPr>
      </w:pPr>
      <w:r w:rsidRPr="00D07345">
        <w:rPr>
          <w:noProof/>
        </w:rPr>
        <w:drawing>
          <wp:inline distT="0" distB="0" distL="0" distR="0">
            <wp:extent cx="6154420" cy="3482106"/>
            <wp:effectExtent l="19050" t="0" r="0" b="0"/>
            <wp:docPr id="142"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5"/>
                    <a:srcRect/>
                    <a:stretch>
                      <a:fillRect/>
                    </a:stretch>
                  </pic:blipFill>
                  <pic:spPr bwMode="auto">
                    <a:xfrm>
                      <a:off x="0" y="0"/>
                      <a:ext cx="6154420" cy="3482106"/>
                    </a:xfrm>
                    <a:prstGeom prst="rect">
                      <a:avLst/>
                    </a:prstGeom>
                    <a:noFill/>
                    <a:ln w="9525">
                      <a:noFill/>
                      <a:miter lim="800000"/>
                      <a:headEnd/>
                      <a:tailEnd/>
                    </a:ln>
                  </pic:spPr>
                </pic:pic>
              </a:graphicData>
            </a:graphic>
          </wp:inline>
        </w:drawing>
      </w:r>
    </w:p>
    <w:p w:rsidR="0007337F" w:rsidRPr="005A62EE" w:rsidRDefault="005A62EE" w:rsidP="00064C1E">
      <w:pPr>
        <w:rPr>
          <w:sz w:val="20"/>
          <w:szCs w:val="20"/>
        </w:rPr>
      </w:pPr>
      <w:r w:rsidRPr="005A62EE">
        <w:rPr>
          <w:sz w:val="20"/>
          <w:szCs w:val="20"/>
        </w:rPr>
        <w:t>Avots: CSP, “MOD17_05. Iedzīvotāju konsultēšanas biežums pie ģimenes (vispārējās prakses) ārsta, medicīnas vai ķirurģijas speciālista, zobārsta, ortodonta vai higiēnista 2017. gadā (%)”.</w:t>
      </w:r>
    </w:p>
    <w:p w:rsidR="005A62EE" w:rsidRDefault="005A62EE" w:rsidP="00064C1E">
      <w:pPr>
        <w:rPr>
          <w:b/>
        </w:rPr>
      </w:pPr>
    </w:p>
    <w:p w:rsidR="0007337F" w:rsidRPr="00966D80" w:rsidRDefault="0007337F" w:rsidP="00064C1E">
      <w:r w:rsidRPr="00966D80">
        <w:t>Pievēršoties datiem</w:t>
      </w:r>
      <w:r w:rsidR="002C1872">
        <w:t>,</w:t>
      </w:r>
      <w:r w:rsidRPr="00966D80">
        <w:t xml:space="preserve"> redzams, ka pēdējo 12 mēnešu laikā 20,1% personu norādīja, ka ne reizi nav apmeklējušas ģimenes ārstu</w:t>
      </w:r>
      <w:r w:rsidR="00072B30">
        <w:t xml:space="preserve"> (</w:t>
      </w:r>
      <w:r w:rsidR="00922A20">
        <w:t>sk.</w:t>
      </w:r>
      <w:r w:rsidR="009049B5">
        <w:t xml:space="preserve"> 2.22</w:t>
      </w:r>
      <w:r w:rsidR="00922A20">
        <w:t>. attēlu</w:t>
      </w:r>
      <w:r w:rsidR="00072B30">
        <w:t>)</w:t>
      </w:r>
      <w:r w:rsidRPr="00966D80">
        <w:t>, kas nozīmē, ka 78,9% šo ģimenes ārstu pēdējo 12 mēnešu laikā bija apmeklējuši. Cita veida speciālisti ir apmeklēti retāk, jo 48,7% norādījuši, ka pēdējos 12 mēnešos nav apmeklējuši ķirurģijas vai medicīnas speciālistu, bet 48,9% norādīja, ka nav apmeklējuši zobārstu, ortodontu vai zobu higiēnistu. Pārrēķinot šos rādītājus, iespējams noteikt, ka 51,3% personu ir apmeklējušas ķirurģijas vai medicīnas speciālistu, bet 51,5%</w:t>
      </w:r>
      <w:r>
        <w:t xml:space="preserve"> – </w:t>
      </w:r>
      <w:r w:rsidRPr="00966D80">
        <w:t>zobārstu, ortodontu vai zobu higiēnistu.</w:t>
      </w:r>
    </w:p>
    <w:p w:rsidR="002C1872" w:rsidRDefault="002C1872" w:rsidP="00064C1E"/>
    <w:p w:rsidR="0007337F" w:rsidRPr="00966D80" w:rsidRDefault="0007337F" w:rsidP="00064C1E">
      <w:r w:rsidRPr="00966D80">
        <w:t>Ienākumu kvintiļu grupās katrā grupās redzamas dažādas situācijas</w:t>
      </w:r>
      <w:r w:rsidR="00072B30">
        <w:t xml:space="preserve"> (</w:t>
      </w:r>
      <w:r w:rsidR="00922A20">
        <w:t xml:space="preserve">sk. </w:t>
      </w:r>
      <w:r w:rsidR="009049B5">
        <w:t>2.22</w:t>
      </w:r>
      <w:r w:rsidR="00922A20">
        <w:t>. attēlu</w:t>
      </w:r>
      <w:r w:rsidR="00072B30">
        <w:t>)</w:t>
      </w:r>
      <w:r w:rsidRPr="00966D80">
        <w:t>. 1</w:t>
      </w:r>
      <w:r>
        <w:t>. kvint</w:t>
      </w:r>
      <w:r w:rsidRPr="00966D80">
        <w:t>iļu grupā redzams, ka 28,2% no šīs grupas mājsaimniecībām 2017</w:t>
      </w:r>
      <w:r>
        <w:t>. gadā</w:t>
      </w:r>
      <w:r w:rsidRPr="00966D80">
        <w:t xml:space="preserve"> ne reizi nav apmeklējušas ģimenes ārstu, 57,</w:t>
      </w:r>
      <w:r w:rsidR="002345A4">
        <w:t>2</w:t>
      </w:r>
      <w:r w:rsidRPr="00966D80">
        <w:t xml:space="preserve">% nav </w:t>
      </w:r>
      <w:r w:rsidR="002345A4">
        <w:t xml:space="preserve">apmeklējušas </w:t>
      </w:r>
      <w:r w:rsidRPr="00966D80">
        <w:t>ķirurģijas vai medicīnas speciālistu, bet 63,3%</w:t>
      </w:r>
      <w:r>
        <w:t xml:space="preserve"> – </w:t>
      </w:r>
      <w:r w:rsidRPr="00966D80">
        <w:t>zobārstu, ortodontu vai zobu higiēnistu. 2</w:t>
      </w:r>
      <w:r>
        <w:t>. kvint</w:t>
      </w:r>
      <w:r w:rsidRPr="00966D80">
        <w:t>iļu grupā, lai gan tendence ir līdzīga kā 1</w:t>
      </w:r>
      <w:r>
        <w:t>. kvint</w:t>
      </w:r>
      <w:r w:rsidRPr="00966D80">
        <w:t>iļu grupā, rādītāji atšķiras, jo 16,7% šīs grupas personu norādījušas, ka 2017</w:t>
      </w:r>
      <w:r>
        <w:t>. gadā</w:t>
      </w:r>
      <w:r w:rsidRPr="00966D80">
        <w:t xml:space="preserve"> ģimenes ārstu</w:t>
      </w:r>
      <w:r w:rsidRPr="00791675">
        <w:t xml:space="preserve"> </w:t>
      </w:r>
      <w:r w:rsidRPr="00966D80">
        <w:t>nav</w:t>
      </w:r>
      <w:r>
        <w:t xml:space="preserve"> apmeklējušas</w:t>
      </w:r>
      <w:r w:rsidRPr="00966D80">
        <w:t>, bet 47,5% nav apmeklējuši ķirurģijas vai medicīnas speciālistu, bet 60,5% nav apmeklējuši zobārstu, ortodontu vai zobu higiēnistu. 3</w:t>
      </w:r>
      <w:r>
        <w:t>. kvint</w:t>
      </w:r>
      <w:r w:rsidRPr="00966D80">
        <w:t>iļu grupa ir pēdējā, kur parādās šāda sadalījuma tendence, jo 18% šīs grupas personas norādīja, ka 2017</w:t>
      </w:r>
      <w:r>
        <w:t>. gadā</w:t>
      </w:r>
      <w:r w:rsidRPr="00966D80">
        <w:t xml:space="preserve"> nav apmeklējuši ģimenes ārstu, 48,7% nav apmeklējuši ķirurģijas vai medicīnas speciālistu, bet 49,6% nav apmeklējuši zobārstu, ortodontu vai zobu higiēnistu.</w:t>
      </w:r>
      <w:r>
        <w:t xml:space="preserve"> </w:t>
      </w:r>
      <w:r w:rsidRPr="00966D80">
        <w:t>4. un 5 kvintiļu grupā redzams, ka ķirurģijas vai medicīnas speciālists 2017</w:t>
      </w:r>
      <w:r>
        <w:t>. gadā</w:t>
      </w:r>
      <w:r w:rsidRPr="00966D80">
        <w:t xml:space="preserve"> nav apmeklēts biežāk nekā zobārsts, ortodonts vai zobu higiēnists. 4</w:t>
      </w:r>
      <w:r>
        <w:t>. kvint</w:t>
      </w:r>
      <w:r w:rsidRPr="00966D80">
        <w:t>iļu grupā 18% nav apmeklējuši ģimenes ārstu, 46,9% ķirurģijas vai medicīnas speciālistu Noslēdzot</w:t>
      </w:r>
      <w:r>
        <w:t xml:space="preserve"> </w:t>
      </w:r>
      <w:r>
        <w:lastRenderedPageBreak/>
        <w:t>apskatu</w:t>
      </w:r>
      <w:r w:rsidRPr="00966D80">
        <w:t xml:space="preserve"> par 5</w:t>
      </w:r>
      <w:r>
        <w:t>. kvint</w:t>
      </w:r>
      <w:r w:rsidRPr="00966D80">
        <w:t>iļu grupu</w:t>
      </w:r>
      <w:r>
        <w:t>,</w:t>
      </w:r>
      <w:r w:rsidRPr="00966D80">
        <w:t xml:space="preserve"> jānorāda, ka šajā kvintiļu grupā ietilpstošās personas 19,5% gadījumu 2017</w:t>
      </w:r>
      <w:r>
        <w:t>. gadā</w:t>
      </w:r>
      <w:r w:rsidRPr="00966D80">
        <w:t xml:space="preserve"> ne reizi neapmeklēja ģimenes ārstu, 30,6% ķirurģijas vai medicīnas speciālistu.</w:t>
      </w:r>
    </w:p>
    <w:p w:rsidR="0007337F" w:rsidRPr="00966D80" w:rsidRDefault="0007337F" w:rsidP="00064C1E"/>
    <w:p w:rsidR="0007337F" w:rsidRPr="00966D80" w:rsidRDefault="0007337F" w:rsidP="00064C1E">
      <w:r w:rsidRPr="0068533F">
        <w:t>Atšķirības redzamas arī citās demogrāfiskajās grupās. 2017. gadā ar ģimenes ārstu ne reizi nekonsultējās 28% vīriešu, bet sievietes to darīja par 14,3</w:t>
      </w:r>
      <w:r w:rsidR="0035269A" w:rsidRPr="0068533F">
        <w:t xml:space="preserve"> procentpunktiem</w:t>
      </w:r>
      <w:r w:rsidRPr="0068533F">
        <w:t xml:space="preserve"> retāk – 13,7% gadījumu,</w:t>
      </w:r>
      <w:r w:rsidRPr="00966D80">
        <w:t xml:space="preserve"> līdz ar to var secināt, ka ģimenes ārstu sievietes apmeklē biežāk. Arī ar citiem speciālistiem sievietes konsultējas biežāk, tā ķirurģijas vai medicīnas speciālistu 2017</w:t>
      </w:r>
      <w:r>
        <w:t>. gadā</w:t>
      </w:r>
      <w:r w:rsidRPr="00966D80">
        <w:t xml:space="preserve"> ne reizi neapmeklēja 56,3% vīriešu, kamēr sievietēm šis rādītājs ir 42,7%, bet zobārsts, ortodonts vai zobu higiēnista apmeklējuma gadījumā šie rādītāji ir attiecīgi 56,3% un 44,9%.</w:t>
      </w:r>
    </w:p>
    <w:p w:rsidR="0007337F" w:rsidRPr="00966D80" w:rsidRDefault="0007337F" w:rsidP="00064C1E"/>
    <w:p w:rsidR="0007337F" w:rsidRPr="00966D80" w:rsidRDefault="0007337F" w:rsidP="00064C1E">
      <w:r w:rsidRPr="00966D80">
        <w:t>Vecuma grupu griezumā rādītājiem ir iespējams novērot noteiktas tendences. Pirmā tendence</w:t>
      </w:r>
      <w:r>
        <w:t xml:space="preserve"> – </w:t>
      </w:r>
      <w:r w:rsidRPr="00966D80">
        <w:t>cilvēkam paliekot vecākam</w:t>
      </w:r>
      <w:r>
        <w:t>,</w:t>
      </w:r>
      <w:r w:rsidRPr="00966D80">
        <w:t xml:space="preserve"> tas biežāk apmeklē ģimenes ārstu. </w:t>
      </w:r>
      <w:r>
        <w:t>Apskatot datus,</w:t>
      </w:r>
      <w:r w:rsidRPr="00966D80">
        <w:t xml:space="preserve"> </w:t>
      </w:r>
      <w:r>
        <w:t>secināms</w:t>
      </w:r>
      <w:r w:rsidRPr="00966D80">
        <w:t>, ka vecuma grupā</w:t>
      </w:r>
      <w:r>
        <w:t xml:space="preserve"> no 16 līdz </w:t>
      </w:r>
      <w:r w:rsidRPr="00966D80">
        <w:t>24</w:t>
      </w:r>
      <w:r>
        <w:t xml:space="preserve"> gadiem</w:t>
      </w:r>
      <w:r w:rsidRPr="00966D80">
        <w:t xml:space="preserve"> ģimenes ārstu 2017</w:t>
      </w:r>
      <w:r>
        <w:t>. gadā</w:t>
      </w:r>
      <w:r w:rsidRPr="00966D80">
        <w:t xml:space="preserve"> ne reizi nepameklēja 27,9% personu, taču ar katru </w:t>
      </w:r>
      <w:r>
        <w:t>nākamo</w:t>
      </w:r>
      <w:r w:rsidRPr="00966D80">
        <w:t xml:space="preserve"> vecuma grupu, šis rādītājs krīt</w:t>
      </w:r>
      <w:r>
        <w:t>as,</w:t>
      </w:r>
      <w:r w:rsidRPr="00966D80">
        <w:t xml:space="preserve"> un no vecuma, kurā iekļautas personas, kurām ir 65 un vairāk gad</w:t>
      </w:r>
      <w:r>
        <w:t>u,</w:t>
      </w:r>
      <w:r w:rsidRPr="00966D80">
        <w:t xml:space="preserve"> 11,8% 2017</w:t>
      </w:r>
      <w:r>
        <w:t>. gadā</w:t>
      </w:r>
      <w:r w:rsidRPr="00966D80">
        <w:t xml:space="preserve"> ne reizi neapmeklēja ģimenes ārstu. Medicīnas vai ķirurģijas speciālist</w:t>
      </w:r>
      <w:r>
        <w:t>u</w:t>
      </w:r>
      <w:r w:rsidRPr="00966D80">
        <w:t xml:space="preserve"> apmeklēšanas gadījumā situācija ir līdzīga, jo vecuma grupā</w:t>
      </w:r>
      <w:r>
        <w:t xml:space="preserve"> no 16 līdz </w:t>
      </w:r>
      <w:r w:rsidRPr="00966D80">
        <w:t>24 gadi</w:t>
      </w:r>
      <w:r>
        <w:t>em</w:t>
      </w:r>
      <w:r w:rsidRPr="00966D80">
        <w:t xml:space="preserve"> šo speciālistu ne reizi neapmeklēja 62,7% personu, bet</w:t>
      </w:r>
      <w:r>
        <w:t>,</w:t>
      </w:r>
      <w:r w:rsidRPr="00966D80">
        <w:t xml:space="preserve"> </w:t>
      </w:r>
      <w:r>
        <w:t>pieaugot</w:t>
      </w:r>
      <w:r w:rsidRPr="00966D80">
        <w:t xml:space="preserve"> vecumam, pieaug arī to personu skaits, kas šādu speciālistu apmeklē, tas pierādās, jo vecuma grupā 65 un vairāk gad</w:t>
      </w:r>
      <w:r>
        <w:t>u</w:t>
      </w:r>
      <w:r w:rsidRPr="00966D80">
        <w:t xml:space="preserve"> šādu speciālistu nav apmeklējuši 40,1% personu. Zobārsta, ortodonta vai zobu higiēnista apmeklēšanas gadījumā tendence ir pretēja, proti, jo jaunāks cilvēks, jo šis speciālists apmeklēts biežāk. Vecuma grupā </w:t>
      </w:r>
      <w:r>
        <w:t xml:space="preserve">no </w:t>
      </w:r>
      <w:r w:rsidRPr="00966D80">
        <w:t>16</w:t>
      </w:r>
      <w:r>
        <w:t xml:space="preserve"> līdz </w:t>
      </w:r>
      <w:r w:rsidRPr="00966D80">
        <w:t>24 gadi</w:t>
      </w:r>
      <w:r>
        <w:t>em</w:t>
      </w:r>
      <w:r w:rsidRPr="00966D80">
        <w:t xml:space="preserve"> zobārstu, ortodontu vai zobu higiēnistu 2017.</w:t>
      </w:r>
      <w:r>
        <w:t> </w:t>
      </w:r>
      <w:r w:rsidRPr="00966D80">
        <w:t>gadā ne reizi neapmeklēja 37,6% personu, kamēr vecākajā vecuma grupā</w:t>
      </w:r>
      <w:r>
        <w:t xml:space="preserve"> – </w:t>
      </w:r>
      <w:r w:rsidRPr="00966D80">
        <w:t>65 un vairāk gad</w:t>
      </w:r>
      <w:r>
        <w:t xml:space="preserve">u – </w:t>
      </w:r>
      <w:r w:rsidRPr="00966D80">
        <w:t>šis rādītājs ir 67.9%.</w:t>
      </w:r>
    </w:p>
    <w:p w:rsidR="0007337F" w:rsidRPr="00966D80" w:rsidRDefault="0007337F" w:rsidP="00064C1E"/>
    <w:p w:rsidR="0007337F" w:rsidRPr="00966D80" w:rsidRDefault="0007337F" w:rsidP="00064C1E">
      <w:r w:rsidRPr="00966D80">
        <w:t>Nav redzamas izteiktas atšķirības starp ģimenes ārsta apmeklēšanu starp laukos un pilsētās dzīvojošām personām. Ķirurģijas vai medicīnas speciālistu 2017</w:t>
      </w:r>
      <w:r>
        <w:t>. gadā</w:t>
      </w:r>
      <w:r w:rsidRPr="00966D80">
        <w:t xml:space="preserve"> ne reizi nav apmeklējuši 45,3% personu, kuras dzīvo pilsētās, bet laukos šis rādītājs ir 56,1%. Zobārsta, ortodonta vai zobu higiēnista apmeklēšanas gadījumā laukos dzīvojošās personas šo speciālistu ir apmeklējušas retāk, jo </w:t>
      </w:r>
      <w:r w:rsidRPr="000E18CF">
        <w:t>46,2% pilsētu mājsaimniecību 2017. gadā ne reizi nav apmeklējušas zobārstu, ortodontu vai zobu higiēnistu, bet lauku mājsaimniecībās šis rādītājs ir 54,7%.</w:t>
      </w:r>
      <w:r w:rsidR="00034C86" w:rsidRPr="000E18CF">
        <w:t xml:space="preserve"> </w:t>
      </w:r>
      <w:r w:rsidR="00B63385" w:rsidRPr="000E18CF">
        <w:t>P</w:t>
      </w:r>
      <w:r w:rsidR="00034C86" w:rsidRPr="000E18CF">
        <w:t xml:space="preserve">ieņemot, ka kopumā vajadzība pēc noteikta veida </w:t>
      </w:r>
      <w:r w:rsidR="00B63385" w:rsidRPr="000E18CF">
        <w:t xml:space="preserve">veselības aprūpes </w:t>
      </w:r>
      <w:r w:rsidR="00034C86" w:rsidRPr="000E18CF">
        <w:t>pakalpojumiem lielās sociāli demogrāfiskajās grupās ir samērā līdzīga</w:t>
      </w:r>
      <w:r w:rsidR="00B63385" w:rsidRPr="000E18CF">
        <w:t xml:space="preserve">, tas, ka pilsētu un lauku griezumā </w:t>
      </w:r>
      <w:r w:rsidR="00034C86" w:rsidRPr="000E18CF">
        <w:t>pastāv atšķirības</w:t>
      </w:r>
      <w:r w:rsidR="000E18CF" w:rsidRPr="000E18CF">
        <w:t xml:space="preserve"> ārstu speciālistu un zobārstu apmeklējumā</w:t>
      </w:r>
      <w:r w:rsidR="00034C86" w:rsidRPr="000E18CF">
        <w:t xml:space="preserve">, ir iemesls </w:t>
      </w:r>
      <w:r w:rsidR="000E18CF" w:rsidRPr="000E18CF">
        <w:t>uzskatīt, ka šajā jomā lauku iedzīvotāji atrodas nevienlīdzīgākā situācijā attiecībā pret pilsētu iedzīvotājiem</w:t>
      </w:r>
      <w:r w:rsidR="00034C86" w:rsidRPr="000E18CF">
        <w:t>.</w:t>
      </w:r>
    </w:p>
    <w:p w:rsidR="0007337F" w:rsidRPr="00966D80" w:rsidRDefault="0007337F" w:rsidP="00064C1E"/>
    <w:p w:rsidR="0007337F" w:rsidRPr="00966D80" w:rsidRDefault="0007337F" w:rsidP="00064C1E">
      <w:r w:rsidRPr="00966D80">
        <w:t>Nav redzamas izteiktas atšķirības starp ģimenes ārsta apmeklēšanu starp dažādos reģionos dzīvojošām personām. Reģionu griezumā parādās izteiktas atšķirības starp Rīgu un pārējiem reģioniem. Ja 2017</w:t>
      </w:r>
      <w:r>
        <w:t>. gadā</w:t>
      </w:r>
      <w:r w:rsidRPr="00966D80">
        <w:t xml:space="preserve"> 38,9% Rīgā dzīvojošās personas ne reizi neapmeklēja ģimenes ārstu, tad citos reģionos šie rādītāji ir augstāki. Zemgales reģionā, šis rādītājs ir 45,9% Vidzemes</w:t>
      </w:r>
      <w:r w:rsidR="002345A4">
        <w:t xml:space="preserve"> reģionā</w:t>
      </w:r>
      <w:r w:rsidRPr="00966D80">
        <w:t xml:space="preserve"> šis rādītājs ir 48,7%, bet pārējos reģionos vairāk nekā puse iedzīvotāju 2017</w:t>
      </w:r>
      <w:r>
        <w:t>. gadā</w:t>
      </w:r>
      <w:r w:rsidRPr="00966D80">
        <w:t xml:space="preserve"> ne reizi nav apmeklējuši medicīnas vai ķirurģijas speciālistu</w:t>
      </w:r>
      <w:r>
        <w:t xml:space="preserve"> – </w:t>
      </w:r>
      <w:r w:rsidRPr="00966D80">
        <w:t>Latgales reģionā šis rādītājs ir 52</w:t>
      </w:r>
      <w:r w:rsidR="002345A4">
        <w:t>,0%</w:t>
      </w:r>
      <w:r w:rsidRPr="00966D80">
        <w:t>, Pierīgas reģionā</w:t>
      </w:r>
      <w:r>
        <w:t xml:space="preserve"> – </w:t>
      </w:r>
      <w:r w:rsidRPr="00966D80">
        <w:t xml:space="preserve">54,2%, bet Kurzemes reģionā 65,7%. Atšķirības starp reģioniem ir mazāk izteiktas gadījumos, ja </w:t>
      </w:r>
      <w:r>
        <w:t>apskatīti</w:t>
      </w:r>
      <w:r w:rsidRPr="00966D80">
        <w:t xml:space="preserve"> dati</w:t>
      </w:r>
      <w:r>
        <w:t>,</w:t>
      </w:r>
      <w:r w:rsidRPr="00966D80">
        <w:t xml:space="preserve"> </w:t>
      </w:r>
      <w:r>
        <w:t>kas</w:t>
      </w:r>
      <w:r w:rsidRPr="00966D80">
        <w:t xml:space="preserve"> parāda, ka ne reizi nav apmeklēts zobārsts, ortodonts vai zobu higiēnists. Rīgas reģionā šādu atbildi sniegušas 44,9% no visām personām, Kurzemes reģionā</w:t>
      </w:r>
      <w:r>
        <w:t xml:space="preserve"> – </w:t>
      </w:r>
      <w:r w:rsidRPr="00966D80">
        <w:t>46,1%, Pierīgas reģionā</w:t>
      </w:r>
      <w:r>
        <w:t xml:space="preserve"> – </w:t>
      </w:r>
      <w:r w:rsidRPr="00966D80">
        <w:t>48,1%, bet pārējos reģionos vairāk nekā puse iedzīvotāju 2017</w:t>
      </w:r>
      <w:r>
        <w:t>. gadā</w:t>
      </w:r>
      <w:r w:rsidRPr="00966D80">
        <w:t xml:space="preserve"> ne </w:t>
      </w:r>
      <w:r w:rsidRPr="00966D80">
        <w:lastRenderedPageBreak/>
        <w:t>reizi nav apmeklējuši zobārstu, ortodontu vai zobu higiēnistu. Vidzemes un Zemgales reģionos šis rādītājs ir attiecīgi 51,4% un 51,8%, bet Latgales reģionā</w:t>
      </w:r>
      <w:r>
        <w:t xml:space="preserve"> – </w:t>
      </w:r>
      <w:r w:rsidRPr="00966D80">
        <w:t>57,4%.</w:t>
      </w:r>
    </w:p>
    <w:p w:rsidR="000E18CF" w:rsidRDefault="000E18CF" w:rsidP="00064C1E"/>
    <w:p w:rsidR="0007337F" w:rsidRPr="00966D80" w:rsidRDefault="0007337F" w:rsidP="00064C1E">
      <w:r w:rsidRPr="00966D80">
        <w:t>Skatoties izglītības dalījum</w:t>
      </w:r>
      <w:r>
        <w:t>u</w:t>
      </w:r>
      <w:r w:rsidRPr="00966D80">
        <w:t>, redzams, ka personas ar pamatizglītību 24,8% gadījumu 2017</w:t>
      </w:r>
      <w:r>
        <w:t>. gadā</w:t>
      </w:r>
      <w:r w:rsidRPr="00966D80">
        <w:t xml:space="preserve"> ne reizi nav apmeklējušas ģimenes ārstu</w:t>
      </w:r>
      <w:r w:rsidR="00DF2E45">
        <w:t>.</w:t>
      </w:r>
      <w:r w:rsidRPr="00966D80">
        <w:t xml:space="preserve"> </w:t>
      </w:r>
      <w:r w:rsidR="00DF2E45">
        <w:t>G</w:t>
      </w:r>
      <w:r w:rsidRPr="00966D80">
        <w:t>rupā, kurā ietvertas personas ar vidējo izglītību, šis rādītājs ir 19,9%, bet grupā ar augstāko izglītību</w:t>
      </w:r>
      <w:r>
        <w:t xml:space="preserve"> – </w:t>
      </w:r>
      <w:r w:rsidRPr="00966D80">
        <w:t>17,3%. Medicīnas vai ķirurģijas speciālista apmeklējuma gadījumā tendence ir līdzīga</w:t>
      </w:r>
      <w:r>
        <w:t>:</w:t>
      </w:r>
      <w:r w:rsidRPr="00966D80">
        <w:t xml:space="preserve"> personas ar pamatizglītību 57,5% gadījumu 2017</w:t>
      </w:r>
      <w:r>
        <w:t>. gadā</w:t>
      </w:r>
      <w:r w:rsidRPr="00966D80">
        <w:t xml:space="preserve"> ne reizi nav apmeklējušas medicīnas vai ķirurģijas speciālistu</w:t>
      </w:r>
      <w:r w:rsidR="004340B4">
        <w:t>.</w:t>
      </w:r>
      <w:r w:rsidRPr="00966D80">
        <w:t xml:space="preserve"> </w:t>
      </w:r>
      <w:r w:rsidR="004340B4">
        <w:t>G</w:t>
      </w:r>
      <w:r w:rsidRPr="00966D80">
        <w:t>rupā, kurā ietvertas personas ar vidējo izglītību, šis rādītājs ir 49,9%, bet grupā, kurā ietvertas personas ar augstāko izglītību</w:t>
      </w:r>
      <w:r>
        <w:t>,</w:t>
      </w:r>
      <w:r w:rsidRPr="00966D80">
        <w:t xml:space="preserve"> šis </w:t>
      </w:r>
      <w:r>
        <w:t>rādītājs</w:t>
      </w:r>
      <w:r w:rsidRPr="00966D80">
        <w:t xml:space="preserve"> ir viszemākais</w:t>
      </w:r>
      <w:r>
        <w:t xml:space="preserve"> – </w:t>
      </w:r>
      <w:r w:rsidRPr="00966D80">
        <w:t xml:space="preserve">40,7%. Arī </w:t>
      </w:r>
      <w:r w:rsidR="00DB0146">
        <w:t xml:space="preserve">datos par </w:t>
      </w:r>
      <w:r w:rsidRPr="00966D80">
        <w:t xml:space="preserve">zobārsta, ortodonta vai zobu higiēnista apmeklējuma </w:t>
      </w:r>
      <w:r w:rsidR="00DB0146">
        <w:t>trūkumu</w:t>
      </w:r>
      <w:r w:rsidRPr="00966D80">
        <w:t xml:space="preserve"> tendence ir </w:t>
      </w:r>
      <w:r w:rsidR="00DB0146">
        <w:t>līdzīga:</w:t>
      </w:r>
      <w:r w:rsidRPr="00966D80">
        <w:t xml:space="preserve"> 65,4%  person</w:t>
      </w:r>
      <w:r w:rsidR="00DB0146">
        <w:t>u</w:t>
      </w:r>
      <w:r w:rsidRPr="00966D80">
        <w:t>, kurām pamatskolas vai zemāka izglītība</w:t>
      </w:r>
      <w:r w:rsidR="00DB0146">
        <w:t>,</w:t>
      </w:r>
      <w:r w:rsidRPr="00966D80">
        <w:t xml:space="preserve"> 2017</w:t>
      </w:r>
      <w:r>
        <w:t>. gadā</w:t>
      </w:r>
      <w:r w:rsidRPr="00966D80">
        <w:t xml:space="preserve"> ne reizi nav apmeklējušas zobārstu, ortodontu vai zobu higiēnistu. </w:t>
      </w:r>
      <w:r w:rsidR="00DB0146">
        <w:t>P</w:t>
      </w:r>
      <w:r w:rsidRPr="00966D80">
        <w:t xml:space="preserve">ersonas ar vidējo izglītību </w:t>
      </w:r>
      <w:r w:rsidR="00DB0146" w:rsidRPr="00966D80">
        <w:t>zobārst</w:t>
      </w:r>
      <w:r w:rsidR="00DB0146">
        <w:t>u</w:t>
      </w:r>
      <w:r w:rsidR="00DB0146" w:rsidRPr="00966D80">
        <w:t>, ortodont</w:t>
      </w:r>
      <w:r w:rsidR="00DB0146">
        <w:t>u</w:t>
      </w:r>
      <w:r w:rsidR="00DB0146" w:rsidRPr="00966D80">
        <w:t xml:space="preserve"> vai zobu higiēnist</w:t>
      </w:r>
      <w:r w:rsidR="00DB0146">
        <w:t>u nav apmeklējušas</w:t>
      </w:r>
      <w:r w:rsidR="00DB0146" w:rsidRPr="00966D80">
        <w:t xml:space="preserve"> </w:t>
      </w:r>
      <w:r w:rsidRPr="00966D80">
        <w:t>41,4%, bet ar augstāko</w:t>
      </w:r>
      <w:r>
        <w:t xml:space="preserve"> – </w:t>
      </w:r>
      <w:r w:rsidRPr="00966D80">
        <w:t>33,3%</w:t>
      </w:r>
      <w:r w:rsidR="00DB0146">
        <w:t xml:space="preserve"> gadījumu</w:t>
      </w:r>
      <w:r w:rsidRPr="00966D80">
        <w:t>.</w:t>
      </w:r>
    </w:p>
    <w:p w:rsidR="0007337F" w:rsidRPr="00966D80" w:rsidRDefault="0007337F" w:rsidP="00064C1E"/>
    <w:p w:rsidR="0007337F" w:rsidRDefault="0007337F" w:rsidP="00064C1E">
      <w:r w:rsidRPr="00966D80">
        <w:t>Nav redzamas izteiktas atšķirības starp ģimenes ārsta apmeklēšanu un personu atrašanos virs vai zem nabadzības riska sliekšņa. Tāpat nav redzamas</w:t>
      </w:r>
      <w:r w:rsidR="00DB0146">
        <w:t xml:space="preserve"> saistības starp</w:t>
      </w:r>
      <w:r w:rsidRPr="00966D80">
        <w:t xml:space="preserve"> medicīnas vai ķirurģijas speciālista apmeklēšanu un personu atrašanos virs vai zem nabadzības riska sliekšņa. 25,4% atšķirība gan ir konstatēta, ja tiek pētīt</w:t>
      </w:r>
      <w:r w:rsidR="004340B4">
        <w:t>i</w:t>
      </w:r>
      <w:r w:rsidRPr="00966D80">
        <w:t xml:space="preserve"> dati starp zobārsta, ortodonta vai zobu higiēnista apmeklēšanu un personu atrašanos virs vai zem nabadzības riska sliekšņa. 2017</w:t>
      </w:r>
      <w:r>
        <w:t>. gadā</w:t>
      </w:r>
      <w:r w:rsidRPr="00966D80">
        <w:t xml:space="preserve"> 68,4% personas, kuras atrodas zem nabadzības riska sliekšņa</w:t>
      </w:r>
      <w:r>
        <w:t>,</w:t>
      </w:r>
      <w:r w:rsidRPr="00966D80">
        <w:t xml:space="preserve"> norādīja, ka ne reizi nav apmeklējušas zobārstu, ortodontu vai zobu higiēnistu, tajā pašā laikā gadījumos, kad persona atrodas virs nabadzības riska sliekšņa, šis rādītājs ir 43%.</w:t>
      </w:r>
    </w:p>
    <w:p w:rsidR="00273948" w:rsidRDefault="00AD3EDD" w:rsidP="00F13B93">
      <w:pPr>
        <w:pStyle w:val="Caption"/>
      </w:pPr>
      <w:r>
        <w:fldChar w:fldCharType="begin"/>
      </w:r>
      <w:r w:rsidR="000F1524">
        <w:instrText xml:space="preserve"> STYLEREF 1 \s </w:instrText>
      </w:r>
      <w:r>
        <w:fldChar w:fldCharType="separate"/>
      </w:r>
      <w:bookmarkStart w:id="449" w:name="_Toc6855811"/>
      <w:r w:rsidR="00224B50">
        <w:rPr>
          <w:noProof/>
        </w:rPr>
        <w:t>2</w:t>
      </w:r>
      <w:r>
        <w:rPr>
          <w:noProof/>
        </w:rPr>
        <w:fldChar w:fldCharType="end"/>
      </w:r>
      <w:r w:rsidR="006B5456" w:rsidRPr="00C22247">
        <w:t>.</w:t>
      </w:r>
      <w:r>
        <w:fldChar w:fldCharType="begin"/>
      </w:r>
      <w:r w:rsidR="000F1524">
        <w:instrText xml:space="preserve"> SEQ Ilustrācija \* ARABIC \s 1 </w:instrText>
      </w:r>
      <w:r>
        <w:fldChar w:fldCharType="separate"/>
      </w:r>
      <w:r w:rsidR="00224B50">
        <w:rPr>
          <w:noProof/>
        </w:rPr>
        <w:t>23</w:t>
      </w:r>
      <w:r>
        <w:rPr>
          <w:noProof/>
        </w:rPr>
        <w:fldChar w:fldCharType="end"/>
      </w:r>
      <w:r w:rsidR="006346F4">
        <w:t>. attēls. Pacientu t</w:t>
      </w:r>
      <w:r w:rsidR="00273948" w:rsidRPr="00C22247">
        <w:t>iešmaksājumu</w:t>
      </w:r>
      <w:r w:rsidR="00D40A23" w:rsidRPr="00C22247">
        <w:t xml:space="preserve"> īpatsvars</w:t>
      </w:r>
      <w:r w:rsidR="006346F4">
        <w:t xml:space="preserve"> veselības aprūpes izdevumu struktūrā (procentos)</w:t>
      </w:r>
      <w:bookmarkEnd w:id="449"/>
    </w:p>
    <w:p w:rsidR="00DD5104" w:rsidRDefault="00DD5104" w:rsidP="00DD5104">
      <w:pPr>
        <w:jc w:val="center"/>
        <w:rPr>
          <w:sz w:val="20"/>
          <w:szCs w:val="20"/>
        </w:rPr>
      </w:pPr>
      <w:r w:rsidRPr="00DD5104">
        <w:rPr>
          <w:noProof/>
        </w:rPr>
        <w:drawing>
          <wp:inline distT="0" distB="0" distL="0" distR="0">
            <wp:extent cx="4886325" cy="1885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6325" cy="1885950"/>
                    </a:xfrm>
                    <a:prstGeom prst="rect">
                      <a:avLst/>
                    </a:prstGeom>
                    <a:noFill/>
                    <a:ln>
                      <a:noFill/>
                    </a:ln>
                  </pic:spPr>
                </pic:pic>
              </a:graphicData>
            </a:graphic>
          </wp:inline>
        </w:drawing>
      </w:r>
    </w:p>
    <w:p w:rsidR="006346F4" w:rsidRPr="004056E0" w:rsidRDefault="006346F4" w:rsidP="00064C1E">
      <w:pPr>
        <w:rPr>
          <w:sz w:val="20"/>
          <w:szCs w:val="20"/>
        </w:rPr>
      </w:pPr>
      <w:r w:rsidRPr="004056E0">
        <w:rPr>
          <w:sz w:val="20"/>
          <w:szCs w:val="20"/>
        </w:rPr>
        <w:t>Avots:</w:t>
      </w:r>
      <w:r w:rsidR="004056E0" w:rsidRPr="004056E0">
        <w:rPr>
          <w:sz w:val="20"/>
          <w:szCs w:val="20"/>
        </w:rPr>
        <w:t xml:space="preserve"> Eurostat, Out-of-pocket expenditure on healthcare. Pieejams: https://ec.europa.eu/eurostat/web/products-datasets/product?code=tepsr_sp310</w:t>
      </w:r>
    </w:p>
    <w:p w:rsidR="006346F4" w:rsidRPr="00D23C24" w:rsidRDefault="006346F4" w:rsidP="00064C1E"/>
    <w:p w:rsidR="00DD5104" w:rsidRPr="00D23C24" w:rsidRDefault="00DD5104" w:rsidP="00064C1E">
      <w:r w:rsidRPr="00D23C24">
        <w:t>Iepriekšējos attēlos aplūkoto iedzīvotāju izjusto finansiālo slogu veselības aprūpes pakalpojumu jomā raksturo pacientu tiešmaksājumu īpatsvars veselības aprūpes izdevumu struktūrā (sk. 2.23. attēls), kurš ir viens no būtiskākajiem rādītājiem, ko, veicot Latvijas veselības aprūpes sistēmas izvērtējumos,</w:t>
      </w:r>
      <w:r w:rsidR="00D23C24" w:rsidRPr="00D23C24">
        <w:t xml:space="preserve"> aplūko starptautiskie eksperti (sk. piemēram, 2.1.3. nodaļu par Pasaules Bankas veikto izvērtējumu un OECD ziņojumu par Latvijas veselības aprūpes sistēmas izvērtējumu) un kura samazināšana ir noteikta par Latvijas veselības aprūpes sistēmas reformas mērķi (sk. sīkāk 2.2.2. </w:t>
      </w:r>
      <w:r w:rsidR="00D23C24" w:rsidRPr="00D23C24">
        <w:lastRenderedPageBreak/>
        <w:t>nodaļu).</w:t>
      </w:r>
      <w:r w:rsidR="00D23C24">
        <w:t xml:space="preserve"> Pacientu/ mājsaimniecību tiešmaksājumu (</w:t>
      </w:r>
      <w:r w:rsidR="00D23C24" w:rsidRPr="00D23C24">
        <w:rPr>
          <w:i/>
        </w:rPr>
        <w:t>household out-of-pocket payment</w:t>
      </w:r>
      <w:r w:rsidR="00D23C24">
        <w:t xml:space="preserve">) raksturošanai ir izmantoti </w:t>
      </w:r>
      <w:r w:rsidR="00D23C24" w:rsidRPr="00D23C24">
        <w:rPr>
          <w:i/>
        </w:rPr>
        <w:t>Eurostat</w:t>
      </w:r>
      <w:r w:rsidR="00D23C24">
        <w:t xml:space="preserve"> veiktie aprēķini, un tie iekļauj tiešos maksājumus par veselības aprūpes precēm un pakalpojumiem, kas tiek veikti no mājsaimniecības ienākumiem vai uzkrājumiem. Atbilstoši definīcijai pie tiešmaksājumiem pieder </w:t>
      </w:r>
      <w:r w:rsidR="008E6527">
        <w:t xml:space="preserve">pacienta līdzmaksājums, </w:t>
      </w:r>
      <w:r w:rsidR="00D23C24">
        <w:t>veselības aprūpes pakalpojumu izmantošanas izmaksas privātajā sektorā un izdevumi par zāļu un medicīnas preču iegādi. Kā redzams 2.23. attēlā pacientu tiešmaksājumu īpatsvars Latvijā kopš 2013. gada ir pakāpeniski pieaudzis no 38,5% līdz 44,6% 2016. gadā, t.i., kopumā par 6,1 procentpunktu. Šī Izvērtējuma izstrādes laikā pēdējais gads, par kuru bija pieejama informācija ir 2016. gads, t.i., laiks pirms VM uzsāka aktīvu reformu īstenošanu veselības aprūpes jomā (sk. 2.2.2. nodaļu), tādējādi īstenoto pasākumu efekts uz mājsaimniecību tiešmaksājumu īpatsvaru pēc 2016. gada</w:t>
      </w:r>
      <w:r w:rsidR="00FC17ED">
        <w:t xml:space="preserve"> vēl nav zināms. Tomēr īstenoto reformu raksturs, kas paredz ieguldījumu rindu garuma samazināšanā, taču ir samērā ierobežots attiecībā uz kompensējamo medikamentu klāsta pieejamības nabadzīgākajām iedzīvotāju grupām paplašināšanu, var nedot acīmredzamu strauju tiešmaksājumu īpatsvara sam</w:t>
      </w:r>
      <w:r w:rsidR="00C548CE">
        <w:t>a</w:t>
      </w:r>
      <w:r w:rsidR="00FC17ED">
        <w:t>zināšanos, jo nozīmīgu slogu mājsaimniecībām, kā rāda šajā nodaļā iepriekš aplūkotā informācija, rada tieši zāļu iegāde.</w:t>
      </w:r>
    </w:p>
    <w:bookmarkStart w:id="450" w:name="_Ref6495971"/>
    <w:bookmarkStart w:id="451" w:name="_Toc6219216"/>
    <w:bookmarkStart w:id="452" w:name="_Toc6220159"/>
    <w:p w:rsidR="0007337F" w:rsidRPr="00966D80" w:rsidRDefault="00AD3EDD" w:rsidP="00F13B93">
      <w:pPr>
        <w:pStyle w:val="Caption"/>
      </w:pPr>
      <w:r>
        <w:fldChar w:fldCharType="begin"/>
      </w:r>
      <w:r w:rsidR="006B5456">
        <w:instrText xml:space="preserve"> STYLEREF 1 \s </w:instrText>
      </w:r>
      <w:r>
        <w:fldChar w:fldCharType="separate"/>
      </w:r>
      <w:bookmarkStart w:id="453" w:name="_Toc6855812"/>
      <w:r w:rsidR="00224B50">
        <w:rPr>
          <w:noProof/>
        </w:rPr>
        <w:t>2</w:t>
      </w:r>
      <w:r>
        <w:fldChar w:fldCharType="end"/>
      </w:r>
      <w:r w:rsidR="006B5456">
        <w:t>.</w:t>
      </w:r>
      <w:r>
        <w:fldChar w:fldCharType="begin"/>
      </w:r>
      <w:r w:rsidR="000F1524">
        <w:instrText xml:space="preserve"> SEQ Ilustrācija \* ARABIC \s 1 </w:instrText>
      </w:r>
      <w:r>
        <w:fldChar w:fldCharType="separate"/>
      </w:r>
      <w:r w:rsidR="00224B50">
        <w:rPr>
          <w:noProof/>
        </w:rPr>
        <w:t>24</w:t>
      </w:r>
      <w:r>
        <w:rPr>
          <w:noProof/>
        </w:rPr>
        <w:fldChar w:fldCharType="end"/>
      </w:r>
      <w:bookmarkEnd w:id="450"/>
      <w:r w:rsidR="001704FA">
        <w:t xml:space="preserve">. attēls. </w:t>
      </w:r>
      <w:r w:rsidR="0007337F" w:rsidRPr="00966D80">
        <w:t>Iedzīvotāju ķermeņa masas indekss (ĶMI) 2017</w:t>
      </w:r>
      <w:r w:rsidR="0007337F">
        <w:t>. gadā</w:t>
      </w:r>
      <w:r w:rsidR="0007337F" w:rsidRPr="00966D80">
        <w:t xml:space="preserve"> (%). Visas personas</w:t>
      </w:r>
      <w:r w:rsidR="0007337F">
        <w:t xml:space="preserve"> un</w:t>
      </w:r>
      <w:r w:rsidR="0007337F" w:rsidRPr="00966D80">
        <w:t xml:space="preserve"> vecuma grupu griezums</w:t>
      </w:r>
      <w:bookmarkEnd w:id="451"/>
      <w:bookmarkEnd w:id="452"/>
      <w:bookmarkEnd w:id="453"/>
    </w:p>
    <w:p w:rsidR="0007337F" w:rsidRPr="00966D80" w:rsidRDefault="00D07345" w:rsidP="00064C1E">
      <w:pPr>
        <w:rPr>
          <w:b/>
        </w:rPr>
      </w:pPr>
      <w:r w:rsidRPr="00D07345">
        <w:rPr>
          <w:noProof/>
        </w:rPr>
        <w:drawing>
          <wp:inline distT="0" distB="0" distL="0" distR="0">
            <wp:extent cx="6154420" cy="3539481"/>
            <wp:effectExtent l="19050" t="0" r="0" b="0"/>
            <wp:docPr id="144"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7"/>
                    <a:srcRect/>
                    <a:stretch>
                      <a:fillRect/>
                    </a:stretch>
                  </pic:blipFill>
                  <pic:spPr bwMode="auto">
                    <a:xfrm>
                      <a:off x="0" y="0"/>
                      <a:ext cx="6154420" cy="3539481"/>
                    </a:xfrm>
                    <a:prstGeom prst="rect">
                      <a:avLst/>
                    </a:prstGeom>
                    <a:noFill/>
                    <a:ln w="9525">
                      <a:noFill/>
                      <a:miter lim="800000"/>
                      <a:headEnd/>
                      <a:tailEnd/>
                    </a:ln>
                  </pic:spPr>
                </pic:pic>
              </a:graphicData>
            </a:graphic>
          </wp:inline>
        </w:drawing>
      </w:r>
    </w:p>
    <w:p w:rsidR="0007337F" w:rsidRPr="005A62EE" w:rsidRDefault="005A62EE" w:rsidP="00C33A64">
      <w:pPr>
        <w:pStyle w:val="avotiemft10"/>
      </w:pPr>
      <w:bookmarkStart w:id="454" w:name="_Toc6841579"/>
      <w:r w:rsidRPr="005A62EE">
        <w:t>Avots: CSP, “MOD17_07. Iedzīvotāju ķermeņa masas indekss (ĶMI) 2017. gadā (%)”.</w:t>
      </w:r>
      <w:bookmarkEnd w:id="454"/>
    </w:p>
    <w:p w:rsidR="005A62EE" w:rsidRDefault="005A62EE" w:rsidP="00064C1E"/>
    <w:p w:rsidR="0007337F" w:rsidRPr="00966D80" w:rsidRDefault="001704FA" w:rsidP="00064C1E">
      <w:r w:rsidRPr="00966D80">
        <w:t>Datu apraksta turpinājumā apskatīti dati par ķermeņa masas indeksu</w:t>
      </w:r>
      <w:r>
        <w:t>, kas arī ir viens no iedzīvotāju veselību raksturojošiem parametriem, turklāt palielināts ĶMI netieši norāda uz dažādu saslimšanu pieauguma risku</w:t>
      </w:r>
      <w:r w:rsidRPr="00966D80">
        <w:t>.</w:t>
      </w:r>
      <w:r>
        <w:t xml:space="preserve"> </w:t>
      </w:r>
      <w:r w:rsidR="0007337F" w:rsidRPr="00966D80">
        <w:t>2017</w:t>
      </w:r>
      <w:r w:rsidR="0007337F">
        <w:t>. gadā</w:t>
      </w:r>
      <w:r w:rsidR="0007337F" w:rsidRPr="00966D80">
        <w:t xml:space="preserve"> redzama situācija, ka 38,8% no visām personām, kura</w:t>
      </w:r>
      <w:r w:rsidR="0007337F">
        <w:t>s</w:t>
      </w:r>
      <w:r w:rsidR="0007337F" w:rsidRPr="00966D80">
        <w:t xml:space="preserve"> ir vecākas par 16 gadiem</w:t>
      </w:r>
      <w:r w:rsidR="0007337F">
        <w:t>,</w:t>
      </w:r>
      <w:r w:rsidR="0007337F" w:rsidRPr="00966D80">
        <w:t xml:space="preserve"> ir normāls ķermeņa svars, 34,6% gadījumu šajā grupā konstatēts liekais svars, bet aptaukošan</w:t>
      </w:r>
      <w:r w:rsidR="00DB0146">
        <w:t>ā</w:t>
      </w:r>
      <w:r w:rsidR="0007337F" w:rsidRPr="00966D80">
        <w:t>s konstatēta 25,2% gadījumu</w:t>
      </w:r>
      <w:r>
        <w:t xml:space="preserve"> (</w:t>
      </w:r>
      <w:r w:rsidR="00922A20">
        <w:t xml:space="preserve">sk. </w:t>
      </w:r>
      <w:r w:rsidR="00AD3EDD">
        <w:fldChar w:fldCharType="begin"/>
      </w:r>
      <w:r w:rsidR="00F13B93">
        <w:instrText xml:space="preserve"> REF _Ref6495971 \h </w:instrText>
      </w:r>
      <w:r w:rsidR="00AD3EDD">
        <w:fldChar w:fldCharType="separate"/>
      </w:r>
      <w:r w:rsidR="00224B50">
        <w:rPr>
          <w:noProof/>
        </w:rPr>
        <w:t>2</w:t>
      </w:r>
      <w:r w:rsidR="00224B50">
        <w:t>.</w:t>
      </w:r>
      <w:r w:rsidR="00224B50">
        <w:rPr>
          <w:noProof/>
        </w:rPr>
        <w:t>24</w:t>
      </w:r>
      <w:r w:rsidR="00AD3EDD">
        <w:fldChar w:fldCharType="end"/>
      </w:r>
      <w:r w:rsidR="00922A20">
        <w:t>. attēlu</w:t>
      </w:r>
      <w:r>
        <w:t>)</w:t>
      </w:r>
      <w:r w:rsidR="0007337F" w:rsidRPr="00966D80">
        <w:t xml:space="preserve">. </w:t>
      </w:r>
    </w:p>
    <w:p w:rsidR="0007337F" w:rsidRPr="00966D80" w:rsidRDefault="0007337F" w:rsidP="00064C1E"/>
    <w:p w:rsidR="0007337F" w:rsidRPr="00966D80" w:rsidRDefault="0007337F" w:rsidP="00064C1E">
      <w:r w:rsidRPr="00966D80">
        <w:lastRenderedPageBreak/>
        <w:t>Skatoties vecuma griezumu</w:t>
      </w:r>
      <w:r w:rsidR="007A792A">
        <w:t>,</w:t>
      </w:r>
      <w:r w:rsidRPr="00966D80">
        <w:t xml:space="preserve"> iespējams konstatēt tendenci, ka</w:t>
      </w:r>
      <w:r w:rsidR="0047141A">
        <w:t>,</w:t>
      </w:r>
      <w:r w:rsidRPr="00966D80">
        <w:t xml:space="preserve"> personai paliekot vecākai</w:t>
      </w:r>
      <w:r w:rsidR="0047141A">
        <w:t>,</w:t>
      </w:r>
      <w:r w:rsidRPr="00966D80">
        <w:t xml:space="preserve"> palielinās tās ķermeņa masas indekss</w:t>
      </w:r>
      <w:r w:rsidR="0047141A">
        <w:t xml:space="preserve"> (</w:t>
      </w:r>
      <w:r w:rsidR="00922A20">
        <w:t xml:space="preserve">sk. </w:t>
      </w:r>
      <w:r w:rsidR="00AD3EDD">
        <w:fldChar w:fldCharType="begin"/>
      </w:r>
      <w:r w:rsidR="00F13B93">
        <w:instrText xml:space="preserve"> REF _Ref6495971 \h </w:instrText>
      </w:r>
      <w:r w:rsidR="00AD3EDD">
        <w:fldChar w:fldCharType="separate"/>
      </w:r>
      <w:r w:rsidR="00224B50">
        <w:rPr>
          <w:noProof/>
        </w:rPr>
        <w:t>2</w:t>
      </w:r>
      <w:r w:rsidR="00224B50">
        <w:t>.</w:t>
      </w:r>
      <w:r w:rsidR="00224B50">
        <w:rPr>
          <w:noProof/>
        </w:rPr>
        <w:t>24</w:t>
      </w:r>
      <w:r w:rsidR="00AD3EDD">
        <w:fldChar w:fldCharType="end"/>
      </w:r>
      <w:r w:rsidR="00922A20">
        <w:t>. attēlu</w:t>
      </w:r>
      <w:r w:rsidR="0047141A">
        <w:t>)</w:t>
      </w:r>
      <w:r w:rsidRPr="00966D80">
        <w:t>. Šādu tēzi iespējams apstiprināt</w:t>
      </w:r>
      <w:r w:rsidR="0047141A">
        <w:t>,</w:t>
      </w:r>
      <w:r w:rsidRPr="00966D80">
        <w:t xml:space="preserve"> apskatot visus rādītājus. Pirmkārt, skatoties rādītājus par </w:t>
      </w:r>
      <w:r w:rsidR="00654FBD">
        <w:t>„</w:t>
      </w:r>
      <w:r w:rsidRPr="00966D80">
        <w:t>normālo svaru”</w:t>
      </w:r>
      <w:r>
        <w:t xml:space="preserve"> – </w:t>
      </w:r>
      <w:r w:rsidRPr="00966D80">
        <w:t xml:space="preserve">75,5% personu, kuras atrodas vecuma grupā </w:t>
      </w:r>
      <w:r>
        <w:t xml:space="preserve">no 16 līdz </w:t>
      </w:r>
      <w:r w:rsidRPr="00966D80">
        <w:t xml:space="preserve">24 </w:t>
      </w:r>
      <w:r>
        <w:t>gadiem</w:t>
      </w:r>
      <w:r w:rsidR="007A792A">
        <w:t>,</w:t>
      </w:r>
      <w:r>
        <w:t xml:space="preserve"> </w:t>
      </w:r>
      <w:r w:rsidRPr="00966D80">
        <w:t>ir normāls svars, pēc tam, personām paliekot vecākam, šis rādītājs samazinās, līdz sasniedz 23,5% personu grupā, kurā iekļautas personas, kurām ir 65 vai vairāk gad</w:t>
      </w:r>
      <w:r>
        <w:t>u</w:t>
      </w:r>
      <w:r w:rsidRPr="00966D80">
        <w:t xml:space="preserve">. Tajā pašā laikā novērojama pretēja tendence ar svara palielināšanos, jo gan radītājs, kas raksturo </w:t>
      </w:r>
      <w:r w:rsidR="00654FBD">
        <w:t>„</w:t>
      </w:r>
      <w:r w:rsidRPr="00966D80">
        <w:t xml:space="preserve">lieko svaru”, gan rādītājs, kas raksturo </w:t>
      </w:r>
      <w:r w:rsidR="00654FBD">
        <w:t>„</w:t>
      </w:r>
      <w:r w:rsidRPr="00966D80">
        <w:t>aptaukošanos”</w:t>
      </w:r>
      <w:r>
        <w:t>,</w:t>
      </w:r>
      <w:r w:rsidRPr="00966D80">
        <w:t xml:space="preserve"> pieaug, </w:t>
      </w:r>
      <w:r>
        <w:t>pieaugot</w:t>
      </w:r>
      <w:r w:rsidRPr="00966D80">
        <w:t xml:space="preserve"> vecumam. 13,2% personu</w:t>
      </w:r>
      <w:r w:rsidRPr="002D134C">
        <w:t xml:space="preserve"> </w:t>
      </w:r>
      <w:r w:rsidRPr="00966D80">
        <w:t>vecuma grupā</w:t>
      </w:r>
      <w:r>
        <w:t xml:space="preserve"> no 16 līdz </w:t>
      </w:r>
      <w:r w:rsidRPr="00966D80">
        <w:t xml:space="preserve">24 </w:t>
      </w:r>
      <w:r>
        <w:t xml:space="preserve">gadiem </w:t>
      </w:r>
      <w:r w:rsidRPr="00966D80">
        <w:t>ir lieka</w:t>
      </w:r>
      <w:r>
        <w:t>i</w:t>
      </w:r>
      <w:r w:rsidRPr="00966D80">
        <w:t>s svars, bet ar katru nākamo vecuma grupu šim rādītājam ir tendence pieaugt, līdz tas sasniedz 38,5% vecuma grupā, kurā iekļautas personas, kurām ir 65 vai vairāk gad</w:t>
      </w:r>
      <w:r>
        <w:t>u</w:t>
      </w:r>
      <w:r w:rsidRPr="00966D80">
        <w:t xml:space="preserve">. </w:t>
      </w:r>
      <w:r>
        <w:t>T</w:t>
      </w:r>
      <w:r w:rsidRPr="00966D80">
        <w:t xml:space="preserve">endence ir </w:t>
      </w:r>
      <w:r>
        <w:t xml:space="preserve">līdzīga attiecībā uz aptaukošanos: 6% personu </w:t>
      </w:r>
      <w:r w:rsidRPr="00966D80">
        <w:t xml:space="preserve">vecuma grupā </w:t>
      </w:r>
      <w:r>
        <w:t>no 16 līdz 24 gadiem</w:t>
      </w:r>
      <w:r w:rsidRPr="00966D80">
        <w:t xml:space="preserve"> ir konstatēta aptaukošanās un ar katru </w:t>
      </w:r>
      <w:r>
        <w:t>nākamo</w:t>
      </w:r>
      <w:r w:rsidRPr="00966D80">
        <w:t xml:space="preserve"> vecuma grupu šis rādītājs pieaug līdz sasniedz 37,4% vecuma grupā, kurā iekļautas personas, kurām ir 65 vai vairāk gad</w:t>
      </w:r>
      <w:r>
        <w:t>u</w:t>
      </w:r>
      <w:r w:rsidRPr="00966D80">
        <w:t>.</w:t>
      </w:r>
    </w:p>
    <w:bookmarkStart w:id="455" w:name="_Toc6219217"/>
    <w:bookmarkStart w:id="456" w:name="_Toc6220160"/>
    <w:p w:rsidR="0007337F" w:rsidRPr="00966D80" w:rsidRDefault="00AD3EDD" w:rsidP="00F13B93">
      <w:pPr>
        <w:pStyle w:val="Caption"/>
      </w:pPr>
      <w:r>
        <w:fldChar w:fldCharType="begin"/>
      </w:r>
      <w:r w:rsidR="006B5456">
        <w:instrText xml:space="preserve"> STYLEREF 1 \s </w:instrText>
      </w:r>
      <w:r>
        <w:fldChar w:fldCharType="separate"/>
      </w:r>
      <w:bookmarkStart w:id="457" w:name="_Toc6855813"/>
      <w:r w:rsidR="00224B50">
        <w:rPr>
          <w:noProof/>
        </w:rPr>
        <w:t>2</w:t>
      </w:r>
      <w:r>
        <w:fldChar w:fldCharType="end"/>
      </w:r>
      <w:r w:rsidR="006B5456">
        <w:t>.</w:t>
      </w:r>
      <w:r>
        <w:fldChar w:fldCharType="begin"/>
      </w:r>
      <w:r w:rsidR="000F1524">
        <w:instrText xml:space="preserve"> SEQ Ilustrācija \* ARABIC \s 1 </w:instrText>
      </w:r>
      <w:r>
        <w:fldChar w:fldCharType="separate"/>
      </w:r>
      <w:r w:rsidR="00224B50">
        <w:rPr>
          <w:noProof/>
        </w:rPr>
        <w:t>25</w:t>
      </w:r>
      <w:r>
        <w:rPr>
          <w:noProof/>
        </w:rPr>
        <w:fldChar w:fldCharType="end"/>
      </w:r>
      <w:r w:rsidR="0047141A">
        <w:t xml:space="preserve">. attēls. </w:t>
      </w:r>
      <w:r w:rsidR="0007337F" w:rsidRPr="00966D80">
        <w:t xml:space="preserve">Iedzīvotāju ķermeņa masas indekss (ĶMI) </w:t>
      </w:r>
      <w:r w:rsidR="0007337F" w:rsidRPr="00D3739C">
        <w:t>2017</w:t>
      </w:r>
      <w:r w:rsidR="0007337F">
        <w:t>. gadā</w:t>
      </w:r>
      <w:r w:rsidR="0007337F" w:rsidRPr="00966D80">
        <w:t xml:space="preserve"> (%). Dzimuma griezums un pilsētu un lauku griezums</w:t>
      </w:r>
      <w:bookmarkEnd w:id="455"/>
      <w:bookmarkEnd w:id="456"/>
      <w:bookmarkEnd w:id="457"/>
    </w:p>
    <w:p w:rsidR="0007337F" w:rsidRPr="00966D80" w:rsidRDefault="00500544" w:rsidP="00064C1E">
      <w:pPr>
        <w:rPr>
          <w:b/>
        </w:rPr>
      </w:pPr>
      <w:r w:rsidRPr="00500544">
        <w:rPr>
          <w:noProof/>
        </w:rPr>
        <w:drawing>
          <wp:inline distT="0" distB="0" distL="0" distR="0">
            <wp:extent cx="6154420" cy="3543454"/>
            <wp:effectExtent l="19050" t="0" r="0" b="0"/>
            <wp:docPr id="145"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8"/>
                    <a:srcRect/>
                    <a:stretch>
                      <a:fillRect/>
                    </a:stretch>
                  </pic:blipFill>
                  <pic:spPr bwMode="auto">
                    <a:xfrm>
                      <a:off x="0" y="0"/>
                      <a:ext cx="6154420" cy="3543454"/>
                    </a:xfrm>
                    <a:prstGeom prst="rect">
                      <a:avLst/>
                    </a:prstGeom>
                    <a:noFill/>
                    <a:ln w="9525">
                      <a:noFill/>
                      <a:miter lim="800000"/>
                      <a:headEnd/>
                      <a:tailEnd/>
                    </a:ln>
                  </pic:spPr>
                </pic:pic>
              </a:graphicData>
            </a:graphic>
          </wp:inline>
        </w:drawing>
      </w:r>
    </w:p>
    <w:p w:rsidR="0007337F" w:rsidRPr="005A62EE" w:rsidRDefault="005A62EE" w:rsidP="00C33A64">
      <w:pPr>
        <w:pStyle w:val="avotiemft10"/>
      </w:pPr>
      <w:bookmarkStart w:id="458" w:name="_Toc6841580"/>
      <w:r w:rsidRPr="005A62EE">
        <w:t>Avots: CSP, “MOD17_07. Iedzīvotāju ķermeņa masas indekss (ĶMI) 2017. gadā (%)”.</w:t>
      </w:r>
      <w:bookmarkEnd w:id="458"/>
    </w:p>
    <w:p w:rsidR="005A62EE" w:rsidRDefault="005A62EE" w:rsidP="00064C1E"/>
    <w:p w:rsidR="0007337F" w:rsidRPr="00966D80" w:rsidRDefault="0007337F" w:rsidP="00064C1E">
      <w:r w:rsidRPr="00966D80">
        <w:t>Salīdzinot ķermeņa masas rādītājus dzimumu griezumā</w:t>
      </w:r>
      <w:r>
        <w:t>,</w:t>
      </w:r>
      <w:r w:rsidRPr="00966D80">
        <w:t xml:space="preserve"> iespējams konstatēt, ka sievietēm biežāk sastopams normāls svars, taču tajā paša laikā arī aptaukošanās biežāk sastopama sieviešu grupā. 2017</w:t>
      </w:r>
      <w:r>
        <w:t>. gadā</w:t>
      </w:r>
      <w:r w:rsidRPr="00966D80">
        <w:t xml:space="preserve"> normāls svars bija 36% vīriešu, kamēr sievietēm šis rādītājs bija 40,9%. Liekais svars biežāk sastopams vīriešu grupā</w:t>
      </w:r>
      <w:r>
        <w:t xml:space="preserve"> – </w:t>
      </w:r>
      <w:r w:rsidRPr="00966D80">
        <w:t>41,5%, kamēr sieviešu grupā lieka</w:t>
      </w:r>
      <w:r>
        <w:t>i</w:t>
      </w:r>
      <w:r w:rsidRPr="00966D80">
        <w:t>s svars konstatēts 29,3%. Pievēršoties aptaukošanās rādītājiem</w:t>
      </w:r>
      <w:r w:rsidR="004340B4">
        <w:t>,</w:t>
      </w:r>
      <w:r w:rsidRPr="00966D80">
        <w:t xml:space="preserve"> situācija ir pretēja, jo 27,7% sieviešu raksturīga aptaukošanās, kamēr vīriešiem šis rādītājs ir 21,8%. </w:t>
      </w:r>
    </w:p>
    <w:p w:rsidR="0007337F" w:rsidRPr="00966D80" w:rsidRDefault="0007337F" w:rsidP="00064C1E"/>
    <w:p w:rsidR="0007337F" w:rsidRPr="00966D80" w:rsidRDefault="0007337F" w:rsidP="00064C1E">
      <w:r w:rsidRPr="00966D80">
        <w:t>Lauku un pilsētu griezumā redzams, ka pilsētās personām biežāk</w:t>
      </w:r>
      <w:r>
        <w:t xml:space="preserve"> – </w:t>
      </w:r>
      <w:r w:rsidRPr="00966D80">
        <w:t>39,5% gadījumu</w:t>
      </w:r>
      <w:r>
        <w:t xml:space="preserve"> – </w:t>
      </w:r>
      <w:r w:rsidRPr="00966D80">
        <w:t>konstatēts normāls</w:t>
      </w:r>
      <w:r w:rsidR="00480B11">
        <w:t xml:space="preserve"> ĶMI</w:t>
      </w:r>
      <w:r w:rsidRPr="00966D80">
        <w:t>, bet laukos šis rādītājs ir 37,3%. Tajā pašā</w:t>
      </w:r>
      <w:r w:rsidR="00480B11">
        <w:t xml:space="preserve"> laikā</w:t>
      </w:r>
      <w:r w:rsidRPr="00966D80">
        <w:t xml:space="preserve"> 35% person</w:t>
      </w:r>
      <w:r w:rsidR="00480B11">
        <w:t>u</w:t>
      </w:r>
      <w:r w:rsidRPr="00966D80">
        <w:t xml:space="preserve">, kuras dzīvo pilsētās, </w:t>
      </w:r>
      <w:r w:rsidRPr="00966D80">
        <w:lastRenderedPageBreak/>
        <w:t>konstatēts lieka</w:t>
      </w:r>
      <w:r>
        <w:t>i</w:t>
      </w:r>
      <w:r w:rsidRPr="00966D80">
        <w:t>s svars, bet laukos šis rādītājs ir 33,8%, savukārt aptaukošanās biežāk konstatēta laukos</w:t>
      </w:r>
      <w:r>
        <w:t xml:space="preserve"> – </w:t>
      </w:r>
      <w:r w:rsidRPr="00966D80">
        <w:t>27,7% pret 24%</w:t>
      </w:r>
      <w:r w:rsidR="00480B11">
        <w:t xml:space="preserve"> pilsētās</w:t>
      </w:r>
      <w:r w:rsidRPr="00966D80">
        <w:t>.</w:t>
      </w:r>
    </w:p>
    <w:p w:rsidR="0007337F" w:rsidRPr="00966D80" w:rsidRDefault="0007337F" w:rsidP="00064C1E"/>
    <w:p w:rsidR="0007337F" w:rsidRPr="00966D80" w:rsidRDefault="004340B4" w:rsidP="00064C1E">
      <w:r>
        <w:t>Aplūkojot ķermeņa masas indeksu</w:t>
      </w:r>
      <w:r w:rsidR="0007337F" w:rsidRPr="00966D80">
        <w:t xml:space="preserve"> </w:t>
      </w:r>
      <w:r>
        <w:t>ienākuma grupu</w:t>
      </w:r>
      <w:r w:rsidR="0007337F" w:rsidRPr="00966D80">
        <w:t xml:space="preserve"> griezumā</w:t>
      </w:r>
      <w:r>
        <w:t>,</w:t>
      </w:r>
      <w:r w:rsidR="0007337F" w:rsidRPr="00966D80">
        <w:t xml:space="preserve"> nav redzamas vienotas tendences. Normāls svars visbiežāk</w:t>
      </w:r>
      <w:r w:rsidR="0007337F">
        <w:t xml:space="preserve"> – </w:t>
      </w:r>
      <w:r w:rsidR="0007337F" w:rsidRPr="00966D80">
        <w:t>43,2% gadījumu</w:t>
      </w:r>
      <w:r w:rsidR="0007337F">
        <w:t xml:space="preserve"> – </w:t>
      </w:r>
      <w:r w:rsidR="0007337F" w:rsidRPr="00966D80">
        <w:t>konstatēts 1</w:t>
      </w:r>
      <w:r w:rsidR="0007337F">
        <w:t>. kvint</w:t>
      </w:r>
      <w:r w:rsidR="0007337F" w:rsidRPr="00966D80">
        <w:t>iļu grupā, 5</w:t>
      </w:r>
      <w:r w:rsidR="0007337F">
        <w:t>. kvint</w:t>
      </w:r>
      <w:r w:rsidR="0007337F" w:rsidRPr="00966D80">
        <w:t>iļu grupā šis rādītājs ir 39,1</w:t>
      </w:r>
      <w:r>
        <w:t>%</w:t>
      </w:r>
      <w:r w:rsidR="0007337F" w:rsidRPr="00966D80">
        <w:t>, bet 3. un 4.</w:t>
      </w:r>
      <w:r w:rsidR="0007337F">
        <w:t xml:space="preserve"> kvintiļu grupā </w:t>
      </w:r>
      <w:r w:rsidR="0007337F" w:rsidRPr="00966D80">
        <w:t>attiecīgi 38,1% un 3</w:t>
      </w:r>
      <w:r>
        <w:t>8</w:t>
      </w:r>
      <w:r w:rsidR="0007337F" w:rsidRPr="00966D80">
        <w:t>,</w:t>
      </w:r>
      <w:r>
        <w:t>8</w:t>
      </w:r>
      <w:r w:rsidR="0007337F" w:rsidRPr="00966D80">
        <w:t>%.</w:t>
      </w:r>
      <w:r>
        <w:t xml:space="preserve"> </w:t>
      </w:r>
      <w:r w:rsidR="0007337F" w:rsidRPr="00966D80">
        <w:t>Viszemākais normālā svara rādītājs ir 2</w:t>
      </w:r>
      <w:r w:rsidR="0007337F">
        <w:t>. kvint</w:t>
      </w:r>
      <w:r w:rsidR="0007337F" w:rsidRPr="00966D80">
        <w:t>iļu grupā, kur tas ir 34%. Lieka</w:t>
      </w:r>
      <w:r w:rsidR="0007337F">
        <w:t>i</w:t>
      </w:r>
      <w:r w:rsidR="0007337F" w:rsidRPr="00966D80">
        <w:t>s svars visbiežāk</w:t>
      </w:r>
      <w:r w:rsidR="0007337F">
        <w:t xml:space="preserve"> – </w:t>
      </w:r>
      <w:r w:rsidR="0007337F" w:rsidRPr="00966D80">
        <w:t>36,8% gadījumu</w:t>
      </w:r>
      <w:r w:rsidR="0007337F">
        <w:t xml:space="preserve"> – </w:t>
      </w:r>
      <w:r w:rsidR="0007337F" w:rsidRPr="00966D80">
        <w:t>konstatēts 4</w:t>
      </w:r>
      <w:r w:rsidR="0007337F">
        <w:t>. kvint</w:t>
      </w:r>
      <w:r w:rsidR="0007337F" w:rsidRPr="00966D80">
        <w:t>iļu grupā. 2. un 3</w:t>
      </w:r>
      <w:r w:rsidR="0007337F">
        <w:t>. kvint</w:t>
      </w:r>
      <w:r w:rsidR="0007337F" w:rsidRPr="00966D80">
        <w:t>iļu grupā šie rādītāji ir attiecīgi 35,1% un 35,4%, b</w:t>
      </w:r>
      <w:r w:rsidR="0007337F">
        <w:t xml:space="preserve">et </w:t>
      </w:r>
      <w:r w:rsidR="0007337F" w:rsidRPr="00966D80">
        <w:t>5</w:t>
      </w:r>
      <w:r w:rsidR="0007337F">
        <w:t>. kvint</w:t>
      </w:r>
      <w:r w:rsidR="0007337F" w:rsidRPr="00966D80">
        <w:t xml:space="preserve">iļu grupā 34,1%. </w:t>
      </w:r>
      <w:r w:rsidR="0007337F">
        <w:t>V</w:t>
      </w:r>
      <w:r w:rsidR="0007337F" w:rsidRPr="00966D80">
        <w:t>isretāk liekais svars sastopamas 1</w:t>
      </w:r>
      <w:r w:rsidR="0007337F">
        <w:t>. kvint</w:t>
      </w:r>
      <w:r w:rsidR="0007337F" w:rsidRPr="00966D80">
        <w:t>iļu grupā, kur tas ir 31,2% no šajā grupā iekļautajām personām</w:t>
      </w:r>
      <w:r w:rsidR="0007337F">
        <w:t xml:space="preserve">. </w:t>
      </w:r>
      <w:r>
        <w:t>Aptaukošanās v</w:t>
      </w:r>
      <w:r w:rsidR="0007337F" w:rsidRPr="00966D80">
        <w:t>isbiežāk</w:t>
      </w:r>
      <w:r w:rsidR="0007337F">
        <w:t xml:space="preserve"> – </w:t>
      </w:r>
      <w:r w:rsidR="0007337F" w:rsidRPr="00966D80">
        <w:t>29,7% gadījumu –</w:t>
      </w:r>
      <w:r w:rsidR="00AB28A4">
        <w:t xml:space="preserve"> </w:t>
      </w:r>
      <w:r w:rsidR="0007337F" w:rsidRPr="00966D80">
        <w:t>sastopams 2</w:t>
      </w:r>
      <w:r w:rsidR="0007337F">
        <w:t>. kvint</w:t>
      </w:r>
      <w:r w:rsidR="0007337F" w:rsidRPr="00966D80">
        <w:t>iļu grupā</w:t>
      </w:r>
      <w:r>
        <w:t>, kuras lielu daļu veido pensijas vecuma cilvēki, kuriem raksturīgs augstāks ĶMI</w:t>
      </w:r>
      <w:r w:rsidR="0007337F" w:rsidRPr="00966D80">
        <w:t>. 24,9% personu gan 3.</w:t>
      </w:r>
      <w:r>
        <w:t>,</w:t>
      </w:r>
      <w:r w:rsidR="0007337F" w:rsidRPr="00966D80">
        <w:t xml:space="preserve"> gan 5</w:t>
      </w:r>
      <w:r w:rsidR="0007337F">
        <w:t>. kvint</w:t>
      </w:r>
      <w:r w:rsidR="0007337F" w:rsidRPr="00966D80">
        <w:t>iļu grupā redzama aptaukošanās, bet 1</w:t>
      </w:r>
      <w:r w:rsidR="0007337F">
        <w:t>. kvint</w:t>
      </w:r>
      <w:r w:rsidR="0007337F" w:rsidRPr="00966D80">
        <w:t>iļu grupā aptaukošanās konstatēta 24,1% personu. Visretāk</w:t>
      </w:r>
      <w:r w:rsidR="0007337F">
        <w:t xml:space="preserve"> – </w:t>
      </w:r>
      <w:r w:rsidR="0007337F" w:rsidRPr="00966D80">
        <w:t>23,1% gadījumu</w:t>
      </w:r>
      <w:r w:rsidR="0007337F">
        <w:t xml:space="preserve"> – </w:t>
      </w:r>
      <w:r w:rsidR="0007337F" w:rsidRPr="00966D80">
        <w:t>aptaukošanās konstatēta 4</w:t>
      </w:r>
      <w:r w:rsidR="0007337F">
        <w:t>. kvint</w:t>
      </w:r>
      <w:r w:rsidR="0007337F" w:rsidRPr="00966D80">
        <w:t>iļu grupā.</w:t>
      </w:r>
    </w:p>
    <w:p w:rsidR="0007337F" w:rsidRPr="00966D80" w:rsidRDefault="0007337F" w:rsidP="00064C1E"/>
    <w:p w:rsidR="0007337F" w:rsidRPr="00966D80" w:rsidRDefault="0007337F" w:rsidP="00064C1E">
      <w:r w:rsidRPr="00966D80">
        <w:t>Izglītības griezumā redzams, ka normāls svars ir 45% personu, kuriem ir pamatskolas vai zemāka izglītība, 35% personām ar vidējo izglītību ir normāls svars, bet 41,9%</w:t>
      </w:r>
      <w:r>
        <w:t xml:space="preserve"> a</w:t>
      </w:r>
      <w:r w:rsidRPr="00966D80">
        <w:t>r augstāko izglītību. Lieka</w:t>
      </w:r>
      <w:r>
        <w:t>i</w:t>
      </w:r>
      <w:r w:rsidRPr="00966D80">
        <w:t>s svars visbiežāk</w:t>
      </w:r>
      <w:r>
        <w:t xml:space="preserve"> – </w:t>
      </w:r>
      <w:r w:rsidRPr="00966D80">
        <w:t>36,6% gadījumu</w:t>
      </w:r>
      <w:r>
        <w:t xml:space="preserve"> – </w:t>
      </w:r>
      <w:r w:rsidRPr="00966D80">
        <w:t>sastopams personu grupā</w:t>
      </w:r>
      <w:r>
        <w:t xml:space="preserve"> ar</w:t>
      </w:r>
      <w:r w:rsidRPr="00966D80">
        <w:t xml:space="preserve"> vidēj</w:t>
      </w:r>
      <w:r>
        <w:t>o</w:t>
      </w:r>
      <w:r w:rsidRPr="00966D80">
        <w:t xml:space="preserve"> izglītīb</w:t>
      </w:r>
      <w:r>
        <w:t>u</w:t>
      </w:r>
      <w:r w:rsidRPr="00966D80">
        <w:t>. Personu grupā ar augstāko izglītību lieka</w:t>
      </w:r>
      <w:r>
        <w:t>i</w:t>
      </w:r>
      <w:r w:rsidRPr="00966D80">
        <w:t>s svars ir 34,6%</w:t>
      </w:r>
      <w:r>
        <w:t xml:space="preserve"> personu</w:t>
      </w:r>
      <w:r w:rsidRPr="00966D80">
        <w:t>, bet personām, kurām ir pamata vai zemāka izglītība, šis rādītājs ir 31,2%. Arī aptaukošanās biežāk sastopama personām</w:t>
      </w:r>
      <w:r>
        <w:t xml:space="preserve"> ar vidējo izglītību – </w:t>
      </w:r>
      <w:r w:rsidRPr="00966D80">
        <w:t>27,2%, bet personām ar pamata vai zemāku izglītību un personām ar augstāko izglītību aptaukošanās rādītāji ir attiecīgi</w:t>
      </w:r>
      <w:r>
        <w:t xml:space="preserve"> – </w:t>
      </w:r>
      <w:r w:rsidRPr="00966D80">
        <w:t>23,5% un 22,4%.</w:t>
      </w:r>
    </w:p>
    <w:p w:rsidR="0047141A" w:rsidRDefault="0047141A" w:rsidP="00064C1E"/>
    <w:p w:rsidR="0007337F" w:rsidRPr="00966D80" w:rsidRDefault="0007337F" w:rsidP="00064C1E">
      <w:r w:rsidRPr="00966D80">
        <w:t xml:space="preserve">Noslēgumā vēl jāpiemin par reģionālo efektu </w:t>
      </w:r>
      <w:r w:rsidR="00654FBD">
        <w:t>uz šo rādītāju, proti, visos reģionos ārpus Rīgas un Pierīgas statistiskā reģiona iedzīvotājiem</w:t>
      </w:r>
      <w:r w:rsidRPr="00966D80">
        <w:t xml:space="preserve"> biežāk ir konstatēts lieka</w:t>
      </w:r>
      <w:r>
        <w:t>i</w:t>
      </w:r>
      <w:r w:rsidRPr="00966D80">
        <w:t>s svars vai aptaukošanās, ko iespējams saistīt ar faktu, ka reģionos dzīvo vairāk vecu cilvēku, kas, kā jau noskaidrots iepriekš, biežāk ir grupa, kurai ir konstatēts liekais svars vai aptaukošanās.</w:t>
      </w:r>
    </w:p>
    <w:p w:rsidR="0007337F" w:rsidRDefault="0007337F" w:rsidP="00064C1E">
      <w:pPr>
        <w:rPr>
          <w:b/>
        </w:rPr>
      </w:pPr>
    </w:p>
    <w:p w:rsidR="0047141A" w:rsidRDefault="0047141A" w:rsidP="00064C1E">
      <w:r w:rsidRPr="00966D80">
        <w:t>Analizējot bērnu vispārējā veselības stāvokļa novērtējumu</w:t>
      </w:r>
      <w:r>
        <w:t xml:space="preserve"> (</w:t>
      </w:r>
      <w:r w:rsidR="00922A20">
        <w:t xml:space="preserve">sk. </w:t>
      </w:r>
      <w:r w:rsidR="00AD3EDD">
        <w:fldChar w:fldCharType="begin"/>
      </w:r>
      <w:r w:rsidR="008108D3">
        <w:instrText xml:space="preserve"> REF _Ref6496078 \h </w:instrText>
      </w:r>
      <w:r w:rsidR="00AD3EDD">
        <w:fldChar w:fldCharType="separate"/>
      </w:r>
      <w:r w:rsidR="00224B50">
        <w:rPr>
          <w:noProof/>
        </w:rPr>
        <w:t>2</w:t>
      </w:r>
      <w:r w:rsidR="00224B50">
        <w:t>.</w:t>
      </w:r>
      <w:r w:rsidR="00224B50">
        <w:rPr>
          <w:noProof/>
        </w:rPr>
        <w:t>26</w:t>
      </w:r>
      <w:r w:rsidR="00AD3EDD">
        <w:fldChar w:fldCharType="end"/>
      </w:r>
      <w:r w:rsidR="00922A20">
        <w:t>. attēlu</w:t>
      </w:r>
      <w:r>
        <w:t>),</w:t>
      </w:r>
      <w:r w:rsidRPr="00966D80">
        <w:t xml:space="preserve"> redzams, ka 2017</w:t>
      </w:r>
      <w:r>
        <w:t>. gadā</w:t>
      </w:r>
      <w:r w:rsidRPr="00966D80">
        <w:t xml:space="preserve"> lielākajai daļai</w:t>
      </w:r>
      <w:r>
        <w:t> </w:t>
      </w:r>
      <w:r w:rsidRPr="00966D80">
        <w:t>– 67,5%</w:t>
      </w:r>
      <w:r>
        <w:t xml:space="preserve"> – </w:t>
      </w:r>
      <w:r w:rsidRPr="00966D80">
        <w:t>bērnu līdz 15 gadiem tas tiek vērtēts kā labs, 23,4% kā ļoti slikts, 8% kā vidējs, bet 1,2% kā slikts. Galvenās atšķirības parādās</w:t>
      </w:r>
      <w:r>
        <w:t>,</w:t>
      </w:r>
      <w:r w:rsidRPr="00966D80">
        <w:t xml:space="preserve"> analizējot šo rādītāju kvintiļu griezumā. Šajā gadījumā svarīgi uzsvērt, ka</w:t>
      </w:r>
      <w:r w:rsidR="004340B4">
        <w:t>,</w:t>
      </w:r>
      <w:r w:rsidRPr="00966D80">
        <w:t xml:space="preserve"> pieaug</w:t>
      </w:r>
      <w:r w:rsidR="004340B4">
        <w:t>ot</w:t>
      </w:r>
      <w:r w:rsidRPr="00966D80">
        <w:t xml:space="preserve"> bērna </w:t>
      </w:r>
      <w:r w:rsidR="004340B4">
        <w:t xml:space="preserve">(vecāku) </w:t>
      </w:r>
      <w:r w:rsidRPr="00966D80">
        <w:t>turīguma līmenim</w:t>
      </w:r>
      <w:r w:rsidR="004340B4">
        <w:t>,</w:t>
      </w:r>
      <w:r w:rsidRPr="00966D80">
        <w:t xml:space="preserve"> pieaug iespēja, ka </w:t>
      </w:r>
      <w:r w:rsidR="004340B4">
        <w:t>bērna</w:t>
      </w:r>
      <w:r w:rsidRPr="00966D80">
        <w:t xml:space="preserve"> veselības stāvoklis tiks novērtēts kā slikts. Kā tas parādās datos, tad 30,7% 5</w:t>
      </w:r>
      <w:r>
        <w:t>. kvint</w:t>
      </w:r>
      <w:r w:rsidRPr="00966D80">
        <w:t>iles bērnu veselības stāvoklis tiek novērtēts kā slikts, kamēr 1. un 2</w:t>
      </w:r>
      <w:r>
        <w:t>. kvint</w:t>
      </w:r>
      <w:r w:rsidRPr="00966D80">
        <w:t xml:space="preserve">iļu grupā šis rādītājs ir attiecīgi 23,4% </w:t>
      </w:r>
      <w:r w:rsidR="004340B4">
        <w:t>u</w:t>
      </w:r>
      <w:r w:rsidRPr="00966D80">
        <w:t>n 20,1%, bet 3. un 4</w:t>
      </w:r>
      <w:r>
        <w:t>. kvint</w:t>
      </w:r>
      <w:r w:rsidRPr="00966D80">
        <w:t>iļu grupā</w:t>
      </w:r>
      <w:r>
        <w:t xml:space="preserve"> – </w:t>
      </w:r>
      <w:r w:rsidRPr="00966D80">
        <w:t>24,3% un 26,3%. Apskatot šos rādītājus, var tikai atkārtoti uzsvērt iepriekš minēto par situāciju, kad turīgu bērnu veselības stāvoklis biežāk tiek novērtēts kā “ļoti slikts”. Šī situācija gan ir paradoksāla, jo jāatceras, ka tieši turīgajām personām retāk bija problēma ar medicīnisku procedūru vai ārstēšanas veikšanu, līdz ar to pēc loģikas arī veselības stāvoklim šajā grupā būtu jābūt labākam nekā citās grup</w:t>
      </w:r>
      <w:r w:rsidR="004340B4">
        <w:t>ā</w:t>
      </w:r>
      <w:r w:rsidRPr="00966D80">
        <w:t>s esošajiem cilvēkiem.</w:t>
      </w:r>
    </w:p>
    <w:p w:rsidR="00E718DC" w:rsidRDefault="00E718DC" w:rsidP="00064C1E"/>
    <w:p w:rsidR="00E718DC" w:rsidRPr="00966D80" w:rsidRDefault="00E718DC" w:rsidP="00E718DC">
      <w:r w:rsidRPr="00966D80">
        <w:t>Papildu šiem rādītājiem CSP pieejami dati par bērnu vispārējā veselības stāvokļa novērtējum</w:t>
      </w:r>
      <w:r w:rsidR="004340B4">
        <w:t>u</w:t>
      </w:r>
      <w:r w:rsidRPr="00966D80">
        <w:t xml:space="preserve"> dzimumu, vecumu grupu, </w:t>
      </w:r>
      <w:r w:rsidR="004340B4">
        <w:t>apdzīvotās vietas blīvuma (pilsētu/ lauku)</w:t>
      </w:r>
      <w:r w:rsidR="004340B4" w:rsidRPr="004340B4">
        <w:t xml:space="preserve"> </w:t>
      </w:r>
      <w:r w:rsidR="004340B4" w:rsidRPr="00966D80">
        <w:t>griezumā</w:t>
      </w:r>
      <w:r w:rsidRPr="00966D80">
        <w:t xml:space="preserve">, taču šajos griezumos </w:t>
      </w:r>
      <w:r>
        <w:t xml:space="preserve">būtiskas </w:t>
      </w:r>
      <w:r w:rsidRPr="00966D80">
        <w:t xml:space="preserve">atšķirības </w:t>
      </w:r>
      <w:r>
        <w:t>nav novērotas</w:t>
      </w:r>
      <w:r w:rsidRPr="00966D80">
        <w:t>.</w:t>
      </w:r>
      <w:r>
        <w:t xml:space="preserve"> </w:t>
      </w:r>
    </w:p>
    <w:bookmarkStart w:id="459" w:name="_Ref6496078"/>
    <w:bookmarkStart w:id="460" w:name="_Toc6219218"/>
    <w:bookmarkStart w:id="461" w:name="_Toc6220161"/>
    <w:p w:rsidR="0007337F" w:rsidRPr="00966D80" w:rsidRDefault="00AD3EDD" w:rsidP="008108D3">
      <w:pPr>
        <w:pStyle w:val="Caption"/>
      </w:pPr>
      <w:r>
        <w:lastRenderedPageBreak/>
        <w:fldChar w:fldCharType="begin"/>
      </w:r>
      <w:r w:rsidR="006B5456">
        <w:instrText xml:space="preserve"> STYLEREF 1 \s </w:instrText>
      </w:r>
      <w:r>
        <w:fldChar w:fldCharType="separate"/>
      </w:r>
      <w:bookmarkStart w:id="462" w:name="_Toc6855814"/>
      <w:r w:rsidR="00224B50">
        <w:rPr>
          <w:noProof/>
        </w:rPr>
        <w:t>2</w:t>
      </w:r>
      <w:r>
        <w:fldChar w:fldCharType="end"/>
      </w:r>
      <w:r w:rsidR="006B5456">
        <w:t>.</w:t>
      </w:r>
      <w:r>
        <w:fldChar w:fldCharType="begin"/>
      </w:r>
      <w:r w:rsidR="000F1524">
        <w:instrText xml:space="preserve"> SEQ Ilustrācija \* ARABIC \s 1 </w:instrText>
      </w:r>
      <w:r>
        <w:fldChar w:fldCharType="separate"/>
      </w:r>
      <w:r w:rsidR="00224B50">
        <w:rPr>
          <w:noProof/>
        </w:rPr>
        <w:t>26</w:t>
      </w:r>
      <w:r>
        <w:rPr>
          <w:noProof/>
        </w:rPr>
        <w:fldChar w:fldCharType="end"/>
      </w:r>
      <w:bookmarkEnd w:id="459"/>
      <w:r w:rsidR="0047141A">
        <w:t xml:space="preserve">. attēls. </w:t>
      </w:r>
      <w:r w:rsidR="0007337F" w:rsidRPr="00966D80">
        <w:t>Bērnu vecumā līdz 15 gadiem vispārējā veselības stāvokļa novērtējums 2017</w:t>
      </w:r>
      <w:r w:rsidR="0007337F">
        <w:t>. gadā</w:t>
      </w:r>
      <w:r w:rsidR="0007337F" w:rsidRPr="00966D80">
        <w:t xml:space="preserve"> (%). Visi bērni vecumā līdz 15 gadiem un kvintiļu</w:t>
      </w:r>
      <w:r w:rsidR="0007337F">
        <w:t xml:space="preserve"> grupu</w:t>
      </w:r>
      <w:r w:rsidR="0007337F" w:rsidRPr="00966D80">
        <w:t xml:space="preserve"> </w:t>
      </w:r>
      <w:r w:rsidR="0007337F" w:rsidRPr="00D3739C">
        <w:t>griezumā</w:t>
      </w:r>
      <w:bookmarkEnd w:id="460"/>
      <w:bookmarkEnd w:id="461"/>
      <w:bookmarkEnd w:id="462"/>
    </w:p>
    <w:p w:rsidR="0007337F" w:rsidRPr="00966D80" w:rsidRDefault="00500544" w:rsidP="00064C1E">
      <w:pPr>
        <w:rPr>
          <w:b/>
        </w:rPr>
      </w:pPr>
      <w:r w:rsidRPr="00500544">
        <w:rPr>
          <w:noProof/>
        </w:rPr>
        <w:drawing>
          <wp:inline distT="0" distB="0" distL="0" distR="0">
            <wp:extent cx="6154420" cy="3731071"/>
            <wp:effectExtent l="19050" t="0" r="0" b="0"/>
            <wp:docPr id="148"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9"/>
                    <a:srcRect/>
                    <a:stretch>
                      <a:fillRect/>
                    </a:stretch>
                  </pic:blipFill>
                  <pic:spPr bwMode="auto">
                    <a:xfrm>
                      <a:off x="0" y="0"/>
                      <a:ext cx="6154420" cy="3731071"/>
                    </a:xfrm>
                    <a:prstGeom prst="rect">
                      <a:avLst/>
                    </a:prstGeom>
                    <a:noFill/>
                    <a:ln w="9525">
                      <a:noFill/>
                      <a:miter lim="800000"/>
                      <a:headEnd/>
                      <a:tailEnd/>
                    </a:ln>
                  </pic:spPr>
                </pic:pic>
              </a:graphicData>
            </a:graphic>
          </wp:inline>
        </w:drawing>
      </w:r>
    </w:p>
    <w:p w:rsidR="005A62EE" w:rsidRPr="005A62EE" w:rsidRDefault="005A62EE" w:rsidP="00C33A64">
      <w:pPr>
        <w:pStyle w:val="avotiemft10"/>
      </w:pPr>
      <w:bookmarkStart w:id="463" w:name="_Toc6841581"/>
      <w:r w:rsidRPr="005A62EE">
        <w:t>Avots: CSP, “MOD17_01. Bērnu vecumā līdz 15 gadiem vispārējā veselības stāvokļa novērtējums 2017. gadā (%)”.</w:t>
      </w:r>
      <w:bookmarkEnd w:id="463"/>
    </w:p>
    <w:p w:rsidR="005A62EE" w:rsidRDefault="005A62EE" w:rsidP="00064C1E">
      <w:pPr>
        <w:rPr>
          <w:b/>
        </w:rPr>
      </w:pPr>
    </w:p>
    <w:p w:rsidR="0007337F" w:rsidRPr="00966D80" w:rsidRDefault="0007337F" w:rsidP="00064C1E">
      <w:r w:rsidRPr="00966D80">
        <w:t>Datu apraksta turpinājumā</w:t>
      </w:r>
      <w:r w:rsidR="009149CA">
        <w:t>, cik lielam bērnu līdz 15 gadiem īpatsvaram ir veselības problēmas, kas pēdējo sešu mēnešu laikā ierobežoja viņu iespējas veikt tādas aktivitātes, ko parasti veic bērni viņu vecumā. Kopumā š</w:t>
      </w:r>
      <w:r w:rsidRPr="00966D80">
        <w:t>āda veida veselības problēmas ir mazam īpatsvaram bērnu</w:t>
      </w:r>
      <w:r w:rsidR="004340B4">
        <w:t>.</w:t>
      </w:r>
      <w:r w:rsidRPr="00966D80">
        <w:t xml:space="preserve"> </w:t>
      </w:r>
      <w:r w:rsidR="004340B4">
        <w:t>T</w:t>
      </w:r>
      <w:r w:rsidRPr="00966D80">
        <w:t>ā 0,8% bērnu ir stipri ierobežojumi veikt savam vecumam paredzētās aktivitāt</w:t>
      </w:r>
      <w:r w:rsidR="009149CA">
        <w:t>e</w:t>
      </w:r>
      <w:r w:rsidRPr="00966D80">
        <w:t xml:space="preserve">s, </w:t>
      </w:r>
      <w:r w:rsidR="009149CA">
        <w:t>un vēl</w:t>
      </w:r>
      <w:r w:rsidRPr="00966D80">
        <w:t xml:space="preserve"> 11,3% šie ierobežojumi </w:t>
      </w:r>
      <w:r w:rsidR="009149CA">
        <w:t>tiek raksturoti kā piemītoši</w:t>
      </w:r>
      <w:r w:rsidRPr="00966D80">
        <w:t>.</w:t>
      </w:r>
      <w:r w:rsidR="0047141A">
        <w:t xml:space="preserve"> </w:t>
      </w:r>
      <w:r w:rsidRPr="00966D80">
        <w:t xml:space="preserve">Nav konstatētas atšķirības </w:t>
      </w:r>
      <w:r w:rsidR="009149CA">
        <w:t xml:space="preserve">bērnu </w:t>
      </w:r>
      <w:r w:rsidRPr="00966D80">
        <w:t>dzimumu griezumā.</w:t>
      </w:r>
    </w:p>
    <w:p w:rsidR="0007337F" w:rsidRPr="00966D80" w:rsidRDefault="0007337F" w:rsidP="00064C1E"/>
    <w:p w:rsidR="00C44ADE" w:rsidRDefault="009149CA" w:rsidP="00064C1E">
      <w:r w:rsidRPr="00C44ADE">
        <w:t>Bērnu, kuru veselības problēmas ir radījušas stiprus ierobežojumus veikt aktivitātes, īpatsvars vecuma grupu griezumā būtiski nemainās. Savukārt, aplūkojot pastāvošus ierobežojumus kopumā</w:t>
      </w:r>
      <w:r w:rsidR="00C44ADE" w:rsidRPr="00C44ADE">
        <w:t xml:space="preserve"> (atbilžu variants „ir ierobežojumi”)</w:t>
      </w:r>
      <w:r w:rsidRPr="00C44ADE">
        <w:t xml:space="preserve">, redzams, ka </w:t>
      </w:r>
      <w:r w:rsidR="00C44ADE" w:rsidRPr="00C44ADE">
        <w:t xml:space="preserve">to īpatsvars pieaug līdz ar bērna vecumu. Tādējādi ierobežojumi </w:t>
      </w:r>
      <w:r w:rsidR="0007337F" w:rsidRPr="00C44ADE">
        <w:t>veselības problēmu dēļ veikt savam vecumam paredzētas aktivitātes ir 8,2% bērnu līdz 3 gadiem, taču ar katru nākamo vecuma grupu šis rādītājs pieaug līdz sasniedz vecuma grupu no 11 līdz 15 gadiem, kur 14% bērnu veselības problēmu dēļ bija ierobežojumi veikt aktivitātes, ko parasti dara bērns šajā vecumā.</w:t>
      </w:r>
      <w:r w:rsidR="00C44ADE">
        <w:t xml:space="preserve"> </w:t>
      </w:r>
    </w:p>
    <w:p w:rsidR="00601CFA" w:rsidRDefault="00601CFA" w:rsidP="00064C1E"/>
    <w:p w:rsidR="0007337F" w:rsidRPr="00966D80" w:rsidRDefault="00C44ADE" w:rsidP="00064C1E">
      <w:r>
        <w:t xml:space="preserve">Datu analīze urbanizācijas pakāpes (pilsētu un lauku griezumā) parāda, ka nedaudz biežāk ierobežojumi tiek atzīti pilsētās dzīvojošiem bērniem. </w:t>
      </w:r>
      <w:r w:rsidR="0007337F" w:rsidRPr="00966D80">
        <w:t>Pilsētās bērni ar šādiem ierobežojumiem saskaras 11,2% gadījumu</w:t>
      </w:r>
      <w:r w:rsidR="0007337F">
        <w:t xml:space="preserve">, </w:t>
      </w:r>
      <w:r w:rsidR="0007337F" w:rsidRPr="00966D80">
        <w:t>kamēr lauk</w:t>
      </w:r>
      <w:r w:rsidR="0007337F">
        <w:t>o</w:t>
      </w:r>
      <w:r w:rsidR="0007337F" w:rsidRPr="00966D80">
        <w:t xml:space="preserve">s </w:t>
      </w:r>
      <w:r>
        <w:t xml:space="preserve">– </w:t>
      </w:r>
      <w:r w:rsidR="0007337F" w:rsidRPr="00966D80">
        <w:t>9,4%.</w:t>
      </w:r>
      <w:r>
        <w:t xml:space="preserve"> Savukārt reģionu griezumā redzams, ka biežāk veselības problēmas, kas </w:t>
      </w:r>
      <w:r w:rsidRPr="00966D80">
        <w:t>pēdējos sešos mēnešos ierobežoja bērnus vecumā līdz 15 gadiem veikt aktivitātes, ko parasti veic bērni viņu vecumā</w:t>
      </w:r>
      <w:r>
        <w:t>, tiek atzītas bērniem, kuri dzīvo Rīgas un Latgales reģionos, visretāk – Pierīgas reģionā dzīvojošiem bērniem.</w:t>
      </w:r>
      <w:r w:rsidR="0007337F" w:rsidRPr="00966D80">
        <w:t xml:space="preserve"> </w:t>
      </w:r>
      <w:r>
        <w:t xml:space="preserve">Saskaitot atbildes, ka veselības problēmas radījušas stiprus vai vienkārši ierobežojumus veikt bērna vecumam raksturīgas </w:t>
      </w:r>
      <w:r>
        <w:lastRenderedPageBreak/>
        <w:t xml:space="preserve">aktivitātes, </w:t>
      </w:r>
      <w:r w:rsidR="0007337F" w:rsidRPr="00966D80">
        <w:t xml:space="preserve">Rīgas reģionā </w:t>
      </w:r>
      <w:r w:rsidR="001E6034">
        <w:t>18,3</w:t>
      </w:r>
      <w:r w:rsidR="0007337F" w:rsidRPr="00966D80">
        <w:t>% bērnu saskārās ar veselības problēmām, kas</w:t>
      </w:r>
      <w:r w:rsidR="0007337F">
        <w:t xml:space="preserve"> neļāva viņiem veikt savam vecumam</w:t>
      </w:r>
      <w:r w:rsidR="0007337F" w:rsidRPr="00966D80">
        <w:t xml:space="preserve"> raksturīgas aktivitāt</w:t>
      </w:r>
      <w:r w:rsidR="0007337F">
        <w:t>e</w:t>
      </w:r>
      <w:r w:rsidR="0007337F" w:rsidRPr="00966D80">
        <w:t xml:space="preserve">s. Latgales reģionā šis rādītājs ir </w:t>
      </w:r>
      <w:r w:rsidR="001E6034">
        <w:t>13,5</w:t>
      </w:r>
      <w:r w:rsidR="0007337F" w:rsidRPr="00966D80">
        <w:t>%, Kurzemes reģionā</w:t>
      </w:r>
      <w:r w:rsidR="0007337F">
        <w:t xml:space="preserve"> – </w:t>
      </w:r>
      <w:r w:rsidR="0007337F" w:rsidRPr="00966D80">
        <w:t>9,</w:t>
      </w:r>
      <w:r w:rsidR="001E6034">
        <w:t>7</w:t>
      </w:r>
      <w:r w:rsidR="0007337F" w:rsidRPr="00966D80">
        <w:t>%, Vidzemes reģionā</w:t>
      </w:r>
      <w:r w:rsidR="0007337F">
        <w:t xml:space="preserve"> – </w:t>
      </w:r>
      <w:r w:rsidR="001E6034">
        <w:t>9,9</w:t>
      </w:r>
      <w:r w:rsidR="0007337F" w:rsidRPr="00966D80">
        <w:t>%, Zemgales reģionā</w:t>
      </w:r>
      <w:r w:rsidR="0007337F">
        <w:t xml:space="preserve"> – </w:t>
      </w:r>
      <w:r w:rsidR="001E6034">
        <w:t>7,3</w:t>
      </w:r>
      <w:r w:rsidR="0007337F" w:rsidRPr="00966D80">
        <w:t>%, Pierīgas reģionā</w:t>
      </w:r>
      <w:r w:rsidR="0007337F">
        <w:t xml:space="preserve"> – </w:t>
      </w:r>
      <w:r w:rsidR="001E6034">
        <w:t>6,4</w:t>
      </w:r>
      <w:r w:rsidR="0007337F" w:rsidRPr="00966D80">
        <w:t>%.</w:t>
      </w:r>
    </w:p>
    <w:p w:rsidR="0007337F" w:rsidRPr="00966D80" w:rsidRDefault="0007337F" w:rsidP="00064C1E"/>
    <w:p w:rsidR="0007337F" w:rsidRPr="00966D80" w:rsidRDefault="001E6034" w:rsidP="00064C1E">
      <w:r w:rsidRPr="001E6034">
        <w:t>Ienākumu k</w:t>
      </w:r>
      <w:r w:rsidR="0007337F" w:rsidRPr="001E6034">
        <w:t>vintiļu grupu griezumā redzams</w:t>
      </w:r>
      <w:r w:rsidRPr="001E6034">
        <w:t>, ka par bērnu, kuri dzīvo ģimenēs ar augstākiem ienākumiem, gadījumā biežāk tiek atzīts, ka viņiem bijušas veselības problēmas, kas ierobežojušas aktivitātes</w:t>
      </w:r>
      <w:r w:rsidR="0007337F" w:rsidRPr="001E6034">
        <w:t>.</w:t>
      </w:r>
      <w:r w:rsidRPr="001E6034">
        <w:t xml:space="preserve"> Parasti tie bijuši „vienkārši” ierobežojumi.</w:t>
      </w:r>
      <w:r w:rsidR="0007337F" w:rsidRPr="001E6034">
        <w:t xml:space="preserve"> 1. kvintiļu grupā esošie bērni 9,5% gadījumu saskārās ar veselības problēmu radītiem ierobežojumiem veikt aktivitātes, kuras parasti veic bērni viņu vecumā, 2. kvintiļu grupā šis rādītājs ir viszemākais – 8,6%, bet ar katru nākamo kvintiļu grupu tam ir tendence pieaugt. 3. kvintiļu grupā 13,3% bērnu saskārās ar veselības problēmu radītiem ierobežojumiem veikt aktivitātes, kuras parasti veic bērni viņu vecumā, 4. kvintiļu grupā šo bērnu īpatsvars ir 12,4%, bet 5. kvintiļu grupā – 14,2%.</w:t>
      </w:r>
      <w:r w:rsidR="0007337F" w:rsidRPr="00966D80">
        <w:t xml:space="preserve"> </w:t>
      </w:r>
    </w:p>
    <w:p w:rsidR="0007337F" w:rsidRPr="00966D80" w:rsidRDefault="0007337F" w:rsidP="00064C1E"/>
    <w:p w:rsidR="0007337F" w:rsidRPr="00966D80" w:rsidRDefault="001E6034" w:rsidP="00064C1E">
      <w:r w:rsidRPr="001E6034">
        <w:t xml:space="preserve">Nabadzības riska slieksnis (un ģimenes atrašanās zem vai virs tā) atsaucās uz datiem par bērnu veselības traucējumu ietekmi veikt aktivitātes tādējādi, ka grupā zem nabadzības riska sliekšņa biežāk atradušies bērni ar stipriem ierobežojumiem veikt aktivitātes. </w:t>
      </w:r>
      <w:r w:rsidR="0007337F" w:rsidRPr="001E6034">
        <w:t xml:space="preserve">2,1% bērnu, kuri ir zem nabadzības sliekšņa, saskārās ar stipriem ierobežojumiem veselības problēmu dēļ, kamēr bērni, kuri ir virs nabadzības sliekšņa, ar šādiem ierobežojumiem saskārās retāk – 0,5% gadījumu. Nav konstatētas atšķirības starp šo griezumu un </w:t>
      </w:r>
      <w:r w:rsidRPr="001E6034">
        <w:t xml:space="preserve">vispārīgiem </w:t>
      </w:r>
      <w:r w:rsidR="0007337F" w:rsidRPr="001E6034">
        <w:t>ierobežojumiem.</w:t>
      </w:r>
    </w:p>
    <w:p w:rsidR="0007337F" w:rsidRPr="00966D80" w:rsidRDefault="0007337F" w:rsidP="00064C1E">
      <w:pPr>
        <w:rPr>
          <w:u w:val="single"/>
        </w:rPr>
      </w:pPr>
    </w:p>
    <w:p w:rsidR="0007337F" w:rsidRPr="00966D80" w:rsidRDefault="001E6034" w:rsidP="00064C1E">
      <w:r>
        <w:t>Līdzīgi kā iepriekš pieaugušā vecumā esošu iedzīvotāju gadījumā, nevienlīdzības veselības aprūpes jomā būtiski ir dati</w:t>
      </w:r>
      <w:r w:rsidR="0007337F" w:rsidRPr="00966D80">
        <w:t>, kuri parāda, ka mājsaimniecība vismaz vienu reizi ir saskārusies ar gadījumu, kad, pirmkārt, tajā esošajam bērniem bija nepieciešams veikt pārbaudi pie medicīnas speciālista vai ārstēšanos (izņemot zobārstu), bet tā netika veikta un, otrkārt, bērnam bija</w:t>
      </w:r>
      <w:r w:rsidR="0007337F">
        <w:t xml:space="preserve"> </w:t>
      </w:r>
      <w:r w:rsidR="0007337F" w:rsidRPr="00966D80">
        <w:t>nepieciešamība pārbaudīt vai ārstēt zobus, bet tas netika izdarīts</w:t>
      </w:r>
      <w:r w:rsidR="0047141A">
        <w:t xml:space="preserve"> (</w:t>
      </w:r>
      <w:r w:rsidR="00922A20">
        <w:t xml:space="preserve">sk. </w:t>
      </w:r>
      <w:r w:rsidR="00AD3EDD">
        <w:fldChar w:fldCharType="begin"/>
      </w:r>
      <w:r w:rsidR="008108D3">
        <w:instrText xml:space="preserve"> REF _Ref6496127 \h </w:instrText>
      </w:r>
      <w:r w:rsidR="00AD3EDD">
        <w:fldChar w:fldCharType="separate"/>
      </w:r>
      <w:r w:rsidR="00224B50">
        <w:rPr>
          <w:noProof/>
        </w:rPr>
        <w:t>2</w:t>
      </w:r>
      <w:r w:rsidR="00224B50">
        <w:t>.</w:t>
      </w:r>
      <w:r w:rsidR="00224B50">
        <w:rPr>
          <w:noProof/>
        </w:rPr>
        <w:t>27</w:t>
      </w:r>
      <w:r w:rsidR="00AD3EDD">
        <w:fldChar w:fldCharType="end"/>
      </w:r>
      <w:r w:rsidR="00922A20">
        <w:t>. attēlu</w:t>
      </w:r>
      <w:r w:rsidR="0047141A">
        <w:t>)</w:t>
      </w:r>
      <w:r w:rsidR="0007337F" w:rsidRPr="00966D80">
        <w:t xml:space="preserve">. </w:t>
      </w:r>
      <w:r w:rsidR="00ED0A73">
        <w:t>Šie dati ļauj novērtēt</w:t>
      </w:r>
      <w:r w:rsidR="00E718DC">
        <w:t>, cik lielā mērā praksē pastāv riski, ka bērni nesaņem savlaicīgi veselības aprūpi, neskatoties uz tiesību aktos paredzētajiem atvieglojumiem.</w:t>
      </w:r>
    </w:p>
    <w:p w:rsidR="00E718DC" w:rsidRDefault="00E718DC" w:rsidP="00064C1E"/>
    <w:p w:rsidR="0047141A" w:rsidRPr="00966D80" w:rsidRDefault="00E718DC" w:rsidP="00064C1E">
      <w:r>
        <w:t>Vidēji</w:t>
      </w:r>
      <w:r w:rsidR="0047141A" w:rsidRPr="00966D80">
        <w:t xml:space="preserve"> </w:t>
      </w:r>
      <w:r w:rsidRPr="00966D80">
        <w:t xml:space="preserve">5,3% </w:t>
      </w:r>
      <w:r w:rsidR="0047141A" w:rsidRPr="00966D80">
        <w:t xml:space="preserve">mājsaimniecībās, kurās ir bērni vecumā līdz 15 gadiem, pēdējo 12 mēnešu laikā </w:t>
      </w:r>
      <w:r>
        <w:t>netika veikta</w:t>
      </w:r>
      <w:r w:rsidR="0047141A" w:rsidRPr="00966D80">
        <w:t xml:space="preserve"> bērnam nepieciešam</w:t>
      </w:r>
      <w:r>
        <w:t>ā zobu pārbaude</w:t>
      </w:r>
      <w:r w:rsidR="0047141A" w:rsidRPr="00966D80">
        <w:t xml:space="preserve"> vai ārstēšan</w:t>
      </w:r>
      <w:r>
        <w:t>ās</w:t>
      </w:r>
      <w:r w:rsidR="0047141A" w:rsidRPr="00966D80">
        <w:t>, savukārt 2,5% no šīm mājsaimniecībām neveica pārbaudi vai ārstēšanos pie cita veida medicīnas speciālista (izņemot zobārstus), neskatoties uz to, ka bērnam šī pārbaude vai ārstēšanās bija nepieciešama.</w:t>
      </w:r>
    </w:p>
    <w:bookmarkStart w:id="464" w:name="_Ref6496127"/>
    <w:bookmarkStart w:id="465" w:name="_Toc6219219"/>
    <w:bookmarkStart w:id="466" w:name="_Toc6220162"/>
    <w:p w:rsidR="0007337F" w:rsidRPr="00966D80" w:rsidRDefault="00AD3EDD" w:rsidP="008108D3">
      <w:pPr>
        <w:pStyle w:val="Caption"/>
      </w:pPr>
      <w:r>
        <w:lastRenderedPageBreak/>
        <w:fldChar w:fldCharType="begin"/>
      </w:r>
      <w:r w:rsidR="006B5456">
        <w:instrText xml:space="preserve"> STYLEREF 1 \s </w:instrText>
      </w:r>
      <w:r>
        <w:fldChar w:fldCharType="separate"/>
      </w:r>
      <w:bookmarkStart w:id="467" w:name="_Toc6855815"/>
      <w:r w:rsidR="00224B50">
        <w:rPr>
          <w:noProof/>
        </w:rPr>
        <w:t>2</w:t>
      </w:r>
      <w:r>
        <w:fldChar w:fldCharType="end"/>
      </w:r>
      <w:r w:rsidR="006B5456">
        <w:t>.</w:t>
      </w:r>
      <w:r>
        <w:fldChar w:fldCharType="begin"/>
      </w:r>
      <w:r w:rsidR="000F1524">
        <w:instrText xml:space="preserve"> SEQ Ilustrācija \* ARABIC \s 1 </w:instrText>
      </w:r>
      <w:r>
        <w:fldChar w:fldCharType="separate"/>
      </w:r>
      <w:r w:rsidR="00224B50">
        <w:rPr>
          <w:noProof/>
        </w:rPr>
        <w:t>27</w:t>
      </w:r>
      <w:r>
        <w:rPr>
          <w:noProof/>
        </w:rPr>
        <w:fldChar w:fldCharType="end"/>
      </w:r>
      <w:bookmarkEnd w:id="464"/>
      <w:r w:rsidR="0047141A">
        <w:t xml:space="preserve">. attēls. </w:t>
      </w:r>
      <w:r w:rsidR="0007337F" w:rsidRPr="00966D80">
        <w:t>Pārbaužu veikšana vai ārstēšanās pie medicīnas speciālista un zobārsta apmeklējums visiem mājsaimniecības bērniem vecumā līdz 15 gadiem 2017</w:t>
      </w:r>
      <w:r w:rsidR="0007337F">
        <w:t>. gadā</w:t>
      </w:r>
      <w:r w:rsidR="0007337F" w:rsidRPr="00966D80">
        <w:t xml:space="preserve"> (%). Pēdējo 12 mēnešu laikā kādam no mājsaimniecības bērniem ir bijusi nepieciešamība veikt pārbaudi pie medicīnas speciālista vai ārstēšanos (izņemot zobārstu), bet tā netika veikta</w:t>
      </w:r>
      <w:r w:rsidR="0007337F">
        <w:t>,</w:t>
      </w:r>
      <w:r w:rsidR="0007337F" w:rsidRPr="00966D80">
        <w:t xml:space="preserve"> un pēdējo 12 mēnešu laikā kādam no mājsaimniecības bērniem ir bijusi nepieciešamība pārbaudīt vai ārstēt zobus, bet tas netika izdarīts. Visas mājsaimniecības ar 0-15 gadu veciem bērniem un mājsaimniecības tipu griezumā</w:t>
      </w:r>
      <w:bookmarkEnd w:id="465"/>
      <w:bookmarkEnd w:id="466"/>
      <w:bookmarkEnd w:id="467"/>
    </w:p>
    <w:p w:rsidR="0007337F" w:rsidRPr="00966D80" w:rsidRDefault="00500544" w:rsidP="00064C1E">
      <w:pPr>
        <w:rPr>
          <w:u w:val="single"/>
        </w:rPr>
      </w:pPr>
      <w:r w:rsidRPr="00500544">
        <w:rPr>
          <w:noProof/>
        </w:rPr>
        <w:drawing>
          <wp:inline distT="0" distB="0" distL="0" distR="0">
            <wp:extent cx="6154420" cy="3757358"/>
            <wp:effectExtent l="19050" t="0" r="0" b="0"/>
            <wp:docPr id="150"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0"/>
                    <a:srcRect/>
                    <a:stretch>
                      <a:fillRect/>
                    </a:stretch>
                  </pic:blipFill>
                  <pic:spPr bwMode="auto">
                    <a:xfrm>
                      <a:off x="0" y="0"/>
                      <a:ext cx="6154420" cy="3757358"/>
                    </a:xfrm>
                    <a:prstGeom prst="rect">
                      <a:avLst/>
                    </a:prstGeom>
                    <a:noFill/>
                    <a:ln w="9525">
                      <a:noFill/>
                      <a:miter lim="800000"/>
                      <a:headEnd/>
                      <a:tailEnd/>
                    </a:ln>
                  </pic:spPr>
                </pic:pic>
              </a:graphicData>
            </a:graphic>
          </wp:inline>
        </w:drawing>
      </w:r>
    </w:p>
    <w:p w:rsidR="0007337F" w:rsidRPr="005A62EE" w:rsidRDefault="005A62EE" w:rsidP="005A62EE">
      <w:pPr>
        <w:spacing w:line="240" w:lineRule="auto"/>
        <w:rPr>
          <w:sz w:val="20"/>
          <w:szCs w:val="20"/>
        </w:rPr>
      </w:pPr>
      <w:r w:rsidRPr="005A62EE">
        <w:rPr>
          <w:sz w:val="20"/>
          <w:szCs w:val="20"/>
        </w:rPr>
        <w:t>Avots: CSP “MOD17_03. Pārbaužu veikšana vai ārstēšanās pie medicīnas speciālista un zobārsta apmeklējums visiem mājsaimniecības bērniem vecumā līdz 15 gadiem 2017. gadā (%)”</w:t>
      </w:r>
      <w:r>
        <w:rPr>
          <w:sz w:val="20"/>
          <w:szCs w:val="20"/>
        </w:rPr>
        <w:t>.</w:t>
      </w:r>
    </w:p>
    <w:p w:rsidR="005A62EE" w:rsidRDefault="005A62EE" w:rsidP="00064C1E"/>
    <w:p w:rsidR="00E718DC" w:rsidRDefault="00E718DC" w:rsidP="00E718DC">
      <w:r w:rsidRPr="00966D80">
        <w:t>Mājsaimniecības tipu griezumā redzams, ka visbiežāk</w:t>
      </w:r>
      <w:r>
        <w:t xml:space="preserve"> – </w:t>
      </w:r>
      <w:r w:rsidRPr="00966D80">
        <w:t>6,5% gadījumu</w:t>
      </w:r>
      <w:r>
        <w:t xml:space="preserve"> – </w:t>
      </w:r>
      <w:r w:rsidRPr="00966D80">
        <w:t>mājsaimniecības</w:t>
      </w:r>
      <w:r>
        <w:t>,</w:t>
      </w:r>
      <w:r w:rsidRPr="00966D80">
        <w:t xml:space="preserve"> kurās ir pāris ar trīs un vairāk bērniem</w:t>
      </w:r>
      <w:r>
        <w:t>,</w:t>
      </w:r>
      <w:r w:rsidRPr="00966D80">
        <w:t xml:space="preserve"> un mājsaimniecības, kurās ir viens pieaugušais ar bērniem</w:t>
      </w:r>
      <w:r>
        <w:t>,</w:t>
      </w:r>
      <w:r w:rsidRPr="00966D80">
        <w:t xml:space="preserve"> vismaz vienu reizi neveica bērnam nepieciešamo zobu pārbaudi vai labošanu</w:t>
      </w:r>
      <w:r>
        <w:t xml:space="preserve"> gadījumā, kad tas bija nepieciešams</w:t>
      </w:r>
      <w:r w:rsidRPr="00966D80">
        <w:t>. 4,2% gadījumu šo pārbaudi neveica mājsaimniecības a</w:t>
      </w:r>
      <w:r>
        <w:t>r</w:t>
      </w:r>
      <w:r w:rsidRPr="00966D80">
        <w:t xml:space="preserve"> diviem bērniem, bet 2,9% mājsaimniecības, kurās ir pāris ar vienu bērnu.</w:t>
      </w:r>
    </w:p>
    <w:p w:rsidR="00E718DC" w:rsidRPr="00966D80" w:rsidRDefault="00E718DC" w:rsidP="00E718DC"/>
    <w:p w:rsidR="0007337F" w:rsidRDefault="00E718DC" w:rsidP="00064C1E">
      <w:r w:rsidRPr="00966D80">
        <w:t>Mājsaimniecību tips, kurā ir pāris ar vienu bērnu</w:t>
      </w:r>
      <w:r>
        <w:t>,</w:t>
      </w:r>
      <w:r w:rsidRPr="00966D80">
        <w:t xml:space="preserve"> ir vienīgais, kuram rādītājs, kas raksturo gadījumu, kad vismaz vienu reizi bērnam netika veikta nepieciešamā medicīniskās pārbaudes vai ārstēšanās</w:t>
      </w:r>
      <w:r>
        <w:t>,</w:t>
      </w:r>
      <w:r w:rsidRPr="00966D80">
        <w:t xml:space="preserve"> pārsniedz gadījumus, kad vismaz vienu reizi netika veikta nepieciešamā zobu labošana vai pārbaude</w:t>
      </w:r>
      <w:r>
        <w:t xml:space="preserve"> – </w:t>
      </w:r>
      <w:r w:rsidRPr="00966D80">
        <w:t>3,1% pret 2,9%</w:t>
      </w:r>
      <w:r>
        <w:t>, un š</w:t>
      </w:r>
      <w:r w:rsidRPr="00966D80">
        <w:t>is ir mājsaimniecības tips, kas visbiežāk saskāries ar šādu gadījumu. 2,3% mājsaimniecību</w:t>
      </w:r>
      <w:r>
        <w:t>,</w:t>
      </w:r>
      <w:r w:rsidRPr="00966D80">
        <w:t xml:space="preserve"> kurās ir viens pieaugušais ar bērniem</w:t>
      </w:r>
      <w:r>
        <w:t>,</w:t>
      </w:r>
      <w:r w:rsidRPr="00966D80">
        <w:t xml:space="preserve"> vismaz vienu reizi neveica bērna nepieciešamu medicīnisko pārbaudi vai ārstēšanos, kamēr mājsaimniecību grupā, kurā ir pāris ar divi</w:t>
      </w:r>
      <w:r>
        <w:t xml:space="preserve">em bērniem, </w:t>
      </w:r>
      <w:r w:rsidRPr="00966D80">
        <w:t>šis rādītājs ir 2,1%. Visretāk</w:t>
      </w:r>
      <w:r>
        <w:t xml:space="preserve"> – </w:t>
      </w:r>
      <w:r w:rsidRPr="00966D80">
        <w:t>0,9% gadījumu</w:t>
      </w:r>
      <w:r>
        <w:t xml:space="preserve"> – </w:t>
      </w:r>
      <w:r w:rsidRPr="00966D80">
        <w:t>situācija, kad vismaz vienu reizi bērnam nav veikta nepieciešamā medicīniskā pārbaude vai procedūra</w:t>
      </w:r>
      <w:r>
        <w:t>,</w:t>
      </w:r>
      <w:r w:rsidRPr="00966D80">
        <w:t xml:space="preserve"> konstatēta mājsaimniecību </w:t>
      </w:r>
      <w:r w:rsidRPr="00B3395D">
        <w:lastRenderedPageBreak/>
        <w:t>grupā, kurā ir pāris ar trīs un vairāk bērniem.</w:t>
      </w:r>
      <w:r w:rsidR="00B3395D" w:rsidRPr="00B3395D">
        <w:t xml:space="preserve"> </w:t>
      </w:r>
      <w:r w:rsidR="0007337F" w:rsidRPr="00B3395D">
        <w:t xml:space="preserve">Pilsētu un lauku griezumā nozīmīgas atšķirības </w:t>
      </w:r>
      <w:r w:rsidR="00B3395D" w:rsidRPr="00B3395D">
        <w:t>starp biežumu, kad ģimene nav veikusi ne</w:t>
      </w:r>
      <w:r w:rsidR="00C548CE">
        <w:t>pie</w:t>
      </w:r>
      <w:r w:rsidR="00B3395D" w:rsidRPr="00B3395D">
        <w:t xml:space="preserve">ciešamās pārbaudes vai ārstēšanos, </w:t>
      </w:r>
      <w:r w:rsidR="0007337F" w:rsidRPr="00B3395D">
        <w:t>nav konstatētas.</w:t>
      </w:r>
    </w:p>
    <w:p w:rsidR="00E718DC" w:rsidRDefault="00E718DC" w:rsidP="00064C1E"/>
    <w:p w:rsidR="0007337F" w:rsidRPr="00966D80" w:rsidRDefault="0007337F" w:rsidP="00064C1E">
      <w:r w:rsidRPr="00966D80">
        <w:t>Reģionu griezumā redzams, ka Rīgas reģionā visbiežāk</w:t>
      </w:r>
      <w:r>
        <w:t xml:space="preserve"> – </w:t>
      </w:r>
      <w:r w:rsidRPr="00966D80">
        <w:t>3,4%</w:t>
      </w:r>
      <w:r>
        <w:t xml:space="preserve"> </w:t>
      </w:r>
      <w:r w:rsidRPr="00966D80">
        <w:t>gadījum</w:t>
      </w:r>
      <w:r>
        <w:t xml:space="preserve">u – </w:t>
      </w:r>
      <w:r w:rsidRPr="00966D80">
        <w:t xml:space="preserve">mājsaimniecības vismaz vienu </w:t>
      </w:r>
      <w:r>
        <w:t xml:space="preserve">reizi </w:t>
      </w:r>
      <w:r w:rsidRPr="00966D80">
        <w:t>neveica bērnam nepieciešamo medicīnisko pārbaudi vai ārstēšanos</w:t>
      </w:r>
      <w:r>
        <w:t>. C</w:t>
      </w:r>
      <w:r w:rsidRPr="00966D80">
        <w:t>itos reģionos šie rādītāji ir zemāki. Latgales reģionā 2,9% un Zemgales reģionā 2,8% mājsaimniecību saskārās ar šādu situāciju. Kurzemes un Pierīgas reģionos šie rādītāji ir vēl zemāki, attiecīgi –</w:t>
      </w:r>
      <w:r>
        <w:t xml:space="preserve"> </w:t>
      </w:r>
      <w:r w:rsidRPr="00966D80">
        <w:t>1,5% un 0.9%. Runājot par gadījumiem, kad mājsaimniecības vismaz vienu reizi neveica bērnam nepieciešamo zobu pārbaudi vai ārstēšanos, tad īpaši izceļas Kurzemes reģions, kur 13,4% mājsaimniecību saskārās ar šādu situāciju, Vidzemes reģionā šis rādītājs ir 6,1%, bet Latgales reģionā 5,1%. Pār</w:t>
      </w:r>
      <w:r w:rsidR="00EE0CBA">
        <w:t>ē</w:t>
      </w:r>
      <w:r w:rsidRPr="00966D80">
        <w:t>jos reģion</w:t>
      </w:r>
      <w:r w:rsidR="00EE0CBA">
        <w:t>o</w:t>
      </w:r>
      <w:r w:rsidRPr="00966D80">
        <w:t>s šie rādītāji ir zem 4%, Zemgales reģionā 3,8% mājsaimniecību vismaz vienu reizi neveica bērnam nepieciešamo zobu pārbaudi vai ārstēšanos, Rīgas reģionā šis rādītājs ir 3,4%, bet Pierīgas reģionā tas ir viszemākais</w:t>
      </w:r>
      <w:r>
        <w:t xml:space="preserve"> – </w:t>
      </w:r>
      <w:r w:rsidRPr="00966D80">
        <w:t>2,7%.</w:t>
      </w:r>
    </w:p>
    <w:p w:rsidR="0007337F" w:rsidRPr="00966D80" w:rsidRDefault="0007337F" w:rsidP="00064C1E"/>
    <w:p w:rsidR="009A1A4D" w:rsidRDefault="0007337F" w:rsidP="00064C1E">
      <w:r w:rsidRPr="00966D80">
        <w:t>Dat</w:t>
      </w:r>
      <w:r w:rsidR="00B3395D">
        <w:t>u analīze ienākumu kvintiļu grupu griezumā</w:t>
      </w:r>
      <w:r w:rsidR="00EE0CBA">
        <w:t xml:space="preserve"> parāda</w:t>
      </w:r>
      <w:r w:rsidRPr="00966D80">
        <w:t>, ka visbiežāk</w:t>
      </w:r>
      <w:r>
        <w:t xml:space="preserve"> – </w:t>
      </w:r>
      <w:r w:rsidRPr="00966D80">
        <w:t>4,3% gadījumu</w:t>
      </w:r>
      <w:r>
        <w:t xml:space="preserve"> – </w:t>
      </w:r>
      <w:r w:rsidRPr="00966D80">
        <w:t xml:space="preserve">pirmajā kvintiļu grupā esošās mājsaimniecības </w:t>
      </w:r>
      <w:r>
        <w:t>vismaz vienu reizi</w:t>
      </w:r>
      <w:r w:rsidRPr="00966D80">
        <w:t xml:space="preserve"> neveica bērnam nepieciešamās medicīniskās pārbaudes vai ārstēšanos. Svarīgi atzīmēt, ka nākamās kvintiļu</w:t>
      </w:r>
      <w:r>
        <w:t xml:space="preserve"> grupas, k</w:t>
      </w:r>
      <w:r w:rsidRPr="00966D80">
        <w:t>as saskārās ar šādu situāciju</w:t>
      </w:r>
      <w:r>
        <w:t>,</w:t>
      </w:r>
      <w:r w:rsidRPr="00966D80">
        <w:t xml:space="preserve"> ir t</w:t>
      </w:r>
      <w:r>
        <w:t>urīgākās mājsaimniecības</w:t>
      </w:r>
      <w:r w:rsidRPr="00966D80">
        <w:t>, proti</w:t>
      </w:r>
      <w:r>
        <w:t>,</w:t>
      </w:r>
      <w:r w:rsidRPr="00966D80">
        <w:t xml:space="preserve"> 2,1% 4</w:t>
      </w:r>
      <w:r>
        <w:t>. kvint</w:t>
      </w:r>
      <w:r w:rsidRPr="00966D80">
        <w:t>iļu grupas mājsaimniecības</w:t>
      </w:r>
      <w:r>
        <w:t>,</w:t>
      </w:r>
      <w:r w:rsidRPr="00966D80">
        <w:t xml:space="preserve"> un 2% 5</w:t>
      </w:r>
      <w:r>
        <w:t>.</w:t>
      </w:r>
      <w:r w:rsidRPr="00966D80">
        <w:t xml:space="preserve"> kvintiļu grupas mājsaimniecības vismaz vienu reizi neveica bērnam neieciešamās medicīniskās pārbaudes vai ārstēšanos. 2. un 3</w:t>
      </w:r>
      <w:r>
        <w:t>. kvint</w:t>
      </w:r>
      <w:r w:rsidRPr="00966D80">
        <w:t>iļu grupā šie rādītāji ir attiecīgi 1,9% un 1,2%. Pievēršoties gadījumiem, kad mājsaimniecības neveica bērnam nepieciešamās zobu pārbaudes vai ārstēšanos</w:t>
      </w:r>
      <w:r>
        <w:t>,</w:t>
      </w:r>
      <w:r w:rsidRPr="00966D80">
        <w:t xml:space="preserve"> vērojama tendence, </w:t>
      </w:r>
      <w:r w:rsidR="004E2D9E">
        <w:t xml:space="preserve">ka, </w:t>
      </w:r>
      <w:r>
        <w:t>pieaugot</w:t>
      </w:r>
      <w:r w:rsidRPr="00966D80">
        <w:t xml:space="preserve"> mājsaimniecī</w:t>
      </w:r>
      <w:r>
        <w:t>bas turīgumam, tās retāk saskārā</w:t>
      </w:r>
      <w:r w:rsidRPr="00966D80">
        <w:t>s ar šādu situāciju. 1</w:t>
      </w:r>
      <w:r>
        <w:t>. kvint</w:t>
      </w:r>
      <w:r w:rsidRPr="00966D80">
        <w:t>iļu grupā 7,1% mājsaimniecību vismaz vienu reizi neveica bērnam nepieciešamo zobu pārbaudi vai ārstēšanos, 2</w:t>
      </w:r>
      <w:r>
        <w:t>. kvint</w:t>
      </w:r>
      <w:r w:rsidRPr="00966D80">
        <w:t>iļu grupā šis rādītājs ir 7%, bet katrā nākamajā grupā šis rādītājs strauji samazinās. 3</w:t>
      </w:r>
      <w:r>
        <w:t>. kvint</w:t>
      </w:r>
      <w:r w:rsidRPr="00966D80">
        <w:t>iļu grupā 5,6% mājsaimniecību neveica bērnam nepieciešamo zobu pārbaudi vai ārstēšanos, 4</w:t>
      </w:r>
      <w:r>
        <w:t>. kvint</w:t>
      </w:r>
      <w:r w:rsidRPr="00966D80">
        <w:t>iļu grupā šis rādītājs ir 3,5%, bet 5</w:t>
      </w:r>
      <w:r>
        <w:t>. kvint</w:t>
      </w:r>
      <w:r w:rsidRPr="00966D80">
        <w:t>iļu grupā</w:t>
      </w:r>
      <w:r>
        <w:t xml:space="preserve"> – </w:t>
      </w:r>
      <w:r w:rsidR="0047141A">
        <w:t>0,7%.</w:t>
      </w:r>
    </w:p>
    <w:p w:rsidR="00B3395D" w:rsidRDefault="00B3395D" w:rsidP="00064C1E"/>
    <w:p w:rsidR="00B3395D" w:rsidRDefault="00B3395D" w:rsidP="00064C1E">
      <w:r w:rsidRPr="00966D80">
        <w:t>Gadījumos, kad mājsaimniecība atrodas zem nabadzības riska sliekšņa, redzama situācija, ka mājsaimniecības biežāk vismaz vienu reizi nav veikušas bērnam nepieciešamo medicīnisko pārbaudi vai ārstēšanos, šāda situācija novērojama 8% gadījumu, kamēr mājsaimniecībā, kuras ir virs nabadzības riska sliekšņa</w:t>
      </w:r>
      <w:r>
        <w:t>,</w:t>
      </w:r>
      <w:r w:rsidRPr="00966D80">
        <w:t xml:space="preserve"> šis rādītājs ir 4,7%. Līdzīga situācija ir saistība ar gadījumiem, kad vismaz vienu reizi mājsaimniecība nav veikusi bērnam nepieciešamo zobu pārbaudi vai labošanu. 5,2% mājsaimniecību, kas atrodas zem nabadzības riska sliekšņa</w:t>
      </w:r>
      <w:r>
        <w:t>,</w:t>
      </w:r>
      <w:r w:rsidRPr="00966D80">
        <w:t xml:space="preserve"> vismaz vienu reizi veikušas šā</w:t>
      </w:r>
      <w:r>
        <w:t>du darbību, kamēr mājsaimniecībā</w:t>
      </w:r>
      <w:r w:rsidRPr="00966D80">
        <w:t>s, kas ir virs riska sliekšņa</w:t>
      </w:r>
      <w:r>
        <w:t>,</w:t>
      </w:r>
      <w:r w:rsidRPr="00966D80">
        <w:t xml:space="preserve"> tas redzams 1,9% gadījumu</w:t>
      </w:r>
      <w:r>
        <w:t>.</w:t>
      </w:r>
    </w:p>
    <w:p w:rsidR="00273948" w:rsidRDefault="00273948" w:rsidP="00064C1E"/>
    <w:p w:rsidR="00784100" w:rsidRDefault="00784100" w:rsidP="00064C1E">
      <w:r>
        <w:t>Līdzīgi kā pieaugušo gadījumā, arī par tiem gadījumiem, kad bērniem netika veikta pārbaude pie medicīnas speciālista (ārsta speciālista) vai zobārsta, tika noskaidroti šīs rīcības iemesli (sk. 2.3. tabulu). Tie attēlo, kā sadalās sīkāk pēc iemesliem 2.27. attēlā parādītie 2,5% ārstu speciālistu gadījumā un 5,3% – zobārstniecības neapmeklēšanas gadījumā. Kopumā dati rāda, ka iemesli, kāpēc bērni neapmeklēja attiecīgi ārstu speciālistu un zobārstu, atšķiras no pieaugušo datiem</w:t>
      </w:r>
      <w:r w:rsidR="00280C31">
        <w:t xml:space="preserve">, jo relatīvi lielāku nozīmi attiecībā pret citiem iemesliem bērnu gadījumā iegūst gaidīšana rindā un nespēja izbrīvēt laiku, jo jāstrādā, jāaprūpē pārējie bērni vai citas personas (2.3. tabula). Tādējādi bērni pie medicīnas speciālista ārstēties nenokļuva tāpēc, ka pārāk ilgi bija jāgaida rindā uz pieņemšanu (1,1%) un tāpēc, ka vecāki to nevarēja atļauties dārdzības dēļ (1,0%). Savukārt pie zobārsti bērni </w:t>
      </w:r>
      <w:r w:rsidR="00280C31">
        <w:lastRenderedPageBreak/>
        <w:t>netika aizvesti tāpēc, ka vecāki to nevarēja atļauties dārdzības dēļ (3,1%), pārāk ilgas gaidīšanas rindā dēļ (1,5%), kā arī sava nozīme ir bijusi grūtībām atrast laiku darba vai citu personu aprūpes dēļ (0,4%). Tādējādi redzams, ka, neskatoties uz valsts noteiktajiem atvieglojumiem bērniem veselības aprūpes pakalpojumu saņemšanai, praksē bērnu vecāki sastopas ar grūtībām piekļūt šiem pakalpojumiem, kā rezultātā pastāv iespēja, ka bērni nepieciešamo aprūpi nesaņem laikā.</w:t>
      </w:r>
    </w:p>
    <w:p w:rsidR="00273948" w:rsidRDefault="00AD3EDD" w:rsidP="008108D3">
      <w:pPr>
        <w:pStyle w:val="Caption"/>
        <w:jc w:val="both"/>
      </w:pPr>
      <w:r>
        <w:fldChar w:fldCharType="begin"/>
      </w:r>
      <w:r w:rsidR="000F1524">
        <w:instrText xml:space="preserve"> STYLEREF 1 \s </w:instrText>
      </w:r>
      <w:r>
        <w:fldChar w:fldCharType="separate"/>
      </w:r>
      <w:bookmarkStart w:id="468" w:name="_Toc6857676"/>
      <w:r w:rsidR="00224B50">
        <w:rPr>
          <w:noProof/>
        </w:rPr>
        <w:t>2</w:t>
      </w:r>
      <w:r>
        <w:rPr>
          <w:noProof/>
        </w:rPr>
        <w:fldChar w:fldCharType="end"/>
      </w:r>
      <w:r w:rsidR="00A46B54" w:rsidRPr="00C22247">
        <w:t>.</w:t>
      </w:r>
      <w:r>
        <w:fldChar w:fldCharType="begin"/>
      </w:r>
      <w:r w:rsidR="000F1524">
        <w:instrText xml:space="preserve"> SEQ Tabula \* ARABIC \s 1 </w:instrText>
      </w:r>
      <w:r>
        <w:fldChar w:fldCharType="separate"/>
      </w:r>
      <w:r w:rsidR="00224B50">
        <w:rPr>
          <w:noProof/>
        </w:rPr>
        <w:t>3</w:t>
      </w:r>
      <w:r>
        <w:rPr>
          <w:noProof/>
        </w:rPr>
        <w:fldChar w:fldCharType="end"/>
      </w:r>
      <w:r w:rsidR="00273948" w:rsidRPr="00C22247">
        <w:t>. tabula. Pārbaužu veikšana vai ārstēšanās pie medicīnas speciālista un zobārsta apmeklējums visiem mājsaimniecības bērniem vecumā līdz 15 gadiem 2017. gadā (%). Medicīnas speciālista vai zobārsta neapmeklēšanas iemesli</w:t>
      </w:r>
      <w:bookmarkEnd w:id="468"/>
    </w:p>
    <w:tbl>
      <w:tblPr>
        <w:tblStyle w:val="TableGrid"/>
        <w:tblW w:w="0" w:type="auto"/>
        <w:tblLook w:val="04A0"/>
      </w:tblPr>
      <w:tblGrid>
        <w:gridCol w:w="4786"/>
        <w:gridCol w:w="2561"/>
        <w:gridCol w:w="2561"/>
      </w:tblGrid>
      <w:tr w:rsidR="000F3601" w:rsidRPr="000F3601" w:rsidTr="006106B3">
        <w:tc>
          <w:tcPr>
            <w:tcW w:w="4786" w:type="dxa"/>
            <w:shd w:val="clear" w:color="auto" w:fill="B8CCE4" w:themeFill="accent1" w:themeFillTint="66"/>
          </w:tcPr>
          <w:p w:rsidR="000F3601" w:rsidRPr="000F3601" w:rsidRDefault="000F3601" w:rsidP="00C548CE">
            <w:pPr>
              <w:jc w:val="center"/>
              <w:rPr>
                <w:b/>
                <w:sz w:val="22"/>
                <w:szCs w:val="22"/>
              </w:rPr>
            </w:pPr>
            <w:r w:rsidRPr="000F3601">
              <w:rPr>
                <w:b/>
                <w:sz w:val="22"/>
                <w:szCs w:val="22"/>
              </w:rPr>
              <w:t>Iemesls, kāpēc nevērsās pie ārsta un nev</w:t>
            </w:r>
            <w:r w:rsidR="00C548CE">
              <w:rPr>
                <w:b/>
                <w:sz w:val="22"/>
                <w:szCs w:val="22"/>
              </w:rPr>
              <w:t>ei</w:t>
            </w:r>
            <w:r w:rsidRPr="000F3601">
              <w:rPr>
                <w:b/>
                <w:sz w:val="22"/>
                <w:szCs w:val="22"/>
              </w:rPr>
              <w:t>ca ārstēšanos...</w:t>
            </w:r>
          </w:p>
        </w:tc>
        <w:tc>
          <w:tcPr>
            <w:tcW w:w="2561" w:type="dxa"/>
            <w:shd w:val="clear" w:color="auto" w:fill="B8CCE4" w:themeFill="accent1" w:themeFillTint="66"/>
          </w:tcPr>
          <w:p w:rsidR="000F3601" w:rsidRPr="000F3601" w:rsidRDefault="000F3601" w:rsidP="000F3601">
            <w:pPr>
              <w:jc w:val="center"/>
              <w:rPr>
                <w:b/>
                <w:sz w:val="22"/>
                <w:szCs w:val="22"/>
              </w:rPr>
            </w:pPr>
            <w:r w:rsidRPr="000F3601">
              <w:rPr>
                <w:b/>
                <w:sz w:val="22"/>
                <w:szCs w:val="22"/>
              </w:rPr>
              <w:t>Medicīnas speciālista (ārsts speciālists)</w:t>
            </w:r>
          </w:p>
        </w:tc>
        <w:tc>
          <w:tcPr>
            <w:tcW w:w="2561" w:type="dxa"/>
            <w:shd w:val="clear" w:color="auto" w:fill="B8CCE4" w:themeFill="accent1" w:themeFillTint="66"/>
          </w:tcPr>
          <w:p w:rsidR="000F3601" w:rsidRPr="000F3601" w:rsidRDefault="000F3601" w:rsidP="000F3601">
            <w:pPr>
              <w:jc w:val="center"/>
              <w:rPr>
                <w:b/>
                <w:sz w:val="22"/>
                <w:szCs w:val="22"/>
              </w:rPr>
            </w:pPr>
            <w:r w:rsidRPr="000F3601">
              <w:rPr>
                <w:b/>
                <w:sz w:val="22"/>
                <w:szCs w:val="22"/>
              </w:rPr>
              <w:t>Zobārstniecība</w:t>
            </w:r>
          </w:p>
        </w:tc>
      </w:tr>
      <w:tr w:rsidR="000F3601" w:rsidRPr="000F3601" w:rsidTr="000F3601">
        <w:tc>
          <w:tcPr>
            <w:tcW w:w="4786" w:type="dxa"/>
          </w:tcPr>
          <w:p w:rsidR="000F3601" w:rsidRPr="000F3601" w:rsidRDefault="000F3601" w:rsidP="00064C1E">
            <w:pPr>
              <w:rPr>
                <w:sz w:val="22"/>
                <w:szCs w:val="22"/>
              </w:rPr>
            </w:pPr>
            <w:r>
              <w:rPr>
                <w:sz w:val="22"/>
                <w:szCs w:val="22"/>
              </w:rPr>
              <w:t>Nevarēja atļauties (par dārgu)</w:t>
            </w:r>
          </w:p>
        </w:tc>
        <w:tc>
          <w:tcPr>
            <w:tcW w:w="2561" w:type="dxa"/>
          </w:tcPr>
          <w:p w:rsidR="000F3601" w:rsidRPr="000F3601" w:rsidRDefault="000F3601" w:rsidP="000F3601">
            <w:pPr>
              <w:jc w:val="center"/>
              <w:rPr>
                <w:sz w:val="22"/>
                <w:szCs w:val="22"/>
              </w:rPr>
            </w:pPr>
            <w:r>
              <w:rPr>
                <w:sz w:val="22"/>
                <w:szCs w:val="22"/>
              </w:rPr>
              <w:t>1,0</w:t>
            </w:r>
          </w:p>
        </w:tc>
        <w:tc>
          <w:tcPr>
            <w:tcW w:w="2561" w:type="dxa"/>
          </w:tcPr>
          <w:p w:rsidR="000F3601" w:rsidRPr="000F3601" w:rsidRDefault="000F3601" w:rsidP="000F3601">
            <w:pPr>
              <w:jc w:val="center"/>
              <w:rPr>
                <w:sz w:val="22"/>
                <w:szCs w:val="22"/>
              </w:rPr>
            </w:pPr>
            <w:r>
              <w:rPr>
                <w:sz w:val="22"/>
                <w:szCs w:val="22"/>
              </w:rPr>
              <w:t>3,1</w:t>
            </w:r>
          </w:p>
        </w:tc>
      </w:tr>
      <w:tr w:rsidR="000F3601" w:rsidRPr="000F3601" w:rsidTr="000F3601">
        <w:tc>
          <w:tcPr>
            <w:tcW w:w="4786" w:type="dxa"/>
          </w:tcPr>
          <w:p w:rsidR="000F3601" w:rsidRPr="000F3601" w:rsidRDefault="000F3601" w:rsidP="00064C1E">
            <w:pPr>
              <w:rPr>
                <w:sz w:val="22"/>
                <w:szCs w:val="22"/>
              </w:rPr>
            </w:pPr>
            <w:r>
              <w:rPr>
                <w:sz w:val="22"/>
                <w:szCs w:val="22"/>
              </w:rPr>
              <w:t>Pārāk ilgi jāgaida uz pieņemšanu/ rindas</w:t>
            </w:r>
          </w:p>
        </w:tc>
        <w:tc>
          <w:tcPr>
            <w:tcW w:w="2561" w:type="dxa"/>
          </w:tcPr>
          <w:p w:rsidR="000F3601" w:rsidRPr="000F3601" w:rsidRDefault="000F3601" w:rsidP="000F3601">
            <w:pPr>
              <w:jc w:val="center"/>
              <w:rPr>
                <w:sz w:val="22"/>
                <w:szCs w:val="22"/>
              </w:rPr>
            </w:pPr>
            <w:r>
              <w:rPr>
                <w:sz w:val="22"/>
                <w:szCs w:val="22"/>
              </w:rPr>
              <w:t>1,1</w:t>
            </w:r>
          </w:p>
        </w:tc>
        <w:tc>
          <w:tcPr>
            <w:tcW w:w="2561" w:type="dxa"/>
          </w:tcPr>
          <w:p w:rsidR="000F3601" w:rsidRPr="000F3601" w:rsidRDefault="000F3601" w:rsidP="000F3601">
            <w:pPr>
              <w:jc w:val="center"/>
              <w:rPr>
                <w:sz w:val="22"/>
                <w:szCs w:val="22"/>
              </w:rPr>
            </w:pPr>
            <w:r>
              <w:rPr>
                <w:sz w:val="22"/>
                <w:szCs w:val="22"/>
              </w:rPr>
              <w:t>1,5</w:t>
            </w:r>
          </w:p>
        </w:tc>
      </w:tr>
      <w:tr w:rsidR="000F3601" w:rsidRPr="000F3601" w:rsidTr="000F3601">
        <w:tc>
          <w:tcPr>
            <w:tcW w:w="4786" w:type="dxa"/>
          </w:tcPr>
          <w:p w:rsidR="000F3601" w:rsidRPr="000F3601" w:rsidRDefault="000F3601" w:rsidP="00064C1E">
            <w:pPr>
              <w:rPr>
                <w:sz w:val="22"/>
                <w:szCs w:val="22"/>
              </w:rPr>
            </w:pPr>
            <w:r w:rsidRPr="000F3601">
              <w:rPr>
                <w:sz w:val="22"/>
                <w:szCs w:val="22"/>
              </w:rPr>
              <w:t>Nevarēja atrast laiku, jo bija jāstrādā, jāaprūpē pārējie bērni vai citas personas</w:t>
            </w:r>
          </w:p>
        </w:tc>
        <w:tc>
          <w:tcPr>
            <w:tcW w:w="2561" w:type="dxa"/>
          </w:tcPr>
          <w:p w:rsidR="000F3601" w:rsidRPr="000F3601" w:rsidRDefault="000F3601" w:rsidP="000F3601">
            <w:pPr>
              <w:jc w:val="center"/>
              <w:rPr>
                <w:sz w:val="22"/>
                <w:szCs w:val="22"/>
              </w:rPr>
            </w:pPr>
            <w:r>
              <w:rPr>
                <w:sz w:val="22"/>
                <w:szCs w:val="22"/>
              </w:rPr>
              <w:t>0,3</w:t>
            </w:r>
          </w:p>
        </w:tc>
        <w:tc>
          <w:tcPr>
            <w:tcW w:w="2561" w:type="dxa"/>
          </w:tcPr>
          <w:p w:rsidR="000F3601" w:rsidRPr="000F3601" w:rsidRDefault="000F3601" w:rsidP="000F3601">
            <w:pPr>
              <w:jc w:val="center"/>
              <w:rPr>
                <w:sz w:val="22"/>
                <w:szCs w:val="22"/>
              </w:rPr>
            </w:pPr>
            <w:r>
              <w:rPr>
                <w:sz w:val="22"/>
                <w:szCs w:val="22"/>
              </w:rPr>
              <w:t>0,4</w:t>
            </w:r>
          </w:p>
        </w:tc>
      </w:tr>
      <w:tr w:rsidR="000F3601" w:rsidRPr="000F3601" w:rsidTr="000F3601">
        <w:tc>
          <w:tcPr>
            <w:tcW w:w="4786" w:type="dxa"/>
          </w:tcPr>
          <w:p w:rsidR="000F3601" w:rsidRPr="000F3601" w:rsidRDefault="000F3601" w:rsidP="00064C1E">
            <w:pPr>
              <w:rPr>
                <w:sz w:val="22"/>
                <w:szCs w:val="22"/>
              </w:rPr>
            </w:pPr>
            <w:r w:rsidRPr="000F3601">
              <w:rPr>
                <w:sz w:val="22"/>
                <w:szCs w:val="22"/>
              </w:rPr>
              <w:t>Pārāk tālu jābrauc vai nav transportlīdzekļa</w:t>
            </w:r>
          </w:p>
        </w:tc>
        <w:tc>
          <w:tcPr>
            <w:tcW w:w="2561" w:type="dxa"/>
          </w:tcPr>
          <w:p w:rsidR="000F3601" w:rsidRPr="000F3601" w:rsidRDefault="000F3601" w:rsidP="000F3601">
            <w:pPr>
              <w:jc w:val="center"/>
              <w:rPr>
                <w:sz w:val="22"/>
                <w:szCs w:val="22"/>
              </w:rPr>
            </w:pPr>
            <w:r>
              <w:rPr>
                <w:sz w:val="22"/>
                <w:szCs w:val="22"/>
              </w:rPr>
              <w:t>0,0</w:t>
            </w:r>
          </w:p>
        </w:tc>
        <w:tc>
          <w:tcPr>
            <w:tcW w:w="2561" w:type="dxa"/>
          </w:tcPr>
          <w:p w:rsidR="000F3601" w:rsidRPr="000F3601" w:rsidRDefault="000F3601" w:rsidP="000F3601">
            <w:pPr>
              <w:jc w:val="center"/>
              <w:rPr>
                <w:sz w:val="22"/>
                <w:szCs w:val="22"/>
              </w:rPr>
            </w:pPr>
            <w:r>
              <w:rPr>
                <w:sz w:val="22"/>
                <w:szCs w:val="22"/>
              </w:rPr>
              <w:t>0,1</w:t>
            </w:r>
          </w:p>
        </w:tc>
      </w:tr>
      <w:tr w:rsidR="000F3601" w:rsidRPr="000F3601" w:rsidTr="000F3601">
        <w:tc>
          <w:tcPr>
            <w:tcW w:w="4786" w:type="dxa"/>
          </w:tcPr>
          <w:p w:rsidR="000F3601" w:rsidRPr="000F3601" w:rsidRDefault="000F3601" w:rsidP="00064C1E">
            <w:pPr>
              <w:rPr>
                <w:sz w:val="22"/>
                <w:szCs w:val="22"/>
              </w:rPr>
            </w:pPr>
            <w:r>
              <w:rPr>
                <w:sz w:val="22"/>
                <w:szCs w:val="22"/>
              </w:rPr>
              <w:t>Cits iemesls</w:t>
            </w:r>
          </w:p>
        </w:tc>
        <w:tc>
          <w:tcPr>
            <w:tcW w:w="2561" w:type="dxa"/>
          </w:tcPr>
          <w:p w:rsidR="000F3601" w:rsidRPr="000F3601" w:rsidRDefault="000F3601" w:rsidP="000F3601">
            <w:pPr>
              <w:jc w:val="center"/>
              <w:rPr>
                <w:sz w:val="22"/>
                <w:szCs w:val="22"/>
              </w:rPr>
            </w:pPr>
            <w:r>
              <w:rPr>
                <w:sz w:val="22"/>
                <w:szCs w:val="22"/>
              </w:rPr>
              <w:t>0,1</w:t>
            </w:r>
          </w:p>
        </w:tc>
        <w:tc>
          <w:tcPr>
            <w:tcW w:w="2561" w:type="dxa"/>
          </w:tcPr>
          <w:p w:rsidR="000F3601" w:rsidRPr="000F3601" w:rsidRDefault="000F3601" w:rsidP="000F3601">
            <w:pPr>
              <w:jc w:val="center"/>
              <w:rPr>
                <w:sz w:val="22"/>
                <w:szCs w:val="22"/>
              </w:rPr>
            </w:pPr>
            <w:r>
              <w:rPr>
                <w:sz w:val="22"/>
                <w:szCs w:val="22"/>
              </w:rPr>
              <w:t>0,1</w:t>
            </w:r>
          </w:p>
        </w:tc>
      </w:tr>
    </w:tbl>
    <w:p w:rsidR="000F3601" w:rsidRPr="000F3601" w:rsidRDefault="000F3601" w:rsidP="00064C1E">
      <w:pPr>
        <w:rPr>
          <w:sz w:val="20"/>
          <w:szCs w:val="20"/>
        </w:rPr>
      </w:pPr>
      <w:r w:rsidRPr="000F3601">
        <w:rPr>
          <w:sz w:val="20"/>
          <w:szCs w:val="20"/>
        </w:rPr>
        <w:t>Avots:</w:t>
      </w:r>
      <w:r>
        <w:rPr>
          <w:sz w:val="20"/>
          <w:szCs w:val="20"/>
        </w:rPr>
        <w:t xml:space="preserve"> CSP, EU-SILC, 2017.</w:t>
      </w:r>
    </w:p>
    <w:p w:rsidR="000F3601" w:rsidRDefault="000F3601" w:rsidP="00064C1E">
      <w:pPr>
        <w:rPr>
          <w:highlight w:val="yellow"/>
        </w:rPr>
      </w:pPr>
    </w:p>
    <w:p w:rsidR="00601CFA" w:rsidRDefault="00280C31" w:rsidP="00064C1E">
      <w:r>
        <w:t xml:space="preserve">Apkopojot nodaļā minēto informāciju par Latvijas iedzīvotāju veselības pašnovērtējumu un sastaptajām grūtībām </w:t>
      </w:r>
      <w:r w:rsidRPr="00280C31">
        <w:t xml:space="preserve">pastāv nozīmīgas atšķirības </w:t>
      </w:r>
      <w:r w:rsidR="00E44042">
        <w:t xml:space="preserve">veselības aprūpes pakalpojumu pieejamībā un to izmaksu radītajā </w:t>
      </w:r>
      <w:r w:rsidRPr="00280C31">
        <w:t>starp iedzīvotājiem ar dažādiem ienākum</w:t>
      </w:r>
      <w:r w:rsidR="00E44042">
        <w:t>u līmeņiem.</w:t>
      </w:r>
      <w:r w:rsidRPr="00280C31">
        <w:t xml:space="preserve"> </w:t>
      </w:r>
      <w:r w:rsidR="00E44042">
        <w:t>I</w:t>
      </w:r>
      <w:r w:rsidRPr="00280C31">
        <w:t>zjusto slogu var pastiprināt dažādi papildu faktori – mājsaimniecības kompozīcija (pieaugušo un bērnu skaita attiecība)</w:t>
      </w:r>
      <w:r w:rsidR="00E44042" w:rsidRPr="00E44042">
        <w:t xml:space="preserve"> </w:t>
      </w:r>
      <w:r w:rsidR="00E44042" w:rsidRPr="00280C31">
        <w:t xml:space="preserve">un </w:t>
      </w:r>
      <w:r w:rsidR="00E44042">
        <w:t xml:space="preserve">iedzīvotāju </w:t>
      </w:r>
      <w:r w:rsidR="00E44042" w:rsidRPr="00280C31">
        <w:t>vecuma struktūra</w:t>
      </w:r>
      <w:r w:rsidR="00E44042">
        <w:t xml:space="preserve">, jo vecākiem iedzīvotājiem biežāk ir raksturīgas kādas hroniskas saslimšanas un viņi savu veselību vērtē sliktāk kā gados jautāki iedzīvotāji. Attiecīgi arī dažādu veselības aprūpes pakalpojumu radīto izmaksu slogs ir atšķirīgs dažādu mājsaimniecības tipu griezumā un ienākuma grupu griezumā. </w:t>
      </w:r>
      <w:r w:rsidRPr="00280C31">
        <w:t>Ģimenēm ar bērniem lielāku slogu rada zobārstniecības</w:t>
      </w:r>
      <w:r w:rsidR="00E44042">
        <w:t xml:space="preserve"> izdevumi, savukārt līdzīgā apmērā</w:t>
      </w:r>
      <w:r w:rsidRPr="00280C31">
        <w:t xml:space="preserve"> – ārstēšanās un zāļu/ medikamentu iegādes izdevumi, savukārt vienas personas mājsaimniecībai, kurā dzīvo persona 65 un vairāk gadu vecumā, vislielāko apgrūtinājumu rada zāļu iegāde, tad vispārējie ārstēšanās izdevumi un vismazāko slogu – zobārstniecība (g.k. tāpēc, ka šīs mājsaimniecības atzīst, ka šādu izdevumu tām pēdējā gada laikā nav bijis).</w:t>
      </w:r>
      <w:r w:rsidR="00E44042">
        <w:t xml:space="preserve"> Pieaugušo cilvēku grupā galvenais iemesls, kāpēc persona nav vērsusies pie ārsta speciālista vai zobārsta, ja bijusi tāda nepieciešamība, ir nespēja atļauties pakalpojumu tā dārdzības dēļ, relatīvi mazāks svars ir citiem iemesliem. Savukārt bērnu gadījumā, lai gan pakalpojuma dārdzība ir visbiežāk minētais iemesls, tomēr tā relatīvā nozīme attiecībā pret citiem iemesliem ir būtiski zemāka, attiecīgi lielāku nozīmi iegūst nepieciešamība ga</w:t>
      </w:r>
      <w:r w:rsidR="00C548CE">
        <w:t>i</w:t>
      </w:r>
      <w:r w:rsidR="00E44042">
        <w:t>dīt rindā. Tas tāpēc, ka veselības aprūpes pakalpojumi bērniem kopumā tiek segti no valsts budžeta līdzekļiem, tomēr to pieejamība ir ierobežota, t.i</w:t>
      </w:r>
      <w:r w:rsidR="00C548CE">
        <w:t>.</w:t>
      </w:r>
      <w:r w:rsidR="00E44042">
        <w:t>, jāgaida rinda uz pakalpojuma saņemšanu.</w:t>
      </w:r>
    </w:p>
    <w:p w:rsidR="000A51CF" w:rsidRDefault="000A51CF" w:rsidP="003945E0">
      <w:pPr>
        <w:pStyle w:val="Heading3"/>
      </w:pPr>
      <w:bookmarkStart w:id="469" w:name="_Toc6841582"/>
      <w:r>
        <w:t>Latvijas veselības aprūpes sistēmas galvenās problēmas saistībā ar veselības aprūpes pakalpojumu pieejamību, efektivitāti un lietderību</w:t>
      </w:r>
      <w:bookmarkEnd w:id="469"/>
    </w:p>
    <w:p w:rsidR="00470F24" w:rsidRPr="00AD48F2" w:rsidRDefault="00AD48F2" w:rsidP="00064C1E">
      <w:r w:rsidRPr="00AD48F2">
        <w:t>Domājot par nevienlīdzības un sociālās atstumtības mazināšanu veselības aprūpes jomā</w:t>
      </w:r>
      <w:r>
        <w:t>,</w:t>
      </w:r>
      <w:r w:rsidRPr="00AD48F2">
        <w:t xml:space="preserve"> veselības </w:t>
      </w:r>
      <w:r w:rsidRPr="00E54971">
        <w:t>aprūpes pakalpojumu kvalitātes un pieejamības paaugstināšanu un mērķtiecīgu ES fondu ieguldīšanu veselības aprūpes nozares attīstībā, laika posmā no 2014</w:t>
      </w:r>
      <w:r w:rsidR="00E54971" w:rsidRPr="00E54971">
        <w:t>.</w:t>
      </w:r>
      <w:r w:rsidRPr="00E54971">
        <w:t xml:space="preserve"> līdz 20</w:t>
      </w:r>
      <w:r w:rsidR="008E7205" w:rsidRPr="00E54971">
        <w:t>16</w:t>
      </w:r>
      <w:r w:rsidRPr="00E54971">
        <w:t xml:space="preserve">. gadam Pasaules </w:t>
      </w:r>
      <w:r w:rsidRPr="00E54971">
        <w:lastRenderedPageBreak/>
        <w:t xml:space="preserve">Banka veica </w:t>
      </w:r>
      <w:r w:rsidR="00E54971" w:rsidRPr="00E54971">
        <w:t>neatkarīg</w:t>
      </w:r>
      <w:r w:rsidR="00AB28A4">
        <w:t>u</w:t>
      </w:r>
      <w:r w:rsidR="00E54971" w:rsidRPr="00E54971">
        <w:t xml:space="preserve"> Latvijas veselības aprūpes sistēmas izvērtējumu, t.sk. sniedza rekomendācijas sistēmas pilnveidei</w:t>
      </w:r>
      <w:r w:rsidRPr="00E54971">
        <w:t>. Šīs nodaļas ietvaros ir sniegts Pasaules Bankas izvērtējuma</w:t>
      </w:r>
      <w:r w:rsidRPr="00AD48F2">
        <w:t xml:space="preserve"> kopsavilkums </w:t>
      </w:r>
      <w:r w:rsidR="00FC650F" w:rsidRPr="00AD48F2">
        <w:t>par Latvijas veselības aprūpes sistēmas galvenajām problēmām saistībā ar veselības aprūpes pakalpojumu pieejamību, efektivitāti un lietderību</w:t>
      </w:r>
      <w:r w:rsidRPr="00AD48F2">
        <w:t>.</w:t>
      </w:r>
      <w:r w:rsidR="00DD5652">
        <w:t xml:space="preserve"> Aplūkojot </w:t>
      </w:r>
      <w:r w:rsidR="00132FA2">
        <w:t>izvērtējumu</w:t>
      </w:r>
      <w:r w:rsidR="00DD5652">
        <w:t>, jāņem vērā, ka atsevišķ</w:t>
      </w:r>
      <w:r w:rsidR="005D1022">
        <w:t xml:space="preserve">i </w:t>
      </w:r>
      <w:r w:rsidR="00DD5652">
        <w:t>tā konstatējumi</w:t>
      </w:r>
      <w:r w:rsidR="00F306A5">
        <w:t xml:space="preserve"> var būt zaudējuši daļu</w:t>
      </w:r>
      <w:r w:rsidR="008F0C89">
        <w:t xml:space="preserve"> no savas sākotnējās</w:t>
      </w:r>
      <w:r w:rsidR="00F306A5">
        <w:t xml:space="preserve"> aktualitātes, jo laika posmā kopš izvērtējuma </w:t>
      </w:r>
      <w:r w:rsidR="00F306A5" w:rsidRPr="00F306A5">
        <w:t xml:space="preserve">noslēguma ir </w:t>
      </w:r>
      <w:r w:rsidR="005D1022">
        <w:t xml:space="preserve">izstrādāti un/vai </w:t>
      </w:r>
      <w:r w:rsidR="00F306A5" w:rsidRPr="00F306A5">
        <w:t xml:space="preserve">pieņemti attiecīgo jomu regulējošo tiesību aktu grozījumi </w:t>
      </w:r>
      <w:r w:rsidR="00DD5652" w:rsidRPr="00F306A5">
        <w:t xml:space="preserve">(sk. sīkāk 2.2.2. </w:t>
      </w:r>
      <w:r w:rsidR="00DE3D70">
        <w:t xml:space="preserve">un 2.2.3. </w:t>
      </w:r>
      <w:r w:rsidR="00DD5652" w:rsidRPr="00F306A5">
        <w:t>nodaļu</w:t>
      </w:r>
      <w:r w:rsidR="00F306A5" w:rsidRPr="00F306A5">
        <w:t>).</w:t>
      </w:r>
    </w:p>
    <w:p w:rsidR="00FC650F" w:rsidRDefault="00FC650F" w:rsidP="00064C1E">
      <w:pPr>
        <w:rPr>
          <w:b/>
          <w:highlight w:val="yellow"/>
        </w:rPr>
      </w:pPr>
    </w:p>
    <w:p w:rsidR="00C46A40" w:rsidRPr="00C46A40" w:rsidRDefault="00ED7B73" w:rsidP="00064C1E">
      <w:r w:rsidRPr="00C46A40">
        <w:t xml:space="preserve">Pasaules Bankas pētījumā secināts, ka Latvijas veselības aprūpes sistēmas izaicinājumi nosacīti iedalāmi trīs lielās grupās. Tās ir, pirmkārt, ieguldījumi infrastruktūrā un cilvēkresursos, otrkārt, politikas plānošanas un īstenošanas vide, iekļaujot institucionālo kapacitāti, un, treškārt, pacientu </w:t>
      </w:r>
      <w:r w:rsidRPr="003A6356">
        <w:t>aprūpes kārtības pēctecību</w:t>
      </w:r>
      <w:r w:rsidRPr="003A6356">
        <w:rPr>
          <w:rStyle w:val="FootnoteReference"/>
        </w:rPr>
        <w:footnoteReference w:id="136"/>
      </w:r>
      <w:r w:rsidRPr="003A6356">
        <w:t>.</w:t>
      </w:r>
      <w:r w:rsidR="00C46A40" w:rsidRPr="003A6356">
        <w:t xml:space="preserve"> </w:t>
      </w:r>
      <w:r w:rsidR="001F2555" w:rsidRPr="003A6356">
        <w:t>Veicot izvērtējumu, liela uzmanība tika</w:t>
      </w:r>
      <w:r w:rsidR="002A67F1" w:rsidRPr="003A6356">
        <w:t xml:space="preserve"> pievērsta veselības aprūpes</w:t>
      </w:r>
      <w:r w:rsidR="002A67F1">
        <w:t xml:space="preserve"> kvalitātes un efektivitātes jautājumiem, nevienlīdzību veselības aprūpes jomā skatot caur šo aspektu </w:t>
      </w:r>
      <w:r w:rsidR="002A67F1" w:rsidRPr="00297526">
        <w:t>prizmu.</w:t>
      </w:r>
      <w:r w:rsidR="001F2555" w:rsidRPr="00297526">
        <w:t xml:space="preserve"> </w:t>
      </w:r>
      <w:r w:rsidR="00C46A40" w:rsidRPr="00297526">
        <w:t xml:space="preserve">Analīzes rezultātā Pasaules Banka ir piedāvājusi iespējamos </w:t>
      </w:r>
      <w:r w:rsidR="003A6356" w:rsidRPr="00297526">
        <w:t>četrus īstenojamo reformu</w:t>
      </w:r>
      <w:r w:rsidR="003A6356">
        <w:t xml:space="preserve"> virzienus. To īss izklāsts un pamatojums, ietverot nevienlīdzības veselības jomā aspektus, sniegts šīs nodaļas turpinājumā</w:t>
      </w:r>
      <w:r w:rsidR="00093161">
        <w:rPr>
          <w:rStyle w:val="FootnoteReference"/>
        </w:rPr>
        <w:footnoteReference w:id="137"/>
      </w:r>
      <w:r w:rsidR="003A6356">
        <w:t>.</w:t>
      </w:r>
      <w:r w:rsidR="00EA1E5B" w:rsidRPr="00C46A40">
        <w:t xml:space="preserve"> </w:t>
      </w:r>
    </w:p>
    <w:p w:rsidR="00C46A40" w:rsidRDefault="00C46A40" w:rsidP="00064C1E">
      <w:pPr>
        <w:rPr>
          <w:highlight w:val="cyan"/>
        </w:rPr>
      </w:pPr>
    </w:p>
    <w:p w:rsidR="00581987" w:rsidRDefault="00581987" w:rsidP="00064C1E">
      <w:r>
        <w:t>Izvērtējuma rezultātā secināts, ka</w:t>
      </w:r>
      <w:r w:rsidR="0061272C">
        <w:t>, pirmkārt,</w:t>
      </w:r>
      <w:r>
        <w:t xml:space="preserve"> e</w:t>
      </w:r>
      <w:r w:rsidR="008E7205">
        <w:t>ksistē infrastruktūras, aprīkojuma, gultasvietu noslodzes pārpalikums, kas rada slogu veselības aprū</w:t>
      </w:r>
      <w:r>
        <w:t>pes sistēmai, tādējādi turpmāko gadu ieguldījumiem infrastruktūrā, aprīkojumā un cilvēkresursos ir jābūt pakāpeniskiem. Attiecībā uz noteikta veida pakalpojumiem tiek ieteikts veikt to centralizāciju, lai uzlabotu to kvalitāti, savukārt attiecībā uz citiem pakalpojumiem ir ieteicams veikt to decentralizāciju, tādējādi panākot vienlīdzības uzlabošanos un piekļuvi aprūpei atbilstoši iedzīvotāju vajadzībām.</w:t>
      </w:r>
    </w:p>
    <w:p w:rsidR="00581987" w:rsidRDefault="00581987" w:rsidP="00064C1E"/>
    <w:p w:rsidR="00297526" w:rsidRPr="00312975" w:rsidRDefault="0061272C" w:rsidP="00064C1E">
      <w:r w:rsidRPr="00093161">
        <w:t xml:space="preserve">Otrkārt, izvērtējumā secināts, ka </w:t>
      </w:r>
      <w:r w:rsidR="00093161" w:rsidRPr="00093161">
        <w:t>tarifu sistēma, kas ilgus gadus bija Latvijas veselības aprūpes sistēmas</w:t>
      </w:r>
      <w:r w:rsidRPr="00093161">
        <w:t xml:space="preserve"> </w:t>
      </w:r>
      <w:r w:rsidR="008E7205" w:rsidRPr="00093161">
        <w:t>finansējuma modelis</w:t>
      </w:r>
      <w:r w:rsidR="00093161" w:rsidRPr="00093161">
        <w:t>,</w:t>
      </w:r>
      <w:r w:rsidR="008E7205" w:rsidRPr="00093161">
        <w:t xml:space="preserve"> nav veicināj</w:t>
      </w:r>
      <w:r w:rsidR="00093161" w:rsidRPr="00093161">
        <w:t>usi</w:t>
      </w:r>
      <w:r w:rsidR="008E7205" w:rsidRPr="00093161">
        <w:t xml:space="preserve"> Sabiedrības veselības pamatnostādņu mērķu sasniegšanu</w:t>
      </w:r>
      <w:r w:rsidR="00093161" w:rsidRPr="00093161">
        <w:t>, jo</w:t>
      </w:r>
      <w:r w:rsidR="008E7205" w:rsidRPr="00093161">
        <w:t xml:space="preserve"> </w:t>
      </w:r>
      <w:r w:rsidR="00DD5652" w:rsidRPr="00093161">
        <w:t>finansējums nav saistīts ar konkrētu klīnisko pakalpojumu sniegšanas klīniskajiem iznākumiem,  rādītājiem</w:t>
      </w:r>
      <w:r w:rsidR="00093161" w:rsidRPr="00093161">
        <w:t>,</w:t>
      </w:r>
      <w:r w:rsidR="00DD5652" w:rsidRPr="00093161">
        <w:t xml:space="preserve"> </w:t>
      </w:r>
      <w:r w:rsidR="00093161" w:rsidRPr="00093161">
        <w:t xml:space="preserve">t.i., „produktivitātes” iznākuma rādītājiem, </w:t>
      </w:r>
      <w:r w:rsidR="00DD5652" w:rsidRPr="00093161">
        <w:t>vai izmaksām</w:t>
      </w:r>
      <w:r w:rsidR="00093161" w:rsidRPr="00093161">
        <w:t xml:space="preserve">, kas saistītas ar pacienta ārstēšanas sarežģītību. Tādējādi Pasaules Bankas rekomendācijas atbalsta </w:t>
      </w:r>
      <w:r w:rsidR="00297526" w:rsidRPr="00093161">
        <w:t>pāreju uz diagnoz</w:t>
      </w:r>
      <w:r w:rsidR="00197A80">
        <w:t>ē</w:t>
      </w:r>
      <w:r w:rsidR="00297526" w:rsidRPr="00093161">
        <w:t xml:space="preserve"> balstītu</w:t>
      </w:r>
      <w:r w:rsidR="00093161" w:rsidRPr="00093161">
        <w:t xml:space="preserve"> (DRG</w:t>
      </w:r>
      <w:r w:rsidR="00297526" w:rsidRPr="00093161">
        <w:t>) samaksas modeli un stratēģisko iepirkumu kārtību</w:t>
      </w:r>
      <w:r w:rsidR="008F0C89">
        <w:rPr>
          <w:rStyle w:val="FootnoteReference"/>
        </w:rPr>
        <w:footnoteReference w:id="138"/>
      </w:r>
      <w:r w:rsidR="00297526" w:rsidRPr="00093161">
        <w:t>.</w:t>
      </w:r>
      <w:r w:rsidR="00093161">
        <w:t xml:space="preserve"> </w:t>
      </w:r>
      <w:r w:rsidR="003052D5">
        <w:t>Pēdējais ieteikums izriet no secinājuma, ka v</w:t>
      </w:r>
      <w:r w:rsidR="00297526" w:rsidRPr="00312975">
        <w:t>alsts apmaksāto pakalpojumu kvotu piešķiršana ierobežo piekļuvi pakalpojumiem un rad</w:t>
      </w:r>
      <w:r w:rsidR="003052D5">
        <w:t>a</w:t>
      </w:r>
      <w:r w:rsidR="00297526" w:rsidRPr="00312975">
        <w:t xml:space="preserve"> nevienlīdzību, kas netiek pielāgota ārstniecības reālajām vajadzībām</w:t>
      </w:r>
      <w:r w:rsidR="003052D5">
        <w:t xml:space="preserve"> (šī secinājuma izvērstu pamatojumu sk. zemāk)</w:t>
      </w:r>
      <w:r w:rsidR="00297526" w:rsidRPr="00312975">
        <w:t xml:space="preserve">. Piedāvājot reformu, tostarp </w:t>
      </w:r>
      <w:r w:rsidR="003052D5">
        <w:t>ir</w:t>
      </w:r>
      <w:r w:rsidR="00297526" w:rsidRPr="00312975">
        <w:t xml:space="preserve"> ieteikts NVD noteikt </w:t>
      </w:r>
      <w:r w:rsidR="003052D5">
        <w:t xml:space="preserve">arī </w:t>
      </w:r>
      <w:r w:rsidR="00297526" w:rsidRPr="00312975">
        <w:t>stimulējoš</w:t>
      </w:r>
      <w:r w:rsidR="003052D5">
        <w:t>as piemaksas</w:t>
      </w:r>
      <w:r w:rsidR="00297526" w:rsidRPr="00312975">
        <w:t xml:space="preserve"> pakalpojumu sniedzējiem nepietiekami apkalpotos reģionos un nelabvēlīgākā situācijā esošiem iedzīvotājiem</w:t>
      </w:r>
      <w:r w:rsidR="003052D5">
        <w:t>.</w:t>
      </w:r>
    </w:p>
    <w:p w:rsidR="00297526" w:rsidRPr="00574BE4" w:rsidRDefault="00B06C8B" w:rsidP="00064C1E">
      <w:r w:rsidRPr="00B06C8B">
        <w:lastRenderedPageBreak/>
        <w:t>Treškārt, Latvijas zemais apdzīvotības blīvums reģionos veicina tādas izvērtējumā konstatētas problēmas rašanos kā p</w:t>
      </w:r>
      <w:r w:rsidR="00E81C27" w:rsidRPr="00B06C8B">
        <w:t>acient</w:t>
      </w:r>
      <w:r w:rsidRPr="00B06C8B">
        <w:t>u</w:t>
      </w:r>
      <w:r w:rsidR="00E81C27" w:rsidRPr="00B06C8B">
        <w:t xml:space="preserve"> ar augstas sarežģītības slimībām ārstē</w:t>
      </w:r>
      <w:r w:rsidRPr="00B06C8B">
        <w:t>šana tādās</w:t>
      </w:r>
      <w:r w:rsidR="00E81C27" w:rsidRPr="00B06C8B">
        <w:t xml:space="preserve"> ārstniecības iestādēs (slimnīcās), kuru infrastruktūra tam nav piemērota un kuru personālam nav pietiekamas pieredzes attiecīgo slimību ārstniecībā.</w:t>
      </w:r>
      <w:r w:rsidRPr="00B06C8B">
        <w:t xml:space="preserve"> Tāpat kā problēma tiek atzīmēts tas, ka </w:t>
      </w:r>
      <w:r w:rsidR="008E7205" w:rsidRPr="00B06C8B">
        <w:t>Latvijā nepastāv vienota pieeja veselības aprūpei,</w:t>
      </w:r>
      <w:r w:rsidRPr="00B06C8B">
        <w:t xml:space="preserve"> t.i., </w:t>
      </w:r>
      <w:r w:rsidR="008E7205" w:rsidRPr="00B06C8B">
        <w:t>netiek ievērotas vienotas kl</w:t>
      </w:r>
      <w:r w:rsidRPr="00B06C8B">
        <w:t>īniskās (ārstēšanas) vadlīnijas. Vadlīniju izstrāde līdz šim bijusi brīvprātīgs un neapmaksāts profesionālo asociāciju pienākumus, un izstrādātajām klīniskajām vadlīnijām bija rekomendējošs raksturs.</w:t>
      </w:r>
      <w:r>
        <w:t xml:space="preserve"> Pasaules Bankas eksperti iesaka ieguldīt šādos svarīgos veselības aprūpes kvalitāti nodrošinošos mehānismos un attīstīt klīniskās vadlīnijas vismaz prioritārajās jomās, kā arī izmantot tās, lai noteiktu piedāvātā ārstniecības un turpmāko pasākumu </w:t>
      </w:r>
      <w:r w:rsidR="00297526" w:rsidRPr="00574BE4">
        <w:t>pakalpojumu groza un pakalpojumu sniegšanas modeļa atbilstīb</w:t>
      </w:r>
      <w:r>
        <w:t>u</w:t>
      </w:r>
      <w:r w:rsidR="00297526" w:rsidRPr="00574BE4">
        <w:t xml:space="preserve"> ārstniecības vajadzībām</w:t>
      </w:r>
      <w:r w:rsidR="008F0C89">
        <w:rPr>
          <w:rStyle w:val="FootnoteReference"/>
        </w:rPr>
        <w:footnoteReference w:id="139"/>
      </w:r>
      <w:r>
        <w:t>.</w:t>
      </w:r>
    </w:p>
    <w:p w:rsidR="00297526" w:rsidRDefault="00297526" w:rsidP="00064C1E">
      <w:pPr>
        <w:rPr>
          <w:highlight w:val="green"/>
        </w:rPr>
      </w:pPr>
    </w:p>
    <w:p w:rsidR="00C77EAF" w:rsidRDefault="00B06C8B" w:rsidP="00064C1E">
      <w:r>
        <w:t>N</w:t>
      </w:r>
      <w:r w:rsidR="00E81C27">
        <w:t>evienlīdz</w:t>
      </w:r>
      <w:r>
        <w:t>ības</w:t>
      </w:r>
      <w:r w:rsidR="00E81C27">
        <w:t xml:space="preserve"> veselības aprūpes jomā</w:t>
      </w:r>
      <w:r>
        <w:t xml:space="preserve"> vērtējumam svarīgs ir izvērtējuma secinājums, ka</w:t>
      </w:r>
      <w:r w:rsidR="00E81C27">
        <w:t xml:space="preserve"> </w:t>
      </w:r>
      <w:r>
        <w:t xml:space="preserve">līdzšinējā datu pārvaldības sistēma veselības aprūpē neļauj iegūt adekvātu priekšstatu par </w:t>
      </w:r>
      <w:r w:rsidR="006D7808" w:rsidRPr="00312975">
        <w:t>pacientu piekļuvi veselības aprūpei un ārstniecības personu atalgojumu</w:t>
      </w:r>
      <w:r w:rsidR="00321BC3" w:rsidRPr="00312975">
        <w:t xml:space="preserve">. </w:t>
      </w:r>
      <w:r>
        <w:t xml:space="preserve">Izvērtējuma brīdī </w:t>
      </w:r>
      <w:r w:rsidR="00321BC3" w:rsidRPr="00312975">
        <w:t xml:space="preserve">Latvijā pastāvošās veselības aprūpes informācijas sistēmas nav </w:t>
      </w:r>
      <w:r>
        <w:t>uzskatāmas par pietiekamām, jo,</w:t>
      </w:r>
      <w:r w:rsidR="00321BC3" w:rsidRPr="00312975">
        <w:t xml:space="preserve"> piemēram, trūkst pārskatu par privāti finansēto veselības aprūpi, nenotiek konsekventa datu vākšana par visām veselības aprūpes epizodēm</w:t>
      </w:r>
      <w:r>
        <w:t>. Tas savukārt</w:t>
      </w:r>
      <w:r w:rsidR="006D7808" w:rsidRPr="00312975">
        <w:t xml:space="preserve"> apgrūtina adekvātu pakalpojumu </w:t>
      </w:r>
      <w:r w:rsidR="00825814" w:rsidRPr="00312975">
        <w:t>izmaksu lietderīgumu un</w:t>
      </w:r>
      <w:r w:rsidR="006D7808" w:rsidRPr="00312975">
        <w:t xml:space="preserve"> aprēķināšanu</w:t>
      </w:r>
      <w:r>
        <w:t>.</w:t>
      </w:r>
    </w:p>
    <w:p w:rsidR="00B06C8B" w:rsidRDefault="00B06C8B" w:rsidP="00064C1E"/>
    <w:p w:rsidR="00C95DCB" w:rsidRPr="00C25E5E" w:rsidRDefault="001B1E6A" w:rsidP="00064C1E">
      <w:r w:rsidRPr="001B1E6A">
        <w:t xml:space="preserve">Galvenais Pasaules Bankas izvērtējuma ziņojums, kurā uzmanība veltīta veselības aprūpes vispārējās pieejamības jautājumiem bez nelabvēlīgu finansiālu seku iestāšanās, </w:t>
      </w:r>
      <w:r w:rsidR="00197A80">
        <w:t>t.sk.</w:t>
      </w:r>
      <w:r w:rsidR="005E194C">
        <w:t xml:space="preserve"> nevienlīdzības jautājumiem, </w:t>
      </w:r>
      <w:r w:rsidRPr="001B1E6A">
        <w:t>ir „</w:t>
      </w:r>
      <w:r w:rsidR="00EA1E5B" w:rsidRPr="001B1E6A">
        <w:rPr>
          <w:bCs/>
        </w:rPr>
        <w:t xml:space="preserve">Valsts apmaksāto pakalpojumu klāsta un pakalpojumu nodrošināšanas modeļa </w:t>
      </w:r>
      <w:r w:rsidR="00EA1E5B" w:rsidRPr="00C25E5E">
        <w:rPr>
          <w:bCs/>
        </w:rPr>
        <w:t>pārskats</w:t>
      </w:r>
      <w:r w:rsidRPr="00C25E5E">
        <w:rPr>
          <w:bCs/>
        </w:rPr>
        <w:t>”</w:t>
      </w:r>
      <w:r w:rsidRPr="00C25E5E">
        <w:rPr>
          <w:rStyle w:val="FootnoteReference"/>
          <w:bCs/>
        </w:rPr>
        <w:footnoteReference w:id="140"/>
      </w:r>
      <w:r w:rsidRPr="00C25E5E">
        <w:rPr>
          <w:bCs/>
        </w:rPr>
        <w:t>.</w:t>
      </w:r>
      <w:r w:rsidR="00EA1E5B" w:rsidRPr="00C25E5E">
        <w:rPr>
          <w:b/>
          <w:bCs/>
        </w:rPr>
        <w:t xml:space="preserve"> </w:t>
      </w:r>
      <w:r w:rsidR="00C25E5E" w:rsidRPr="00C25E5E">
        <w:rPr>
          <w:bCs/>
        </w:rPr>
        <w:t xml:space="preserve">Viens no nozīmīgākajiem secinājumiem ir </w:t>
      </w:r>
      <w:r w:rsidR="00744909">
        <w:rPr>
          <w:bCs/>
        </w:rPr>
        <w:t>tāds</w:t>
      </w:r>
      <w:r w:rsidR="00C25E5E" w:rsidRPr="00C25E5E">
        <w:rPr>
          <w:bCs/>
        </w:rPr>
        <w:t xml:space="preserve">, ka, lai gan, </w:t>
      </w:r>
      <w:r w:rsidR="00C25E5E" w:rsidRPr="00C25E5E">
        <w:t>izņemot garīgās veselības jomu, citādi</w:t>
      </w:r>
      <w:r w:rsidR="00C25E5E" w:rsidRPr="00C25E5E">
        <w:rPr>
          <w:bCs/>
        </w:rPr>
        <w:t xml:space="preserve"> </w:t>
      </w:r>
      <w:r w:rsidR="00C25E5E" w:rsidRPr="00C25E5E">
        <w:t xml:space="preserve">valsts apmaksāto pakalpojumu kopums </w:t>
      </w:r>
      <w:r w:rsidR="00C25E5E" w:rsidRPr="00C25E5E">
        <w:rPr>
          <w:bCs/>
          <w:i/>
        </w:rPr>
        <w:t>de jure</w:t>
      </w:r>
      <w:r w:rsidR="00C25E5E" w:rsidRPr="00C25E5E">
        <w:rPr>
          <w:bCs/>
        </w:rPr>
        <w:t xml:space="preserve"> </w:t>
      </w:r>
      <w:r w:rsidR="00C25E5E" w:rsidRPr="00C25E5E">
        <w:t xml:space="preserve">ietver būtiskākos medicīniskos pakalpojumus un medikamentus, </w:t>
      </w:r>
      <w:r w:rsidR="00C95DCB" w:rsidRPr="00C25E5E">
        <w:t>patiesā pakalpojumu pieejamība ir daudz</w:t>
      </w:r>
      <w:r w:rsidR="00C25E5E" w:rsidRPr="00C25E5E">
        <w:t xml:space="preserve"> zemāka.</w:t>
      </w:r>
      <w:r w:rsidR="00C95DCB" w:rsidRPr="00C25E5E">
        <w:t xml:space="preserve"> </w:t>
      </w:r>
      <w:r w:rsidR="00C25E5E" w:rsidRPr="00C25E5E">
        <w:t xml:space="preserve">Tā rezultātā iedzīvotāji var nesaņemt </w:t>
      </w:r>
      <w:r w:rsidR="00C95DCB" w:rsidRPr="00C25E5E">
        <w:t xml:space="preserve">pamatpakalpojumus, kas varētu novērst saslimšanu un </w:t>
      </w:r>
      <w:r w:rsidR="00C25E5E" w:rsidRPr="00C25E5E">
        <w:t xml:space="preserve">rezultātā prasīt ievērojami </w:t>
      </w:r>
      <w:r w:rsidR="00C95DCB" w:rsidRPr="00C25E5E">
        <w:t>dārgu hospitalizāciju</w:t>
      </w:r>
      <w:r w:rsidR="00C25E5E" w:rsidRPr="00C25E5E">
        <w:t xml:space="preserve"> vēlākā laika posmā</w:t>
      </w:r>
      <w:r w:rsidR="00C95DCB" w:rsidRPr="00C25E5E">
        <w:t>.</w:t>
      </w:r>
      <w:r w:rsidR="00744909">
        <w:t xml:space="preserve"> Garīgās veselības jomā arī </w:t>
      </w:r>
      <w:r w:rsidR="00744909" w:rsidRPr="00744909">
        <w:rPr>
          <w:i/>
        </w:rPr>
        <w:t>de jure</w:t>
      </w:r>
      <w:r w:rsidR="00744909">
        <w:t xml:space="preserve"> pakalpojumu pieejamība ir nepietiekama, </w:t>
      </w:r>
      <w:r w:rsidR="00D16A53">
        <w:t xml:space="preserve">tā ir pārlieku lielā mērā novirzīta uz stacionāriem, kas ir dārgāka veselības aprūpes forma; </w:t>
      </w:r>
      <w:r w:rsidR="000777DC">
        <w:t xml:space="preserve">depresija tiek nepietiekami un novēloti diagnosticēta, </w:t>
      </w:r>
      <w:r w:rsidR="00744909">
        <w:t>kā arī vēl viens saslimšanu novēlotas diagnostikas iemesls ir pastāvošā stigma un sabiedrības aizspriedumi</w:t>
      </w:r>
      <w:r w:rsidR="00744909">
        <w:rPr>
          <w:rStyle w:val="FootnoteReference"/>
        </w:rPr>
        <w:footnoteReference w:id="141"/>
      </w:r>
      <w:r w:rsidR="00744909">
        <w:t>.</w:t>
      </w:r>
    </w:p>
    <w:p w:rsidR="00C25E5E" w:rsidRDefault="00C25E5E" w:rsidP="00064C1E">
      <w:pPr>
        <w:rPr>
          <w:highlight w:val="yellow"/>
        </w:rPr>
      </w:pPr>
    </w:p>
    <w:p w:rsidR="00B44FAE" w:rsidRDefault="00610C62" w:rsidP="00064C1E">
      <w:r w:rsidRPr="000777DC">
        <w:t xml:space="preserve">Aplūkojot sīkāk nevienlīdzību veselības aprūpes jomā, Pasaules Bankas izvērtējums aplūko </w:t>
      </w:r>
      <w:r w:rsidR="000777DC" w:rsidRPr="000777DC">
        <w:t xml:space="preserve">finanšu </w:t>
      </w:r>
      <w:r w:rsidR="000777DC" w:rsidRPr="00AB28A4">
        <w:t xml:space="preserve">pieejamības un </w:t>
      </w:r>
      <w:r w:rsidR="00AB28A4" w:rsidRPr="00AB28A4">
        <w:t>tieš</w:t>
      </w:r>
      <w:r w:rsidR="000777DC" w:rsidRPr="00AB28A4">
        <w:t>maksājuma</w:t>
      </w:r>
      <w:r w:rsidRPr="00AB28A4">
        <w:t xml:space="preserve"> aspektus</w:t>
      </w:r>
      <w:r w:rsidR="000777DC" w:rsidRPr="00AB28A4">
        <w:t>, lai nonāktu pie ārsta, veiktu izmeklējumus un iegādātos</w:t>
      </w:r>
      <w:r w:rsidR="000777DC" w:rsidRPr="000777DC">
        <w:t xml:space="preserve"> nozīmētos medikamentus</w:t>
      </w:r>
      <w:r w:rsidRPr="000777DC">
        <w:t xml:space="preserve">. </w:t>
      </w:r>
      <w:r w:rsidR="000777DC" w:rsidRPr="00E81513">
        <w:t xml:space="preserve">Izvērtējumā secināts, ka Latvijas iedzīvotāju veiktie pacientu pašu maksājumi (t.i., </w:t>
      </w:r>
      <w:r w:rsidR="009F6530" w:rsidRPr="00E81513">
        <w:t>tiešmaksājumi</w:t>
      </w:r>
      <w:r w:rsidR="000777DC" w:rsidRPr="00E81513">
        <w:t>) veido 36,5% no kopējiem veselības aprūpes izdevumiem  2013.</w:t>
      </w:r>
      <w:r w:rsidR="00DE1C08">
        <w:t xml:space="preserve"> </w:t>
      </w:r>
      <w:r w:rsidR="00E44042">
        <w:t>g</w:t>
      </w:r>
      <w:r w:rsidR="000777DC" w:rsidRPr="00E81513">
        <w:t>adā</w:t>
      </w:r>
      <w:r w:rsidR="00E44042">
        <w:t xml:space="preserve"> (sk. jaunākus datus 2.23. attēlā iepriekš)</w:t>
      </w:r>
      <w:r w:rsidR="000777DC" w:rsidRPr="00E81513">
        <w:t xml:space="preserve">, kas ir nozīmīgi augstāki par starptautiski noteikto </w:t>
      </w:r>
      <w:r w:rsidR="000777DC" w:rsidRPr="00E81513">
        <w:lastRenderedPageBreak/>
        <w:t>labo praksi</w:t>
      </w:r>
      <w:r w:rsidR="00526E46" w:rsidRPr="00E81513">
        <w:t xml:space="preserve"> (Pasaules Veselības organizācijas noteikto 20% robežu) un citām Eiropas Savienības dalībvalstīm (vidēji 13,9%)</w:t>
      </w:r>
      <w:r w:rsidR="000777DC" w:rsidRPr="00E81513">
        <w:t>.</w:t>
      </w:r>
      <w:r w:rsidR="000777DC" w:rsidRPr="000777DC">
        <w:t xml:space="preserve"> Pasaules Bankas eksperti atsaucas uz Pasaules Veselības organizācijas atzinumu, ka sistēma, kurā pacientu maksājumi veido vairāk nekā 20% no kopējiem izdevumiem, nav spējīga pasargāt iedzīvotājus no nonākšanas </w:t>
      </w:r>
      <w:r w:rsidR="000777DC" w:rsidRPr="006A2E08">
        <w:t>trūkumā gadījumā, ja rodas negaidīt</w:t>
      </w:r>
      <w:r w:rsidR="006A2E08" w:rsidRPr="006A2E08">
        <w:t>i</w:t>
      </w:r>
      <w:r w:rsidR="000777DC" w:rsidRPr="006A2E08">
        <w:t xml:space="preserve"> ārstniecības izdevumi.</w:t>
      </w:r>
      <w:r w:rsidR="00526E46">
        <w:t xml:space="preserve"> </w:t>
      </w:r>
    </w:p>
    <w:p w:rsidR="00B44FAE" w:rsidRDefault="00B44FAE" w:rsidP="00064C1E"/>
    <w:p w:rsidR="000777DC" w:rsidRDefault="00B44FAE" w:rsidP="00064C1E">
      <w:r>
        <w:t>Otrais</w:t>
      </w:r>
      <w:r w:rsidR="006A2E08" w:rsidRPr="006A2E08">
        <w:t xml:space="preserve"> aspekts, kas Pasaules Bankas ekspertu skatījumā veicina nevienlīdzību veselības aprūpes jomā, ir </w:t>
      </w:r>
      <w:r w:rsidR="006A2E08" w:rsidRPr="00526E46">
        <w:t xml:space="preserve">valsts apmaksāto </w:t>
      </w:r>
      <w:r w:rsidR="000777DC" w:rsidRPr="00526E46">
        <w:t>pakalpojumu kvot</w:t>
      </w:r>
      <w:r w:rsidR="006A2E08" w:rsidRPr="00526E46">
        <w:t>as</w:t>
      </w:r>
      <w:r w:rsidR="000777DC" w:rsidRPr="00526E46">
        <w:t>, kas faktiski pārvērš ar NVD līgumus noslēgušos pakalpojumu sniedzējus par privātiem pakalpojumu sniedzējiem, tiklīdz kvotas ir izsmeltas.</w:t>
      </w:r>
      <w:r w:rsidR="00526E46" w:rsidRPr="00526E46">
        <w:t xml:space="preserve"> </w:t>
      </w:r>
      <w:r>
        <w:t>Kvotu piešķiršana un izsmelšana rada veselības aprūpes pakalpojumu izmantošanas cikliskas svārstības gada griezumā. Veiktā datu analīze rāda</w:t>
      </w:r>
      <w:r w:rsidR="00526E46" w:rsidRPr="00526E46">
        <w:t>, ka šajā brīdī iedzīvotājiem, kuru ienākumi atbilst trūcīgāko kvintiļu grupām, faktiski pieejama ir tikai neliela vai nekāda daļa veselības aprūpes pakalpojumu</w:t>
      </w:r>
      <w:r>
        <w:t xml:space="preserve">, piemēram, trūcīgākās personas saņem 90% no tā pakalpojumu apjoma, ko saņem turīgākas personas. </w:t>
      </w:r>
      <w:r w:rsidR="00526E46" w:rsidRPr="00526E46">
        <w:t>Tādējādi savlaicīgi saņemtas aprūpes pieejamība Latvijā ir atkarīga no veiksmes – vai brīdis, kad personai aprūpe nepieciešama, sakrīt ar veselības aprūpes pakalpojumu ciklisko pieejamību.</w:t>
      </w:r>
    </w:p>
    <w:p w:rsidR="006A2E08" w:rsidRPr="006A2E08" w:rsidRDefault="006A2E08" w:rsidP="00064C1E"/>
    <w:p w:rsidR="000777DC" w:rsidRPr="00B44FAE" w:rsidRDefault="00B44FAE" w:rsidP="00064C1E">
      <w:r w:rsidRPr="00B44FAE">
        <w:t xml:space="preserve">Trešais izvērtējumā izceltais aspekts, kas veicina nevienlīdzību attiecībā uz veselības aprūpes pieejamību, ir </w:t>
      </w:r>
      <w:r w:rsidR="00860817" w:rsidRPr="00B44FAE">
        <w:t>maz</w:t>
      </w:r>
      <w:r w:rsidRPr="00B44FAE">
        <w:t>s</w:t>
      </w:r>
      <w:r w:rsidR="00860817" w:rsidRPr="00B44FAE">
        <w:t xml:space="preserve"> kompensēto medikamentu īpatsvar</w:t>
      </w:r>
      <w:r w:rsidRPr="00B44FAE">
        <w:t>s. Lai gan veselības ekonomikā pastāv apsvērumi, kāpēc medikamentu iegāde ir kompensējama daļējā apmērā, Latvijas gadījumā eksperti secina, ka, analizējot trūcīg</w:t>
      </w:r>
      <w:r w:rsidR="004E2D9E">
        <w:t>aj</w:t>
      </w:r>
      <w:r w:rsidRPr="00B44FAE">
        <w:t>iem pacient</w:t>
      </w:r>
      <w:r w:rsidR="004E2D9E">
        <w:t>iem</w:t>
      </w:r>
      <w:r w:rsidRPr="00B44FAE">
        <w:t xml:space="preserve"> (kas pieder mājsaimniecībām, kur ienākumi nepārsniedz 128</w:t>
      </w:r>
      <w:r w:rsidR="004E2D9E">
        <w:t>,06</w:t>
      </w:r>
      <w:r w:rsidRPr="00B44FAE">
        <w:t xml:space="preserve"> EUR uz vienu ģimenes  locekli un kas ir atbrīvoti no citiem pacientu maksājumiem) izrakstīto un izmantoto recepšu tendenci, redzams, ka </w:t>
      </w:r>
      <w:r w:rsidR="00B6203F">
        <w:t>maksājumi par zālēm</w:t>
      </w:r>
      <w:r w:rsidRPr="00AB28A4">
        <w:t xml:space="preserve"> (t.i., fakts,</w:t>
      </w:r>
      <w:r w:rsidRPr="00B44FAE">
        <w:t xml:space="preserve"> ka zāles netiek kompensētas 100% apmērā) samazina medikamentu atbilstošu lietojumu.</w:t>
      </w:r>
    </w:p>
    <w:p w:rsidR="00B44FAE" w:rsidRDefault="00B44FAE" w:rsidP="00064C1E">
      <w:pPr>
        <w:rPr>
          <w:highlight w:val="yellow"/>
        </w:rPr>
      </w:pPr>
    </w:p>
    <w:p w:rsidR="00D16A53" w:rsidRDefault="00D16A53" w:rsidP="00064C1E">
      <w:r w:rsidRPr="00D16A53">
        <w:t>Pasaules Bankas eksperti norāda, ka iepriekš minētās valsts apmaksāto pakalpojumu pieejamības problēmas – pakalpojumu, finanšu pieejamība un iedzīvotāju aptvere – var tieši ietekmēt vai deformēt pakalpojumu sniegšanas organizāciju. Ja, piemēram, valsts apmaksāto pakalpojumu klāsts nenodrošina pietiekamu pakalpojumu vai finanšu pieejamību, pacientiem netiek sniegti būtiski primārās aprūpes pakalpojumi un viņi nonāk veselības aprūpes sistēmā jau kā daudz dārgākas akūtās aprūpes pacienti. Analizējot datus, secināts, ka iepriekš minēto kvotu izsīkuma laikā analizētajā laika posmā pieauga neatliekamās medicīniskās palīdzības izsaukumu skaits, tādējādi pacienti saņem diagnostiku un speciālistu aprūpi, kuru citādi valsts pakalpojumu jomā būtu jāgaida vairākus mēnešus.</w:t>
      </w:r>
      <w:r w:rsidR="006E4960">
        <w:t xml:space="preserve"> Tāpat primārā veselības aprūpes līmenī par maz uzmanības tiek veltīts veselības profilakses jautājumiem.</w:t>
      </w:r>
    </w:p>
    <w:p w:rsidR="00D16A53" w:rsidRPr="00CA7863" w:rsidRDefault="00D16A53" w:rsidP="00064C1E"/>
    <w:p w:rsidR="00D16A53" w:rsidRDefault="00CA7863" w:rsidP="00064C1E">
      <w:r w:rsidRPr="00CA7863">
        <w:t>Pasaules Bankas eksperti secina, ka</w:t>
      </w:r>
      <w:r w:rsidR="00D16A53" w:rsidRPr="00CA7863">
        <w:t xml:space="preserve"> </w:t>
      </w:r>
      <w:r w:rsidRPr="00CA7863">
        <w:t>Latvijas</w:t>
      </w:r>
      <w:r w:rsidR="00D16A53" w:rsidRPr="00CA7863">
        <w:t xml:space="preserve"> veselības aprūpes sistēmai ir jāuzlabo vispārēj</w:t>
      </w:r>
      <w:r w:rsidRPr="00CA7863">
        <w:t>ā</w:t>
      </w:r>
      <w:r w:rsidR="00D16A53" w:rsidRPr="00CA7863">
        <w:t>s veselības aprūpes pieejamība</w:t>
      </w:r>
      <w:r w:rsidRPr="00CA7863">
        <w:t>, kas</w:t>
      </w:r>
      <w:r w:rsidR="00D16A53" w:rsidRPr="00CA7863">
        <w:t xml:space="preserve"> nav atkarīga no personas ienākumiem vai saslimšanas laika</w:t>
      </w:r>
      <w:r w:rsidRPr="00CA7863">
        <w:t xml:space="preserve"> gada griezumā</w:t>
      </w:r>
      <w:r w:rsidR="00D16A53" w:rsidRPr="00CA7863">
        <w:t xml:space="preserve">. Tas </w:t>
      </w:r>
      <w:r w:rsidRPr="00CA7863">
        <w:t xml:space="preserve">var prasīt dažādu pilotprojektu īstenošanu, meklējot labāko risinājumu </w:t>
      </w:r>
      <w:r w:rsidR="00D16A53" w:rsidRPr="00CA7863">
        <w:t xml:space="preserve">ar kvotu </w:t>
      </w:r>
      <w:r w:rsidR="00D16A53" w:rsidRPr="00B6203F">
        <w:t>plānošanu, maksājumiem un atbrīvojumiem</w:t>
      </w:r>
      <w:r w:rsidR="007574C4" w:rsidRPr="00B6203F">
        <w:t xml:space="preserve"> noteiktām pacientu grupām</w:t>
      </w:r>
      <w:r w:rsidR="00D16A53" w:rsidRPr="00B6203F">
        <w:t>, kas atspoguļo ārstniecības</w:t>
      </w:r>
      <w:r w:rsidR="00D16A53" w:rsidRPr="00CA7863">
        <w:t xml:space="preserve"> vajadzības un nodrošina adekvātu finansiālās aizsardzības līmeni veselības pakalpojumu lietotājiem.</w:t>
      </w:r>
    </w:p>
    <w:p w:rsidR="00A835E5" w:rsidRPr="007621E9" w:rsidRDefault="00A835E5" w:rsidP="003945E0">
      <w:pPr>
        <w:pStyle w:val="Heading3"/>
      </w:pPr>
      <w:bookmarkStart w:id="470" w:name="_Toc6841583"/>
      <w:r w:rsidRPr="007621E9">
        <w:rPr>
          <w:color w:val="000000"/>
        </w:rPr>
        <w:lastRenderedPageBreak/>
        <w:t xml:space="preserve">Datu kvalitātes novērtējums </w:t>
      </w:r>
      <w:r w:rsidR="009F6530" w:rsidRPr="007621E9">
        <w:t>nevienlīdzības veselības</w:t>
      </w:r>
      <w:r w:rsidR="00905FCC">
        <w:t xml:space="preserve"> aprūpes</w:t>
      </w:r>
      <w:r w:rsidR="009F6530" w:rsidRPr="007621E9">
        <w:t xml:space="preserve"> </w:t>
      </w:r>
      <w:r w:rsidRPr="007621E9">
        <w:t>jomā</w:t>
      </w:r>
      <w:r w:rsidR="0006259C">
        <w:t xml:space="preserve"> raksturošanai</w:t>
      </w:r>
      <w:bookmarkEnd w:id="470"/>
    </w:p>
    <w:p w:rsidR="00F652A2" w:rsidRPr="00097E48" w:rsidRDefault="008C705F" w:rsidP="00F652A2">
      <w:r>
        <w:t>D</w:t>
      </w:r>
      <w:r w:rsidR="00F652A2" w:rsidRPr="00097E48">
        <w:t>atu avotu pieejamība</w:t>
      </w:r>
      <w:r>
        <w:t xml:space="preserve">s </w:t>
      </w:r>
      <w:r w:rsidR="00F652A2" w:rsidRPr="00097E48">
        <w:t>izvērtēšana nevienlīdzības veselības aprūpes jomā raksturošanai un to kvalitātes analīze notika, sagatavojot šo Izvērtējumu, caurskatot un pēc noteiktiem kritērijiem izvērtējot starptautiskos (Pasaules Veselības organizācijas</w:t>
      </w:r>
      <w:r>
        <w:t>, Pasaules Bankas, OECD</w:t>
      </w:r>
      <w:r w:rsidR="00F652A2" w:rsidRPr="00097E48">
        <w:t>) un Latvijas valdības sagatavotos dokumentus (piemēram, Sabiedrības veselības pamatnostādnes</w:t>
      </w:r>
      <w:r w:rsidR="00714FC5">
        <w:t xml:space="preserve"> </w:t>
      </w:r>
      <w:r w:rsidR="00714FC5" w:rsidRPr="00714FC5">
        <w:t>2014.</w:t>
      </w:r>
      <w:r w:rsidR="00714FC5">
        <w:t xml:space="preserve"> – </w:t>
      </w:r>
      <w:r w:rsidR="00714FC5" w:rsidRPr="00714FC5">
        <w:t>2020.gadam</w:t>
      </w:r>
      <w:r w:rsidR="00F652A2" w:rsidRPr="00097E48">
        <w:t>) un izvērtējumus, lai noteiktu, kāda veida rādītāji tiek izmantoti un kādā apjomā. Papildu informācijas avots par veselības aprūpes jomā izmantotajiem statistikas un apsekojumu datiem bija ekspertu intervijas.</w:t>
      </w:r>
    </w:p>
    <w:p w:rsidR="007621E9" w:rsidRDefault="007621E9" w:rsidP="007621E9"/>
    <w:p w:rsidR="007621E9" w:rsidRDefault="007621E9" w:rsidP="007621E9">
      <w:r>
        <w:t xml:space="preserve">Latvijā līdz šim uzkrātos datus saistībā ar veselības aprūpes nozari, līdzīgi kā </w:t>
      </w:r>
      <w:r w:rsidR="00DB0146">
        <w:t xml:space="preserve">starptautiski, var </w:t>
      </w:r>
      <w:r>
        <w:t xml:space="preserve">iedalīt vairākās lielās grupās (sk. arī 2.1.1. nodaļu par PVO lietoto indikatoru iedalījumu pēc analizējamās jomas). Nevienlīdzības veselības aprūpes kontekstā šo indikatoru analīze ir būtiska, ņemot vērā personas galvenās ekonomisko un sociāli demogrāfisko stāvokli raksturojošās iezīmes, t.i., atbilstību ienākumu kvintiļu grupai, ģeogrāfiskajam izvietojumam, mājsaimniecības raksturojumam, dzimumam, vecumam u.tml. Dati, kas nav analizējami šādā personas raksturojuma griezumā, var būt būtiski, raugoties no kāda specifiska veselības nozares aspekta, taču tie nav aplūkojami nevienlīdzības kontekstā. Sistematizējot Latvijā pieejamos datus saistībā ar veselības aprūpes nozares un iedzīvotāju veselību raksturojumu, </w:t>
      </w:r>
      <w:r w:rsidRPr="002C5635">
        <w:t>iezīmējas vairākas analīzes dimensijas:</w:t>
      </w:r>
    </w:p>
    <w:p w:rsidR="007621E9" w:rsidRDefault="007621E9" w:rsidP="003F469F">
      <w:pPr>
        <w:pStyle w:val="ListParagraph"/>
        <w:numPr>
          <w:ilvl w:val="0"/>
          <w:numId w:val="154"/>
        </w:numPr>
        <w:spacing w:after="200" w:line="276" w:lineRule="auto"/>
        <w:jc w:val="both"/>
      </w:pPr>
      <w:r w:rsidRPr="004C4228">
        <w:rPr>
          <w:b/>
          <w:u w:val="single"/>
        </w:rPr>
        <w:t>Datu ievākšanas veids</w:t>
      </w:r>
      <w:r w:rsidRPr="004C4228">
        <w:t xml:space="preserve">: </w:t>
      </w:r>
    </w:p>
    <w:p w:rsidR="007621E9" w:rsidRDefault="007621E9" w:rsidP="003F469F">
      <w:pPr>
        <w:pStyle w:val="ListParagraph"/>
        <w:numPr>
          <w:ilvl w:val="1"/>
          <w:numId w:val="154"/>
        </w:numPr>
        <w:spacing w:after="200" w:line="276" w:lineRule="auto"/>
        <w:jc w:val="both"/>
      </w:pPr>
      <w:r w:rsidRPr="004C4228">
        <w:t>aptaujas vai apsekojumi, t.i., dati, kas ievākti, balstoties uz izlases veida iedzīvotāju dzīvesveida paradumu, subjektīvā veselības stāvokļa pašnovērtējuma u.c. līdzīgu apstākļu</w:t>
      </w:r>
      <w:r>
        <w:t xml:space="preserve"> izpēti;</w:t>
      </w:r>
      <w:r w:rsidRPr="004C4228">
        <w:t xml:space="preserve"> </w:t>
      </w:r>
    </w:p>
    <w:p w:rsidR="007621E9" w:rsidRPr="004C4228" w:rsidRDefault="007621E9" w:rsidP="003F469F">
      <w:pPr>
        <w:pStyle w:val="ListParagraph"/>
        <w:numPr>
          <w:ilvl w:val="1"/>
          <w:numId w:val="154"/>
        </w:numPr>
        <w:spacing w:after="200" w:line="276" w:lineRule="auto"/>
        <w:jc w:val="both"/>
      </w:pPr>
      <w:r>
        <w:t>a</w:t>
      </w:r>
      <w:r w:rsidRPr="004C4228">
        <w:t>dministratīvie (statistikas) dati, kas iegūti, balstoties uz dažādu iestāžu sniegto un reģistros ievadīto informāciju par reāli sniegto pakalpojumu skaitu, speciālistu daudzumu vai personu, kurām diagnosticēta noteikta saslimšana, daudzumu u.tml.</w:t>
      </w:r>
      <w:r w:rsidR="000E166E">
        <w:t>, t.sk. šo datu analīzes iespējas</w:t>
      </w:r>
      <w:r w:rsidR="00565F61">
        <w:t xml:space="preserve"> saistībā ar personu sociāli ekonomisko informāciju</w:t>
      </w:r>
      <w:r w:rsidRPr="004C4228">
        <w:t xml:space="preserve"> (piemēram, </w:t>
      </w:r>
      <w:r>
        <w:t>saslimstības ar noteiktām slimību grupām (cukura diabēta pacienti, onkoloģiskajiem pacientiem, psihisko veselību)</w:t>
      </w:r>
      <w:r w:rsidRPr="004C4228">
        <w:t>, traumu reģistri, dati par ārstniecības personu skaitu</w:t>
      </w:r>
      <w:r>
        <w:t>, ambulatori, stacionāri un neatliekamajā medicīniskajā palīdzībā</w:t>
      </w:r>
      <w:r w:rsidRPr="004C4228">
        <w:t xml:space="preserve"> </w:t>
      </w:r>
      <w:r>
        <w:t xml:space="preserve">sniegto palīdzību </w:t>
      </w:r>
      <w:r w:rsidRPr="004C4228">
        <w:t>Latvijā u.c.);</w:t>
      </w:r>
    </w:p>
    <w:p w:rsidR="007621E9" w:rsidRDefault="007621E9" w:rsidP="003F469F">
      <w:pPr>
        <w:pStyle w:val="ListParagraph"/>
        <w:numPr>
          <w:ilvl w:val="0"/>
          <w:numId w:val="154"/>
        </w:numPr>
        <w:spacing w:after="200" w:line="276" w:lineRule="auto"/>
        <w:jc w:val="both"/>
      </w:pPr>
      <w:r w:rsidRPr="004C4228">
        <w:rPr>
          <w:b/>
          <w:u w:val="single"/>
        </w:rPr>
        <w:t>Regularitāte</w:t>
      </w:r>
      <w:r w:rsidRPr="004C4228">
        <w:t xml:space="preserve">: </w:t>
      </w:r>
    </w:p>
    <w:p w:rsidR="007621E9" w:rsidRDefault="007621E9" w:rsidP="003F469F">
      <w:pPr>
        <w:pStyle w:val="ListParagraph"/>
        <w:numPr>
          <w:ilvl w:val="1"/>
          <w:numId w:val="154"/>
        </w:numPr>
        <w:spacing w:after="200" w:line="276" w:lineRule="auto"/>
        <w:jc w:val="both"/>
      </w:pPr>
      <w:r w:rsidRPr="004C4228">
        <w:t>dati var tikt vākti ar noteiktu</w:t>
      </w:r>
      <w:r>
        <w:t xml:space="preserve"> periodizāciju un</w:t>
      </w:r>
      <w:r w:rsidRPr="004C4228">
        <w:t xml:space="preserve"> regularitāti</w:t>
      </w:r>
      <w:r>
        <w:t>, kas nodrošina iespēju veikt rezultātu izmaiņu dinamiku novērtējumu ilgākā laika posmā</w:t>
      </w:r>
      <w:r w:rsidRPr="004C4228">
        <w:t xml:space="preserve"> (piemēram, administratīvie dati, EU-SILC, </w:t>
      </w:r>
      <w:r w:rsidR="008B0D00" w:rsidRPr="008B0D00">
        <w:t>Latvijas iedzīvotāju veselību ietekmējošo paradumu pētījums</w:t>
      </w:r>
      <w:r w:rsidRPr="004C4228">
        <w:t xml:space="preserve">, </w:t>
      </w:r>
      <w:r>
        <w:t xml:space="preserve">Eiropas iedzīvotāju veselības apsekojums, SPKC pasūtītie </w:t>
      </w:r>
      <w:r w:rsidRPr="004C4228">
        <w:t>atkarību apsekojumi)</w:t>
      </w:r>
      <w:r>
        <w:t>;</w:t>
      </w:r>
      <w:r w:rsidRPr="004C4228">
        <w:t xml:space="preserve"> </w:t>
      </w:r>
    </w:p>
    <w:p w:rsidR="007621E9" w:rsidRDefault="007621E9" w:rsidP="003F469F">
      <w:pPr>
        <w:pStyle w:val="ListParagraph"/>
        <w:numPr>
          <w:ilvl w:val="1"/>
          <w:numId w:val="154"/>
        </w:numPr>
        <w:spacing w:after="200" w:line="276" w:lineRule="auto"/>
        <w:jc w:val="both"/>
      </w:pPr>
      <w:r w:rsidRPr="004C4228">
        <w:t>vienreizēji, pielāgoti izvērtējumi (piemēram, Pasaules Bankas 2016. gada izvērtējums</w:t>
      </w:r>
      <w:r w:rsidR="0039097F">
        <w:t xml:space="preserve"> (sk. galveno atziņu apkopojumu 2.1.3. nodaļā)</w:t>
      </w:r>
      <w:r>
        <w:t>, kas balstīts uz vairāku apjomīgu reģistru apvienošanu un iegūto iedzīvotāju mikrodatu ekonometrisko analīzi</w:t>
      </w:r>
      <w:r w:rsidRPr="004C4228">
        <w:t>);</w:t>
      </w:r>
    </w:p>
    <w:p w:rsidR="007621E9" w:rsidRDefault="007621E9" w:rsidP="003F469F">
      <w:pPr>
        <w:pStyle w:val="ListParagraph"/>
        <w:numPr>
          <w:ilvl w:val="0"/>
          <w:numId w:val="154"/>
        </w:numPr>
        <w:spacing w:after="200" w:line="276" w:lineRule="auto"/>
        <w:jc w:val="both"/>
      </w:pPr>
      <w:r>
        <w:rPr>
          <w:b/>
          <w:u w:val="single"/>
        </w:rPr>
        <w:t>Mērāmie parametri</w:t>
      </w:r>
      <w:r w:rsidRPr="006D2DC8">
        <w:t>:</w:t>
      </w:r>
      <w:r>
        <w:t xml:space="preserve"> datos pieejamās informācijas (analizēto </w:t>
      </w:r>
      <w:r w:rsidRPr="006D2DC8">
        <w:t>indikator</w:t>
      </w:r>
      <w:r w:rsidR="00DB0146">
        <w:t>u</w:t>
      </w:r>
      <w:r>
        <w:t xml:space="preserve">) attiecināmība uz nevienlīdzību veselības aprūpē, piemēram: </w:t>
      </w:r>
    </w:p>
    <w:p w:rsidR="007621E9" w:rsidRDefault="007621E9" w:rsidP="003F469F">
      <w:pPr>
        <w:pStyle w:val="ListParagraph"/>
        <w:numPr>
          <w:ilvl w:val="1"/>
          <w:numId w:val="154"/>
        </w:numPr>
        <w:spacing w:after="200" w:line="276" w:lineRule="auto"/>
        <w:jc w:val="both"/>
      </w:pPr>
      <w:r>
        <w:t>informācija tieši attiecināma uz nevienlīdzību, ja noskaidro veselības pašnovērtējuma atšķirības un veselības aprūpes pieejamības atšķirības dažādās iedzīvotāju grupās;</w:t>
      </w:r>
    </w:p>
    <w:p w:rsidR="007621E9" w:rsidRDefault="007621E9" w:rsidP="003F469F">
      <w:pPr>
        <w:pStyle w:val="ListParagraph"/>
        <w:numPr>
          <w:ilvl w:val="1"/>
          <w:numId w:val="154"/>
        </w:numPr>
        <w:spacing w:after="200" w:line="276" w:lineRule="auto"/>
        <w:jc w:val="both"/>
      </w:pPr>
      <w:r w:rsidRPr="006D2DC8">
        <w:lastRenderedPageBreak/>
        <w:t>informācija uz</w:t>
      </w:r>
      <w:r>
        <w:t xml:space="preserve"> nevienlīdzību nav attiecināma vai attiecināma pastarpināti, ja mēra nozares izpildes rādītājus (it īpaši, ja datu analīzē nav nodrošināta sasaiste ar iedzīvotāju sociāli ekonomisko raksturojumu);</w:t>
      </w:r>
    </w:p>
    <w:p w:rsidR="007621E9" w:rsidRPr="004C4228" w:rsidRDefault="007621E9" w:rsidP="003F469F">
      <w:pPr>
        <w:pStyle w:val="ListParagraph"/>
        <w:numPr>
          <w:ilvl w:val="0"/>
          <w:numId w:val="154"/>
        </w:numPr>
        <w:spacing w:after="200" w:line="276" w:lineRule="auto"/>
        <w:jc w:val="both"/>
      </w:pPr>
      <w:r w:rsidRPr="004C4228">
        <w:rPr>
          <w:b/>
          <w:u w:val="single"/>
        </w:rPr>
        <w:t>Iespējas analizēt nevienlīdzības</w:t>
      </w:r>
      <w:r w:rsidRPr="004C4228">
        <w:t xml:space="preserve"> griezumā, un proti, iegūtā informācija ļauj sasaistīt noteiktus rezultātus ar iedzīvotāju sociāli ekonomisko raksturojumu, kas savukārt ļauj noteikt, cik nozīmīgi atšķiras iedzīvotāju veselības stāvoklis un iespējas savlaicīgi saņemt pakalpojumu atkarībā no ienākumu līmeņa u.c. sociāli demogrāfiskajiem raksturojumiem. Šajā aspektā ir būtiski, lai ienākumu līmeņi un nevienlīdzību mērošie indikatori būtu saskanīgi ar Latvijā (un ES kopumā) pieņemtiem atskaites punktiem.</w:t>
      </w:r>
    </w:p>
    <w:p w:rsidR="007621E9" w:rsidRDefault="007621E9" w:rsidP="007621E9">
      <w:r>
        <w:t>Nevienlīdzības veselības aprūpē monitoringam nepieciešamajiem datiem ir jāiekļauj vismaz šādi aspekti: datu vākšanas regularitāte, mērāmo parametru tieša sasaiste ar nevienlīdzību veselības aprūpē un tādu datu analīzes griezumu lietošana, kas atbilst vispārpieņemtajiem nabadzību un sociālo atstumtību raksturojošiem indikatoriem.</w:t>
      </w:r>
      <w:r w:rsidR="0051414B">
        <w:t xml:space="preserve"> Būtiski, lai analizējamie dati būtu pieejami ilgā laika posmā, lietojot vienotu metodoloģiju, kas ļauj veikt rādītāju monitoringu salīdzinošā perspektīvā.</w:t>
      </w:r>
    </w:p>
    <w:p w:rsidR="008B0D00" w:rsidRDefault="008B0D00" w:rsidP="00111044"/>
    <w:p w:rsidR="0039097F" w:rsidRDefault="008B0D00" w:rsidP="00FE1C88">
      <w:r w:rsidRPr="008B0D00">
        <w:t>Aplūkojot starptautiskos un Latvijā izmantotos informācijas avotus attiecībā uz nevienlīdzību veselības aprūpes jomā</w:t>
      </w:r>
      <w:r w:rsidR="004B4D90">
        <w:t xml:space="preserve"> dažādu iedzīvotāju grupu starpā</w:t>
      </w:r>
      <w:r w:rsidRPr="008B0D00">
        <w:t>, redzama</w:t>
      </w:r>
      <w:r w:rsidR="00E5276D">
        <w:t>s atšķirības</w:t>
      </w:r>
      <w:r w:rsidRPr="008B0D00">
        <w:t xml:space="preserve"> izmantoto informācijas avotu starpā – starptautiskajos izvērtējumos, tur, kur veikta rādītāju starptautiska salīdzināšana, informācijas avots ir CSP EU-SILC apsekojums, kura dati ir pamatā </w:t>
      </w:r>
      <w:r w:rsidRPr="008475E4">
        <w:rPr>
          <w:i/>
        </w:rPr>
        <w:t>Eurostat</w:t>
      </w:r>
      <w:r w:rsidRPr="008B0D00">
        <w:t xml:space="preserve"> aprēķinātajiem rādītājiem. Savukārt Sabiedrības v</w:t>
      </w:r>
      <w:r>
        <w:t>esel</w:t>
      </w:r>
      <w:r w:rsidRPr="008B0D00">
        <w:t xml:space="preserve">ības pamatnostādnēs 2014. – 2020. gadam formulēto politikas apakšmērķu rezultatīvie rādītāji izriet </w:t>
      </w:r>
      <w:r w:rsidR="0056415D">
        <w:t xml:space="preserve">tostarp </w:t>
      </w:r>
      <w:r w:rsidRPr="008B0D00">
        <w:t xml:space="preserve">no </w:t>
      </w:r>
      <w:r w:rsidRPr="00FE1C88">
        <w:t>apsekojuma „Latvijas iedzīvotāju veselību ietekmējošo paradumu pētījums”</w:t>
      </w:r>
      <w:r w:rsidR="00E5276D">
        <w:t>, lai gan situācijas raksturojuma daļā (pamatnostādņu pirmajā nodaļā) un zemākas hierarhijas politikas dokumentos (piemēram, informatīvajos ziņojumos)</w:t>
      </w:r>
      <w:r w:rsidR="00E5276D">
        <w:rPr>
          <w:rStyle w:val="FootnoteReference"/>
        </w:rPr>
        <w:footnoteReference w:id="142"/>
      </w:r>
      <w:r w:rsidR="00E5276D">
        <w:t xml:space="preserve"> atrodama arī atsevišķu CSP no EU-SILC vai citiem apsekojumiem iegūstamu rādītāju izmantošana, </w:t>
      </w:r>
      <w:r w:rsidR="00E5276D" w:rsidRPr="00741156">
        <w:t>kombinējot dažādus datu avotus</w:t>
      </w:r>
      <w:r w:rsidRPr="00741156">
        <w:t xml:space="preserve">. </w:t>
      </w:r>
      <w:r w:rsidR="0039097F" w:rsidRPr="00741156">
        <w:t xml:space="preserve">Šie divi </w:t>
      </w:r>
      <w:r w:rsidR="00E5276D" w:rsidRPr="00741156">
        <w:t>apsekojumi (EU-SILC un Latvijas iedzīvotāju veselību</w:t>
      </w:r>
      <w:r w:rsidR="00E5276D" w:rsidRPr="00FE1C88">
        <w:t xml:space="preserve"> ietekmējošo paradumu pētījums</w:t>
      </w:r>
      <w:r w:rsidR="00E5276D">
        <w:t>)</w:t>
      </w:r>
      <w:r w:rsidR="0039097F">
        <w:t xml:space="preserve"> ir </w:t>
      </w:r>
      <w:r w:rsidR="00FB327A">
        <w:t xml:space="preserve">potenciāli </w:t>
      </w:r>
      <w:r w:rsidR="0039097F">
        <w:t>būtiskākie</w:t>
      </w:r>
      <w:r w:rsidR="00B052D3">
        <w:t xml:space="preserve"> datu avoti</w:t>
      </w:r>
      <w:r w:rsidR="0039097F">
        <w:t>, raugoti</w:t>
      </w:r>
      <w:r w:rsidR="00D449E8">
        <w:t>es no šī Izvērtējuma vajadzībām, un to salīdzinājums ir sniegts 2.</w:t>
      </w:r>
      <w:r w:rsidR="000E166E">
        <w:t>4</w:t>
      </w:r>
      <w:r w:rsidR="00D449E8">
        <w:t>. tabulā</w:t>
      </w:r>
      <w:r w:rsidR="00E61EFA">
        <w:t xml:space="preserve"> atbilstoši iepriekš dotajiem analīzes četriem parametriem</w:t>
      </w:r>
      <w:r w:rsidR="00D449E8">
        <w:t>.</w:t>
      </w:r>
    </w:p>
    <w:p w:rsidR="0039097F" w:rsidRDefault="0039097F" w:rsidP="00FE1C88"/>
    <w:p w:rsidR="00A40145" w:rsidRDefault="0039097F" w:rsidP="00FE1C88">
      <w:r>
        <w:t>Minētā</w:t>
      </w:r>
      <w:r w:rsidR="008B0D00" w:rsidRPr="00FE1C88">
        <w:t xml:space="preserve"> lietotās informācijas </w:t>
      </w:r>
      <w:r w:rsidR="00E5276D">
        <w:t>atšķirība</w:t>
      </w:r>
      <w:r w:rsidR="002556DA">
        <w:t>, kā rāda ekspertu intervijās iegūtie dati,</w:t>
      </w:r>
      <w:r w:rsidR="008B0D00" w:rsidRPr="00FE1C88">
        <w:t xml:space="preserve"> skaidrojama vismaz ar diviem faktoriem. Pirmkārt, vēsturiski Latvijas iedzīvotāju veselību ietekmējošo paradumu pētījuma īstenošana ir uzsākta agrāk par EU-SILC īstenošanu, tādējādi tas bija nozīmīgs informācijas avots</w:t>
      </w:r>
      <w:r w:rsidR="002556DA">
        <w:t xml:space="preserve"> nozarei par iedzīvotāju vajadzībām un veselību ietekmējošiem paradumiem</w:t>
      </w:r>
      <w:r w:rsidR="008B0D00" w:rsidRPr="00FE1C88">
        <w:t xml:space="preserve"> pirms alternatīvu un ar nevienlīdzības analīzi ciešāk sasaistītu datu avotu parādīšanās. Otrkārt, zināma ietekme ir datu turētājam, un proti, SPKC ir VM pakļautības iestāde un viena no tā funkcijām ir </w:t>
      </w:r>
      <w:r w:rsidR="00FE1C88" w:rsidRPr="00FE1C88">
        <w:t xml:space="preserve">iegūt, apkopot, apstrādāt un analizēt sabiedrības veselības un veselības aprūpes statistikas informāciju un veikt sabiedrības veselības monitoringu, tādējādi </w:t>
      </w:r>
      <w:r w:rsidR="00891FB2">
        <w:t xml:space="preserve">likumsakarīga ir </w:t>
      </w:r>
      <w:r w:rsidR="00FE1C88" w:rsidRPr="00FE1C88">
        <w:t>nozares iekšienē pastāv</w:t>
      </w:r>
      <w:r w:rsidR="00891FB2">
        <w:t>ošā</w:t>
      </w:r>
      <w:r w:rsidR="00FE1C88" w:rsidRPr="00FE1C88">
        <w:t xml:space="preserve"> </w:t>
      </w:r>
      <w:r w:rsidR="00611946">
        <w:t>paļaušanās</w:t>
      </w:r>
      <w:r w:rsidR="00FE1C88" w:rsidRPr="00FE1C88">
        <w:t xml:space="preserve"> uz n</w:t>
      </w:r>
      <w:r w:rsidR="002556DA">
        <w:t>ozarei piederošu,</w:t>
      </w:r>
      <w:r w:rsidR="00FE1C88" w:rsidRPr="00FE1C88">
        <w:t xml:space="preserve"> </w:t>
      </w:r>
      <w:r w:rsidR="002556DA">
        <w:t xml:space="preserve">ātri un ērti pieejamu, </w:t>
      </w:r>
      <w:r w:rsidR="00FE1C88" w:rsidRPr="00FE1C88">
        <w:t>nevis ārēju datu turētāju, par ko šajā situācijā ir uzskatāma CSP.</w:t>
      </w:r>
      <w:r w:rsidR="008B0D00" w:rsidRPr="00FE1C88">
        <w:t xml:space="preserve"> </w:t>
      </w:r>
    </w:p>
    <w:p w:rsidR="00D1132A" w:rsidRDefault="00D1132A" w:rsidP="00FE1C88"/>
    <w:p w:rsidR="00D449E8" w:rsidRDefault="00FB327A" w:rsidP="00FE1C88">
      <w:r>
        <w:t>Kopumā CSP EU-SILC dati ir orientēti uz dažu būtiskāko veselības stāvokļa raksturojošo parametru un jautājumiem par pakalpojuma neizmantošanu situācijā, kad bijusi tāda vajadzība, iegūšanu, nodarbinātības un ienākumu sadaļās iegūstot informāciju, kas ļauj datus analizēt no nevienlīdzības aspekta, jo tas ir viens no šīs aptaujas pamatuzdevumiem</w:t>
      </w:r>
      <w:r>
        <w:rPr>
          <w:rStyle w:val="FootnoteReference"/>
        </w:rPr>
        <w:footnoteReference w:id="143"/>
      </w:r>
      <w:r>
        <w:t>.</w:t>
      </w:r>
      <w:r w:rsidR="00E61EFA">
        <w:t xml:space="preserve"> Savukārt </w:t>
      </w:r>
      <w:r w:rsidR="00581B19" w:rsidRPr="00FE1C88">
        <w:t>Latvijas iedzīvotāju veselību ietekmējošo paradumu pētījuma</w:t>
      </w:r>
      <w:r w:rsidR="00581B19">
        <w:t xml:space="preserve"> </w:t>
      </w:r>
      <w:r w:rsidR="00E61EFA">
        <w:t xml:space="preserve">tvērums attiecībā uz iedzīvotāju dzīvesveida, veselības stāvokļa raksturojumu un veselības aprūpes pakalpojuma izmantošanu </w:t>
      </w:r>
      <w:r w:rsidR="0094610E">
        <w:t xml:space="preserve">un apmierinātību ar šiem pakalpojumiem </w:t>
      </w:r>
      <w:r w:rsidR="00E61EFA">
        <w:t xml:space="preserve">ir ievērojami plašāks, it sevišķi saistībā ar </w:t>
      </w:r>
      <w:r w:rsidR="0094610E">
        <w:t xml:space="preserve">atkarību izraisošo vielu lietošanu un </w:t>
      </w:r>
      <w:r w:rsidR="00E61EFA">
        <w:t xml:space="preserve">uztura paradumiem (to starpā sāls, cukura, taukvielu lietošanu), kas ir nozīmīgs informācijas avots sabiedrības veselības veicināšanas informatīvo kampaņu plānošanai un rezultātu novērtēšanai. Vienlaikus </w:t>
      </w:r>
      <w:r w:rsidR="00581B19" w:rsidRPr="00FE1C88">
        <w:t xml:space="preserve">Latvijas iedzīvotāju veselību ietekmējošo paradumu </w:t>
      </w:r>
      <w:r w:rsidR="00E61EFA">
        <w:t xml:space="preserve">pētījums neiekļauj jautājumus, kas ļautu novērtēt iedzīvotāju atteikšanos apmeklēt ārstu finanšu ierobežojumu dēļ, kā arī </w:t>
      </w:r>
      <w:r w:rsidR="00B052D3">
        <w:t>ir</w:t>
      </w:r>
      <w:r w:rsidR="00E61EFA">
        <w:t xml:space="preserve"> ierobežotas šī pētījuma rezultātu analīzes iespējas nabadzības un sociālās atstumtības, t.sk., nevienlīdzības veselības aprūpē raksturošanai</w:t>
      </w:r>
      <w:r w:rsidR="00E61EFA" w:rsidRPr="00E61EFA">
        <w:rPr>
          <w:rStyle w:val="FootnoteReference"/>
        </w:rPr>
        <w:footnoteReference w:id="144"/>
      </w:r>
      <w:r w:rsidR="00B052D3">
        <w:t>, jo datus nav iespējams sasaistīt ar indikatoru, ka persona vai mājsaimniecība ir pakļauta nabadzības riskam vai materiālajai nenodrošinātībai (sk. atbilstošo specifisko rādītāju analīzi šī Izvērtējuma 1.nodaļā)</w:t>
      </w:r>
      <w:r w:rsidR="00E61EFA" w:rsidRPr="00E61EFA">
        <w:t>.</w:t>
      </w:r>
    </w:p>
    <w:p w:rsidR="00A40145" w:rsidRDefault="00A40145" w:rsidP="00FE1C88"/>
    <w:p w:rsidR="00E61EFA" w:rsidRDefault="00E61EFA" w:rsidP="00611946">
      <w:r>
        <w:t>Salīdzinot abus galvenos datu avotus pēc iepriekš definētajiem četriem parametriem, redzams, ka abi avoti ir apsekojumi, veicot kvantitatīvu iedzīvotāju aptauju (</w:t>
      </w:r>
      <w:r w:rsidR="00500544">
        <w:t xml:space="preserve">2.4. tabula). </w:t>
      </w:r>
      <w:r>
        <w:t xml:space="preserve">Tie tiek veikti ar noteiktu regularitāti, un katram no datu avotiem ir savas priekšrocības. EU-SILC tiek veikts ik gadu, tādējādi nodrošinot vislabākās nevienlīdzības monitoringa iespējas, vienlaikus mērāmo indikatoru daudzums ir ierobežots līdz visbūtiskākajiem </w:t>
      </w:r>
      <w:r w:rsidR="00E91369">
        <w:t>nevienlīdzības veselības aprūpē analīzei (sk. sīkāk iepriekš 2.1.1. nodaļu) nepieciešamajiem mērījumiem.</w:t>
      </w:r>
      <w:r>
        <w:t xml:space="preserve"> </w:t>
      </w:r>
      <w:r w:rsidR="00E91369">
        <w:t>Šī iemesla dēļ</w:t>
      </w:r>
      <w:r>
        <w:t xml:space="preserve"> padziļinātas situācijas izprašanai 2017. gadā papildus tika veikta moduļa veida aptauja par pieaugušo un bērnu veselību</w:t>
      </w:r>
      <w:r w:rsidR="00927B1F">
        <w:t>, kas ir vienīgais šāds modulis kopš 2005. gada</w:t>
      </w:r>
      <w:r w:rsidR="00927B1F">
        <w:rPr>
          <w:rStyle w:val="FootnoteReference"/>
        </w:rPr>
        <w:footnoteReference w:id="145"/>
      </w:r>
      <w:r w:rsidR="005F3497">
        <w:t xml:space="preserve">, tādējādi nav informācijas, kad dati par dažādu ārstniecības, zobārstniecības un zāļu iegādes radīto slogu, kas šobrīd ir iekļauti ziņojuma 2.1.2. nodaļā, būs pieejami atkārtoti, lai veiktu situācijas izmaiņu </w:t>
      </w:r>
      <w:r w:rsidR="003F61D1">
        <w:t>novērtējumu</w:t>
      </w:r>
      <w:r w:rsidR="005F3497">
        <w:t>.</w:t>
      </w:r>
      <w:r w:rsidR="0094610E">
        <w:t xml:space="preserve"> </w:t>
      </w:r>
      <w:r w:rsidR="00581B19" w:rsidRPr="00FE1C88">
        <w:t>Latvijas iedzīvotāju veselī</w:t>
      </w:r>
      <w:r w:rsidR="00581B19">
        <w:t>bu ietekmējošo paradumu</w:t>
      </w:r>
      <w:r w:rsidR="0094610E">
        <w:t xml:space="preserve"> pētījums tiek atkārtoti veikts vienu reizi divos gados ar mazāku kopējo aptaujāto skaitu, taču aptverot būtiski plašāku informācijas klāstu (sk. iepriekš). Atzīstot, ka šie dati ir nozīmīgi sabiedrības veselības politikas veidošanai, vienlaikus jāņem vērā to šī brīža šaurais pielietojums nevienlīdzības veselības aprūpē raksturošanai (sk. tabulas rindiņu „Sociāli demogrāfiskie parametri nevienlīdzības raksturošanai”)</w:t>
      </w:r>
      <w:r w:rsidR="003F61D1">
        <w:t>, kuru pielietošanas iespējas samazina arī pētījuma izlases lielums, kas liedz statistiski ticami analizēt šaurākas, taču sociālās atstumtības un nabadzības riskam īpaši pakļautas iedzīvotāju grupas</w:t>
      </w:r>
      <w:r w:rsidR="0094610E">
        <w:t>.</w:t>
      </w:r>
    </w:p>
    <w:p w:rsidR="00E44042" w:rsidRDefault="00E44042">
      <w:pPr>
        <w:spacing w:line="240" w:lineRule="auto"/>
        <w:jc w:val="left"/>
        <w:rPr>
          <w:b/>
          <w:bCs/>
          <w:color w:val="244061" w:themeColor="accent1" w:themeShade="80"/>
          <w:szCs w:val="18"/>
        </w:rPr>
      </w:pPr>
      <w:bookmarkStart w:id="471" w:name="_Ref6496412"/>
      <w:r>
        <w:br w:type="page"/>
      </w:r>
    </w:p>
    <w:p w:rsidR="00D449E8" w:rsidRPr="00FE2526" w:rsidRDefault="00AD3EDD" w:rsidP="0054404D">
      <w:pPr>
        <w:pStyle w:val="Caption"/>
      </w:pPr>
      <w:r>
        <w:lastRenderedPageBreak/>
        <w:fldChar w:fldCharType="begin"/>
      </w:r>
      <w:r w:rsidR="00A46B54">
        <w:instrText xml:space="preserve"> STYLEREF 1 \s </w:instrText>
      </w:r>
      <w:r>
        <w:fldChar w:fldCharType="separate"/>
      </w:r>
      <w:bookmarkStart w:id="472" w:name="_Toc6857677"/>
      <w:r w:rsidR="00224B50">
        <w:rPr>
          <w:noProof/>
        </w:rPr>
        <w:t>2</w:t>
      </w:r>
      <w:r>
        <w:fldChar w:fldCharType="end"/>
      </w:r>
      <w:r w:rsidR="00A46B54">
        <w:t>.</w:t>
      </w:r>
      <w:r>
        <w:fldChar w:fldCharType="begin"/>
      </w:r>
      <w:r w:rsidR="000F1524">
        <w:instrText xml:space="preserve"> SEQ Tabula \* ARABIC \s 1 </w:instrText>
      </w:r>
      <w:r>
        <w:fldChar w:fldCharType="separate"/>
      </w:r>
      <w:r w:rsidR="00224B50">
        <w:rPr>
          <w:noProof/>
        </w:rPr>
        <w:t>4</w:t>
      </w:r>
      <w:r>
        <w:rPr>
          <w:noProof/>
        </w:rPr>
        <w:fldChar w:fldCharType="end"/>
      </w:r>
      <w:bookmarkEnd w:id="471"/>
      <w:r w:rsidR="00D449E8">
        <w:t>.tabula. Galveno datu avotu nevienlīdzības veselības aprūpes jomā salīdzinājums</w:t>
      </w:r>
      <w:bookmarkEnd w:id="472"/>
    </w:p>
    <w:tbl>
      <w:tblPr>
        <w:tblStyle w:val="TableGrid"/>
        <w:tblW w:w="0" w:type="auto"/>
        <w:tblLook w:val="04A0"/>
      </w:tblPr>
      <w:tblGrid>
        <w:gridCol w:w="2747"/>
        <w:gridCol w:w="3602"/>
        <w:gridCol w:w="3333"/>
      </w:tblGrid>
      <w:tr w:rsidR="00C85EB4" w:rsidRPr="00C85EB4" w:rsidTr="006106B3">
        <w:trPr>
          <w:tblHeader/>
        </w:trPr>
        <w:tc>
          <w:tcPr>
            <w:tcW w:w="2747" w:type="dxa"/>
            <w:vMerge w:val="restart"/>
            <w:shd w:val="clear" w:color="auto" w:fill="B8CCE4" w:themeFill="accent1" w:themeFillTint="66"/>
            <w:vAlign w:val="center"/>
          </w:tcPr>
          <w:p w:rsidR="00C85EB4" w:rsidRPr="00037D97" w:rsidRDefault="00C85EB4" w:rsidP="00753328">
            <w:pPr>
              <w:rPr>
                <w:b/>
                <w:color w:val="002060"/>
                <w:sz w:val="22"/>
                <w:szCs w:val="22"/>
              </w:rPr>
            </w:pPr>
            <w:r w:rsidRPr="00037D97">
              <w:rPr>
                <w:b/>
                <w:color w:val="002060"/>
                <w:sz w:val="22"/>
                <w:szCs w:val="22"/>
              </w:rPr>
              <w:t>Datu vākšanas veids</w:t>
            </w:r>
          </w:p>
        </w:tc>
        <w:tc>
          <w:tcPr>
            <w:tcW w:w="3602" w:type="dxa"/>
            <w:shd w:val="clear" w:color="auto" w:fill="B8CCE4" w:themeFill="accent1" w:themeFillTint="66"/>
          </w:tcPr>
          <w:p w:rsidR="00C85EB4" w:rsidRPr="00037D97" w:rsidRDefault="00C85EB4" w:rsidP="00753328">
            <w:pPr>
              <w:jc w:val="center"/>
              <w:rPr>
                <w:b/>
                <w:color w:val="002060"/>
                <w:sz w:val="22"/>
                <w:szCs w:val="22"/>
              </w:rPr>
            </w:pPr>
            <w:r w:rsidRPr="00037D97">
              <w:rPr>
                <w:b/>
                <w:color w:val="002060"/>
                <w:sz w:val="22"/>
                <w:szCs w:val="22"/>
              </w:rPr>
              <w:t>CSP EU-SILC</w:t>
            </w:r>
          </w:p>
        </w:tc>
        <w:tc>
          <w:tcPr>
            <w:tcW w:w="3333" w:type="dxa"/>
            <w:shd w:val="clear" w:color="auto" w:fill="B8CCE4" w:themeFill="accent1" w:themeFillTint="66"/>
          </w:tcPr>
          <w:p w:rsidR="00C85EB4" w:rsidRPr="00037D97" w:rsidRDefault="00581B19" w:rsidP="00E61EFA">
            <w:pPr>
              <w:jc w:val="center"/>
              <w:rPr>
                <w:b/>
                <w:color w:val="002060"/>
                <w:sz w:val="22"/>
                <w:szCs w:val="22"/>
              </w:rPr>
            </w:pPr>
            <w:r w:rsidRPr="00037D97">
              <w:rPr>
                <w:b/>
                <w:color w:val="002060"/>
                <w:sz w:val="22"/>
                <w:szCs w:val="22"/>
              </w:rPr>
              <w:t>Latvijas iedzīvotāju veselību ietekmējošo paradumu pētījums</w:t>
            </w:r>
          </w:p>
        </w:tc>
      </w:tr>
      <w:tr w:rsidR="00C85EB4" w:rsidRPr="00C85EB4" w:rsidTr="006106B3">
        <w:tc>
          <w:tcPr>
            <w:tcW w:w="2747" w:type="dxa"/>
            <w:vMerge/>
            <w:shd w:val="clear" w:color="auto" w:fill="B8CCE4" w:themeFill="accent1" w:themeFillTint="66"/>
            <w:vAlign w:val="center"/>
          </w:tcPr>
          <w:p w:rsidR="00C85EB4" w:rsidRPr="00C85EB4" w:rsidRDefault="00C85EB4" w:rsidP="00753328">
            <w:pPr>
              <w:rPr>
                <w:b/>
                <w:sz w:val="22"/>
                <w:szCs w:val="22"/>
              </w:rPr>
            </w:pPr>
          </w:p>
        </w:tc>
        <w:tc>
          <w:tcPr>
            <w:tcW w:w="3602" w:type="dxa"/>
          </w:tcPr>
          <w:p w:rsidR="00C85EB4" w:rsidRPr="00C85EB4" w:rsidRDefault="00C85EB4" w:rsidP="00753328">
            <w:pPr>
              <w:jc w:val="center"/>
              <w:rPr>
                <w:sz w:val="22"/>
                <w:szCs w:val="22"/>
              </w:rPr>
            </w:pPr>
            <w:r w:rsidRPr="00C85EB4">
              <w:rPr>
                <w:sz w:val="22"/>
                <w:szCs w:val="22"/>
              </w:rPr>
              <w:t>Apsekojums (aptauja)</w:t>
            </w:r>
          </w:p>
        </w:tc>
        <w:tc>
          <w:tcPr>
            <w:tcW w:w="3333" w:type="dxa"/>
          </w:tcPr>
          <w:p w:rsidR="00C85EB4" w:rsidRPr="00C85EB4" w:rsidRDefault="00C85EB4" w:rsidP="00753328">
            <w:pPr>
              <w:jc w:val="center"/>
              <w:rPr>
                <w:sz w:val="22"/>
                <w:szCs w:val="22"/>
              </w:rPr>
            </w:pPr>
            <w:r w:rsidRPr="00C85EB4">
              <w:rPr>
                <w:sz w:val="22"/>
                <w:szCs w:val="22"/>
              </w:rPr>
              <w:t>Apsekojums (aptauja)</w:t>
            </w:r>
          </w:p>
        </w:tc>
      </w:tr>
      <w:tr w:rsidR="00D449E8" w:rsidRPr="00C85EB4" w:rsidTr="00C85EB4">
        <w:tc>
          <w:tcPr>
            <w:tcW w:w="2747" w:type="dxa"/>
          </w:tcPr>
          <w:p w:rsidR="00D449E8" w:rsidRPr="00C85EB4" w:rsidRDefault="00D449E8" w:rsidP="00753328">
            <w:pPr>
              <w:rPr>
                <w:sz w:val="22"/>
                <w:szCs w:val="22"/>
              </w:rPr>
            </w:pPr>
            <w:r w:rsidRPr="00C85EB4">
              <w:rPr>
                <w:sz w:val="22"/>
                <w:szCs w:val="22"/>
              </w:rPr>
              <w:t>Regularitāte</w:t>
            </w:r>
          </w:p>
        </w:tc>
        <w:tc>
          <w:tcPr>
            <w:tcW w:w="3602" w:type="dxa"/>
          </w:tcPr>
          <w:p w:rsidR="00D449E8" w:rsidRPr="00C85EB4" w:rsidRDefault="00D449E8" w:rsidP="00C85EB4">
            <w:pPr>
              <w:jc w:val="center"/>
              <w:rPr>
                <w:sz w:val="22"/>
                <w:szCs w:val="22"/>
              </w:rPr>
            </w:pPr>
            <w:r w:rsidRPr="00C85EB4">
              <w:rPr>
                <w:sz w:val="22"/>
                <w:szCs w:val="22"/>
              </w:rPr>
              <w:t>CSP EU-SILC pamat</w:t>
            </w:r>
            <w:r w:rsidR="009E3FBF">
              <w:rPr>
                <w:sz w:val="22"/>
                <w:szCs w:val="22"/>
              </w:rPr>
              <w:t xml:space="preserve">anketa </w:t>
            </w:r>
            <w:r w:rsidRPr="00C85EB4">
              <w:rPr>
                <w:sz w:val="22"/>
                <w:szCs w:val="22"/>
              </w:rPr>
              <w:t>(veselības pašnovērtējums): ikgadēji</w:t>
            </w:r>
            <w:r w:rsidR="00FB327A" w:rsidRPr="00C85EB4">
              <w:rPr>
                <w:sz w:val="22"/>
                <w:szCs w:val="22"/>
              </w:rPr>
              <w:t xml:space="preserve"> kopš 200</w:t>
            </w:r>
            <w:r w:rsidR="009E3FBF">
              <w:rPr>
                <w:sz w:val="22"/>
                <w:szCs w:val="22"/>
              </w:rPr>
              <w:t>5</w:t>
            </w:r>
            <w:r w:rsidR="00FB327A" w:rsidRPr="00C85EB4">
              <w:rPr>
                <w:sz w:val="22"/>
                <w:szCs w:val="22"/>
              </w:rPr>
              <w:t>. gada (kopš 2010. gada tiek izmantots nabadzības un nevienlīdzības indikatoru uzraudzībai)</w:t>
            </w:r>
          </w:p>
          <w:p w:rsidR="00D449E8" w:rsidRPr="00C85EB4" w:rsidRDefault="00D449E8" w:rsidP="00C85EB4">
            <w:pPr>
              <w:jc w:val="center"/>
              <w:rPr>
                <w:sz w:val="22"/>
                <w:szCs w:val="22"/>
              </w:rPr>
            </w:pPr>
            <w:r w:rsidRPr="00C85EB4">
              <w:rPr>
                <w:sz w:val="22"/>
                <w:szCs w:val="22"/>
              </w:rPr>
              <w:t>EU-SILC modulis „Pieaugušo un bērnu veselība”: 2017. gads</w:t>
            </w:r>
          </w:p>
        </w:tc>
        <w:tc>
          <w:tcPr>
            <w:tcW w:w="3333" w:type="dxa"/>
          </w:tcPr>
          <w:p w:rsidR="00D449E8" w:rsidRPr="00C85EB4" w:rsidRDefault="00D449E8" w:rsidP="00C85EB4">
            <w:pPr>
              <w:jc w:val="center"/>
              <w:rPr>
                <w:sz w:val="22"/>
                <w:szCs w:val="22"/>
              </w:rPr>
            </w:pPr>
            <w:r w:rsidRPr="00C85EB4">
              <w:rPr>
                <w:sz w:val="22"/>
                <w:szCs w:val="22"/>
              </w:rPr>
              <w:t>Vienu reizi divos gados kopš 1998. gada (salīdzināmi laika posmi: 2018., 2016., 2014., 2010. gads)</w:t>
            </w:r>
          </w:p>
        </w:tc>
      </w:tr>
      <w:tr w:rsidR="00D449E8" w:rsidRPr="00C85EB4" w:rsidTr="00C85EB4">
        <w:tc>
          <w:tcPr>
            <w:tcW w:w="2747" w:type="dxa"/>
          </w:tcPr>
          <w:p w:rsidR="00D449E8" w:rsidRPr="00C85EB4" w:rsidRDefault="00D449E8" w:rsidP="00753328">
            <w:pPr>
              <w:rPr>
                <w:sz w:val="22"/>
                <w:szCs w:val="22"/>
              </w:rPr>
            </w:pPr>
            <w:r w:rsidRPr="00C85EB4">
              <w:rPr>
                <w:sz w:val="22"/>
                <w:szCs w:val="22"/>
              </w:rPr>
              <w:t>Mērķa grupa un izlases lielums:</w:t>
            </w:r>
          </w:p>
        </w:tc>
        <w:tc>
          <w:tcPr>
            <w:tcW w:w="3602" w:type="dxa"/>
          </w:tcPr>
          <w:p w:rsidR="00D449E8" w:rsidRPr="00C85EB4" w:rsidRDefault="00D449E8" w:rsidP="009E3FBF">
            <w:pPr>
              <w:jc w:val="center"/>
              <w:rPr>
                <w:sz w:val="22"/>
                <w:szCs w:val="22"/>
              </w:rPr>
            </w:pPr>
            <w:r w:rsidRPr="00C85EB4">
              <w:rPr>
                <w:sz w:val="22"/>
                <w:szCs w:val="22"/>
              </w:rPr>
              <w:t>Pēdējais analizētais laika posms, 201</w:t>
            </w:r>
            <w:r w:rsidR="009E3FBF">
              <w:rPr>
                <w:sz w:val="22"/>
                <w:szCs w:val="22"/>
              </w:rPr>
              <w:t>8</w:t>
            </w:r>
            <w:r w:rsidRPr="00C85EB4">
              <w:rPr>
                <w:sz w:val="22"/>
                <w:szCs w:val="22"/>
              </w:rPr>
              <w:t xml:space="preserve">. gads: </w:t>
            </w:r>
            <w:r w:rsidR="009E3FBF" w:rsidRPr="009E3FBF">
              <w:rPr>
                <w:sz w:val="22"/>
                <w:szCs w:val="22"/>
              </w:rPr>
              <w:t>5833 mājsaimniecība</w:t>
            </w:r>
            <w:r w:rsidR="009E3FBF">
              <w:rPr>
                <w:sz w:val="22"/>
                <w:szCs w:val="22"/>
              </w:rPr>
              <w:t xml:space="preserve">s Latvijā, 10 785 individuālas </w:t>
            </w:r>
            <w:r w:rsidR="009E3FBF" w:rsidRPr="009E3FBF">
              <w:rPr>
                <w:sz w:val="22"/>
                <w:szCs w:val="22"/>
              </w:rPr>
              <w:t>intervijas</w:t>
            </w:r>
            <w:r w:rsidRPr="00C85EB4">
              <w:rPr>
                <w:sz w:val="22"/>
                <w:szCs w:val="22"/>
              </w:rPr>
              <w:t xml:space="preserve"> (piedalās visas mājsaimniecības personas virs 16 gadu vecuma)</w:t>
            </w:r>
          </w:p>
        </w:tc>
        <w:tc>
          <w:tcPr>
            <w:tcW w:w="3333" w:type="dxa"/>
          </w:tcPr>
          <w:p w:rsidR="00D449E8" w:rsidRPr="00C85EB4" w:rsidRDefault="00D449E8" w:rsidP="00C85EB4">
            <w:pPr>
              <w:jc w:val="center"/>
              <w:rPr>
                <w:sz w:val="22"/>
                <w:szCs w:val="22"/>
              </w:rPr>
            </w:pPr>
            <w:r w:rsidRPr="00C85EB4">
              <w:rPr>
                <w:sz w:val="22"/>
                <w:szCs w:val="22"/>
              </w:rPr>
              <w:t>Pēdējais publiski pieejamais laika posms, 2016. gads: Latvijas iedzīvotāji 15 – 74 gadu vecumā (</w:t>
            </w:r>
            <w:r w:rsidR="00D479FB" w:rsidRPr="00C85EB4">
              <w:rPr>
                <w:sz w:val="22"/>
                <w:szCs w:val="22"/>
              </w:rPr>
              <w:t>līdz 2014. gadam</w:t>
            </w:r>
            <w:r w:rsidRPr="00C85EB4">
              <w:rPr>
                <w:sz w:val="22"/>
                <w:szCs w:val="22"/>
              </w:rPr>
              <w:t xml:space="preserve"> – līdz 64 gadu vecumam), 3596 respondenti</w:t>
            </w:r>
          </w:p>
        </w:tc>
      </w:tr>
      <w:tr w:rsidR="00D449E8" w:rsidRPr="00C85EB4" w:rsidTr="006106B3">
        <w:trPr>
          <w:trHeight w:val="489"/>
        </w:trPr>
        <w:tc>
          <w:tcPr>
            <w:tcW w:w="2747" w:type="dxa"/>
            <w:shd w:val="clear" w:color="auto" w:fill="B8CCE4" w:themeFill="accent1" w:themeFillTint="66"/>
          </w:tcPr>
          <w:p w:rsidR="00D449E8" w:rsidRPr="00037D97" w:rsidRDefault="00D449E8" w:rsidP="00753328">
            <w:pPr>
              <w:rPr>
                <w:b/>
                <w:color w:val="002060"/>
                <w:sz w:val="22"/>
                <w:szCs w:val="22"/>
              </w:rPr>
            </w:pPr>
            <w:r w:rsidRPr="00037D97">
              <w:rPr>
                <w:b/>
                <w:color w:val="002060"/>
                <w:sz w:val="22"/>
                <w:szCs w:val="22"/>
              </w:rPr>
              <w:t>Mērāmie parametri*:</w:t>
            </w:r>
          </w:p>
        </w:tc>
        <w:tc>
          <w:tcPr>
            <w:tcW w:w="3602" w:type="dxa"/>
          </w:tcPr>
          <w:p w:rsidR="00D449E8" w:rsidRPr="00C85EB4" w:rsidRDefault="00D449E8" w:rsidP="00C85EB4">
            <w:pPr>
              <w:jc w:val="left"/>
              <w:rPr>
                <w:b/>
                <w:sz w:val="22"/>
                <w:szCs w:val="22"/>
              </w:rPr>
            </w:pPr>
          </w:p>
        </w:tc>
        <w:tc>
          <w:tcPr>
            <w:tcW w:w="3333" w:type="dxa"/>
          </w:tcPr>
          <w:p w:rsidR="00D449E8" w:rsidRPr="00C85EB4" w:rsidRDefault="00D449E8" w:rsidP="00C85EB4">
            <w:pPr>
              <w:jc w:val="left"/>
              <w:rPr>
                <w:b/>
                <w:sz w:val="22"/>
                <w:szCs w:val="22"/>
              </w:rPr>
            </w:pPr>
          </w:p>
        </w:tc>
      </w:tr>
      <w:tr w:rsidR="00D449E8" w:rsidRPr="00C85EB4" w:rsidTr="00C85EB4">
        <w:tc>
          <w:tcPr>
            <w:tcW w:w="2747" w:type="dxa"/>
          </w:tcPr>
          <w:p w:rsidR="00D449E8" w:rsidRPr="00C85EB4" w:rsidRDefault="00D449E8" w:rsidP="00C85EB4">
            <w:pPr>
              <w:jc w:val="left"/>
              <w:rPr>
                <w:sz w:val="22"/>
                <w:szCs w:val="22"/>
              </w:rPr>
            </w:pPr>
            <w:r w:rsidRPr="00C85EB4">
              <w:rPr>
                <w:sz w:val="22"/>
                <w:szCs w:val="22"/>
              </w:rPr>
              <w:t>Veselības pašnovērtējums</w:t>
            </w:r>
          </w:p>
        </w:tc>
        <w:tc>
          <w:tcPr>
            <w:tcW w:w="3602" w:type="dxa"/>
          </w:tcPr>
          <w:p w:rsidR="00D449E8" w:rsidRPr="00C85EB4" w:rsidRDefault="00D449E8" w:rsidP="00C85EB4">
            <w:pPr>
              <w:jc w:val="center"/>
              <w:rPr>
                <w:sz w:val="22"/>
                <w:szCs w:val="22"/>
              </w:rPr>
            </w:pPr>
            <w:r w:rsidRPr="00C85EB4">
              <w:rPr>
                <w:sz w:val="22"/>
                <w:szCs w:val="22"/>
              </w:rPr>
              <w:t>Pamatmodulis, ikgadēji; pieejams pēc mērījuma skalas: ļoti labs, labs, viduvējs, slikts, ļoti slikts</w:t>
            </w:r>
          </w:p>
        </w:tc>
        <w:tc>
          <w:tcPr>
            <w:tcW w:w="3333" w:type="dxa"/>
          </w:tcPr>
          <w:p w:rsidR="00D449E8" w:rsidRPr="00C85EB4" w:rsidRDefault="00D449E8" w:rsidP="00C85EB4">
            <w:pPr>
              <w:jc w:val="center"/>
              <w:rPr>
                <w:sz w:val="22"/>
                <w:szCs w:val="22"/>
              </w:rPr>
            </w:pPr>
            <w:r w:rsidRPr="00C85EB4">
              <w:rPr>
                <w:sz w:val="22"/>
                <w:szCs w:val="22"/>
              </w:rPr>
              <w:t>Vienu reizi divos gados; pieejams pēc mērījuma skalas: labs, diezgan labs, vidējs, diezgan slikts, slikts</w:t>
            </w:r>
          </w:p>
        </w:tc>
      </w:tr>
      <w:tr w:rsidR="00D449E8" w:rsidRPr="00C85EB4" w:rsidTr="00C85EB4">
        <w:tc>
          <w:tcPr>
            <w:tcW w:w="2747" w:type="dxa"/>
          </w:tcPr>
          <w:p w:rsidR="00D449E8" w:rsidRPr="00C85EB4" w:rsidRDefault="00D449E8" w:rsidP="00C85EB4">
            <w:pPr>
              <w:jc w:val="left"/>
              <w:rPr>
                <w:sz w:val="22"/>
                <w:szCs w:val="22"/>
              </w:rPr>
            </w:pPr>
            <w:r w:rsidRPr="00C85EB4">
              <w:rPr>
                <w:sz w:val="22"/>
                <w:szCs w:val="22"/>
              </w:rPr>
              <w:t>Ilgstoša slimības vai ilgstošas veselības problēmas esamība</w:t>
            </w:r>
          </w:p>
        </w:tc>
        <w:tc>
          <w:tcPr>
            <w:tcW w:w="3602" w:type="dxa"/>
          </w:tcPr>
          <w:p w:rsidR="00D449E8" w:rsidRPr="00C85EB4" w:rsidRDefault="00D449E8" w:rsidP="00C85EB4">
            <w:pPr>
              <w:jc w:val="center"/>
              <w:rPr>
                <w:sz w:val="22"/>
                <w:szCs w:val="22"/>
              </w:rPr>
            </w:pPr>
            <w:r w:rsidRPr="00C85EB4">
              <w:rPr>
                <w:sz w:val="22"/>
                <w:szCs w:val="22"/>
              </w:rPr>
              <w:t>Pamatmodulis, ikgadēji: jā/nē pašvērtējums</w:t>
            </w:r>
          </w:p>
        </w:tc>
        <w:tc>
          <w:tcPr>
            <w:tcW w:w="3333" w:type="dxa"/>
          </w:tcPr>
          <w:p w:rsidR="00D449E8" w:rsidRPr="00C85EB4" w:rsidRDefault="00D449E8" w:rsidP="00C85EB4">
            <w:pPr>
              <w:jc w:val="center"/>
              <w:rPr>
                <w:sz w:val="22"/>
                <w:szCs w:val="22"/>
              </w:rPr>
            </w:pPr>
            <w:r w:rsidRPr="00C85EB4">
              <w:rPr>
                <w:sz w:val="22"/>
                <w:szCs w:val="22"/>
              </w:rPr>
              <w:t>Vienu reizi divos gados; noteiktu diagnožu ārstēšana pēdējo 12 mēnešu laikā, simptomu un sūdzību esamība pēdējā mēneša laikā (saraksts)</w:t>
            </w:r>
          </w:p>
        </w:tc>
      </w:tr>
      <w:tr w:rsidR="00D449E8" w:rsidRPr="00C85EB4" w:rsidTr="00C85EB4">
        <w:tc>
          <w:tcPr>
            <w:tcW w:w="2747" w:type="dxa"/>
          </w:tcPr>
          <w:p w:rsidR="00D449E8" w:rsidRPr="00C85EB4" w:rsidRDefault="00FB327A" w:rsidP="00C85EB4">
            <w:pPr>
              <w:jc w:val="left"/>
              <w:rPr>
                <w:sz w:val="22"/>
                <w:szCs w:val="22"/>
              </w:rPr>
            </w:pPr>
            <w:r w:rsidRPr="00C85EB4">
              <w:rPr>
                <w:sz w:val="22"/>
                <w:szCs w:val="22"/>
              </w:rPr>
              <w:t>Ārstniecības</w:t>
            </w:r>
            <w:r w:rsidR="00D449E8" w:rsidRPr="00C85EB4">
              <w:rPr>
                <w:sz w:val="22"/>
                <w:szCs w:val="22"/>
              </w:rPr>
              <w:t xml:space="preserve"> pakalpojumu izmantošana ikreiz, kad bija nepieciešams (izņemot zobārstu); iemesli pakalpojuma neizmantošanai </w:t>
            </w:r>
          </w:p>
        </w:tc>
        <w:tc>
          <w:tcPr>
            <w:tcW w:w="3602" w:type="dxa"/>
          </w:tcPr>
          <w:p w:rsidR="00D449E8" w:rsidRPr="00C85EB4" w:rsidRDefault="00D449E8" w:rsidP="00753328">
            <w:pPr>
              <w:jc w:val="center"/>
              <w:rPr>
                <w:sz w:val="22"/>
                <w:szCs w:val="22"/>
              </w:rPr>
            </w:pPr>
            <w:r w:rsidRPr="00C85EB4">
              <w:rPr>
                <w:sz w:val="22"/>
                <w:szCs w:val="22"/>
              </w:rPr>
              <w:t>Pamatmodulis, ikgadēji; pieejams pēc mērījuma skalas: jā, vismaz viens gadījums; viens galvenais iemesls</w:t>
            </w:r>
          </w:p>
        </w:tc>
        <w:tc>
          <w:tcPr>
            <w:tcW w:w="3333" w:type="dxa"/>
          </w:tcPr>
          <w:p w:rsidR="00D449E8" w:rsidRPr="00C85EB4" w:rsidRDefault="00D449E8" w:rsidP="00753328">
            <w:pPr>
              <w:jc w:val="center"/>
              <w:rPr>
                <w:sz w:val="22"/>
                <w:szCs w:val="22"/>
              </w:rPr>
            </w:pPr>
            <w:r w:rsidRPr="00C85EB4">
              <w:rPr>
                <w:sz w:val="22"/>
                <w:szCs w:val="22"/>
              </w:rPr>
              <w:t>Vienu reizi divos gados: iemesli, kāpēc nav apmeklēts ģimenes ārsts, ja bijusi tāda nepieciešamība; vairāki iemesli</w:t>
            </w:r>
          </w:p>
        </w:tc>
      </w:tr>
      <w:tr w:rsidR="00D449E8" w:rsidRPr="00C85EB4" w:rsidTr="00C85EB4">
        <w:tc>
          <w:tcPr>
            <w:tcW w:w="2747" w:type="dxa"/>
          </w:tcPr>
          <w:p w:rsidR="00D449E8" w:rsidRPr="00C85EB4" w:rsidRDefault="00D449E8" w:rsidP="00C85EB4">
            <w:pPr>
              <w:jc w:val="left"/>
              <w:rPr>
                <w:sz w:val="22"/>
                <w:szCs w:val="22"/>
              </w:rPr>
            </w:pPr>
            <w:r w:rsidRPr="00C85EB4">
              <w:rPr>
                <w:sz w:val="22"/>
                <w:szCs w:val="22"/>
              </w:rPr>
              <w:t xml:space="preserve">Zobārstniecības pakalpojuma izmantošana ikreiz, kad bija nepieciešams; iemesli pakalpojuma neizmantošanai </w:t>
            </w:r>
          </w:p>
        </w:tc>
        <w:tc>
          <w:tcPr>
            <w:tcW w:w="3602" w:type="dxa"/>
          </w:tcPr>
          <w:p w:rsidR="00D449E8" w:rsidRPr="00C85EB4" w:rsidRDefault="00D449E8" w:rsidP="00753328">
            <w:pPr>
              <w:jc w:val="center"/>
              <w:rPr>
                <w:sz w:val="22"/>
                <w:szCs w:val="22"/>
              </w:rPr>
            </w:pPr>
            <w:r w:rsidRPr="00C85EB4">
              <w:rPr>
                <w:sz w:val="22"/>
                <w:szCs w:val="22"/>
              </w:rPr>
              <w:t>Pamatmodulis, ikgadēji; pieejams pēc mērījuma skalas: jā, vismaz viens gadījums; viens galvenais iemesls</w:t>
            </w:r>
          </w:p>
        </w:tc>
        <w:tc>
          <w:tcPr>
            <w:tcW w:w="3333" w:type="dxa"/>
          </w:tcPr>
          <w:p w:rsidR="00D449E8" w:rsidRPr="00C85EB4" w:rsidRDefault="00D449E8" w:rsidP="00753328">
            <w:pPr>
              <w:jc w:val="center"/>
              <w:rPr>
                <w:sz w:val="22"/>
                <w:szCs w:val="22"/>
              </w:rPr>
            </w:pPr>
            <w:r w:rsidRPr="00C85EB4">
              <w:rPr>
                <w:sz w:val="22"/>
                <w:szCs w:val="22"/>
              </w:rPr>
              <w:t>Nav iekļauts</w:t>
            </w:r>
          </w:p>
        </w:tc>
      </w:tr>
      <w:tr w:rsidR="00D449E8" w:rsidRPr="00C85EB4" w:rsidTr="00C85EB4">
        <w:tc>
          <w:tcPr>
            <w:tcW w:w="2747" w:type="dxa"/>
          </w:tcPr>
          <w:p w:rsidR="00D449E8" w:rsidRPr="00C85EB4" w:rsidRDefault="00D449E8" w:rsidP="00C85EB4">
            <w:pPr>
              <w:jc w:val="left"/>
              <w:rPr>
                <w:sz w:val="22"/>
                <w:szCs w:val="22"/>
              </w:rPr>
            </w:pPr>
            <w:r w:rsidRPr="00C85EB4">
              <w:rPr>
                <w:sz w:val="22"/>
                <w:szCs w:val="22"/>
              </w:rPr>
              <w:t>Ikdienas smēķētāju (15-64 g.v.) īpatsvars (%)</w:t>
            </w:r>
          </w:p>
        </w:tc>
        <w:tc>
          <w:tcPr>
            <w:tcW w:w="3602" w:type="dxa"/>
          </w:tcPr>
          <w:p w:rsidR="00D449E8" w:rsidRPr="00C85EB4" w:rsidRDefault="00D449E8" w:rsidP="00753328">
            <w:pPr>
              <w:jc w:val="center"/>
              <w:rPr>
                <w:sz w:val="22"/>
                <w:szCs w:val="22"/>
              </w:rPr>
            </w:pPr>
            <w:r w:rsidRPr="00C85EB4">
              <w:rPr>
                <w:sz w:val="22"/>
                <w:szCs w:val="22"/>
              </w:rPr>
              <w:t>Nav iekļauts</w:t>
            </w:r>
          </w:p>
        </w:tc>
        <w:tc>
          <w:tcPr>
            <w:tcW w:w="3333" w:type="dxa"/>
          </w:tcPr>
          <w:p w:rsidR="00D449E8" w:rsidRPr="00C85EB4" w:rsidRDefault="00D449E8" w:rsidP="00753328">
            <w:pPr>
              <w:jc w:val="center"/>
              <w:rPr>
                <w:sz w:val="22"/>
                <w:szCs w:val="22"/>
              </w:rPr>
            </w:pPr>
            <w:r w:rsidRPr="00C85EB4">
              <w:rPr>
                <w:sz w:val="22"/>
                <w:szCs w:val="22"/>
              </w:rPr>
              <w:t xml:space="preserve">Vienu reizi divos gados </w:t>
            </w:r>
          </w:p>
        </w:tc>
      </w:tr>
      <w:tr w:rsidR="00D449E8" w:rsidRPr="00C85EB4" w:rsidTr="00C85EB4">
        <w:tc>
          <w:tcPr>
            <w:tcW w:w="2747" w:type="dxa"/>
          </w:tcPr>
          <w:p w:rsidR="00D449E8" w:rsidRPr="00C85EB4" w:rsidRDefault="00D449E8" w:rsidP="00C85EB4">
            <w:pPr>
              <w:jc w:val="left"/>
              <w:rPr>
                <w:sz w:val="22"/>
                <w:szCs w:val="22"/>
              </w:rPr>
            </w:pPr>
            <w:r w:rsidRPr="00C85EB4">
              <w:rPr>
                <w:sz w:val="22"/>
                <w:szCs w:val="22"/>
              </w:rPr>
              <w:t>Iedzīvotāju īpatsvars, kas vismaz 1-2 reizes nedēļā Latvijā nodarbojas ar fiziskām vai sportiskām aktivitātēm (%)</w:t>
            </w:r>
          </w:p>
        </w:tc>
        <w:tc>
          <w:tcPr>
            <w:tcW w:w="3602" w:type="dxa"/>
          </w:tcPr>
          <w:p w:rsidR="00D449E8" w:rsidRPr="00C85EB4" w:rsidRDefault="00D449E8" w:rsidP="00753328">
            <w:pPr>
              <w:jc w:val="center"/>
              <w:rPr>
                <w:sz w:val="22"/>
                <w:szCs w:val="22"/>
              </w:rPr>
            </w:pPr>
            <w:r w:rsidRPr="00C85EB4">
              <w:rPr>
                <w:sz w:val="22"/>
                <w:szCs w:val="22"/>
              </w:rPr>
              <w:t>EU-SILC modulis „Pieaugušo un bērnu veselība”: 2017. gads: tiek aprēķināts</w:t>
            </w:r>
          </w:p>
        </w:tc>
        <w:tc>
          <w:tcPr>
            <w:tcW w:w="3333" w:type="dxa"/>
          </w:tcPr>
          <w:p w:rsidR="00D449E8" w:rsidRPr="00C85EB4" w:rsidRDefault="00D449E8" w:rsidP="00D479FB">
            <w:pPr>
              <w:jc w:val="center"/>
              <w:rPr>
                <w:sz w:val="22"/>
                <w:szCs w:val="22"/>
              </w:rPr>
            </w:pPr>
            <w:r w:rsidRPr="00C85EB4">
              <w:rPr>
                <w:sz w:val="22"/>
                <w:szCs w:val="22"/>
              </w:rPr>
              <w:t>Vienu reizi divos gados: brīvajā laikā veic vismaz 30 minūšu ilgus fiziskos vingrinājumus līdz vieglam elpas trūkumam vai svīšanai</w:t>
            </w:r>
          </w:p>
        </w:tc>
      </w:tr>
      <w:tr w:rsidR="00D449E8" w:rsidRPr="00C85EB4" w:rsidTr="00C85EB4">
        <w:tc>
          <w:tcPr>
            <w:tcW w:w="2747" w:type="dxa"/>
          </w:tcPr>
          <w:p w:rsidR="00D449E8" w:rsidRPr="00C85EB4" w:rsidRDefault="00D449E8" w:rsidP="00C85EB4">
            <w:pPr>
              <w:jc w:val="left"/>
              <w:rPr>
                <w:sz w:val="22"/>
                <w:szCs w:val="22"/>
              </w:rPr>
            </w:pPr>
            <w:r w:rsidRPr="00C85EB4">
              <w:rPr>
                <w:sz w:val="22"/>
                <w:szCs w:val="22"/>
              </w:rPr>
              <w:t xml:space="preserve">Pieaugušo (15-64 g.v.) īpatsvars ar lieko ķermeņa </w:t>
            </w:r>
            <w:r w:rsidRPr="00C85EB4">
              <w:rPr>
                <w:sz w:val="22"/>
                <w:szCs w:val="22"/>
              </w:rPr>
              <w:lastRenderedPageBreak/>
              <w:t>masu vai aptaukošanos (ĶMI virs 25), (%)</w:t>
            </w:r>
          </w:p>
        </w:tc>
        <w:tc>
          <w:tcPr>
            <w:tcW w:w="3602" w:type="dxa"/>
          </w:tcPr>
          <w:p w:rsidR="00D449E8" w:rsidRPr="00C85EB4" w:rsidRDefault="00D449E8" w:rsidP="00753328">
            <w:pPr>
              <w:jc w:val="center"/>
              <w:rPr>
                <w:sz w:val="22"/>
                <w:szCs w:val="22"/>
              </w:rPr>
            </w:pPr>
            <w:r w:rsidRPr="00C85EB4">
              <w:rPr>
                <w:sz w:val="22"/>
                <w:szCs w:val="22"/>
              </w:rPr>
              <w:lastRenderedPageBreak/>
              <w:t>EU-SILC modulis „Pieaugušo un bērnu veselība”: 2017. gads</w:t>
            </w:r>
          </w:p>
        </w:tc>
        <w:tc>
          <w:tcPr>
            <w:tcW w:w="3333" w:type="dxa"/>
          </w:tcPr>
          <w:p w:rsidR="00D449E8" w:rsidRPr="00C85EB4" w:rsidRDefault="00D449E8" w:rsidP="00753328">
            <w:pPr>
              <w:jc w:val="center"/>
              <w:rPr>
                <w:sz w:val="22"/>
                <w:szCs w:val="22"/>
              </w:rPr>
            </w:pPr>
            <w:r w:rsidRPr="00C85EB4">
              <w:rPr>
                <w:sz w:val="22"/>
                <w:szCs w:val="22"/>
              </w:rPr>
              <w:t>Vienu reizi divos gados</w:t>
            </w:r>
          </w:p>
        </w:tc>
      </w:tr>
      <w:tr w:rsidR="00D449E8" w:rsidRPr="00C85EB4" w:rsidTr="00C85EB4">
        <w:tc>
          <w:tcPr>
            <w:tcW w:w="2747" w:type="dxa"/>
          </w:tcPr>
          <w:p w:rsidR="00D449E8" w:rsidRPr="00C85EB4" w:rsidRDefault="00D449E8" w:rsidP="00C85EB4">
            <w:pPr>
              <w:jc w:val="left"/>
              <w:rPr>
                <w:sz w:val="22"/>
                <w:szCs w:val="22"/>
              </w:rPr>
            </w:pPr>
            <w:r w:rsidRPr="00C85EB4">
              <w:rPr>
                <w:sz w:val="22"/>
                <w:szCs w:val="22"/>
              </w:rPr>
              <w:lastRenderedPageBreak/>
              <w:t>Gandrīz vienmēr bērnu sēdeklīšus lietojošo iedzīvotāju īpatsvars (%) no tiem, kuriem ir bērni, mazbērni attiecīgajā vecumā</w:t>
            </w:r>
          </w:p>
        </w:tc>
        <w:tc>
          <w:tcPr>
            <w:tcW w:w="3602" w:type="dxa"/>
          </w:tcPr>
          <w:p w:rsidR="00D449E8" w:rsidRPr="00C85EB4" w:rsidRDefault="00D449E8" w:rsidP="00753328">
            <w:pPr>
              <w:jc w:val="center"/>
              <w:rPr>
                <w:sz w:val="22"/>
                <w:szCs w:val="22"/>
              </w:rPr>
            </w:pPr>
            <w:r w:rsidRPr="00C85EB4">
              <w:rPr>
                <w:sz w:val="22"/>
                <w:szCs w:val="22"/>
              </w:rPr>
              <w:t>Nav</w:t>
            </w:r>
            <w:r w:rsidR="009135EE" w:rsidRPr="00C85EB4">
              <w:rPr>
                <w:sz w:val="22"/>
                <w:szCs w:val="22"/>
              </w:rPr>
              <w:t xml:space="preserve"> iekļauts</w:t>
            </w:r>
          </w:p>
        </w:tc>
        <w:tc>
          <w:tcPr>
            <w:tcW w:w="3333" w:type="dxa"/>
          </w:tcPr>
          <w:p w:rsidR="00D449E8" w:rsidRPr="00C85EB4" w:rsidRDefault="00D449E8" w:rsidP="00753328">
            <w:pPr>
              <w:jc w:val="center"/>
              <w:rPr>
                <w:sz w:val="22"/>
                <w:szCs w:val="22"/>
              </w:rPr>
            </w:pPr>
            <w:r w:rsidRPr="00C85EB4">
              <w:rPr>
                <w:sz w:val="22"/>
                <w:szCs w:val="22"/>
              </w:rPr>
              <w:t>Vienu reizi divos gados</w:t>
            </w:r>
          </w:p>
        </w:tc>
      </w:tr>
      <w:tr w:rsidR="00D449E8" w:rsidRPr="00C85EB4" w:rsidTr="006106B3">
        <w:tc>
          <w:tcPr>
            <w:tcW w:w="2747" w:type="dxa"/>
            <w:shd w:val="clear" w:color="auto" w:fill="B8CCE4" w:themeFill="accent1" w:themeFillTint="66"/>
          </w:tcPr>
          <w:p w:rsidR="00D449E8" w:rsidRPr="00037D97" w:rsidRDefault="0094610E" w:rsidP="0094610E">
            <w:pPr>
              <w:jc w:val="left"/>
              <w:rPr>
                <w:b/>
                <w:color w:val="002060"/>
                <w:sz w:val="22"/>
                <w:szCs w:val="22"/>
              </w:rPr>
            </w:pPr>
            <w:r w:rsidRPr="00037D97">
              <w:rPr>
                <w:b/>
                <w:color w:val="002060"/>
                <w:sz w:val="22"/>
                <w:szCs w:val="22"/>
              </w:rPr>
              <w:t>Sociāli demogrāfiskie parametri nevienlīdzības raksturošanai</w:t>
            </w:r>
            <w:r w:rsidR="00D449E8" w:rsidRPr="00037D97">
              <w:rPr>
                <w:b/>
                <w:color w:val="002060"/>
                <w:sz w:val="22"/>
                <w:szCs w:val="22"/>
              </w:rPr>
              <w:t>:</w:t>
            </w:r>
          </w:p>
        </w:tc>
        <w:tc>
          <w:tcPr>
            <w:tcW w:w="3602" w:type="dxa"/>
          </w:tcPr>
          <w:p w:rsidR="00D449E8" w:rsidRPr="00C85EB4" w:rsidRDefault="00D449E8" w:rsidP="00753328">
            <w:pPr>
              <w:jc w:val="center"/>
              <w:rPr>
                <w:b/>
                <w:sz w:val="22"/>
                <w:szCs w:val="22"/>
              </w:rPr>
            </w:pPr>
          </w:p>
        </w:tc>
        <w:tc>
          <w:tcPr>
            <w:tcW w:w="3333" w:type="dxa"/>
          </w:tcPr>
          <w:p w:rsidR="00D449E8" w:rsidRPr="00C85EB4" w:rsidRDefault="00D449E8" w:rsidP="00753328">
            <w:pPr>
              <w:jc w:val="center"/>
              <w:rPr>
                <w:b/>
                <w:sz w:val="22"/>
                <w:szCs w:val="22"/>
              </w:rPr>
            </w:pPr>
          </w:p>
        </w:tc>
      </w:tr>
      <w:tr w:rsidR="00D449E8" w:rsidRPr="00C85EB4" w:rsidTr="00C85EB4">
        <w:tc>
          <w:tcPr>
            <w:tcW w:w="2747" w:type="dxa"/>
          </w:tcPr>
          <w:p w:rsidR="00D449E8" w:rsidRPr="00C85EB4" w:rsidRDefault="00D449E8" w:rsidP="00C85EB4">
            <w:pPr>
              <w:jc w:val="left"/>
              <w:rPr>
                <w:sz w:val="22"/>
                <w:szCs w:val="22"/>
              </w:rPr>
            </w:pPr>
            <w:r w:rsidRPr="00C85EB4">
              <w:rPr>
                <w:sz w:val="22"/>
                <w:szCs w:val="22"/>
              </w:rPr>
              <w:t>Ienākumi</w:t>
            </w:r>
          </w:p>
        </w:tc>
        <w:tc>
          <w:tcPr>
            <w:tcW w:w="3602" w:type="dxa"/>
          </w:tcPr>
          <w:p w:rsidR="00D449E8" w:rsidRPr="00C85EB4" w:rsidRDefault="00D449E8" w:rsidP="00753328">
            <w:pPr>
              <w:jc w:val="center"/>
              <w:rPr>
                <w:sz w:val="22"/>
                <w:szCs w:val="22"/>
              </w:rPr>
            </w:pPr>
            <w:r w:rsidRPr="00C85EB4">
              <w:rPr>
                <w:sz w:val="22"/>
                <w:szCs w:val="22"/>
              </w:rPr>
              <w:t>Kvintiļu grupas atbilstoši iedzīvotāju ienākumiem, mājsaimniecības virs un zem nabadzības riska sliekšņa</w:t>
            </w:r>
          </w:p>
        </w:tc>
        <w:tc>
          <w:tcPr>
            <w:tcW w:w="3333" w:type="dxa"/>
          </w:tcPr>
          <w:p w:rsidR="00D449E8" w:rsidRPr="00C85EB4" w:rsidRDefault="00D449E8" w:rsidP="00753328">
            <w:pPr>
              <w:jc w:val="center"/>
              <w:rPr>
                <w:sz w:val="22"/>
                <w:szCs w:val="22"/>
              </w:rPr>
            </w:pPr>
            <w:r w:rsidRPr="00C85EB4">
              <w:rPr>
                <w:sz w:val="22"/>
                <w:szCs w:val="22"/>
              </w:rPr>
              <w:t>Trīs relatīvas ienākumu grupas (zemi, vidēji, augsti)</w:t>
            </w:r>
          </w:p>
        </w:tc>
      </w:tr>
      <w:tr w:rsidR="00D449E8" w:rsidRPr="00C85EB4" w:rsidTr="00C85EB4">
        <w:tc>
          <w:tcPr>
            <w:tcW w:w="2747" w:type="dxa"/>
          </w:tcPr>
          <w:p w:rsidR="00D449E8" w:rsidRPr="00C85EB4" w:rsidRDefault="00D449E8" w:rsidP="00C85EB4">
            <w:pPr>
              <w:jc w:val="left"/>
              <w:rPr>
                <w:sz w:val="22"/>
                <w:szCs w:val="22"/>
              </w:rPr>
            </w:pPr>
            <w:r w:rsidRPr="00C85EB4">
              <w:rPr>
                <w:sz w:val="22"/>
                <w:szCs w:val="22"/>
              </w:rPr>
              <w:t>Mājsaimniecības raksturojums</w:t>
            </w:r>
          </w:p>
        </w:tc>
        <w:tc>
          <w:tcPr>
            <w:tcW w:w="3602" w:type="dxa"/>
          </w:tcPr>
          <w:p w:rsidR="00D449E8" w:rsidRPr="00C85EB4" w:rsidRDefault="00D449E8" w:rsidP="00753328">
            <w:pPr>
              <w:jc w:val="center"/>
              <w:rPr>
                <w:sz w:val="22"/>
                <w:szCs w:val="22"/>
              </w:rPr>
            </w:pPr>
            <w:r w:rsidRPr="00C85EB4">
              <w:rPr>
                <w:sz w:val="22"/>
                <w:szCs w:val="22"/>
              </w:rPr>
              <w:t>Pieaugušo un bērnu skaits ģimenē</w:t>
            </w:r>
            <w:r w:rsidR="00347D1B">
              <w:rPr>
                <w:sz w:val="22"/>
                <w:szCs w:val="22"/>
              </w:rPr>
              <w:t>, mājsaimniecību tipi atkarībā no pieaugušo un bērnu skaita</w:t>
            </w:r>
          </w:p>
        </w:tc>
        <w:tc>
          <w:tcPr>
            <w:tcW w:w="3333" w:type="dxa"/>
          </w:tcPr>
          <w:p w:rsidR="00D449E8" w:rsidRPr="00C85EB4" w:rsidRDefault="00D449E8" w:rsidP="00347D1B">
            <w:pPr>
              <w:jc w:val="center"/>
              <w:rPr>
                <w:sz w:val="22"/>
                <w:szCs w:val="22"/>
              </w:rPr>
            </w:pPr>
            <w:r w:rsidRPr="00C85EB4">
              <w:rPr>
                <w:sz w:val="22"/>
                <w:szCs w:val="22"/>
              </w:rPr>
              <w:t>N</w:t>
            </w:r>
            <w:r w:rsidR="00347D1B">
              <w:rPr>
                <w:sz w:val="22"/>
                <w:szCs w:val="22"/>
              </w:rPr>
              <w:t>etiek</w:t>
            </w:r>
            <w:r w:rsidR="00D479FB" w:rsidRPr="00C85EB4">
              <w:rPr>
                <w:sz w:val="22"/>
                <w:szCs w:val="22"/>
              </w:rPr>
              <w:t xml:space="preserve"> izmantots datu analīzē</w:t>
            </w:r>
          </w:p>
        </w:tc>
      </w:tr>
      <w:tr w:rsidR="00D449E8" w:rsidRPr="00C85EB4" w:rsidTr="00C85EB4">
        <w:tc>
          <w:tcPr>
            <w:tcW w:w="2747" w:type="dxa"/>
          </w:tcPr>
          <w:p w:rsidR="00D449E8" w:rsidRPr="00C85EB4" w:rsidRDefault="00D449E8" w:rsidP="00C85EB4">
            <w:pPr>
              <w:jc w:val="left"/>
              <w:rPr>
                <w:sz w:val="22"/>
                <w:szCs w:val="22"/>
              </w:rPr>
            </w:pPr>
            <w:r w:rsidRPr="00C85EB4">
              <w:rPr>
                <w:sz w:val="22"/>
                <w:szCs w:val="22"/>
              </w:rPr>
              <w:t xml:space="preserve">Reģions un urbanizācijas pakāpe </w:t>
            </w:r>
          </w:p>
        </w:tc>
        <w:tc>
          <w:tcPr>
            <w:tcW w:w="3602" w:type="dxa"/>
          </w:tcPr>
          <w:p w:rsidR="00D449E8" w:rsidRPr="00C85EB4" w:rsidRDefault="00D449E8" w:rsidP="00753328">
            <w:pPr>
              <w:jc w:val="center"/>
              <w:rPr>
                <w:sz w:val="22"/>
                <w:szCs w:val="22"/>
              </w:rPr>
            </w:pPr>
            <w:r w:rsidRPr="00C85EB4">
              <w:rPr>
                <w:sz w:val="22"/>
                <w:szCs w:val="22"/>
              </w:rPr>
              <w:t>Statistiskie reģioni, pilsētu/ lauku griezums</w:t>
            </w:r>
          </w:p>
        </w:tc>
        <w:tc>
          <w:tcPr>
            <w:tcW w:w="3333" w:type="dxa"/>
          </w:tcPr>
          <w:p w:rsidR="00D449E8" w:rsidRPr="00C85EB4" w:rsidRDefault="00D449E8" w:rsidP="00753328">
            <w:pPr>
              <w:jc w:val="center"/>
              <w:rPr>
                <w:sz w:val="22"/>
                <w:szCs w:val="22"/>
              </w:rPr>
            </w:pPr>
            <w:r w:rsidRPr="00C85EB4">
              <w:rPr>
                <w:sz w:val="22"/>
                <w:szCs w:val="22"/>
              </w:rPr>
              <w:t>Apdzīvotas vietas tips (Rīga, pilsētas, mazās pilsētas, lauku teritorijas)</w:t>
            </w:r>
          </w:p>
        </w:tc>
      </w:tr>
      <w:tr w:rsidR="00D449E8" w:rsidRPr="00C85EB4" w:rsidTr="00C85EB4">
        <w:tc>
          <w:tcPr>
            <w:tcW w:w="2747" w:type="dxa"/>
          </w:tcPr>
          <w:p w:rsidR="00D449E8" w:rsidRPr="00C85EB4" w:rsidRDefault="00D449E8" w:rsidP="00C85EB4">
            <w:pPr>
              <w:jc w:val="left"/>
              <w:rPr>
                <w:sz w:val="22"/>
                <w:szCs w:val="22"/>
              </w:rPr>
            </w:pPr>
            <w:r w:rsidRPr="00C85EB4">
              <w:rPr>
                <w:sz w:val="22"/>
                <w:szCs w:val="22"/>
              </w:rPr>
              <w:t>Citi parametri:</w:t>
            </w:r>
          </w:p>
        </w:tc>
        <w:tc>
          <w:tcPr>
            <w:tcW w:w="3602" w:type="dxa"/>
          </w:tcPr>
          <w:p w:rsidR="00D449E8" w:rsidRPr="00C85EB4" w:rsidRDefault="00D449E8" w:rsidP="00753328">
            <w:pPr>
              <w:jc w:val="center"/>
              <w:rPr>
                <w:sz w:val="22"/>
                <w:szCs w:val="22"/>
              </w:rPr>
            </w:pPr>
            <w:r w:rsidRPr="00C85EB4">
              <w:rPr>
                <w:sz w:val="22"/>
                <w:szCs w:val="22"/>
              </w:rPr>
              <w:t>Dzimums, vecums, izglītības līmenis</w:t>
            </w:r>
          </w:p>
        </w:tc>
        <w:tc>
          <w:tcPr>
            <w:tcW w:w="3333" w:type="dxa"/>
          </w:tcPr>
          <w:p w:rsidR="00D449E8" w:rsidRPr="00C85EB4" w:rsidRDefault="00D449E8" w:rsidP="00753328">
            <w:pPr>
              <w:jc w:val="center"/>
              <w:rPr>
                <w:sz w:val="22"/>
                <w:szCs w:val="22"/>
              </w:rPr>
            </w:pPr>
            <w:r w:rsidRPr="00C85EB4">
              <w:rPr>
                <w:sz w:val="22"/>
                <w:szCs w:val="22"/>
              </w:rPr>
              <w:t>Dzimums, vecums, izglītības līmenis, ģimenes stāvoklis</w:t>
            </w:r>
          </w:p>
        </w:tc>
      </w:tr>
    </w:tbl>
    <w:p w:rsidR="00D449E8" w:rsidRPr="009F78B7" w:rsidRDefault="00D449E8" w:rsidP="00D449E8">
      <w:pPr>
        <w:rPr>
          <w:sz w:val="20"/>
          <w:szCs w:val="20"/>
        </w:rPr>
      </w:pPr>
      <w:r w:rsidRPr="009F78B7">
        <w:rPr>
          <w:sz w:val="20"/>
          <w:szCs w:val="20"/>
        </w:rPr>
        <w:t xml:space="preserve">Piezīme: * Atlasīti būtiskākie rādītāji, kuri ir izmantoti OECD 2016 izvērtējumā un Sabiedrības veselības pamatnostādnēs 2014. – 2020. </w:t>
      </w:r>
      <w:r w:rsidR="005B1EB1">
        <w:rPr>
          <w:sz w:val="20"/>
          <w:szCs w:val="20"/>
        </w:rPr>
        <w:t>g</w:t>
      </w:r>
      <w:r w:rsidRPr="009F78B7">
        <w:rPr>
          <w:sz w:val="20"/>
          <w:szCs w:val="20"/>
        </w:rPr>
        <w:t>adam</w:t>
      </w:r>
      <w:r w:rsidR="005B1EB1">
        <w:rPr>
          <w:sz w:val="20"/>
          <w:szCs w:val="20"/>
        </w:rPr>
        <w:t>. Abi izvērtējumi satur vairākus citus situācijas analīzei noderīgus datus.</w:t>
      </w:r>
    </w:p>
    <w:p w:rsidR="00581B19" w:rsidRDefault="00581B19" w:rsidP="00A14B94"/>
    <w:p w:rsidR="00B11A06" w:rsidRPr="00FC4635" w:rsidRDefault="00B11A06" w:rsidP="00FC4635">
      <w:pPr>
        <w:rPr>
          <w:b/>
          <w:bCs/>
          <w:color w:val="244061" w:themeColor="accent1" w:themeShade="80"/>
          <w:szCs w:val="18"/>
        </w:rPr>
      </w:pPr>
      <w:r w:rsidRPr="00B11A06">
        <w:t>Ņemot vērā, ka daļa</w:t>
      </w:r>
      <w:r w:rsidR="0018604E">
        <w:t>s</w:t>
      </w:r>
      <w:r w:rsidRPr="00B11A06">
        <w:t xml:space="preserve"> Sabiedrības veselības pamatnostādnēs 2014. – 2020. gadam noteikto politikas apakšmērķu rezultatīvo rādītāju avots ir </w:t>
      </w:r>
      <w:r w:rsidR="00581B19" w:rsidRPr="00FE1C88">
        <w:t>Latvijas iedzīvotāju veselī</w:t>
      </w:r>
      <w:r w:rsidR="00581B19">
        <w:t>bu ietekmējošo paradumu</w:t>
      </w:r>
      <w:r w:rsidRPr="00B11A06">
        <w:t xml:space="preserve"> pētījums, tad </w:t>
      </w:r>
      <w:r>
        <w:t xml:space="preserve">līdz pat šī dokumentu darbības beigu posmam un tā </w:t>
      </w:r>
      <w:r w:rsidRPr="00500544">
        <w:t>ex-post</w:t>
      </w:r>
      <w:r>
        <w:t xml:space="preserve"> izvērtējumam tas būs nozīmīgs nozares datu avots. Tomēr, ja turpmākās politikas mērķis ir veicināt datu analīzi un politikas veidošanu, iekļaujot un monitorējot nevienlīdzības un sociālās atstumtības aspektus, veselības politikas veidotājiem būs jāizvērtē nepieciešamība izmantot EU-SILC kā ES līmeņa datu avotu (papildinoši noteiktu aspektu izvērtējumam). Domājot par racionālu finanšu līdzekļu izlietojumu pētniecībai, nebūtu pamatoti paplašināt </w:t>
      </w:r>
      <w:r w:rsidR="00581B19" w:rsidRPr="00FE1C88">
        <w:t>Latvijas iedzīvotāju veselību ietekmējošo paradumu pētījuma</w:t>
      </w:r>
      <w:r>
        <w:t xml:space="preserve"> tvērumu tādā veidā, lai visi nepieciešamie dati nevienlīdzības analīzei būtu pieejami tikai šajā datu avotā. Pārejot no viena datu avota uz otru atsevišķu aspektu analīzē vai citādi kombinējot abus </w:t>
      </w:r>
      <w:r w:rsidR="006D4699">
        <w:t xml:space="preserve">informācijas </w:t>
      </w:r>
      <w:r>
        <w:t xml:space="preserve">avotus, ir jāņem vērā, ka iedzīvotāju veselības pašnovērtējumos šobrīd EU-SILC un </w:t>
      </w:r>
      <w:r w:rsidR="00581B19" w:rsidRPr="00FE1C88">
        <w:t>Latvijas iedzīvotāju veselī</w:t>
      </w:r>
      <w:r w:rsidR="00581B19">
        <w:t>bu ietekmējošo paradumu pētījumā</w:t>
      </w:r>
      <w:r>
        <w:t xml:space="preserve"> izmanto atšķirīgu mērījuma skalu (sk.</w:t>
      </w:r>
      <w:r w:rsidR="00500544">
        <w:t xml:space="preserve"> 2.4</w:t>
      </w:r>
      <w:r>
        <w:t>. tabulu), kas būtiski ietekmē iegūto rezultātu</w:t>
      </w:r>
      <w:r w:rsidR="006460E3">
        <w:t xml:space="preserve">. EU-SILC metodoloģijā tiek lietota </w:t>
      </w:r>
      <w:r w:rsidR="007254B7">
        <w:t>Laikerta skala (</w:t>
      </w:r>
      <w:r w:rsidR="007254B7" w:rsidRPr="00B052D3">
        <w:rPr>
          <w:i/>
        </w:rPr>
        <w:t>Likert scale</w:t>
      </w:r>
      <w:r w:rsidR="007254B7">
        <w:t>) ar izteiktu galējo vērtējumu pretnostatījumu (</w:t>
      </w:r>
      <w:r w:rsidR="006460E3">
        <w:t>polariz</w:t>
      </w:r>
      <w:r w:rsidR="007254B7">
        <w:t>āciju), izmantojot apzīmējumus „ļoti laba” un „ļoti slikta”</w:t>
      </w:r>
      <w:r w:rsidR="006460E3">
        <w:t xml:space="preserve">. </w:t>
      </w:r>
      <w:r w:rsidR="00581B19" w:rsidRPr="00FE1C88">
        <w:t>Latvijas iedzīvotāju veselī</w:t>
      </w:r>
      <w:r w:rsidR="00581B19">
        <w:t>bu ietekmējošo paradumu</w:t>
      </w:r>
      <w:r w:rsidR="006460E3">
        <w:t xml:space="preserve"> pētījumā tiek izmantota mazāk polarizēta skala, </w:t>
      </w:r>
      <w:r w:rsidR="007254B7">
        <w:t xml:space="preserve">t.i., </w:t>
      </w:r>
      <w:r w:rsidR="006460E3">
        <w:t>neizceļot vispozitīvāko vērtējuma līmeni, tāpēc iegūtie rezultāti būtiski atšķiras, un mērījumu skalu dažādības dēļ nav savstarpēji salīdzināmi.</w:t>
      </w:r>
    </w:p>
    <w:p w:rsidR="00B11A06" w:rsidRPr="00B11A06" w:rsidRDefault="00B11A06" w:rsidP="00A14B94"/>
    <w:p w:rsidR="009135EE" w:rsidRDefault="009135EE" w:rsidP="00833EED">
      <w:r w:rsidRPr="00F92CA9">
        <w:lastRenderedPageBreak/>
        <w:t>Blakus EU-SILC un Latvijas iedzīvotāju veselību ietekmējošo paradumu pētījumam, Latvijā tiek</w:t>
      </w:r>
      <w:r w:rsidR="00F92CA9" w:rsidRPr="00F92CA9">
        <w:t xml:space="preserve"> veikti arī neregulāri izvērtējumi par iedzīvotāju veselības paradumiem, veselības</w:t>
      </w:r>
      <w:r w:rsidR="00F92CA9">
        <w:t xml:space="preserve"> aprūpes pakalpojumu pieejamību u.tml. jautājumiem. Visbiežāk arī šie dati tiek iegūti uz apsekojumu (kvantitatīvu aptauju) bāzes.</w:t>
      </w:r>
      <w:r w:rsidR="008A2F54">
        <w:t xml:space="preserve"> Zināms periodiskums un regularitāte raksturīga CSP veiktajam „Eiropas iedzīvotāju veselības apsekojumam” (īstenots 2014., 2008. un 2003. gadā), kas aptver plašāku iedzīvotāju veselības stāvokļa raksturojuma, funkcionālo traucējumu pašnovērtējumu, kā a</w:t>
      </w:r>
      <w:r w:rsidR="00C548CE">
        <w:t>rī dzīvesveidu un veselību iete</w:t>
      </w:r>
      <w:r w:rsidR="008A2F54">
        <w:t>kmējošo paradumu raksturojumu, taču datu analīze tikai daļā gadījumu ietver izvērtējumu ienākumu kvintiļu grupās</w:t>
      </w:r>
      <w:r w:rsidR="008A2F54">
        <w:rPr>
          <w:rStyle w:val="FootnoteReference"/>
        </w:rPr>
        <w:footnoteReference w:id="146"/>
      </w:r>
      <w:r w:rsidR="008A2F54">
        <w:t>, nav piedāvāta analīze pēc mājsaimniecību tipiem u.c. līdzīgiem parametriem kā EU-SILC.</w:t>
      </w:r>
      <w:r w:rsidR="001D0C5B">
        <w:t xml:space="preserve"> Citi regulāri izvērtējumi ir iedzīvotāju atkarību pētījumi, kurus administrē SPKC. </w:t>
      </w:r>
      <w:r w:rsidR="001D0C5B" w:rsidRPr="00833EED">
        <w:t>Bērnu veselības jomā</w:t>
      </w:r>
      <w:r w:rsidR="00833EED" w:rsidRPr="00833EED">
        <w:t xml:space="preserve"> līdz 2013./ 2014. mācību gadam </w:t>
      </w:r>
      <w:r w:rsidR="002D4219">
        <w:t xml:space="preserve">starptautiska apsekojuma ietvaros </w:t>
      </w:r>
      <w:r w:rsidR="00833EED" w:rsidRPr="00833EED">
        <w:t>regulāri tika veikts „Latvijas skolēnu veselības paradumu pētījums”</w:t>
      </w:r>
      <w:r w:rsidR="00524E7E">
        <w:rPr>
          <w:rStyle w:val="FootnoteReference"/>
        </w:rPr>
        <w:footnoteReference w:id="147"/>
      </w:r>
      <w:r w:rsidR="00833EED" w:rsidRPr="00833EED">
        <w:t>.</w:t>
      </w:r>
    </w:p>
    <w:p w:rsidR="00F92CA9" w:rsidRPr="00833EED" w:rsidRDefault="00F92CA9" w:rsidP="00111044"/>
    <w:p w:rsidR="001D0C5B" w:rsidRPr="00833EED" w:rsidRDefault="00565F61" w:rsidP="00111044">
      <w:r w:rsidRPr="007803DC">
        <w:t xml:space="preserve">Latvijā tiek uzkrāta arī apjomīga statistika, kas ļauj raksturot sabiedrības veselību (veselības statusa indikatori), pakalpojumu nodrošinājumu un ieguldījumus veselības sistēmā valstī kopumā. Šo datu analīze padziļināti sociālās atstumtības un nevienlīdzības indikatoru griezumā nav veikta, jo trūkst sasaistes ar personas sociāli ekonomisko informāciju, kuru administratīvi uzkrāj citas institūcijas (piemēram, VID, VSAA u.tml.). </w:t>
      </w:r>
      <w:r w:rsidR="007803DC" w:rsidRPr="007803DC">
        <w:t>Tā kā</w:t>
      </w:r>
      <w:r w:rsidR="007803DC">
        <w:t xml:space="preserve"> n</w:t>
      </w:r>
      <w:r w:rsidR="001D0C5B" w:rsidRPr="00833EED">
        <w:t xml:space="preserve">evienlīdzība veselības aprūpes pieejamībā bija viens no aspektiem, kas tika aplūkots Pasaules Bankas izvērtējumā (sk. 2.1.3. nodaļu), </w:t>
      </w:r>
      <w:r w:rsidR="007803DC">
        <w:t>tad tās eksperti</w:t>
      </w:r>
      <w:r w:rsidR="001D0C5B" w:rsidRPr="00833EED">
        <w:t xml:space="preserve"> nevienlīdzības noteikšanai veica dažādu iedzīvotāju (administratīvo) datu turētāju </w:t>
      </w:r>
      <w:r w:rsidR="007803DC">
        <w:t xml:space="preserve">(galvenokārt NVD, VID) </w:t>
      </w:r>
      <w:r w:rsidR="001D0C5B" w:rsidRPr="00833EED">
        <w:t>rīcībā esošu mikrodatu savienošanu un analīzi. Lai gan šāda analīze ir veikta uz zinātniski pamatotām metodēm, izslēdzot mērījumu kļūdu iespēju, kāda pastāv iedzīvotāju izlases</w:t>
      </w:r>
      <w:r w:rsidR="00C548CE">
        <w:t xml:space="preserve"> </w:t>
      </w:r>
      <w:r w:rsidR="001D0C5B" w:rsidRPr="00833EED">
        <w:t xml:space="preserve">veida apsekojumos (EU-SILC, </w:t>
      </w:r>
      <w:r w:rsidR="00581B19" w:rsidRPr="00FE1C88">
        <w:t>Latvijas iedzīvotāju veselī</w:t>
      </w:r>
      <w:r w:rsidR="00581B19">
        <w:t>bu ietekmējošo paradumu pētījums</w:t>
      </w:r>
      <w:r w:rsidR="001D0C5B" w:rsidRPr="00833EED">
        <w:t xml:space="preserve"> u.c.), vienlaikus nozīmīgs šāda izvērtējuma trūkums ir apjomīgu administratīvo resursu ieguldījums un izvērtējuma veikšanai patērētais laiks. Tādējādi šādi izvērtējumi veicami, sagatavojot nozīmīgas un stratēģiskas politikas reformas, kamēr regulāram situācijas monitoringam politikas veidotājiem ir jābūt pieejamiem salīdzinoši viegli un ātri sistematizējamiem datiem, kas balstīti uz iedzīvotāju aptaujām.</w:t>
      </w:r>
      <w:r w:rsidR="00833EED">
        <w:t xml:space="preserve"> Šie aptaujas dati ir skatāmi dinamikā un salīdzinājumā, tostarp nozīmīga ir salīdzinošā perspektīva ES dalībvalstu vidū, ko nodrošina EU-SILC. Vienlaikus ir jāņem vērā, ka kvantitatīvas aptaujas pēc būtības ir mazāk jūtīgas pret situācijas pozitīvām izmaiņām īstermiņā, kā arī nesniedz informāciju par iedzīvotāju rīcības stratēģijām, lai mazinātu vai kompensētu izjusto nevienlīdzību veselības aprūpes pakalpojumu pieejamībā.</w:t>
      </w:r>
    </w:p>
    <w:p w:rsidR="000A51CF" w:rsidRDefault="000A51CF" w:rsidP="00064C1E">
      <w:pPr>
        <w:pStyle w:val="Heading2"/>
      </w:pPr>
      <w:bookmarkStart w:id="473" w:name="_Toc6841584"/>
      <w:r>
        <w:t xml:space="preserve">Politikas plānošanas dokumentu un tiesību aktu analīze </w:t>
      </w:r>
      <w:r w:rsidR="00127E80">
        <w:t xml:space="preserve">saistībā ar nevienlīdzības mazināšanu </w:t>
      </w:r>
      <w:r>
        <w:t xml:space="preserve">veselības </w:t>
      </w:r>
      <w:r w:rsidR="00905FCC">
        <w:t xml:space="preserve">aprūpes </w:t>
      </w:r>
      <w:r>
        <w:t>jomā</w:t>
      </w:r>
      <w:bookmarkEnd w:id="473"/>
    </w:p>
    <w:p w:rsidR="00634AFD" w:rsidRPr="00922A20" w:rsidRDefault="0006259C" w:rsidP="003945E0">
      <w:pPr>
        <w:pStyle w:val="Heading3"/>
      </w:pPr>
      <w:bookmarkStart w:id="474" w:name="_Toc6841585"/>
      <w:r>
        <w:t>T</w:t>
      </w:r>
      <w:r w:rsidR="000A51CF" w:rsidRPr="00D07233">
        <w:t>iesību ak</w:t>
      </w:r>
      <w:r>
        <w:t>tu</w:t>
      </w:r>
      <w:r w:rsidR="008D48A0" w:rsidRPr="00D07233">
        <w:t xml:space="preserve"> un politikas plānošanas dokument</w:t>
      </w:r>
      <w:r>
        <w:t>u analīzes ietvars</w:t>
      </w:r>
      <w:bookmarkEnd w:id="474"/>
    </w:p>
    <w:p w:rsidR="006B0503" w:rsidRDefault="00D07233" w:rsidP="00064C1E">
      <w:r w:rsidRPr="00D07233">
        <w:t xml:space="preserve">Veselības aprūpes sistēmas organizēšanas un finansēšanas kārtību regulējošo tiesību aktu analīze </w:t>
      </w:r>
      <w:r w:rsidR="000F7A8D" w:rsidRPr="000F7A8D">
        <w:rPr>
          <w:b/>
        </w:rPr>
        <w:t xml:space="preserve">saistībā ar nevienlīdzību veselības </w:t>
      </w:r>
      <w:r w:rsidR="00905FCC">
        <w:rPr>
          <w:b/>
        </w:rPr>
        <w:t xml:space="preserve">aprūpes </w:t>
      </w:r>
      <w:r w:rsidR="000F7A8D" w:rsidRPr="000F7A8D">
        <w:rPr>
          <w:b/>
        </w:rPr>
        <w:t>jomā</w:t>
      </w:r>
      <w:r w:rsidR="000F7A8D">
        <w:t xml:space="preserve"> </w:t>
      </w:r>
      <w:r w:rsidRPr="00D07233">
        <w:t xml:space="preserve">kopumā aptver pēdējo desmit gadu posmu, t.i., laika posmu kopš nozīmīgākajām veselības aprūpes institūciju reformām, kas tika īstenota </w:t>
      </w:r>
      <w:r w:rsidRPr="00D07233">
        <w:lastRenderedPageBreak/>
        <w:t>ekonomiskās recesijas laikā 2009.</w:t>
      </w:r>
      <w:r>
        <w:t xml:space="preserve"> – </w:t>
      </w:r>
      <w:r w:rsidRPr="00D07233">
        <w:t>2010. gadā. Šajā laika posmā spēku ir zaudējuši atsevišķi tiesību akti, taču reformu gaitas raksturošanai tos ir nepieciešams iekļaut izvērtējumā.</w:t>
      </w:r>
      <w:r>
        <w:t xml:space="preserve"> </w:t>
      </w:r>
    </w:p>
    <w:p w:rsidR="006B0503" w:rsidRDefault="006B0503" w:rsidP="00064C1E"/>
    <w:p w:rsidR="00BB67BB" w:rsidRDefault="000F7A8D" w:rsidP="00922A20">
      <w:r w:rsidRPr="000F7A8D">
        <w:t>D</w:t>
      </w:r>
      <w:r w:rsidR="00D07233" w:rsidRPr="000F7A8D">
        <w:t>okumentu atlas</w:t>
      </w:r>
      <w:r w:rsidRPr="000F7A8D">
        <w:t>e analīzei ir veikta</w:t>
      </w:r>
      <w:r w:rsidR="008D6552">
        <w:t xml:space="preserve"> atbilstoši I</w:t>
      </w:r>
      <w:r w:rsidR="00D07233" w:rsidRPr="000F7A8D">
        <w:t xml:space="preserve">zvērtējuma </w:t>
      </w:r>
      <w:r w:rsidRPr="000F7A8D">
        <w:t xml:space="preserve">mērķim un </w:t>
      </w:r>
      <w:r w:rsidR="00D07233" w:rsidRPr="000F7A8D">
        <w:t>metodoloģijai</w:t>
      </w:r>
      <w:r w:rsidRPr="000F7A8D">
        <w:t>, t.i., pievēršot uzmanību tiem tiesību aktiem, kuros ietvertās normas ir būtiskas un atstāj tiešu ietekmi uz nabadzības un sociālās atstumtības samazināšanu saistībā ar veselības aprūpi (tās pakalpojumu pieejamību)</w:t>
      </w:r>
      <w:r w:rsidR="00905FCC">
        <w:t>, kā arī tiešu ietekmi uz sabiedrības veselību, ja tajā saskatāma saistība ar potenciālu nevienlīdzības veselības jomā mazināšanu</w:t>
      </w:r>
      <w:r w:rsidRPr="000F7A8D">
        <w:t>.</w:t>
      </w:r>
      <w:r w:rsidR="00D07233" w:rsidRPr="000F7A8D">
        <w:t xml:space="preserve"> </w:t>
      </w:r>
      <w:r w:rsidRPr="000F7A8D">
        <w:t xml:space="preserve">Tādējādi </w:t>
      </w:r>
      <w:r w:rsidR="00D07233" w:rsidRPr="000F7A8D">
        <w:t xml:space="preserve">turpmākajai analīzei tika atlasīti šādi </w:t>
      </w:r>
      <w:r w:rsidR="00D07233" w:rsidRPr="000F7A8D">
        <w:rPr>
          <w:b/>
        </w:rPr>
        <w:t>likumi</w:t>
      </w:r>
      <w:r w:rsidR="00D07233" w:rsidRPr="000F7A8D">
        <w:t xml:space="preserve">, kas regulē veselības aprūpes pakalpojumu sniegšanas kārtību, dažādu komponentu savstarpējo saistību, </w:t>
      </w:r>
      <w:r w:rsidR="00264A50" w:rsidRPr="000F7A8D">
        <w:t>pakalpojumu saņēmēju mērķa grupas</w:t>
      </w:r>
      <w:r w:rsidR="00D07233" w:rsidRPr="000F7A8D">
        <w:t xml:space="preserve"> un finanšu plūsmu nozares ietvaros:</w:t>
      </w:r>
    </w:p>
    <w:p w:rsidR="00D07233" w:rsidRPr="00066EC1" w:rsidRDefault="00D07233" w:rsidP="00586F05">
      <w:pPr>
        <w:pStyle w:val="ListParagraph"/>
        <w:numPr>
          <w:ilvl w:val="0"/>
          <w:numId w:val="51"/>
        </w:numPr>
        <w:spacing w:line="276" w:lineRule="auto"/>
        <w:jc w:val="both"/>
        <w:rPr>
          <w:bCs/>
        </w:rPr>
      </w:pPr>
      <w:r w:rsidRPr="00066EC1">
        <w:rPr>
          <w:bCs/>
        </w:rPr>
        <w:t>Ārstniecības likums;</w:t>
      </w:r>
    </w:p>
    <w:p w:rsidR="00D07233" w:rsidRPr="00066EC1" w:rsidRDefault="00D07233" w:rsidP="00586F05">
      <w:pPr>
        <w:pStyle w:val="ListParagraph"/>
        <w:numPr>
          <w:ilvl w:val="0"/>
          <w:numId w:val="51"/>
        </w:numPr>
        <w:spacing w:line="276" w:lineRule="auto"/>
        <w:jc w:val="both"/>
        <w:rPr>
          <w:bCs/>
        </w:rPr>
      </w:pPr>
      <w:r w:rsidRPr="00066EC1">
        <w:rPr>
          <w:bCs/>
        </w:rPr>
        <w:t>Veselības aprūpes finansēšanas likums;</w:t>
      </w:r>
    </w:p>
    <w:p w:rsidR="00D07233" w:rsidRPr="00066EC1" w:rsidRDefault="00D07233" w:rsidP="00586F05">
      <w:pPr>
        <w:pStyle w:val="ListParagraph"/>
        <w:numPr>
          <w:ilvl w:val="0"/>
          <w:numId w:val="51"/>
        </w:numPr>
        <w:spacing w:line="276" w:lineRule="auto"/>
        <w:jc w:val="both"/>
        <w:rPr>
          <w:bCs/>
        </w:rPr>
      </w:pPr>
      <w:r w:rsidRPr="00066EC1">
        <w:rPr>
          <w:bCs/>
        </w:rPr>
        <w:t>Pacientu tiesību likums;</w:t>
      </w:r>
    </w:p>
    <w:p w:rsidR="00D07233" w:rsidRPr="00066EC1" w:rsidRDefault="00D07233" w:rsidP="00586F05">
      <w:pPr>
        <w:pStyle w:val="ListParagraph"/>
        <w:numPr>
          <w:ilvl w:val="0"/>
          <w:numId w:val="51"/>
        </w:numPr>
        <w:spacing w:line="276" w:lineRule="auto"/>
        <w:jc w:val="both"/>
        <w:rPr>
          <w:bCs/>
        </w:rPr>
      </w:pPr>
      <w:r w:rsidRPr="00066EC1">
        <w:rPr>
          <w:bCs/>
        </w:rPr>
        <w:t>Farmācijas likums;</w:t>
      </w:r>
    </w:p>
    <w:p w:rsidR="00D07233" w:rsidRPr="00066EC1" w:rsidRDefault="00D07233" w:rsidP="00586F05">
      <w:pPr>
        <w:pStyle w:val="ListParagraph"/>
        <w:numPr>
          <w:ilvl w:val="0"/>
          <w:numId w:val="51"/>
        </w:numPr>
        <w:spacing w:line="276" w:lineRule="auto"/>
        <w:jc w:val="both"/>
        <w:rPr>
          <w:bCs/>
        </w:rPr>
      </w:pPr>
      <w:r w:rsidRPr="00066EC1">
        <w:rPr>
          <w:bCs/>
        </w:rPr>
        <w:t>Epidemioloģiskās drošības likums;</w:t>
      </w:r>
    </w:p>
    <w:p w:rsidR="00D07233" w:rsidRDefault="00D07233" w:rsidP="00586F05">
      <w:pPr>
        <w:pStyle w:val="ListParagraph"/>
        <w:numPr>
          <w:ilvl w:val="0"/>
          <w:numId w:val="51"/>
        </w:numPr>
        <w:spacing w:line="276" w:lineRule="auto"/>
        <w:jc w:val="both"/>
        <w:rPr>
          <w:bCs/>
        </w:rPr>
      </w:pPr>
      <w:r w:rsidRPr="00066EC1">
        <w:rPr>
          <w:bCs/>
        </w:rPr>
        <w:t>Seksuālās un</w:t>
      </w:r>
      <w:r w:rsidR="00C91B09">
        <w:rPr>
          <w:bCs/>
        </w:rPr>
        <w:t xml:space="preserve"> reproduktīvās veselības likums;</w:t>
      </w:r>
    </w:p>
    <w:p w:rsidR="00C91B09" w:rsidRPr="00066EC1" w:rsidRDefault="00C91B09" w:rsidP="00586F05">
      <w:pPr>
        <w:pStyle w:val="ListParagraph"/>
        <w:numPr>
          <w:ilvl w:val="0"/>
          <w:numId w:val="51"/>
        </w:numPr>
        <w:spacing w:line="276" w:lineRule="auto"/>
        <w:jc w:val="both"/>
        <w:rPr>
          <w:bCs/>
        </w:rPr>
      </w:pPr>
      <w:r>
        <w:rPr>
          <w:bCs/>
        </w:rPr>
        <w:t>Likums „Par pašvaldībām”.</w:t>
      </w:r>
    </w:p>
    <w:p w:rsidR="00D07233" w:rsidRDefault="00D07233" w:rsidP="00064C1E"/>
    <w:p w:rsidR="00D07233" w:rsidRDefault="00D07233" w:rsidP="00922A20">
      <w:r>
        <w:t>Pēc identiskiem principiem analīzei tika atlasīti šādi spēkā esoši un note</w:t>
      </w:r>
      <w:r w:rsidR="003353AC">
        <w:t>i</w:t>
      </w:r>
      <w:r>
        <w:t xml:space="preserve">ktos gadījumos arī spēku zaudējuši </w:t>
      </w:r>
      <w:r w:rsidRPr="00F4340D">
        <w:rPr>
          <w:b/>
        </w:rPr>
        <w:t>Ministru kabineta noteikumi</w:t>
      </w:r>
      <w:r w:rsidR="00066EC1" w:rsidRPr="00066EC1">
        <w:t>, vienlaikus</w:t>
      </w:r>
      <w:r w:rsidR="00066EC1">
        <w:t xml:space="preserve"> izslēdzot no analīzes specifiskus un veselības aprūpes pieejamību netieši ietekmējošus </w:t>
      </w:r>
      <w:r w:rsidR="00B23BC2">
        <w:t xml:space="preserve">MK </w:t>
      </w:r>
      <w:r w:rsidR="00066EC1">
        <w:t>noteikumus</w:t>
      </w:r>
      <w:r>
        <w:t>:</w:t>
      </w:r>
    </w:p>
    <w:p w:rsidR="00F4340D" w:rsidRPr="00F4340D" w:rsidRDefault="00F4340D" w:rsidP="00586F05">
      <w:pPr>
        <w:pStyle w:val="ListParagraph"/>
        <w:numPr>
          <w:ilvl w:val="0"/>
          <w:numId w:val="50"/>
        </w:numPr>
        <w:spacing w:line="276" w:lineRule="auto"/>
        <w:jc w:val="both"/>
        <w:rPr>
          <w:bCs/>
        </w:rPr>
      </w:pPr>
      <w:r w:rsidRPr="00F4340D">
        <w:rPr>
          <w:bCs/>
        </w:rPr>
        <w:t>Veselības aprūpes pakalpojumu organizēšanas un samaksas kārtība (Nr.555, 28.08.2018.); vēsturiskās attīstības raksturošanai arī spēku zaudējušie MK noteikumi „Veselības aprūpes organizēšanas un finansēšanas kārtība” (Nr.1529, 17.12.2013.) un „Veselības aprūpes organizēšanas un finansēšanas kārtība” (Nr. 1046, 19.12.2006.);</w:t>
      </w:r>
    </w:p>
    <w:p w:rsidR="00C04DE0" w:rsidRDefault="00C04DE0" w:rsidP="00586F05">
      <w:pPr>
        <w:pStyle w:val="ListParagraph"/>
        <w:numPr>
          <w:ilvl w:val="0"/>
          <w:numId w:val="50"/>
        </w:numPr>
        <w:spacing w:line="276" w:lineRule="auto"/>
        <w:jc w:val="both"/>
        <w:rPr>
          <w:bCs/>
        </w:rPr>
      </w:pPr>
      <w:r w:rsidRPr="00C04DE0">
        <w:rPr>
          <w:bCs/>
        </w:rPr>
        <w:t>Ambulatorajai ārstēšanai paredzēto zāļu un medicīnisko ierīču iegādes izdevumu kompensācijas kārtība</w:t>
      </w:r>
      <w:r>
        <w:rPr>
          <w:bCs/>
        </w:rPr>
        <w:t xml:space="preserve"> (Nr. 899, 31.10.2006.);</w:t>
      </w:r>
    </w:p>
    <w:p w:rsidR="00F4340D" w:rsidRPr="006C1EC5" w:rsidRDefault="00F4340D" w:rsidP="00586F05">
      <w:pPr>
        <w:pStyle w:val="ListParagraph"/>
        <w:numPr>
          <w:ilvl w:val="0"/>
          <w:numId w:val="50"/>
        </w:numPr>
        <w:spacing w:line="276" w:lineRule="auto"/>
        <w:jc w:val="both"/>
        <w:rPr>
          <w:bCs/>
        </w:rPr>
      </w:pPr>
      <w:r w:rsidRPr="006C1EC5">
        <w:rPr>
          <w:bCs/>
        </w:rPr>
        <w:t>Ārstniecības riska fonda darbības noteikumi (Nr.1268, 05.11.2013</w:t>
      </w:r>
      <w:r w:rsidR="006C1EC5" w:rsidRPr="006C1EC5">
        <w:rPr>
          <w:bCs/>
        </w:rPr>
        <w:t>.)</w:t>
      </w:r>
      <w:r w:rsidR="00066EC1" w:rsidRPr="006C1EC5">
        <w:rPr>
          <w:bCs/>
        </w:rPr>
        <w:t>;</w:t>
      </w:r>
    </w:p>
    <w:p w:rsidR="00066EC1" w:rsidRPr="006C1EC5" w:rsidRDefault="00066EC1" w:rsidP="00586F05">
      <w:pPr>
        <w:pStyle w:val="ListParagraph"/>
        <w:numPr>
          <w:ilvl w:val="0"/>
          <w:numId w:val="50"/>
        </w:numPr>
        <w:spacing w:line="276" w:lineRule="auto"/>
        <w:jc w:val="both"/>
      </w:pPr>
      <w:r w:rsidRPr="006C1EC5">
        <w:t>Noteikumi par obligātajām prasībām ārstniecības iestādēm un to struktūrvienībām (Nr. 60, 20.01.2009.);</w:t>
      </w:r>
    </w:p>
    <w:p w:rsidR="00DD26F6" w:rsidRPr="00CB1329" w:rsidRDefault="00DD26F6" w:rsidP="00586F05">
      <w:pPr>
        <w:pStyle w:val="ListParagraph"/>
        <w:numPr>
          <w:ilvl w:val="0"/>
          <w:numId w:val="50"/>
        </w:numPr>
        <w:spacing w:line="276" w:lineRule="auto"/>
        <w:jc w:val="both"/>
        <w:rPr>
          <w:bCs/>
        </w:rPr>
      </w:pPr>
      <w:r w:rsidRPr="00CB1329">
        <w:rPr>
          <w:bCs/>
        </w:rPr>
        <w:t>Vakcinācijas noteikumi (Nr.330, 26.</w:t>
      </w:r>
      <w:r w:rsidR="00C91B09">
        <w:rPr>
          <w:bCs/>
        </w:rPr>
        <w:t>09</w:t>
      </w:r>
      <w:r w:rsidRPr="00CB1329">
        <w:rPr>
          <w:bCs/>
        </w:rPr>
        <w:t>.2000.)</w:t>
      </w:r>
      <w:r w:rsidR="00F0637A" w:rsidRPr="00CB1329">
        <w:rPr>
          <w:bCs/>
        </w:rPr>
        <w:t>;</w:t>
      </w:r>
    </w:p>
    <w:p w:rsidR="00066EC1" w:rsidRPr="00CB1329" w:rsidRDefault="00F0637A" w:rsidP="00586F05">
      <w:pPr>
        <w:pStyle w:val="ListParagraph"/>
        <w:numPr>
          <w:ilvl w:val="0"/>
          <w:numId w:val="50"/>
        </w:numPr>
        <w:spacing w:line="276" w:lineRule="auto"/>
        <w:jc w:val="both"/>
      </w:pPr>
      <w:r w:rsidRPr="00CB1329">
        <w:t xml:space="preserve">„Darbības programmas </w:t>
      </w:r>
      <w:r w:rsidR="00C04DE0" w:rsidRPr="00CB1329">
        <w:t>„</w:t>
      </w:r>
      <w:r w:rsidRPr="00CB1329">
        <w:t>Izaugsme un nodarbinātība</w:t>
      </w:r>
      <w:r w:rsidR="00C04DE0" w:rsidRPr="00CB1329">
        <w:t>”</w:t>
      </w:r>
      <w:r w:rsidRPr="00CB1329">
        <w:t xml:space="preserve"> 9.2.4. specifiskā atbalsta mērķa </w:t>
      </w:r>
      <w:r w:rsidR="00BC5345" w:rsidRPr="00CB1329">
        <w:t>„</w:t>
      </w:r>
      <w:r w:rsidRPr="00CB1329">
        <w:t>Uzlabot pieejamību veselības veicināšanas un slimību profilakses pakalpojumiem, jo īpaši nabadzības un sociālās atstumtības riskam pakļautajiem iedzīvotājiem</w:t>
      </w:r>
      <w:r w:rsidR="00BC5345" w:rsidRPr="00CB1329">
        <w:t>”</w:t>
      </w:r>
      <w:r w:rsidRPr="00CB1329">
        <w:t xml:space="preserve"> 9.2.4.1. pasākuma </w:t>
      </w:r>
      <w:r w:rsidR="00BC5345" w:rsidRPr="00CB1329">
        <w:t>„</w:t>
      </w:r>
      <w:r w:rsidRPr="00CB1329">
        <w:t>Kompleksi veselības veicināšanas un slimību profilakses pasākumi</w:t>
      </w:r>
      <w:r w:rsidR="00BC5345" w:rsidRPr="00CB1329">
        <w:t>”</w:t>
      </w:r>
      <w:r w:rsidRPr="00CB1329">
        <w:t xml:space="preserve"> un 9.2.4.2. pasākuma </w:t>
      </w:r>
      <w:r w:rsidR="00BC5345" w:rsidRPr="00CB1329">
        <w:t>„</w:t>
      </w:r>
      <w:r w:rsidRPr="00CB1329">
        <w:t>Pasākumi vietējās sabiedrības veselības veicināšanai un slimību profilaksei</w:t>
      </w:r>
      <w:r w:rsidR="00BC5345" w:rsidRPr="00CB1329">
        <w:t>”</w:t>
      </w:r>
      <w:r w:rsidRPr="00CB1329">
        <w:t xml:space="preserve"> īstenošanas noteikumi” (Nr.310, 17.05.2016.).</w:t>
      </w:r>
    </w:p>
    <w:p w:rsidR="00D07233" w:rsidRDefault="00D07233" w:rsidP="00064C1E"/>
    <w:p w:rsidR="00D07233" w:rsidRDefault="00F0637A" w:rsidP="00064C1E">
      <w:r>
        <w:t xml:space="preserve">Politikas plānošanas dokumentu un informatīvo ziņojumu atlase </w:t>
      </w:r>
      <w:r w:rsidR="008D6552">
        <w:t>atbilstoši I</w:t>
      </w:r>
      <w:r>
        <w:t>zvērtējuma metodoloģijai tika veikta, balstoties u</w:t>
      </w:r>
      <w:r w:rsidR="008D6552">
        <w:t>z definēto politikas jomu. Par I</w:t>
      </w:r>
      <w:r>
        <w:t>zvērtējumam atbilstošu jomu tika atzīts definējums „veselības politika”, kā arī noteiktos gadījumos, veicot kvalitatīvu dokumentu satura sākotnējo izpēti, arī politikas jomas „b</w:t>
      </w:r>
      <w:r w:rsidRPr="00F0637A">
        <w:t>udžeta un finanšu politika</w:t>
      </w:r>
      <w:r>
        <w:t>” un „i</w:t>
      </w:r>
      <w:r w:rsidRPr="00F0637A">
        <w:t>zglītības un zinātnes politika</w:t>
      </w:r>
      <w:r>
        <w:t>” (viens gadījums).</w:t>
      </w:r>
      <w:r w:rsidR="0084441E">
        <w:t xml:space="preserve"> Atlasot dokumentus, uzmanība tika pievērsta tam, vai dokumenti ir aktuāli, </w:t>
      </w:r>
      <w:r w:rsidR="0084441E">
        <w:lastRenderedPageBreak/>
        <w:t>neaktuālie politikas dokumenti analīzē tika iekļauti tikai tādā gadījumā, ja tiem piemīt būtiska nozīme esošo politikas dokumentu pēctecības izskaidrošanai.</w:t>
      </w:r>
      <w:r w:rsidR="00893064">
        <w:t xml:space="preserve"> Atbilstoši šiem kritērijiem politikas dokumentu analīzei ir atlasīti šādi dokumenti (agrākiem informatīvajiem ziņojumiem ar vienādiem nosaukumiem ir norādīts izstrādes datums):</w:t>
      </w:r>
    </w:p>
    <w:p w:rsidR="00E44042" w:rsidRDefault="00E44042" w:rsidP="00064C1E"/>
    <w:p w:rsidR="003079CC" w:rsidRPr="00CC1E7E" w:rsidRDefault="003079CC" w:rsidP="003F469F">
      <w:pPr>
        <w:pStyle w:val="ListParagraph"/>
        <w:numPr>
          <w:ilvl w:val="0"/>
          <w:numId w:val="170"/>
        </w:numPr>
        <w:spacing w:line="276" w:lineRule="auto"/>
        <w:ind w:left="714" w:hanging="357"/>
        <w:contextualSpacing w:val="0"/>
        <w:rPr>
          <w:b/>
          <w:u w:val="single"/>
        </w:rPr>
      </w:pPr>
      <w:r w:rsidRPr="00CC1E7E">
        <w:rPr>
          <w:b/>
          <w:u w:val="single"/>
        </w:rPr>
        <w:t>Pamatnostādnes, t</w:t>
      </w:r>
      <w:r w:rsidR="00CF09BF">
        <w:rPr>
          <w:b/>
          <w:u w:val="single"/>
        </w:rPr>
        <w:t>ā</w:t>
      </w:r>
      <w:r w:rsidRPr="00CC1E7E">
        <w:rPr>
          <w:b/>
          <w:u w:val="single"/>
        </w:rPr>
        <w:t>m pakārtotie plāni, konceptuālie ziņojumi un programmas:</w:t>
      </w:r>
    </w:p>
    <w:p w:rsidR="003079CC" w:rsidRDefault="003079CC" w:rsidP="003F469F">
      <w:pPr>
        <w:pStyle w:val="ListParagraph"/>
        <w:numPr>
          <w:ilvl w:val="1"/>
          <w:numId w:val="170"/>
        </w:numPr>
        <w:spacing w:line="276" w:lineRule="auto"/>
        <w:contextualSpacing w:val="0"/>
      </w:pPr>
      <w:r>
        <w:t>Sabiedrības veselības pamatnostādnes 2014. – 2020. gadam;</w:t>
      </w:r>
    </w:p>
    <w:p w:rsidR="00EE132F" w:rsidRDefault="00EE132F" w:rsidP="003F469F">
      <w:pPr>
        <w:pStyle w:val="ListParagraph"/>
        <w:numPr>
          <w:ilvl w:val="1"/>
          <w:numId w:val="170"/>
        </w:numPr>
        <w:spacing w:line="276" w:lineRule="auto"/>
        <w:contextualSpacing w:val="0"/>
      </w:pPr>
      <w:r>
        <w:t>Konceptuālais ziņojums „Par veselības aprūpes sistēmas reformu”;</w:t>
      </w:r>
    </w:p>
    <w:p w:rsidR="00EE132F" w:rsidRDefault="00EE132F" w:rsidP="003F469F">
      <w:pPr>
        <w:pStyle w:val="ListParagraph"/>
        <w:numPr>
          <w:ilvl w:val="1"/>
          <w:numId w:val="170"/>
        </w:numPr>
        <w:spacing w:line="276" w:lineRule="auto"/>
        <w:contextualSpacing w:val="0"/>
      </w:pPr>
      <w:r>
        <w:t>Konceptuāls ziņojums „Par Latvijas veselības aprūpes sistēmas finansēšanas modeļa maiņu”;</w:t>
      </w:r>
    </w:p>
    <w:p w:rsidR="003079CC" w:rsidRDefault="003079CC" w:rsidP="003F469F">
      <w:pPr>
        <w:pStyle w:val="ListParagraph"/>
        <w:numPr>
          <w:ilvl w:val="1"/>
          <w:numId w:val="170"/>
        </w:numPr>
        <w:spacing w:line="276" w:lineRule="auto"/>
        <w:contextualSpacing w:val="0"/>
      </w:pPr>
      <w:r>
        <w:t>Primārās veselības aprūpes attīstības plāns 2014. – 2016. gadam;</w:t>
      </w:r>
    </w:p>
    <w:p w:rsidR="003079CC" w:rsidRDefault="003079CC" w:rsidP="003F469F">
      <w:pPr>
        <w:pStyle w:val="ListParagraph"/>
        <w:numPr>
          <w:ilvl w:val="1"/>
          <w:numId w:val="170"/>
        </w:numPr>
        <w:spacing w:line="276" w:lineRule="auto"/>
        <w:contextualSpacing w:val="0"/>
      </w:pPr>
      <w:r>
        <w:t>Veselības aprūpes pakalpojumu onkoloģijas jomā uzlabošanas plāns 2017. – 2020. gadam;</w:t>
      </w:r>
    </w:p>
    <w:p w:rsidR="003079CC" w:rsidRDefault="00EE132F" w:rsidP="003F469F">
      <w:pPr>
        <w:pStyle w:val="ListParagraph"/>
        <w:numPr>
          <w:ilvl w:val="1"/>
          <w:numId w:val="170"/>
        </w:numPr>
        <w:spacing w:line="276" w:lineRule="auto"/>
        <w:contextualSpacing w:val="0"/>
      </w:pPr>
      <w:r>
        <w:t>Plāns reto slimību jomā 2017. – 2020. gadam;</w:t>
      </w:r>
    </w:p>
    <w:p w:rsidR="00C75B74" w:rsidRDefault="00C75B74" w:rsidP="003F469F">
      <w:pPr>
        <w:pStyle w:val="ListParagraph"/>
        <w:numPr>
          <w:ilvl w:val="1"/>
          <w:numId w:val="170"/>
        </w:numPr>
        <w:spacing w:line="276" w:lineRule="auto"/>
        <w:contextualSpacing w:val="0"/>
      </w:pPr>
      <w:r w:rsidRPr="00131B0D">
        <w:t>Mātes un bērna veselības uzlabošanas plāns 2018.–2020.</w:t>
      </w:r>
      <w:r>
        <w:t xml:space="preserve"> g</w:t>
      </w:r>
      <w:r w:rsidRPr="00131B0D">
        <w:t>adam</w:t>
      </w:r>
      <w:r>
        <w:t>;</w:t>
      </w:r>
    </w:p>
    <w:p w:rsidR="00EE132F" w:rsidRDefault="00EE132F" w:rsidP="003F469F">
      <w:pPr>
        <w:pStyle w:val="ListParagraph"/>
        <w:numPr>
          <w:ilvl w:val="1"/>
          <w:numId w:val="170"/>
        </w:numPr>
        <w:spacing w:line="276" w:lineRule="auto"/>
        <w:contextualSpacing w:val="0"/>
      </w:pPr>
      <w:r>
        <w:t>Plāns „HIV infekcijas, seksuālās transmisijas infekciju, B un C hepatīta izplatības ierobežošanas rīcības plāns 2018. – 2020. gadam”;</w:t>
      </w:r>
    </w:p>
    <w:p w:rsidR="000E2D27" w:rsidRPr="000E2D27" w:rsidRDefault="000E2D27" w:rsidP="003F469F">
      <w:pPr>
        <w:pStyle w:val="ListParagraph"/>
        <w:numPr>
          <w:ilvl w:val="1"/>
          <w:numId w:val="170"/>
        </w:numPr>
        <w:spacing w:line="276" w:lineRule="auto"/>
        <w:contextualSpacing w:val="0"/>
      </w:pPr>
      <w:r w:rsidRPr="000E2D27">
        <w:t>Sabiedrības veselības pamatnostādnes 2011.- 2017. gadam;</w:t>
      </w:r>
    </w:p>
    <w:p w:rsidR="00EE132F" w:rsidRPr="000E2D27" w:rsidRDefault="00EE132F" w:rsidP="003F469F">
      <w:pPr>
        <w:pStyle w:val="ListParagraph"/>
        <w:numPr>
          <w:ilvl w:val="1"/>
          <w:numId w:val="170"/>
        </w:numPr>
        <w:spacing w:line="276" w:lineRule="auto"/>
        <w:contextualSpacing w:val="0"/>
      </w:pPr>
      <w:r w:rsidRPr="000E2D27">
        <w:t>Pamatnostādnes „Iedzīvotāju garīgās veselības uzlabošana 2009.-2014. gadā”;</w:t>
      </w:r>
    </w:p>
    <w:p w:rsidR="00EE132F" w:rsidRPr="000E2D27" w:rsidRDefault="00EE132F" w:rsidP="003F469F">
      <w:pPr>
        <w:pStyle w:val="ListParagraph"/>
        <w:numPr>
          <w:ilvl w:val="1"/>
          <w:numId w:val="170"/>
        </w:numPr>
        <w:spacing w:line="276" w:lineRule="auto"/>
        <w:contextualSpacing w:val="0"/>
      </w:pPr>
      <w:r w:rsidRPr="000E2D27">
        <w:t>Pamatnostādnes „Veselīgs uzturs (2003-2013)”;</w:t>
      </w:r>
    </w:p>
    <w:p w:rsidR="00EE132F" w:rsidRPr="000E2D27" w:rsidRDefault="00EE132F" w:rsidP="003F469F">
      <w:pPr>
        <w:pStyle w:val="ListParagraph"/>
        <w:numPr>
          <w:ilvl w:val="1"/>
          <w:numId w:val="170"/>
        </w:numPr>
        <w:spacing w:line="276" w:lineRule="auto"/>
        <w:contextualSpacing w:val="0"/>
      </w:pPr>
      <w:r w:rsidRPr="000E2D27">
        <w:t>Onkoloģisko slimību kontrole</w:t>
      </w:r>
      <w:r w:rsidR="00B23BC2">
        <w:t>s programma 2009. – 2015. gadam</w:t>
      </w:r>
      <w:r w:rsidRPr="000E2D27">
        <w:t>.</w:t>
      </w:r>
    </w:p>
    <w:p w:rsidR="003079CC" w:rsidRPr="00CC1E7E" w:rsidRDefault="003079CC" w:rsidP="003F469F">
      <w:pPr>
        <w:pStyle w:val="ListParagraph"/>
        <w:numPr>
          <w:ilvl w:val="0"/>
          <w:numId w:val="170"/>
        </w:numPr>
        <w:spacing w:line="276" w:lineRule="auto"/>
        <w:ind w:left="714" w:hanging="357"/>
        <w:contextualSpacing w:val="0"/>
        <w:rPr>
          <w:b/>
          <w:u w:val="single"/>
        </w:rPr>
      </w:pPr>
      <w:r w:rsidRPr="00CC1E7E">
        <w:rPr>
          <w:b/>
          <w:u w:val="single"/>
        </w:rPr>
        <w:t>Informatīvie ziņojumi par progresu dažādās veselības nozares apakšjomās:</w:t>
      </w:r>
    </w:p>
    <w:p w:rsidR="00EE132F" w:rsidRDefault="000E2D27" w:rsidP="003F469F">
      <w:pPr>
        <w:pStyle w:val="ListParagraph"/>
        <w:numPr>
          <w:ilvl w:val="1"/>
          <w:numId w:val="170"/>
        </w:numPr>
        <w:spacing w:line="276" w:lineRule="auto"/>
        <w:contextualSpacing w:val="0"/>
      </w:pPr>
      <w:r>
        <w:t>Informatīvie ziņojumi par veselības aprūpes reformas īstenošanu:</w:t>
      </w:r>
    </w:p>
    <w:p w:rsidR="00C75B74" w:rsidRDefault="00C75B74" w:rsidP="003F469F">
      <w:pPr>
        <w:pStyle w:val="ListParagraph"/>
        <w:numPr>
          <w:ilvl w:val="2"/>
          <w:numId w:val="170"/>
        </w:numPr>
        <w:spacing w:line="276" w:lineRule="auto"/>
        <w:contextualSpacing w:val="0"/>
        <w:jc w:val="both"/>
      </w:pPr>
      <w:r>
        <w:t>I</w:t>
      </w:r>
      <w:r w:rsidRPr="00C75B74">
        <w:t>nformatīv</w:t>
      </w:r>
      <w:r>
        <w:t>ais</w:t>
      </w:r>
      <w:r w:rsidRPr="00C75B74">
        <w:t xml:space="preserve"> ziņojum</w:t>
      </w:r>
      <w:r>
        <w:t>s</w:t>
      </w:r>
      <w:r w:rsidRPr="00C75B74">
        <w:t xml:space="preserve"> </w:t>
      </w:r>
      <w:r>
        <w:t>„</w:t>
      </w:r>
      <w:r w:rsidRPr="00C75B74">
        <w:t>Par veselības reformas pasākumu īstenošanu 2019.gadā”</w:t>
      </w:r>
      <w:r>
        <w:t>;</w:t>
      </w:r>
    </w:p>
    <w:p w:rsidR="00C75B74" w:rsidRDefault="00C75B74" w:rsidP="003F469F">
      <w:pPr>
        <w:pStyle w:val="ListParagraph"/>
        <w:numPr>
          <w:ilvl w:val="2"/>
          <w:numId w:val="170"/>
        </w:numPr>
        <w:spacing w:line="276" w:lineRule="auto"/>
        <w:contextualSpacing w:val="0"/>
        <w:jc w:val="both"/>
      </w:pPr>
      <w:r>
        <w:t>I</w:t>
      </w:r>
      <w:r w:rsidRPr="00C75B74">
        <w:t>nformatīv</w:t>
      </w:r>
      <w:r>
        <w:t>ais</w:t>
      </w:r>
      <w:r w:rsidRPr="00C75B74">
        <w:t xml:space="preserve"> ziņojum</w:t>
      </w:r>
      <w:r>
        <w:t>s „</w:t>
      </w:r>
      <w:r w:rsidRPr="00C75B74">
        <w:t>Par veselības reformas pasākumu īstenošanu 2018.gadā”</w:t>
      </w:r>
      <w:r>
        <w:t>;</w:t>
      </w:r>
    </w:p>
    <w:p w:rsidR="000E2D27" w:rsidRDefault="000E2D27" w:rsidP="003F469F">
      <w:pPr>
        <w:pStyle w:val="ListParagraph"/>
        <w:numPr>
          <w:ilvl w:val="2"/>
          <w:numId w:val="170"/>
        </w:numPr>
        <w:spacing w:line="276" w:lineRule="auto"/>
        <w:contextualSpacing w:val="0"/>
        <w:jc w:val="both"/>
      </w:pPr>
      <w:r w:rsidRPr="00131B0D">
        <w:t xml:space="preserve">Informatīvais ziņojums </w:t>
      </w:r>
      <w:r>
        <w:t>„</w:t>
      </w:r>
      <w:r w:rsidRPr="00131B0D">
        <w:t>Par veselības reforma</w:t>
      </w:r>
      <w:r>
        <w:t>s pasākumu īstenošanu 2017. gadā”;</w:t>
      </w:r>
    </w:p>
    <w:p w:rsidR="00C75B74" w:rsidRDefault="00C75B74" w:rsidP="003F469F">
      <w:pPr>
        <w:pStyle w:val="ListParagraph"/>
        <w:numPr>
          <w:ilvl w:val="2"/>
          <w:numId w:val="170"/>
        </w:numPr>
        <w:spacing w:line="276" w:lineRule="auto"/>
        <w:contextualSpacing w:val="0"/>
        <w:jc w:val="both"/>
      </w:pPr>
      <w:r w:rsidRPr="00131B0D">
        <w:t xml:space="preserve">Informatīvais ziņojums </w:t>
      </w:r>
      <w:r>
        <w:t>„</w:t>
      </w:r>
      <w:r w:rsidRPr="00131B0D">
        <w:t>Par veselības reformas pasākumu īs</w:t>
      </w:r>
      <w:r>
        <w:t>tenošanas turpināšanu 2017. gadā”</w:t>
      </w:r>
      <w:r w:rsidR="000E2D27">
        <w:t>;</w:t>
      </w:r>
    </w:p>
    <w:p w:rsidR="00C75B74" w:rsidRDefault="00C75B74" w:rsidP="003F469F">
      <w:pPr>
        <w:pStyle w:val="ListParagraph"/>
        <w:numPr>
          <w:ilvl w:val="2"/>
          <w:numId w:val="170"/>
        </w:numPr>
        <w:spacing w:line="276" w:lineRule="auto"/>
        <w:contextualSpacing w:val="0"/>
        <w:jc w:val="both"/>
      </w:pPr>
      <w:r w:rsidRPr="00131B0D">
        <w:t xml:space="preserve">Informatīvais ziņojums </w:t>
      </w:r>
      <w:r>
        <w:t>„</w:t>
      </w:r>
      <w:r w:rsidRPr="00131B0D">
        <w:t>Par veselības reformas pasākumu īstenošanas progresu vesel</w:t>
      </w:r>
      <w:r>
        <w:t>ības aprūpē 2017. gada 1. pusgadā”;</w:t>
      </w:r>
    </w:p>
    <w:p w:rsidR="00C75B74" w:rsidRPr="00B23BC2" w:rsidRDefault="00B23BC2" w:rsidP="003F469F">
      <w:pPr>
        <w:pStyle w:val="ListParagraph"/>
        <w:numPr>
          <w:ilvl w:val="1"/>
          <w:numId w:val="170"/>
        </w:numPr>
        <w:spacing w:line="276" w:lineRule="auto"/>
        <w:contextualSpacing w:val="0"/>
        <w:jc w:val="both"/>
      </w:pPr>
      <w:r w:rsidRPr="00B23BC2">
        <w:t>Informatīvie ziņojumi par veselības aprūpes pakalpojumu pieejamības paaugstināšanu (t.sk. rindu samazināšanu):</w:t>
      </w:r>
    </w:p>
    <w:p w:rsidR="00B23BC2" w:rsidRPr="00B23BC2" w:rsidRDefault="00B23BC2" w:rsidP="003F469F">
      <w:pPr>
        <w:pStyle w:val="ListParagraph"/>
        <w:numPr>
          <w:ilvl w:val="2"/>
          <w:numId w:val="170"/>
        </w:numPr>
        <w:spacing w:line="276" w:lineRule="auto"/>
        <w:contextualSpacing w:val="0"/>
        <w:jc w:val="both"/>
      </w:pPr>
      <w:r w:rsidRPr="00B23BC2">
        <w:t>Informatīvais ziņojums „Darba grupas ziņojums par valsts apmaksāto veselības aprūpes pakalpojumu nodrošināšanu valsts, pašvaldību un privātajās ārstniecības iestādēs”;</w:t>
      </w:r>
    </w:p>
    <w:p w:rsidR="00B23BC2" w:rsidRPr="00B23BC2" w:rsidRDefault="00B23BC2" w:rsidP="003F469F">
      <w:pPr>
        <w:pStyle w:val="ListParagraph"/>
        <w:numPr>
          <w:ilvl w:val="2"/>
          <w:numId w:val="170"/>
        </w:numPr>
        <w:spacing w:line="276" w:lineRule="auto"/>
        <w:contextualSpacing w:val="0"/>
        <w:jc w:val="both"/>
      </w:pPr>
      <w:r w:rsidRPr="00B23BC2">
        <w:t>Informatīvais ziņojums „Par tālāku rindu samazināšanu sekundārā ambulatorā veselības aprūpē” (2017. gads);</w:t>
      </w:r>
    </w:p>
    <w:p w:rsidR="006021BC" w:rsidRDefault="006021BC" w:rsidP="003F469F">
      <w:pPr>
        <w:pStyle w:val="ListParagraph"/>
        <w:numPr>
          <w:ilvl w:val="2"/>
          <w:numId w:val="170"/>
        </w:numPr>
        <w:spacing w:line="276" w:lineRule="auto"/>
        <w:contextualSpacing w:val="0"/>
        <w:jc w:val="both"/>
      </w:pPr>
      <w:r w:rsidRPr="00B23BC2">
        <w:t>Informatīvais ziņojums „Par papildus līdzekļu piešķiršanu veselības aprūpes nozarei”</w:t>
      </w:r>
      <w:r>
        <w:t xml:space="preserve"> (08.11.2016.);</w:t>
      </w:r>
    </w:p>
    <w:p w:rsidR="00B23BC2" w:rsidRPr="00B23BC2" w:rsidRDefault="00B23BC2" w:rsidP="003F469F">
      <w:pPr>
        <w:pStyle w:val="ListParagraph"/>
        <w:numPr>
          <w:ilvl w:val="2"/>
          <w:numId w:val="170"/>
        </w:numPr>
        <w:spacing w:line="276" w:lineRule="auto"/>
        <w:contextualSpacing w:val="0"/>
        <w:jc w:val="both"/>
      </w:pPr>
      <w:r w:rsidRPr="00B23BC2">
        <w:t>Informatīvais ziņojums „Par ambulatoro un stacionāro veselības aprūpes pakalpojumu pieejamības uzlabošanu” (01.11.2016.);</w:t>
      </w:r>
    </w:p>
    <w:p w:rsidR="00B23BC2" w:rsidRPr="00B23BC2" w:rsidRDefault="00B23BC2" w:rsidP="003F469F">
      <w:pPr>
        <w:pStyle w:val="ListParagraph"/>
        <w:numPr>
          <w:ilvl w:val="2"/>
          <w:numId w:val="170"/>
        </w:numPr>
        <w:spacing w:line="276" w:lineRule="auto"/>
        <w:contextualSpacing w:val="0"/>
        <w:jc w:val="both"/>
      </w:pPr>
      <w:r w:rsidRPr="00B23BC2">
        <w:lastRenderedPageBreak/>
        <w:t>Informatīvais ziņojums „Par valsts finansēto veselības aprūpes pa</w:t>
      </w:r>
      <w:r w:rsidR="00BB1077">
        <w:t>kalpojumu apjomu” (11.10.2016.).</w:t>
      </w:r>
    </w:p>
    <w:p w:rsidR="00C75B74" w:rsidRPr="00B23BC2" w:rsidRDefault="00B23BC2" w:rsidP="003F469F">
      <w:pPr>
        <w:pStyle w:val="ListParagraph"/>
        <w:numPr>
          <w:ilvl w:val="1"/>
          <w:numId w:val="170"/>
        </w:numPr>
        <w:spacing w:line="276" w:lineRule="auto"/>
        <w:contextualSpacing w:val="0"/>
        <w:jc w:val="both"/>
      </w:pPr>
      <w:r w:rsidRPr="00B23BC2">
        <w:t>Informatīvie ziņojumi par Latvijas veselības aprūpes sistēmas izvērtējumu ietvaros izstrādāto rekomendāciju ieviešanu:</w:t>
      </w:r>
    </w:p>
    <w:p w:rsidR="00B23BC2" w:rsidRPr="00B23BC2" w:rsidRDefault="00B23BC2" w:rsidP="003F469F">
      <w:pPr>
        <w:pStyle w:val="ListParagraph"/>
        <w:numPr>
          <w:ilvl w:val="2"/>
          <w:numId w:val="170"/>
        </w:numPr>
        <w:spacing w:line="276" w:lineRule="auto"/>
        <w:contextualSpacing w:val="0"/>
        <w:jc w:val="both"/>
      </w:pPr>
      <w:r w:rsidRPr="00B23BC2">
        <w:t>Informatīvais ziņojums „Par Ekonomiskās sadarbības un attīstības organizācijas rekomendāciju veselības jomā ieviešanas progresu”;</w:t>
      </w:r>
    </w:p>
    <w:p w:rsidR="00B23BC2" w:rsidRDefault="00B23BC2" w:rsidP="003F469F">
      <w:pPr>
        <w:pStyle w:val="ListParagraph"/>
        <w:numPr>
          <w:ilvl w:val="2"/>
          <w:numId w:val="170"/>
        </w:numPr>
        <w:spacing w:line="276" w:lineRule="auto"/>
        <w:contextualSpacing w:val="0"/>
        <w:jc w:val="both"/>
      </w:pPr>
      <w:r w:rsidRPr="00B23BC2">
        <w:t>Informatīvais ziņojums „Rīcības plāns Pasaules bankas pētījuma rezultātu izmantošanai nacionālajos politikas plānošanas dokumentos un Eiropas Savienības fondu ieviešanas nosacījumos” (27.09.2016.)</w:t>
      </w:r>
      <w:r w:rsidR="00562A53">
        <w:t>;</w:t>
      </w:r>
    </w:p>
    <w:p w:rsidR="00562A53" w:rsidRPr="00684A3B" w:rsidRDefault="00684A3B" w:rsidP="003F469F">
      <w:pPr>
        <w:pStyle w:val="ListParagraph"/>
        <w:numPr>
          <w:ilvl w:val="2"/>
          <w:numId w:val="170"/>
        </w:numPr>
        <w:spacing w:line="276" w:lineRule="auto"/>
        <w:contextualSpacing w:val="0"/>
        <w:jc w:val="both"/>
      </w:pPr>
      <w:r w:rsidRPr="00684A3B">
        <w:t>Informatīvais ziņojums „Par sistēmiski svarīgo ārstniecības iestāžu kartējumu un attīstības reformu”.</w:t>
      </w:r>
    </w:p>
    <w:p w:rsidR="00B23BC2" w:rsidRPr="007E20AA" w:rsidRDefault="007E20AA" w:rsidP="003F469F">
      <w:pPr>
        <w:pStyle w:val="ListParagraph"/>
        <w:numPr>
          <w:ilvl w:val="1"/>
          <w:numId w:val="170"/>
        </w:numPr>
        <w:spacing w:line="276" w:lineRule="auto"/>
        <w:contextualSpacing w:val="0"/>
        <w:jc w:val="both"/>
      </w:pPr>
      <w:r w:rsidRPr="007E20AA">
        <w:t>Dažādu apakšnozaru ziņojumi:</w:t>
      </w:r>
    </w:p>
    <w:p w:rsidR="007E20AA" w:rsidRPr="007E20AA" w:rsidRDefault="007E20AA" w:rsidP="003F469F">
      <w:pPr>
        <w:pStyle w:val="ListParagraph"/>
        <w:numPr>
          <w:ilvl w:val="2"/>
          <w:numId w:val="170"/>
        </w:numPr>
        <w:spacing w:line="276" w:lineRule="auto"/>
        <w:contextualSpacing w:val="0"/>
        <w:jc w:val="both"/>
      </w:pPr>
      <w:r w:rsidRPr="007E20AA">
        <w:t>Informatīvais ziņojums „Par veselības aprūpes organizāciju un finansējumu ieslodzījuma vietās”;</w:t>
      </w:r>
    </w:p>
    <w:p w:rsidR="007E20AA" w:rsidRPr="007E20AA" w:rsidRDefault="007E20AA" w:rsidP="003F469F">
      <w:pPr>
        <w:pStyle w:val="ListParagraph"/>
        <w:numPr>
          <w:ilvl w:val="2"/>
          <w:numId w:val="170"/>
        </w:numPr>
        <w:spacing w:line="276" w:lineRule="auto"/>
        <w:contextualSpacing w:val="0"/>
        <w:jc w:val="both"/>
      </w:pPr>
      <w:r w:rsidRPr="007E20AA">
        <w:t>Informatīvais ziņojums „Sabiedrības veselības pamatnostādņu 2014.-2020. gadam īstenošanas vidusposma (2014.-2016. gadā) novērtējums”;</w:t>
      </w:r>
    </w:p>
    <w:p w:rsidR="007E20AA" w:rsidRPr="007E20AA" w:rsidRDefault="007E20AA" w:rsidP="003F469F">
      <w:pPr>
        <w:pStyle w:val="ListParagraph"/>
        <w:numPr>
          <w:ilvl w:val="2"/>
          <w:numId w:val="170"/>
        </w:numPr>
        <w:spacing w:line="276" w:lineRule="auto"/>
        <w:contextualSpacing w:val="0"/>
        <w:jc w:val="both"/>
      </w:pPr>
      <w:r w:rsidRPr="007E20AA">
        <w:t>Informatīvais ziņojums „Sirds un asinsvadu veselības uzlabošanas rīcības plāna 2013.-2015. gadam īstenošana”;</w:t>
      </w:r>
    </w:p>
    <w:p w:rsidR="007E20AA" w:rsidRPr="007E20AA" w:rsidRDefault="007E20AA" w:rsidP="003F469F">
      <w:pPr>
        <w:pStyle w:val="ListParagraph"/>
        <w:numPr>
          <w:ilvl w:val="2"/>
          <w:numId w:val="170"/>
        </w:numPr>
        <w:spacing w:line="276" w:lineRule="auto"/>
        <w:contextualSpacing w:val="0"/>
        <w:jc w:val="both"/>
      </w:pPr>
      <w:r w:rsidRPr="007E20AA">
        <w:t>Informatīvais ziņojums par farmaceitiskās aprūpes pieejamību valsts teritorijā (30.05.2014.);</w:t>
      </w:r>
    </w:p>
    <w:p w:rsidR="007E20AA" w:rsidRPr="007E20AA" w:rsidRDefault="007E20AA" w:rsidP="003F469F">
      <w:pPr>
        <w:pStyle w:val="ListParagraph"/>
        <w:numPr>
          <w:ilvl w:val="2"/>
          <w:numId w:val="170"/>
        </w:numPr>
        <w:spacing w:line="276" w:lineRule="auto"/>
        <w:contextualSpacing w:val="0"/>
        <w:jc w:val="both"/>
      </w:pPr>
      <w:r w:rsidRPr="007E20AA">
        <w:t>Informatīvais ziņojums par veselības aprūpes darbinieku apmācībām prostitūcijā iesaistīto personu identificēšanai un atbilstošas aprūpes un informācijas nodrošināšanai, kā arī par iespēju izveidot zema sliekšņa centru prostitūcijā iesaistītajām personām un īstenot sociālās rehabilitācijas pakalpojumus (19.03.2014.);</w:t>
      </w:r>
    </w:p>
    <w:p w:rsidR="007E20AA" w:rsidRPr="007E20AA" w:rsidRDefault="007E20AA" w:rsidP="003F469F">
      <w:pPr>
        <w:pStyle w:val="ListParagraph"/>
        <w:numPr>
          <w:ilvl w:val="2"/>
          <w:numId w:val="170"/>
        </w:numPr>
        <w:spacing w:line="276" w:lineRule="auto"/>
        <w:contextualSpacing w:val="0"/>
        <w:jc w:val="both"/>
      </w:pPr>
      <w:r w:rsidRPr="007E20AA">
        <w:t>Informatīvais ziņojums par normatīvo regulējumu un praksi ieslodzīto personu iesniegumu izskatīšanas kārtībai Veselības inspekcijā gadījumos, kas saistīti ar ieslodzīto personu nopietnu un akūtu saslimšanu (28.01.2014.);</w:t>
      </w:r>
    </w:p>
    <w:p w:rsidR="007E20AA" w:rsidRPr="007E20AA" w:rsidRDefault="007E20AA" w:rsidP="003F469F">
      <w:pPr>
        <w:pStyle w:val="ListParagraph"/>
        <w:numPr>
          <w:ilvl w:val="2"/>
          <w:numId w:val="170"/>
        </w:numPr>
        <w:spacing w:line="276" w:lineRule="auto"/>
        <w:contextualSpacing w:val="0"/>
        <w:jc w:val="both"/>
      </w:pPr>
      <w:r w:rsidRPr="007E20AA">
        <w:t>Informatīvais ziņojums par mācību priekšmeta „Veselības mācība” iekļaušanu vispārējās vidējās un profesionālās izglītības mācību programmās (24.09.2013.).</w:t>
      </w:r>
    </w:p>
    <w:p w:rsidR="00C75B74" w:rsidRPr="007E20AA" w:rsidRDefault="00C75B74" w:rsidP="007E20AA"/>
    <w:p w:rsidR="00D07233" w:rsidRPr="0011706E" w:rsidRDefault="00264A50" w:rsidP="00922A20">
      <w:r w:rsidRPr="0011706E">
        <w:t>Apkopojot analīzei atlasīto tiesību aktu un politikas plānošanas dokumentu aptvertās tēmas, redzams, ka analīze ļaus raksturot šādas jomas:</w:t>
      </w:r>
    </w:p>
    <w:p w:rsidR="006A7F2D" w:rsidRPr="00FD0784" w:rsidRDefault="006A7F2D" w:rsidP="003F469F">
      <w:pPr>
        <w:pStyle w:val="ListParagraph"/>
        <w:numPr>
          <w:ilvl w:val="0"/>
          <w:numId w:val="52"/>
        </w:numPr>
        <w:spacing w:line="276" w:lineRule="auto"/>
        <w:jc w:val="both"/>
      </w:pPr>
      <w:r w:rsidRPr="00FD0784">
        <w:t xml:space="preserve">Veselības aprūpes pieejamības </w:t>
      </w:r>
      <w:r w:rsidR="00FD0784" w:rsidRPr="00FD0784">
        <w:t xml:space="preserve">un nevienlīdzībai veselības jomā pakļauto mērķa grupu </w:t>
      </w:r>
      <w:r w:rsidRPr="00FD0784">
        <w:t>definējumu</w:t>
      </w:r>
      <w:r w:rsidR="00CE314E" w:rsidRPr="00FD0784">
        <w:t>, t.sk. sabiedrības veselības jomas vietu un nozīmi</w:t>
      </w:r>
      <w:r w:rsidRPr="00FD0784">
        <w:t>;</w:t>
      </w:r>
    </w:p>
    <w:p w:rsidR="0011706E" w:rsidRPr="0011706E" w:rsidRDefault="0011706E" w:rsidP="003F469F">
      <w:pPr>
        <w:pStyle w:val="ListParagraph"/>
        <w:numPr>
          <w:ilvl w:val="0"/>
          <w:numId w:val="52"/>
        </w:numPr>
        <w:spacing w:line="276" w:lineRule="auto"/>
        <w:jc w:val="both"/>
      </w:pPr>
      <w:r w:rsidRPr="0011706E">
        <w:t>Veselības aprūpes pakalpojumu finansēšanu organizatorisko kārtību un to vēsturisko attīstību, finanšu resursus un to ilgtspēju;</w:t>
      </w:r>
    </w:p>
    <w:p w:rsidR="00264A50" w:rsidRPr="0011706E" w:rsidRDefault="00264A50" w:rsidP="003F469F">
      <w:pPr>
        <w:pStyle w:val="ListParagraph"/>
        <w:numPr>
          <w:ilvl w:val="0"/>
          <w:numId w:val="52"/>
        </w:numPr>
        <w:spacing w:line="276" w:lineRule="auto"/>
        <w:jc w:val="both"/>
      </w:pPr>
      <w:r w:rsidRPr="0011706E">
        <w:t>Veselības aprūpes pakalpojumu pieejamīb</w:t>
      </w:r>
      <w:r w:rsidR="006A7F2D" w:rsidRPr="0011706E">
        <w:t>u – pakalpojumu saņemšanas kārtību iedzīvotājiem kopumā un noteiktām mērķa grupām, t.sk. analizējot mērķa grupu definēšanai izmantotos principus</w:t>
      </w:r>
      <w:r w:rsidR="00061FD4" w:rsidRPr="0011706E">
        <w:t xml:space="preserve"> (t.sk. nevienlīdzības un sociālās atstumtības risku kā vienu no tiem)</w:t>
      </w:r>
      <w:r w:rsidR="006A7F2D" w:rsidRPr="0011706E">
        <w:t>;</w:t>
      </w:r>
    </w:p>
    <w:p w:rsidR="006A7F2D" w:rsidRPr="0011706E" w:rsidRDefault="006A7F2D" w:rsidP="003F469F">
      <w:pPr>
        <w:pStyle w:val="ListParagraph"/>
        <w:numPr>
          <w:ilvl w:val="0"/>
          <w:numId w:val="52"/>
        </w:numPr>
        <w:spacing w:line="276" w:lineRule="auto"/>
        <w:jc w:val="both"/>
      </w:pPr>
      <w:r w:rsidRPr="0011706E">
        <w:t>Prioritārās veselības aprūpes nozares Latvijā saistībā ar noteiktām diagnozēm un mērķa grupām.</w:t>
      </w:r>
    </w:p>
    <w:p w:rsidR="000A51CF" w:rsidRDefault="000A51CF" w:rsidP="003945E0">
      <w:pPr>
        <w:pStyle w:val="Heading3"/>
      </w:pPr>
      <w:bookmarkStart w:id="475" w:name="_Toc6841586"/>
      <w:r>
        <w:lastRenderedPageBreak/>
        <w:t xml:space="preserve">Politikas plānošanas dokumentu </w:t>
      </w:r>
      <w:r w:rsidR="00C91B09">
        <w:t xml:space="preserve">un tiesību aktu </w:t>
      </w:r>
      <w:r>
        <w:t xml:space="preserve">analīzes rezultāti veselības aprūpes </w:t>
      </w:r>
      <w:r w:rsidR="007F512F">
        <w:t xml:space="preserve">un sabiedrības veselības </w:t>
      </w:r>
      <w:r>
        <w:t>jomā</w:t>
      </w:r>
      <w:bookmarkEnd w:id="475"/>
    </w:p>
    <w:p w:rsidR="00061FD4" w:rsidRPr="00D3739C" w:rsidRDefault="00686A21" w:rsidP="00917E78">
      <w:pPr>
        <w:pStyle w:val="virsrakstslvl4"/>
      </w:pPr>
      <w:bookmarkStart w:id="476" w:name="_Toc2761083"/>
      <w:bookmarkStart w:id="477" w:name="_Toc2848181"/>
      <w:bookmarkStart w:id="478" w:name="_Toc6219225"/>
      <w:bookmarkStart w:id="479" w:name="_Toc6220168"/>
      <w:bookmarkStart w:id="480" w:name="_Toc6841587"/>
      <w:r w:rsidRPr="00D3739C">
        <w:t xml:space="preserve">Veselības aprūpes pieejamības </w:t>
      </w:r>
      <w:bookmarkEnd w:id="476"/>
      <w:bookmarkEnd w:id="477"/>
      <w:bookmarkEnd w:id="478"/>
      <w:bookmarkEnd w:id="479"/>
      <w:r w:rsidR="003E4C61">
        <w:t>un nevienlīdzībai veselības jomā pakļauto mērķa grupu</w:t>
      </w:r>
      <w:r w:rsidR="003E4C61" w:rsidRPr="003E4C61">
        <w:t xml:space="preserve"> </w:t>
      </w:r>
      <w:r w:rsidR="003E4C61" w:rsidRPr="00D3739C">
        <w:t>definējums</w:t>
      </w:r>
      <w:bookmarkEnd w:id="480"/>
    </w:p>
    <w:p w:rsidR="00BF2EA6" w:rsidRDefault="00BF2EA6" w:rsidP="00064C1E">
      <w:r>
        <w:t xml:space="preserve">Ārstniecības likums ir galvenais tiesību akts, kas regulē sabiedrības un ārstniecības attiecības, lai nodrošinātu slimību </w:t>
      </w:r>
      <w:r w:rsidRPr="00AA4027">
        <w:t>vai traumu kvalificētu profilaksi un diagnostiku, kā arī kvalificētu pacienta ārstēšanu un rehabilitāciju un noteikt īpašus ārstniecības iestāžu darbības tiesiskā regulējuma noteikumus</w:t>
      </w:r>
      <w:r>
        <w:rPr>
          <w:rStyle w:val="FootnoteReference"/>
        </w:rPr>
        <w:footnoteReference w:id="148"/>
      </w:r>
      <w:r w:rsidRPr="00AA4027">
        <w:t>.</w:t>
      </w:r>
      <w:r>
        <w:t xml:space="preserve"> Attiecīgi likuma 3. panta 1. daļa sniedz jēdziena „v</w:t>
      </w:r>
      <w:r w:rsidRPr="00A81E38">
        <w:t>eselības aprūpe</w:t>
      </w:r>
      <w:r>
        <w:t>” skaidrojumu, un, proti, tas</w:t>
      </w:r>
      <w:r w:rsidRPr="00A81E38">
        <w:t xml:space="preserve"> ir </w:t>
      </w:r>
      <w:r w:rsidRPr="00D25CEF">
        <w:rPr>
          <w:i/>
        </w:rPr>
        <w:t>„veselības aprūpes pakalpojumu sniedzēju īstenots pasākumu komplekss [..] pacienta veselības nodrošināšanai, uzturēšanai un atjaunošanai”</w:t>
      </w:r>
      <w:r w:rsidRPr="00A81E38">
        <w:t>.</w:t>
      </w:r>
      <w:r>
        <w:t xml:space="preserve"> Šī paša likuma 3. panta 2. daļa nosaka trīs prioritāras iedzīvotāju grupas</w:t>
      </w:r>
      <w:r w:rsidR="00CF09BF">
        <w:t xml:space="preserve"> veselības aprūpes pakalpojumu saņemšanai</w:t>
      </w:r>
      <w:r>
        <w:t xml:space="preserve"> – g</w:t>
      </w:r>
      <w:r w:rsidRPr="00AA4027">
        <w:t>rūtnieces, bērna un personas ar prognozējamu invaliditāti</w:t>
      </w:r>
      <w:r>
        <w:t>, lai MK noteikumos noteiktu š</w:t>
      </w:r>
      <w:r w:rsidRPr="00AA4027">
        <w:t>īs prioritātes organizēšanas, finansēšanas un cilvēkresursu nodrošināšanas kārtību.</w:t>
      </w:r>
      <w:r>
        <w:t xml:space="preserve"> Citas veselības aprūpes prioritātes vai vispārīgie politikas pamatprincipi Ārstniecības likumā nav minēti. </w:t>
      </w:r>
    </w:p>
    <w:p w:rsidR="00BF2EA6" w:rsidRDefault="00BF2EA6" w:rsidP="00064C1E"/>
    <w:p w:rsidR="00BF2EA6" w:rsidRDefault="00BF2EA6" w:rsidP="00064C1E">
      <w:r>
        <w:t>Šo uzdevumu savukārt zināmā mērā veic</w:t>
      </w:r>
      <w:r w:rsidRPr="005A6226">
        <w:t xml:space="preserve"> </w:t>
      </w:r>
      <w:r>
        <w:t xml:space="preserve">Sabiedrības veselības pamatnostādnes </w:t>
      </w:r>
      <w:r w:rsidRPr="007221E5">
        <w:t>2014. – 2020.</w:t>
      </w:r>
      <w:r w:rsidR="00DE1C08">
        <w:t xml:space="preserve"> </w:t>
      </w:r>
      <w:r w:rsidRPr="007221E5">
        <w:t>gadam</w:t>
      </w:r>
      <w:r w:rsidR="0005446B">
        <w:rPr>
          <w:rStyle w:val="FootnoteReference"/>
        </w:rPr>
        <w:footnoteReference w:id="149"/>
      </w:r>
      <w:r>
        <w:t xml:space="preserve">, kas ir galvenais veselības politikas plānošanas līmeņa dokuments. </w:t>
      </w:r>
      <w:r w:rsidR="001328DD" w:rsidRPr="001328DD">
        <w:t>Tās tika izstrādātas, lai turpinātu aizsāktās sabiedrības veselības politikas īstenošanu</w:t>
      </w:r>
      <w:r w:rsidR="001328DD">
        <w:rPr>
          <w:rStyle w:val="FootnoteReference"/>
        </w:rPr>
        <w:footnoteReference w:id="150"/>
      </w:r>
      <w:r w:rsidR="001328DD" w:rsidRPr="001328DD">
        <w:t>, kā arī aktualizētu</w:t>
      </w:r>
      <w:r>
        <w:t xml:space="preserve"> </w:t>
      </w:r>
      <w:r w:rsidRPr="00D25CEF">
        <w:rPr>
          <w:i/>
        </w:rPr>
        <w:t>„attīstības mērķus un rīcības virzienus to sasniegšanai, saglabājot, uzlabojot un atjaunojot Latvijas iedzīvotāju, jo īpaši, sociālās atstumtības un nabadzības riskam pakļauto iedzīvotāju, veselības stāvokli nākamajos septiņos gados”</w:t>
      </w:r>
      <w:r>
        <w:rPr>
          <w:rStyle w:val="FootnoteReference"/>
        </w:rPr>
        <w:footnoteReference w:id="151"/>
      </w:r>
      <w:r>
        <w:t xml:space="preserve">, uz kā balstīti ES fondu ieguldījumu virzieni. </w:t>
      </w:r>
      <w:r w:rsidR="00595499">
        <w:t>Šī Izvērtējuma ietvaros nozīmīgākie s</w:t>
      </w:r>
      <w:r>
        <w:t xml:space="preserve">abiedrības veselības politikas pamatprincipi, kas definēti pamatnostādnēs, ir „cilvēks veselības aprūpes centrā” un „vienādas tiesības un iespējas visiem”. </w:t>
      </w:r>
      <w:r w:rsidR="00EF7BE7">
        <w:t xml:space="preserve">Pēdējais princips, kas pēc būtības ietver nediskriminācijas nosacījumu, Sabiedrības veselības pamatnostādnēs tiek definēts kā </w:t>
      </w:r>
      <w:r w:rsidR="00EF7BE7" w:rsidRPr="00D25CEF">
        <w:rPr>
          <w:i/>
        </w:rPr>
        <w:t>„ikvienam ir vienlīdzīgas tiesības saņemt nepieciešamos veselības veicināšanas un aprūpes pakalpojumus valstī pieejamo personāla, tehnisko un finanšu resursu ietvaros, normatīvajos aktos noteiktā apjomā un kārtībā, neatkarīgi no dzimuma, vecuma, rases, valodas, reliģiskās pārliecības, seksuālās orientācijas, politiskajiem vai citiem uzskatiem, sociālās izcelšanās, tautības, izglītības, sociālā un mantiskā stāvokļa, nodarbošanās veida un citiem apstākļiem”</w:t>
      </w:r>
      <w:r w:rsidR="00EF7BE7" w:rsidRPr="00D25CEF">
        <w:t>.</w:t>
      </w:r>
      <w:r w:rsidR="00EF7BE7">
        <w:t xml:space="preserve"> Tādējādi tas nepietiekami uzsver pakalpojuma pieejamības principu, kas skaidrāk ir bijis uzsvērts</w:t>
      </w:r>
      <w:r w:rsidR="00EF7BE7" w:rsidRPr="00A16880">
        <w:t xml:space="preserve"> agrākos un zemāka hierarhijas līmeņa dokumentos, piemēram, dokumentā „Primārās veselības aprūpes attīstības plāns 2014. – 2016.</w:t>
      </w:r>
      <w:r w:rsidR="00DE1C08">
        <w:t xml:space="preserve"> </w:t>
      </w:r>
      <w:r w:rsidR="00EF7BE7" w:rsidRPr="00A16880">
        <w:t>gadam”</w:t>
      </w:r>
      <w:r w:rsidR="00EF7BE7" w:rsidRPr="00A16880">
        <w:rPr>
          <w:rStyle w:val="FootnoteReference"/>
        </w:rPr>
        <w:footnoteReference w:id="152"/>
      </w:r>
      <w:r w:rsidR="00EF7BE7" w:rsidRPr="00A16880">
        <w:t xml:space="preserve">, kurā runāts par primārās veselības aprūpes (ģimenes ārstu) pieejamību. Šajā dokumentā pieejamība ir definēta kā </w:t>
      </w:r>
      <w:r w:rsidR="00EF7BE7" w:rsidRPr="00A16880">
        <w:rPr>
          <w:i/>
        </w:rPr>
        <w:t xml:space="preserve">„kvalitatīva un droša PVA </w:t>
      </w:r>
      <w:r w:rsidR="00EF7BE7" w:rsidRPr="00A16880">
        <w:t>[primārās veselības aprūpe]</w:t>
      </w:r>
      <w:r w:rsidR="00EF7BE7" w:rsidRPr="00A16880">
        <w:rPr>
          <w:i/>
        </w:rPr>
        <w:t xml:space="preserve"> ir pieejama visiem iedzīvotājiem, neatkarīgi no finanšu vai ģeogrāfiskiem ierobežojumiem, pacienta vecuma, veselības stāvokļa, psihosociālajiem un citiem faktoriem</w:t>
      </w:r>
      <w:r w:rsidR="00EF7BE7" w:rsidRPr="00A16880">
        <w:t>”.</w:t>
      </w:r>
      <w:r w:rsidR="00EF7BE7">
        <w:t xml:space="preserve"> Lai gan šī dokumenta darbības laiks Izvērtējuma sagatavošanas brīdī ir noslēdzies, redzams, ka veselības aprūpes „pieejamība” šajā </w:t>
      </w:r>
      <w:r w:rsidR="00EF7BE7">
        <w:lastRenderedPageBreak/>
        <w:t xml:space="preserve">dokumentā ir aplūkota konkrētāk, </w:t>
      </w:r>
      <w:r w:rsidR="00DB0146">
        <w:t>u</w:t>
      </w:r>
      <w:r w:rsidR="00EF7BE7">
        <w:t>zsverot specifiskākus un ar nevienlīdzību tiešāk saistītos (izraisošos) aspektus.</w:t>
      </w:r>
    </w:p>
    <w:p w:rsidR="00595499" w:rsidRDefault="00595499" w:rsidP="00064C1E"/>
    <w:p w:rsidR="00595499" w:rsidRDefault="00595499" w:rsidP="00064C1E">
      <w:r>
        <w:t>Blakus iepriekš minētajiem sabiedrības veselības politikas pamatprincipiem, minams arī „v</w:t>
      </w:r>
      <w:r w:rsidRPr="00595499">
        <w:t>eselība visu nozaru politikās</w:t>
      </w:r>
      <w:r>
        <w:t xml:space="preserve">”, kas atzīst citu nozaru nozīmīgu ietekmi uz sabiedrības veselību un veselības aprūpes pakalpojumu pieejamību. Sabiedrības veselības pamatnostādnēs 2014. – 2020. gadam šis princips definēts kā </w:t>
      </w:r>
      <w:r w:rsidRPr="00595499">
        <w:rPr>
          <w:i/>
        </w:rPr>
        <w:t>„citām nozarēm, institūcijām un organizācijām jābūt iesaistītām un līdzatbildīgām sabiedrības veselības saglabāšanā un uzlabošanā, nodrošinot daudzsektoru stratēģiju attiecībā uz veselību ietekmējošiem faktoriem (ieskaitot fiziskos, emocionālos, ekonomiskos, sociālos, kultūras un citus faktorus)”</w:t>
      </w:r>
      <w:r>
        <w:t>.</w:t>
      </w:r>
      <w:r w:rsidR="008D6552">
        <w:t xml:space="preserve"> Šī I</w:t>
      </w:r>
      <w:r w:rsidR="00BF7D06">
        <w:t>zvērtējuma ietvaros, runājot par veselības aprūpes pakalpojumu pieejamību, intervētie eksperti bieži pamatoti norāda, ka pietrūkst sadarbības starp dažādām nozarēm, it īpaši, sabiedriskā transporta nozari, no kuras daļēji atkarīga iedzīvotāju spēja saņemt veselības aprūpes pakalpojumus, kā arī noteiktu mērķa grupu gadījumā (piemēram, personas ar invaliditāti, esošie un bijušie ieslodzītie) ir nepieciešama nozaru sadarbība mērķa grupas dzīves kvalitātes saglabāšanā.</w:t>
      </w:r>
    </w:p>
    <w:p w:rsidR="00686A21" w:rsidRDefault="00686A21" w:rsidP="00064C1E"/>
    <w:p w:rsidR="00D96BE4" w:rsidRDefault="00D96BE4" w:rsidP="00922A20">
      <w:r>
        <w:t xml:space="preserve">Runājot par Sabiedrības veselības pamatnostādnēs </w:t>
      </w:r>
      <w:r w:rsidR="004A7001">
        <w:t xml:space="preserve">2014. – 2020. gadam </w:t>
      </w:r>
      <w:r>
        <w:t xml:space="preserve">iekļautajiem principiem, </w:t>
      </w:r>
      <w:r w:rsidR="00B21C65">
        <w:t xml:space="preserve">divi stratēģiski vissvarīgākie no sešiem </w:t>
      </w:r>
      <w:r>
        <w:t>definēt</w:t>
      </w:r>
      <w:r w:rsidR="00B21C65">
        <w:t>ajiem</w:t>
      </w:r>
      <w:r>
        <w:t xml:space="preserve"> rīcības virzieni</w:t>
      </w:r>
      <w:r w:rsidR="00B21C65">
        <w:t>em</w:t>
      </w:r>
      <w:r>
        <w:t>, kas vērsti uz izvirzīto mērķu sasniegšanu un kuri atbilst šī Izvērtējuma kontekstam, ir:</w:t>
      </w:r>
    </w:p>
    <w:p w:rsidR="00D96BE4" w:rsidRDefault="00D96BE4" w:rsidP="003F469F">
      <w:pPr>
        <w:pStyle w:val="ListParagraph"/>
        <w:numPr>
          <w:ilvl w:val="0"/>
          <w:numId w:val="132"/>
        </w:numPr>
        <w:spacing w:line="276" w:lineRule="auto"/>
        <w:jc w:val="both"/>
      </w:pPr>
      <w:r>
        <w:t>partnerības un starpnozaru sadarbības nodrošināšana, veicinot vienlīdzīgas veselības iespējas visiem iedzīvotājiem;</w:t>
      </w:r>
    </w:p>
    <w:p w:rsidR="00D96BE4" w:rsidRDefault="00D96BE4" w:rsidP="003F469F">
      <w:pPr>
        <w:pStyle w:val="ListParagraph"/>
        <w:numPr>
          <w:ilvl w:val="0"/>
          <w:numId w:val="132"/>
        </w:numPr>
        <w:spacing w:line="276" w:lineRule="auto"/>
        <w:jc w:val="both"/>
      </w:pPr>
      <w:r>
        <w:t>kvalitatīvas, drošas un ilgtspējīgas veselības aprūpes pakalpojumu sistēmas veidošana (t.sk. pacienta iemaksu samazināšana, rindu saīsināšana uz plānveida pakalpojumiem, darba samaksas paaugstināšana veselības aprūpes nozares darbiniekiem, zāļu pieejamība pacientiem), nodrošinot pakalpojumu vienlīdzīgu pieejamību visiem Latvijas iedzīvotājiem.</w:t>
      </w:r>
    </w:p>
    <w:p w:rsidR="00D96BE4" w:rsidRDefault="00D96BE4" w:rsidP="00922A20"/>
    <w:p w:rsidR="00567424" w:rsidRPr="00E2798B" w:rsidRDefault="00D96BE4" w:rsidP="00064C1E">
      <w:r w:rsidRPr="000C3444">
        <w:t>Redzams, ka pēdējais darbības virziens cieši sasaucas ar Pasaules Bankas izvērtējumā konstatētajām Latvijas veselības aprūpes sistēmas problēmām un aspektiem, kuros novērojama veselības aprūpes pieejamības nevienlīdzība (sk. 2.1.3. nodaļu). Arī Sabiedrības veselības aprūpes pamatnostādnēs</w:t>
      </w:r>
      <w:r w:rsidR="004A7001" w:rsidRPr="000C3444">
        <w:t xml:space="preserve"> 2014. – 2020. gadam</w:t>
      </w:r>
      <w:r w:rsidRPr="000C3444">
        <w:t xml:space="preserve">, sniedzot situācijas izvērtējumu un problēmu formulējumu, pirmā no </w:t>
      </w:r>
      <w:r w:rsidR="00A96F1D">
        <w:t xml:space="preserve">piecām </w:t>
      </w:r>
      <w:r w:rsidRPr="000C3444">
        <w:t xml:space="preserve">apakšnodaļām ir veltīta nevienlīdzības veselības </w:t>
      </w:r>
      <w:r w:rsidRPr="00567424">
        <w:t>jomā analīzei</w:t>
      </w:r>
      <w:r w:rsidR="00DD1AA1">
        <w:t xml:space="preserve"> (sk. turpmāk tajā ietvertās informācijas pārskatu)</w:t>
      </w:r>
      <w:r w:rsidRPr="00567424">
        <w:t xml:space="preserve">. </w:t>
      </w:r>
      <w:r w:rsidR="00A96F1D" w:rsidRPr="00567424">
        <w:t>Citās nodaļās</w:t>
      </w:r>
      <w:r w:rsidR="00674186" w:rsidRPr="00567424">
        <w:t xml:space="preserve">, kurās aplūkota </w:t>
      </w:r>
      <w:r w:rsidR="00A96F1D" w:rsidRPr="00567424">
        <w:t>sirds uz asinsvadu slimīb</w:t>
      </w:r>
      <w:r w:rsidR="00674186" w:rsidRPr="00567424">
        <w:t>u</w:t>
      </w:r>
      <w:r w:rsidR="00A96F1D" w:rsidRPr="00567424">
        <w:t>, onkoloģijas slimīb</w:t>
      </w:r>
      <w:r w:rsidR="00674186" w:rsidRPr="00567424">
        <w:t>u</w:t>
      </w:r>
      <w:r w:rsidR="00A96F1D" w:rsidRPr="00567424">
        <w:t>, garīgā (psihiskā</w:t>
      </w:r>
      <w:r w:rsidR="00674186" w:rsidRPr="00567424">
        <w:t>)</w:t>
      </w:r>
      <w:r w:rsidR="00A96F1D" w:rsidRPr="00567424">
        <w:t xml:space="preserve"> veselība</w:t>
      </w:r>
      <w:r w:rsidR="00674186" w:rsidRPr="00567424">
        <w:t>s</w:t>
      </w:r>
      <w:r w:rsidR="00A96F1D" w:rsidRPr="00567424">
        <w:t>, veselību ietekmējoš</w:t>
      </w:r>
      <w:r w:rsidR="00674186" w:rsidRPr="00567424">
        <w:t>o</w:t>
      </w:r>
      <w:r w:rsidR="00A96F1D" w:rsidRPr="00567424">
        <w:t xml:space="preserve"> faktor</w:t>
      </w:r>
      <w:r w:rsidR="00674186" w:rsidRPr="00567424">
        <w:t>u,</w:t>
      </w:r>
      <w:r w:rsidR="00A96F1D" w:rsidRPr="00567424">
        <w:t xml:space="preserve"> mātes, tēva un bērna veselība</w:t>
      </w:r>
      <w:r w:rsidR="00674186" w:rsidRPr="00567424">
        <w:t>s, veselīgas un drošas vides un infekciju slimību aktualitāte Latvijā,</w:t>
      </w:r>
      <w:r w:rsidR="00A96F1D" w:rsidRPr="00567424">
        <w:t xml:space="preserve"> ietvertā informācija </w:t>
      </w:r>
      <w:r w:rsidR="00567424" w:rsidRPr="00567424">
        <w:t xml:space="preserve">raksturo problēmas izplatību sabiedrībā kopumā, statistisko reģionu un dzimuma griezumā, kā arī vecuma grupu griezumā, uztura, atkarību un reproduktīvās veselības jomās aplūkojot atsevišķi pieaugušos un bērnus. Tādējādi šajās nodaļās </w:t>
      </w:r>
      <w:r w:rsidR="00B44E06" w:rsidRPr="00567424">
        <w:t xml:space="preserve">uzmanība </w:t>
      </w:r>
      <w:r w:rsidR="00567424" w:rsidRPr="00567424">
        <w:t>augstākam sociālās atstumtības riskam pakļautajām grupām praktiski nav pievērsta, izņemot atsevišķus gadījumus, kad uztura paradumu izklāstā sniegta norāde par izglītības līmeņa ietekmi un vakcinācijas jomā, norādot</w:t>
      </w:r>
      <w:r w:rsidR="0005446B" w:rsidRPr="00567424">
        <w:t xml:space="preserve">, ka maznodrošinātām ģimenēm viens no nevakcinēšanās iemesliem ir </w:t>
      </w:r>
      <w:r w:rsidR="0005446B" w:rsidRPr="00E2798B">
        <w:t>finanšu trūkums nokļūšanai ārstniecības iestādē</w:t>
      </w:r>
      <w:r w:rsidR="0005446B" w:rsidRPr="00E2798B">
        <w:rPr>
          <w:rStyle w:val="FootnoteReference"/>
        </w:rPr>
        <w:footnoteReference w:id="153"/>
      </w:r>
      <w:r w:rsidR="00567424" w:rsidRPr="00E2798B">
        <w:t>.</w:t>
      </w:r>
      <w:r w:rsidR="0005446B" w:rsidRPr="00E2798B">
        <w:t xml:space="preserve"> </w:t>
      </w:r>
      <w:r w:rsidR="00E2798B" w:rsidRPr="00E2798B">
        <w:t xml:space="preserve">Cita veida informācija, kas ļautu </w:t>
      </w:r>
      <w:r w:rsidR="00E2798B">
        <w:t xml:space="preserve">identificēt noteiktām, nevienlīdzībai lielākā mērā pakļautajām iedzīvotāju </w:t>
      </w:r>
      <w:r w:rsidR="00E2798B">
        <w:lastRenderedPageBreak/>
        <w:t>grupām specifiskas problēmas</w:t>
      </w:r>
      <w:r w:rsidR="00C82CD8">
        <w:t>,</w:t>
      </w:r>
      <w:r w:rsidR="00E2798B">
        <w:t xml:space="preserve"> </w:t>
      </w:r>
      <w:r w:rsidR="00E2798B" w:rsidRPr="000C3444">
        <w:t xml:space="preserve">Sabiedrības veselības aprūpes pamatnostādnēs 2014. – 2020. </w:t>
      </w:r>
      <w:r w:rsidR="00E2798B">
        <w:t>g</w:t>
      </w:r>
      <w:r w:rsidR="00E2798B" w:rsidRPr="000C3444">
        <w:t>adam</w:t>
      </w:r>
      <w:r w:rsidR="00E2798B">
        <w:t xml:space="preserve"> aplūkoto tēmu izklāstā nav ietverta.</w:t>
      </w:r>
    </w:p>
    <w:p w:rsidR="00567424" w:rsidRDefault="00567424" w:rsidP="00064C1E">
      <w:pPr>
        <w:rPr>
          <w:color w:val="FF0000"/>
        </w:rPr>
      </w:pPr>
    </w:p>
    <w:p w:rsidR="00777B6F" w:rsidRDefault="00D96BE4" w:rsidP="00064C1E">
      <w:r>
        <w:t xml:space="preserve">Veicot situācijas analīzi nevienlīdzības veselības aprūpes jomā, Sabiedrības veselības pamatnostādņu </w:t>
      </w:r>
      <w:r w:rsidR="004A7001">
        <w:t xml:space="preserve">2014. – 2020. gadam </w:t>
      </w:r>
      <w:r>
        <w:t>autori</w:t>
      </w:r>
      <w:r w:rsidR="00A96F1D">
        <w:t xml:space="preserve"> dokumenta pirmās nodaļas ietvaros</w:t>
      </w:r>
      <w:r>
        <w:t xml:space="preserve"> ir snieguši koncentrētu situācijas raksturojumu, kas lielā mērā sasaucas ar šajā Izvērtējumā aplūkotajiem rādītājiem</w:t>
      </w:r>
      <w:r w:rsidR="00777B6F">
        <w:t xml:space="preserve"> (iedzīvotāju veselības pašnovērtējums, situācijas, kad iedzīvotāji nav apmeklējuši </w:t>
      </w:r>
      <w:r w:rsidR="00777B6F" w:rsidRPr="00777B6F">
        <w:t>veselības aprūpes speciālistu, lai gan bijusi nepieciešamība, finansiāla rakstura šķēršļu aktualitāte ārsta neapmeklēšanas gadījumā u.tml.)</w:t>
      </w:r>
      <w:r w:rsidRPr="00777B6F">
        <w:t xml:space="preserve">. </w:t>
      </w:r>
      <w:r w:rsidR="00777B6F" w:rsidRPr="00777B6F">
        <w:t>Vienlaikus jānorāda, ka salīdzinot ar iepriekšējo nozares politikas dokumentu – Sabiedrības veselības pamatnostādnēm 2011. – 2017.gadam</w:t>
      </w:r>
      <w:r w:rsidR="00777B6F" w:rsidRPr="00777B6F">
        <w:rPr>
          <w:rStyle w:val="FootnoteReference"/>
        </w:rPr>
        <w:footnoteReference w:id="154"/>
      </w:r>
      <w:r w:rsidR="00777B6F" w:rsidRPr="00777B6F">
        <w:t>, nevienlīdzības veselības aprūpes jomā sekas ir aplūkotas plašāk. Vēl p</w:t>
      </w:r>
      <w:r w:rsidRPr="00777B6F">
        <w:t>lašāks situācijas izvērtējums ir sniegts</w:t>
      </w:r>
      <w:r>
        <w:t xml:space="preserve"> </w:t>
      </w:r>
      <w:r w:rsidRPr="0017749C">
        <w:t>Latvijas Universitātes</w:t>
      </w:r>
      <w:r>
        <w:t xml:space="preserve"> izstrādātajā ziņojumā „I</w:t>
      </w:r>
      <w:r w:rsidRPr="0017749C">
        <w:t xml:space="preserve">zvērtējums Sabiedrības veselības </w:t>
      </w:r>
      <w:r>
        <w:t>pamatnostādņu 2014.–2020.</w:t>
      </w:r>
      <w:r w:rsidR="00DE1C08">
        <w:t xml:space="preserve"> </w:t>
      </w:r>
      <w:r>
        <w:t xml:space="preserve">gadam </w:t>
      </w:r>
      <w:r w:rsidRPr="0017749C">
        <w:t>izstrādei</w:t>
      </w:r>
      <w:r>
        <w:t>”</w:t>
      </w:r>
      <w:r>
        <w:rPr>
          <w:rStyle w:val="FootnoteReference"/>
        </w:rPr>
        <w:footnoteReference w:id="155"/>
      </w:r>
      <w:r>
        <w:t xml:space="preserve">. </w:t>
      </w:r>
    </w:p>
    <w:p w:rsidR="00777B6F" w:rsidRDefault="00777B6F" w:rsidP="00064C1E"/>
    <w:p w:rsidR="00D96BE4" w:rsidRDefault="00777B6F" w:rsidP="00064C1E">
      <w:r>
        <w:t>Sabiedrības veselības pamatnostādņu 2014. – 2020. gadam s</w:t>
      </w:r>
      <w:r w:rsidR="00D96BE4">
        <w:t>ituācijas analīzes secinošajā daļā tostarp ir atzīts, ka, pirmkārt, v</w:t>
      </w:r>
      <w:r w:rsidR="00D96BE4" w:rsidRPr="001B234B">
        <w:t>eselības rādītājiem ir nevienlīdzīgs sadalījums dažādās iedzīvotāju grupās: pēc dzīvesvietas</w:t>
      </w:r>
      <w:r w:rsidR="00D96BE4">
        <w:t>, ienākumiem, izglītības līmeņa, otrkārt, veselības aprūpes pakalpojumu pieejamība Latvijas iedzīvotājiem atšķiras, ko ietekmē gan finansiāli, gan ģeogrāfiski apstākļi, un, treškārt, ieslodzīto veselības aprūpes organizācija izraisa nevienlīdzīgu pieejamību veselības aprūpei. Tādējādi redzams, ka secinošajā daļā kā specifiska (īpaša) mērķa grupa ir minēta tikai ieslodzītās (pēc būtības – notiesātās) personas. Salīdzinājumam – šī Izvērtējuma kontekstā par nevienlīdzību veselības aprūpes jomā bija definētas vienpadsmit grupas, kas ietver konceptuālu mērķa grupas apzīmējumu, piemēram, pirmspensijas un pensijas vecuma cilvēki, daudzbērnu ģimenes, ilgstošie bezdarbnieki u.tml. (sk. metodoloģijas sadaļu). Arī daļa Izvērtējumā intervēto ekspertu atzīst, ka noteiktām mērķa grupām ir raksturīgas lielākas grūtības piekļūt veselības aprūpes pakalpojumiem, tāpēc būtu apskatāmas atsevišķi.</w:t>
      </w:r>
    </w:p>
    <w:p w:rsidR="00A96F1D" w:rsidRDefault="00A96F1D" w:rsidP="00064C1E"/>
    <w:p w:rsidR="00D96BE4" w:rsidRDefault="00D96BE4" w:rsidP="00922A20">
      <w:r>
        <w:t xml:space="preserve">Aplūkojot Sabiedrības veselības pamatnostādnēs </w:t>
      </w:r>
      <w:r w:rsidR="004A7001">
        <w:t xml:space="preserve">2014. – 2020. gadam </w:t>
      </w:r>
      <w:r>
        <w:t>definētos politikas apakšmērķus un to darbības rezultātus (t.sk. rezultatīvos rādītājus), šī Izvērtējuma kontekstā īpaši atzīmējami ir trīs no tiem. Tie ir šādi politikas definētie apakšmērķi:</w:t>
      </w:r>
    </w:p>
    <w:p w:rsidR="00D96BE4" w:rsidRDefault="00D96BE4" w:rsidP="003F469F">
      <w:pPr>
        <w:pStyle w:val="ListParagraph"/>
        <w:numPr>
          <w:ilvl w:val="0"/>
          <w:numId w:val="133"/>
        </w:numPr>
        <w:spacing w:line="276" w:lineRule="auto"/>
        <w:jc w:val="both"/>
      </w:pPr>
      <w:r w:rsidRPr="003C074B">
        <w:t xml:space="preserve">Novērst nevienlīdzību veselības jomā, veicot pasākumus, lai nodrošinātu Latvijas iedzīvotājiem vienādas iespējas veselības </w:t>
      </w:r>
      <w:r>
        <w:t>veicināšanā un veselības aprūpē, kas ietver p</w:t>
      </w:r>
      <w:r w:rsidRPr="003C074B">
        <w:t>olitikas rezultāt</w:t>
      </w:r>
      <w:r>
        <w:t>u</w:t>
      </w:r>
      <w:r w:rsidRPr="003C074B">
        <w:t xml:space="preserve"> </w:t>
      </w:r>
      <w:r>
        <w:t>„</w:t>
      </w:r>
      <w:r w:rsidRPr="003C074B">
        <w:t>Palielinājies jaundzimušo vidējais paredzamais mūža ilgums, mazinoties atšķirībām pa dzimumiem</w:t>
      </w:r>
      <w:r>
        <w:t>” un divus d</w:t>
      </w:r>
      <w:r w:rsidRPr="003C074B">
        <w:t>arbības rezultāt</w:t>
      </w:r>
      <w:r>
        <w:t>us</w:t>
      </w:r>
      <w:r w:rsidRPr="003C074B">
        <w:t xml:space="preserve"> </w:t>
      </w:r>
      <w:r>
        <w:t>„</w:t>
      </w:r>
      <w:r w:rsidRPr="003C074B">
        <w:t>Uzlabojas iedzīvotāju veselības pašvērtējums</w:t>
      </w:r>
      <w:r>
        <w:t>” un „</w:t>
      </w:r>
      <w:r w:rsidRPr="003C074B">
        <w:t>Iesaistītas pašvaldības veselības veicināšanā</w:t>
      </w:r>
      <w:r>
        <w:t>”.</w:t>
      </w:r>
    </w:p>
    <w:p w:rsidR="00D96BE4" w:rsidRDefault="00D96BE4" w:rsidP="003F469F">
      <w:pPr>
        <w:pStyle w:val="ListParagraph"/>
        <w:numPr>
          <w:ilvl w:val="0"/>
          <w:numId w:val="133"/>
        </w:numPr>
        <w:spacing w:line="276" w:lineRule="auto"/>
        <w:jc w:val="both"/>
      </w:pPr>
      <w:r>
        <w:t>N</w:t>
      </w:r>
      <w:r w:rsidRPr="0023051D">
        <w:t xml:space="preserve">odrošināt efektīvu veselības aprūpes sistēmas pārvaldi un racionālu resursu izmantošanu, lai sekmētu veselības aprūpes sistēmas darbības ilgtspējību un visiem Latvijas iedzīvotājiem vienlīdzīgu pieeju kvalitatīviem veselības aprūpes pakalpojumiem, kas tiek apmaksāti no </w:t>
      </w:r>
      <w:r w:rsidRPr="00353284">
        <w:t>valsts budžeta līdzekļiem</w:t>
      </w:r>
      <w:r w:rsidR="00353284" w:rsidRPr="00353284">
        <w:t>, kas ietver divus politikas rezultātus „Sabalansēta publiskā un privātā finansējuma proporcija veselības nozarei</w:t>
      </w:r>
      <w:r w:rsidR="00353284">
        <w:t>” un „</w:t>
      </w:r>
      <w:r w:rsidR="00353284" w:rsidRPr="00353284">
        <w:t xml:space="preserve">Stiprināta farmaceitiskās aprūpes loma </w:t>
      </w:r>
      <w:r w:rsidR="00353284" w:rsidRPr="00353284">
        <w:lastRenderedPageBreak/>
        <w:t>primārajā veselības aprūpē un uzlabota klīniskā farmaceita konsultāciju pieejamība</w:t>
      </w:r>
      <w:r w:rsidR="00353284">
        <w:t>” un četri darbības rezultāti, no kuriem šī Izvērtējuma kontekstā minami trīs – „</w:t>
      </w:r>
      <w:r w:rsidR="00353284" w:rsidRPr="00353284">
        <w:t>Uzlabota veselības aprūpes pakalpojumu pieejamība</w:t>
      </w:r>
      <w:r w:rsidR="00353284">
        <w:t>”, „</w:t>
      </w:r>
      <w:r w:rsidR="00353284" w:rsidRPr="00353284">
        <w:t>Uzlabota veselības aprūpes efektivitāte</w:t>
      </w:r>
      <w:r w:rsidR="00353284">
        <w:t>” un „</w:t>
      </w:r>
      <w:r w:rsidR="00353284" w:rsidRPr="00353284">
        <w:t>Veicināta droša un racionāla zāļu lietošana</w:t>
      </w:r>
      <w:r w:rsidR="00353284">
        <w:t>”.</w:t>
      </w:r>
    </w:p>
    <w:p w:rsidR="00D96BE4" w:rsidRDefault="00B21C65" w:rsidP="003F469F">
      <w:pPr>
        <w:pStyle w:val="ListParagraph"/>
        <w:numPr>
          <w:ilvl w:val="0"/>
          <w:numId w:val="133"/>
        </w:numPr>
        <w:spacing w:line="276" w:lineRule="auto"/>
        <w:jc w:val="both"/>
      </w:pPr>
      <w:r>
        <w:t>„</w:t>
      </w:r>
      <w:r w:rsidR="00D96BE4" w:rsidRPr="00023207">
        <w:t>Sabalansēta publiskā un privātā finansējuma proporcija veselības nozarei</w:t>
      </w:r>
      <w:r>
        <w:t>”</w:t>
      </w:r>
      <w:r w:rsidR="00D96BE4" w:rsidRPr="00023207">
        <w:t xml:space="preserve">, kas ietver virkni darbības rezultātu, t.sk. „Uzlabota veselības aprūpes pakalpojumu pieejamība” (tās rezultatīvie rādītāji ir, piemēram, valsts apmaksāto ambulatoro apmeklējumu īpatsvars no kopējā ambulatoro apmeklējumu skaita, (%); ambulatorajai ārstēšanai paredzēto zāļu un medicīnisko ierīču iegādes izdevumu kompensācijai piešķirtais finansējums no kopējiem nozares izdevumiem (%); iedzīvotāju īpatsvars, kuriem ir tiesības saņemt valsts apmaksātu neatliekamo medicīnisko palīdzību, (%); neatliekamās medicīniskās palīdzības sniegšanas ātruma rādītāji). </w:t>
      </w:r>
    </w:p>
    <w:p w:rsidR="00D96BE4" w:rsidRDefault="00D96BE4" w:rsidP="00922A20"/>
    <w:p w:rsidR="006C76D4" w:rsidRDefault="00567424" w:rsidP="00567424">
      <w:r w:rsidRPr="000C3444">
        <w:t xml:space="preserve">Izvērsti aplūkojot Sabiedrības veselības pamatnostādnēs definētos politikas mērķus, politikas rezultātus, darbības rezultātus un rezultatīvos rādītājus (izvēlētos indikatorus), redzams, ka nevienlīdzības jautājums ir viens no politikas definētajiem apakšmērķiem, kura rezultatīvo rādītāju starpā tomēr nav minēta atšķirību mazināšana dažādu iedzīvotāju ienākumu apakšgrupu starpā, lai gan politikas darbības rezultātu indikatori šādu iespēju pieļauj. </w:t>
      </w:r>
      <w:r>
        <w:t>Citu jomu rezultatīvie rādītāji bieži ietver tehniska rakstura informāciju (</w:t>
      </w:r>
      <w:r w:rsidR="00E2798B">
        <w:t xml:space="preserve">piemēram, </w:t>
      </w:r>
      <w:r>
        <w:t>pašvaldību un skolu īpatsvars, kuras iesaistītas noteiktos pasākumos, apkalpoto neatliekamo izsaukumu īpatsvars noteiktā laika vienībā u.tml.), taču neskar (nemaina) galvenos nevienlīdzību raksturojošos apstākļus pēc būtības, piemēram, rezultatīvie rādītāji neietver tādus komponentus kā samazināts iedzīvotāju skaits, kas nevar apmeklēt ārstu finanšu ierobežojumu dēļ u.tml.</w:t>
      </w:r>
      <w:r w:rsidR="00E2798B">
        <w:t xml:space="preserve"> Tādējādi secināms, ka c</w:t>
      </w:r>
      <w:r w:rsidRPr="000C3444">
        <w:t>itu politikas apakšmērķu vidū</w:t>
      </w:r>
      <w:r w:rsidR="006C76D4">
        <w:t>, kas definēti Sabiedrības veselības pamatnostādnēs 2014. – 2020. gadam,</w:t>
      </w:r>
      <w:r w:rsidRPr="000C3444">
        <w:t xml:space="preserve"> nevienlīdzība kā analizējamais aspekts nav </w:t>
      </w:r>
      <w:r w:rsidR="006C76D4">
        <w:t>uzsvērta (parādīta).</w:t>
      </w:r>
      <w:r>
        <w:t xml:space="preserve"> </w:t>
      </w:r>
    </w:p>
    <w:p w:rsidR="006C76D4" w:rsidRDefault="006C76D4" w:rsidP="00567424"/>
    <w:p w:rsidR="006C76D4" w:rsidRDefault="006C76D4" w:rsidP="00567424">
      <w:r>
        <w:t>Zemākas hierarhijas politikas plānošanas dokumentu analīzes rezultāti rāda, ka nevienlīdzība veselības aprūpē tiek cieši saistīta ar finanšu resursu trūkumu un tā rezultātā esošām rindām uz valsts apmaksātiem veselības aprūpes pakalpojumiem. Šī sasaiste parādās visos informatīvajos ziņojumos, kas veltīta veselības aprūpes sistēmas reformai un informatīvajos ziņojumos par veselības aprūpes pakalpojumu pieejamības uzlabošanu.</w:t>
      </w:r>
      <w:r w:rsidRPr="006C76D4">
        <w:t xml:space="preserve"> </w:t>
      </w:r>
      <w:r>
        <w:t xml:space="preserve">Būtībā šajos dokumentos iekļautā informācija rada priekšstatu, ka </w:t>
      </w:r>
      <w:r w:rsidR="00110BDF">
        <w:t xml:space="preserve">papildus finansējuma piesaistīšana konsultācijām, izmeklējumiem, ārstēšanai dienas stacionāros un rehabilitācijas pakalpojumiem ir galvenais instruments nevienlīdzības mazināšanai veselības aprūpē un ka nepastāv citu nozīmīgu šķēršļu veselības aprūpes pieejamībā dažādām sabiedrības grupām. </w:t>
      </w:r>
      <w:r>
        <w:t>Šo ziņojumu ietvaros specifisku mērķa grupu vajadzības un nevienlīdzības riskam visvairāk pakļ</w:t>
      </w:r>
      <w:r w:rsidR="00C548CE">
        <w:t>autās grupas tiek apzinātas fra</w:t>
      </w:r>
      <w:r>
        <w:t xml:space="preserve">gmentāri (drīzāk kā izņēmuma situācijas). Tādējādi ir pamats secinājumam, ka </w:t>
      </w:r>
      <w:r w:rsidR="00110BDF">
        <w:t>kopumā nevienlīdzības mazināšana veselības aprūpē tiek skatīta šaurāk, nekā starptautisko organizāciju dokumentos. Tā kā informatīvie ziņojumi rāda, ka veselības nozarei raksturīga koncentrēšanās uz finansējuma piesaisti bez pietiekama tās izlietojuma lietderīguma izvērtējuma (sk. turpinājumā nākamo apakšnodaļu), ir pamats šaubām, vai nevienlīdzības mazināšana tiek veikta pietiekami pārdomāti un sistemātiski.</w:t>
      </w:r>
    </w:p>
    <w:p w:rsidR="006C76D4" w:rsidRDefault="006C76D4" w:rsidP="00567424"/>
    <w:p w:rsidR="003E4C61" w:rsidRDefault="000A7C16" w:rsidP="00922A20">
      <w:r w:rsidRPr="00DD1AA1">
        <w:t xml:space="preserve">Neskatoties uz specifisku mērķa grupu, kuras pakļautas lielākam nevienlīdzības riskam veselības aprūpes jomā, definējuma </w:t>
      </w:r>
      <w:r w:rsidR="003A4CD2">
        <w:t>ierobežojumiem</w:t>
      </w:r>
      <w:r w:rsidRPr="00DD1AA1">
        <w:t xml:space="preserve"> Sabiedrības veselības pamatnostādnēs</w:t>
      </w:r>
      <w:r w:rsidR="004A7001" w:rsidRPr="00DD1AA1">
        <w:t xml:space="preserve"> 2014. – 2020. </w:t>
      </w:r>
      <w:r w:rsidR="004A7001" w:rsidRPr="00DD1AA1">
        <w:lastRenderedPageBreak/>
        <w:t>gadam</w:t>
      </w:r>
      <w:r w:rsidRPr="00DD1AA1">
        <w:t>, tādas</w:t>
      </w:r>
      <w:r w:rsidR="00DD1AA1" w:rsidRPr="00DD1AA1">
        <w:t xml:space="preserve"> </w:t>
      </w:r>
      <w:r w:rsidR="002B46D0">
        <w:t>tiek uzskaitītas</w:t>
      </w:r>
      <w:r w:rsidRPr="00DD1AA1">
        <w:t xml:space="preserve"> </w:t>
      </w:r>
      <w:r w:rsidR="00DD1AA1" w:rsidRPr="00DD1AA1">
        <w:t>jaunākajos tiesību aktos un fragmentāri – arī jaunākos zemākas hierarhijas politikas dokumentos</w:t>
      </w:r>
      <w:r w:rsidR="00DD1AA1">
        <w:t xml:space="preserve"> saistībā ar konkrētu jomu problēmu izklāstu (piemēram, Informatīvajā ziņojumā „Par veselības reformas pasākumu īstenošanu 2019.gadā” tiek norādīts, ka garīgo (psihisko) </w:t>
      </w:r>
      <w:r w:rsidR="00106E6F">
        <w:t>saslimšanu riska grupā ietilpst ģ</w:t>
      </w:r>
      <w:r w:rsidR="00106E6F" w:rsidRPr="00106E6F">
        <w:t xml:space="preserve">imenes ar maziem bērniem, vientuļie vecāki, sociālās atstumtības riskam pakļautās personas </w:t>
      </w:r>
      <w:r w:rsidR="00106E6F">
        <w:t>(</w:t>
      </w:r>
      <w:r w:rsidR="001667E5" w:rsidRPr="00A3751F">
        <w:rPr>
          <w:rFonts w:eastAsia="Times New Roman"/>
        </w:rPr>
        <w:t>bezpajumtnieki, ilgstoši bezdarbnieki, trūcīgie</w:t>
      </w:r>
      <w:r w:rsidR="00106E6F">
        <w:t>)</w:t>
      </w:r>
      <w:r w:rsidR="001667E5">
        <w:rPr>
          <w:rStyle w:val="FootnoteReference"/>
        </w:rPr>
        <w:footnoteReference w:id="156"/>
      </w:r>
      <w:r w:rsidR="00DD1AA1">
        <w:t>)</w:t>
      </w:r>
      <w:r w:rsidR="00DD1AA1" w:rsidRPr="00DD1AA1">
        <w:t>.</w:t>
      </w:r>
    </w:p>
    <w:p w:rsidR="003E4C61" w:rsidRDefault="003E4C61" w:rsidP="00922A20"/>
    <w:p w:rsidR="00773C09" w:rsidRPr="002B46D0" w:rsidRDefault="002B46D0" w:rsidP="00773C09">
      <w:r w:rsidRPr="002B46D0">
        <w:t xml:space="preserve">Aplūkojot mērķa grupu, kuras pakļautas lielākam nevienlīdzības riskam veselības jomā, uzskatījumu tiesību aktos, redzams, ka viens no </w:t>
      </w:r>
      <w:r w:rsidR="00834B9D">
        <w:t>plašākajiem sarakstiem</w:t>
      </w:r>
      <w:r w:rsidRPr="002B46D0">
        <w:t xml:space="preserve"> ir atrodams </w:t>
      </w:r>
      <w:r w:rsidR="00773C09" w:rsidRPr="002B46D0">
        <w:t>Vesel</w:t>
      </w:r>
      <w:r w:rsidRPr="002B46D0">
        <w:t>ības aprūpes finansēšanas likumā</w:t>
      </w:r>
      <w:r w:rsidR="00773C09" w:rsidRPr="002B46D0">
        <w:t xml:space="preserve">, </w:t>
      </w:r>
      <w:r w:rsidRPr="002B46D0">
        <w:t>kura</w:t>
      </w:r>
      <w:r w:rsidR="00773C09" w:rsidRPr="002B46D0">
        <w:t xml:space="preserve"> 6. panta 2. daļa nosauc 19 iedzīvotāju grupas, kuras ir atbrīvotas no pacientu līdzmaksājumiem.</w:t>
      </w:r>
      <w:r w:rsidRPr="002B46D0">
        <w:t xml:space="preserve"> Vienlaikus Veselības aprūpes finansēšanas likums tika plaši kritizēts par </w:t>
      </w:r>
      <w:r w:rsidRPr="000A124A">
        <w:t xml:space="preserve">veselības aprūpes pakalpojumu iedalījumu divos </w:t>
      </w:r>
      <w:r w:rsidR="00D31D30">
        <w:t>„</w:t>
      </w:r>
      <w:r w:rsidRPr="000A124A">
        <w:t>grozos</w:t>
      </w:r>
      <w:r w:rsidR="00D31D30">
        <w:t>”</w:t>
      </w:r>
      <w:r w:rsidRPr="000A124A">
        <w:t xml:space="preserve"> un tādu iedzīvotāju grupu, kas nev</w:t>
      </w:r>
      <w:r w:rsidR="00C548CE">
        <w:t>ei</w:t>
      </w:r>
      <w:r w:rsidRPr="000A124A">
        <w:t>c VSAOI maksājumu, izslēgšanas no iespējas</w:t>
      </w:r>
      <w:r w:rsidR="00773C09" w:rsidRPr="000A124A">
        <w:t xml:space="preserve"> </w:t>
      </w:r>
      <w:r w:rsidRPr="000A124A">
        <w:t xml:space="preserve">saņemt pilnu pakalpojumu klāstu, tāpēc </w:t>
      </w:r>
      <w:r w:rsidR="000A124A" w:rsidRPr="000A124A">
        <w:t>tā stāšanās spēkā ir atlikta</w:t>
      </w:r>
      <w:r w:rsidR="000A124A" w:rsidRPr="000A124A">
        <w:rPr>
          <w:rStyle w:val="FootnoteReference"/>
        </w:rPr>
        <w:footnoteReference w:id="157"/>
      </w:r>
      <w:r w:rsidR="000A124A" w:rsidRPr="000A124A">
        <w:t>.</w:t>
      </w:r>
    </w:p>
    <w:p w:rsidR="00773C09" w:rsidRDefault="00773C09" w:rsidP="00922A20"/>
    <w:p w:rsidR="000A7C16" w:rsidRPr="003A3920" w:rsidRDefault="003E4C61" w:rsidP="00922A20">
      <w:r w:rsidRPr="003E4C61">
        <w:t xml:space="preserve">Tāpat specifiskas mērķa grupas, kuras pakļautas lielākam nevienlīdzības riskam veselības jomā, ir noteiktas tiesību aktos, </w:t>
      </w:r>
      <w:r w:rsidR="000A7C16" w:rsidRPr="003E4C61">
        <w:t>kas regulē ES fondu finansējumu ieguldījumu</w:t>
      </w:r>
      <w:r w:rsidR="000A7C16" w:rsidRPr="00C92927">
        <w:t xml:space="preserve"> sabiedrības veselības jomā. 2016. gada 17. maija MK noteikumos Nr. 310 „Darbības programmas „Izaugsme un nodarbinātība” 9.2.4. specifiskā atbalsta mērķa „Uzlabot pieejamību veselības veicināšanas un slimību profilakses pakalpojumiem, jo īpaši nabadzības un sociālās atstumtības riskam pakļautajiem iedzīvotājiem” 9.2.4.1. pasākuma „Kompleksi veselības veicināšanas un slimību profilakses pasākumi” un 9.2.4.2. pasākuma „Pasākumi vietējās sabiedrības veselības veicināšanai un slimību profilaksei” īstenošanas noteikumi”</w:t>
      </w:r>
      <w:r w:rsidR="000A7C16" w:rsidRPr="00C92927">
        <w:rPr>
          <w:rStyle w:val="FootnoteReference"/>
        </w:rPr>
        <w:footnoteReference w:id="158"/>
      </w:r>
      <w:r w:rsidR="000A7C16">
        <w:t xml:space="preserve">. Šie noteikumi kopumā veido nosacījumus, kādā veidā īstenojami veselības veicināšanas </w:t>
      </w:r>
      <w:r w:rsidR="00353284" w:rsidRPr="00353284">
        <w:t>un slimību profilakses pasākumi nacionālā līmenī un</w:t>
      </w:r>
      <w:r w:rsidR="000A7C16">
        <w:t xml:space="preserve"> pašvaldībās, lai mazinātu nevienlīdzību, un to 5. punktā ir uzsvērts, ka </w:t>
      </w:r>
      <w:r w:rsidR="000A7C16" w:rsidRPr="00C92927">
        <w:rPr>
          <w:i/>
        </w:rPr>
        <w:t>„</w:t>
      </w:r>
      <w:r w:rsidR="00353284">
        <w:rPr>
          <w:i/>
        </w:rPr>
        <w:t xml:space="preserve">specifiskā </w:t>
      </w:r>
      <w:r w:rsidR="000A7C16" w:rsidRPr="00C92927">
        <w:rPr>
          <w:i/>
        </w:rPr>
        <w:t>atbalsta mērķis ir uzlabot pieejamību veselības veicināšanas un slimību profilakses pakalpojumiem visiem Latvijas iedzīvotājiem, jo īpaši teritoriālās, nabadzības un sociālās atstumtības riskam pakļautajiem iedzīvotājiem”</w:t>
      </w:r>
      <w:r w:rsidR="000A7C16" w:rsidRPr="00230659">
        <w:t>.</w:t>
      </w:r>
      <w:r w:rsidR="000A7C16">
        <w:t xml:space="preserve"> Balstoties uz šiem noteikumiem, šobrīd </w:t>
      </w:r>
      <w:r w:rsidR="00353284">
        <w:t xml:space="preserve">VM rīko nacionāla un </w:t>
      </w:r>
      <w:r w:rsidR="000A7C16">
        <w:t xml:space="preserve">SPKC un Latvijas pašvaldības </w:t>
      </w:r>
      <w:r w:rsidR="004A7001">
        <w:t xml:space="preserve">(atbilstoši likumā „Par pašvaldībām” definētajām pašvaldību autonomajām funkcijām) </w:t>
      </w:r>
      <w:r w:rsidR="000A7C16">
        <w:t xml:space="preserve">rīko attiecīgi vietēja mēroga </w:t>
      </w:r>
      <w:r w:rsidR="000A7C16" w:rsidRPr="003A3920">
        <w:t xml:space="preserve">pasākumus veselības veicināšanas </w:t>
      </w:r>
      <w:r w:rsidR="00353284">
        <w:t xml:space="preserve">un slimību profilakses </w:t>
      </w:r>
      <w:r w:rsidR="000A7C16" w:rsidRPr="003A3920">
        <w:t xml:space="preserve">jomā. Noteikumu 8. punktā ir nosauktas teritoriālās, sociālās atstumtības un nabadzības riskam pakļautās iedzīvotāju grupas, kuras tiek uzskatītas </w:t>
      </w:r>
      <w:r w:rsidR="00DB0146">
        <w:t xml:space="preserve">par </w:t>
      </w:r>
      <w:r w:rsidR="000A7C16" w:rsidRPr="003A3920">
        <w:t>šo pasākumu mērķa auditoriju. Tās ir</w:t>
      </w:r>
      <w:r w:rsidR="000A7C16">
        <w:t>:</w:t>
      </w:r>
      <w:r w:rsidR="000A7C16" w:rsidRPr="003A3920">
        <w:t xml:space="preserve"> </w:t>
      </w:r>
    </w:p>
    <w:p w:rsidR="000A7C16" w:rsidRPr="003A3920" w:rsidRDefault="000A7C16" w:rsidP="003F469F">
      <w:pPr>
        <w:pStyle w:val="ListParagraph"/>
        <w:numPr>
          <w:ilvl w:val="0"/>
          <w:numId w:val="134"/>
        </w:numPr>
        <w:spacing w:line="276" w:lineRule="auto"/>
        <w:jc w:val="both"/>
      </w:pPr>
      <w:r w:rsidRPr="003A3920">
        <w:t>iedzīvotāji, kuri dzīvo teritorijā ārpus pilsētām ar iedzīvotāju blīvumu zem 50 iedzīvotājiem uz kvadrātkilometru;</w:t>
      </w:r>
    </w:p>
    <w:p w:rsidR="000A7C16" w:rsidRPr="003A3920" w:rsidRDefault="000A7C16" w:rsidP="003F469F">
      <w:pPr>
        <w:pStyle w:val="ListParagraph"/>
        <w:numPr>
          <w:ilvl w:val="0"/>
          <w:numId w:val="134"/>
        </w:numPr>
        <w:spacing w:line="276" w:lineRule="auto"/>
        <w:jc w:val="both"/>
      </w:pPr>
      <w:r w:rsidRPr="003A3920">
        <w:t>trūcīgie un maznodrošinātie iedzīvotāji;</w:t>
      </w:r>
    </w:p>
    <w:p w:rsidR="000A7C16" w:rsidRPr="003A3920" w:rsidRDefault="000A7C16" w:rsidP="003F469F">
      <w:pPr>
        <w:pStyle w:val="ListParagraph"/>
        <w:numPr>
          <w:ilvl w:val="0"/>
          <w:numId w:val="134"/>
        </w:numPr>
        <w:spacing w:line="276" w:lineRule="auto"/>
        <w:jc w:val="both"/>
      </w:pPr>
      <w:r w:rsidRPr="003A3920">
        <w:t>bezdarbnieki;</w:t>
      </w:r>
    </w:p>
    <w:p w:rsidR="000A7C16" w:rsidRPr="003A3920" w:rsidRDefault="000A7C16" w:rsidP="003F469F">
      <w:pPr>
        <w:pStyle w:val="ListParagraph"/>
        <w:numPr>
          <w:ilvl w:val="0"/>
          <w:numId w:val="134"/>
        </w:numPr>
        <w:spacing w:line="276" w:lineRule="auto"/>
        <w:jc w:val="both"/>
      </w:pPr>
      <w:r w:rsidRPr="003A3920">
        <w:t>personas ar invaliditāti;</w:t>
      </w:r>
    </w:p>
    <w:p w:rsidR="000A7C16" w:rsidRPr="003A3920" w:rsidRDefault="000A7C16" w:rsidP="003F469F">
      <w:pPr>
        <w:pStyle w:val="ListParagraph"/>
        <w:numPr>
          <w:ilvl w:val="0"/>
          <w:numId w:val="134"/>
        </w:numPr>
        <w:spacing w:line="276" w:lineRule="auto"/>
        <w:jc w:val="both"/>
      </w:pPr>
      <w:r w:rsidRPr="003A3920">
        <w:lastRenderedPageBreak/>
        <w:t>iedzīvotāji, kas vecāki par 54 gadiem;</w:t>
      </w:r>
    </w:p>
    <w:p w:rsidR="000A7C16" w:rsidRPr="003A3920" w:rsidRDefault="000A7C16" w:rsidP="003F469F">
      <w:pPr>
        <w:pStyle w:val="ListParagraph"/>
        <w:numPr>
          <w:ilvl w:val="0"/>
          <w:numId w:val="134"/>
        </w:numPr>
        <w:spacing w:line="276" w:lineRule="auto"/>
        <w:jc w:val="both"/>
      </w:pPr>
      <w:r w:rsidRPr="003A3920">
        <w:t>bērni;</w:t>
      </w:r>
    </w:p>
    <w:p w:rsidR="000A7C16" w:rsidRDefault="000A7C16" w:rsidP="003F469F">
      <w:pPr>
        <w:pStyle w:val="ListParagraph"/>
        <w:numPr>
          <w:ilvl w:val="0"/>
          <w:numId w:val="134"/>
        </w:numPr>
        <w:spacing w:line="276" w:lineRule="auto"/>
        <w:jc w:val="both"/>
      </w:pPr>
      <w:r w:rsidRPr="003A3920">
        <w:t>pārējās riskam pakļautās iedzīvotāju grupas.</w:t>
      </w:r>
    </w:p>
    <w:p w:rsidR="00E27DB6" w:rsidRDefault="00E27DB6" w:rsidP="00922A20"/>
    <w:p w:rsidR="000A7C16" w:rsidRDefault="000A7C16" w:rsidP="00922A20">
      <w:r>
        <w:t>Savukārt MK</w:t>
      </w:r>
      <w:r w:rsidR="00CA14AF">
        <w:t xml:space="preserve"> noteikumu</w:t>
      </w:r>
      <w:r>
        <w:t xml:space="preserve"> </w:t>
      </w:r>
      <w:r w:rsidR="00CA14AF" w:rsidRPr="00C92927">
        <w:t xml:space="preserve">Nr. 310 </w:t>
      </w:r>
      <w:r w:rsidR="00CA14AF">
        <w:t>(17.05.2016.)</w:t>
      </w:r>
      <w:r>
        <w:t xml:space="preserve"> </w:t>
      </w:r>
      <w:r w:rsidRPr="004A314D">
        <w:t xml:space="preserve">22. </w:t>
      </w:r>
      <w:r>
        <w:t xml:space="preserve">un </w:t>
      </w:r>
      <w:r w:rsidRPr="004A314D">
        <w:t xml:space="preserve">34. </w:t>
      </w:r>
      <w:r>
        <w:t xml:space="preserve">punkts nosaka, ka </w:t>
      </w:r>
      <w:r w:rsidR="002B46D0">
        <w:t xml:space="preserve">minētās iedzīvotāju grupas </w:t>
      </w:r>
      <w:r w:rsidRPr="004A314D">
        <w:t>ir atbalstāmas šād</w:t>
      </w:r>
      <w:r w:rsidR="002B46D0">
        <w:t>ā</w:t>
      </w:r>
      <w:r w:rsidRPr="004A314D">
        <w:t>s darbības prioritārajās veselības jomās – sirds un asinsvadu slimības, onkoloģiskās slimības, bērnu (sākot no perinatālā un neonatālā perioda) veselība un</w:t>
      </w:r>
      <w:r>
        <w:t xml:space="preserve"> psihiskā veselība.</w:t>
      </w:r>
    </w:p>
    <w:p w:rsidR="003E4C61" w:rsidRDefault="003E4C61" w:rsidP="00922A20"/>
    <w:p w:rsidR="003E4C61" w:rsidRDefault="000A124A" w:rsidP="00C77FBF">
      <w:r w:rsidRPr="00C77FBF">
        <w:t>Apkopojot nodaļā aplūkoto informāciju, redzams, ka sabiedrības veselības rādītāji un pakalpojumu pieejamība Latvijā tiek pamatā skatīta vispārīgi, analīzi balstot uz noteiktu saslimšanu veidu un diagnožu izplatības analīzi, savukārt iztrūkst noteiktu iedzīvotāju grupu, kas pakļauti augstākam nabadzības un sociālā atstumtības riskam, situācijas un vajadzību salīdzinājums ar vidējo situāciju valstī. Ieskats nevienlīdzības aspektos tiek sniegts pamatā atrauti no sabiedrības veselības jomu analīzes</w:t>
      </w:r>
      <w:r w:rsidR="00834B9D">
        <w:t xml:space="preserve"> – tā tiek atzīta kā fakts, parasti šo jautājumu saistot ar nepietiekamu publisko finansējumu veselības aprūpei. Tomēr par integratīvu jautājuma atspoguļojuma trūkumu vēstī, piemēram, fakts, ka</w:t>
      </w:r>
      <w:r w:rsidRPr="00C77FBF">
        <w:t xml:space="preserve"> iedzīvotāju ar zemiem ienākumiem situācija un neveselīga dzīvesveida paradumi netiek integrēti sirds un asinsvadu vai onkoloģisko saslimšanu izplatības analīzē</w:t>
      </w:r>
      <w:r w:rsidR="00834B9D">
        <w:t xml:space="preserve"> u.tml</w:t>
      </w:r>
      <w:r w:rsidRPr="00C77FBF">
        <w:t>.</w:t>
      </w:r>
      <w:r w:rsidR="00C77FBF" w:rsidRPr="00C77FBF">
        <w:t xml:space="preserve"> </w:t>
      </w:r>
      <w:r w:rsidR="00247FF9" w:rsidRPr="00C77FBF">
        <w:t xml:space="preserve">Šāda, </w:t>
      </w:r>
      <w:r w:rsidR="00C77FBF" w:rsidRPr="00C77FBF">
        <w:t xml:space="preserve">pamatā </w:t>
      </w:r>
      <w:r w:rsidR="00247FF9" w:rsidRPr="00C77FBF">
        <w:t xml:space="preserve">uz diagnozēm balstīta </w:t>
      </w:r>
      <w:r w:rsidR="00C77FBF" w:rsidRPr="00C77FBF">
        <w:t xml:space="preserve">analīzes </w:t>
      </w:r>
      <w:r w:rsidR="00247FF9" w:rsidRPr="00C77FBF">
        <w:t xml:space="preserve">pieeja </w:t>
      </w:r>
      <w:r w:rsidR="00C77FBF" w:rsidRPr="00C77FBF">
        <w:t>rada</w:t>
      </w:r>
      <w:r w:rsidR="00247FF9" w:rsidRPr="00C77FBF">
        <w:t xml:space="preserve"> risk</w:t>
      </w:r>
      <w:r w:rsidR="00C77FBF" w:rsidRPr="00C77FBF">
        <w:t>u</w:t>
      </w:r>
      <w:r w:rsidR="00247FF9" w:rsidRPr="00C77FBF">
        <w:t xml:space="preserve">, </w:t>
      </w:r>
      <w:r w:rsidR="00C77FBF" w:rsidRPr="00C77FBF">
        <w:t>politikas plānošanā netiek savlaicīgi apzināta problēma</w:t>
      </w:r>
      <w:r w:rsidR="00247FF9" w:rsidRPr="00C77FBF">
        <w:t xml:space="preserve">, ka noteiktās iedzīvotāju grupās </w:t>
      </w:r>
      <w:r w:rsidR="00C77FBF" w:rsidRPr="00C77FBF">
        <w:t>veselības aprūpes pieejamība</w:t>
      </w:r>
      <w:r w:rsidR="00834B9D">
        <w:t>, kuras paaugstināšana ir viens no nozīmīgākajiem politikas mērķiem Latvijā,</w:t>
      </w:r>
      <w:r w:rsidR="00C77FBF" w:rsidRPr="00C77FBF">
        <w:t xml:space="preserve"> </w:t>
      </w:r>
      <w:r w:rsidR="00247FF9" w:rsidRPr="00C77FBF">
        <w:t>ir būtiski zemāka, t.i., pakalpojumi neaizsniedz iedzīvotājus</w:t>
      </w:r>
      <w:r w:rsidR="00C77FBF" w:rsidRPr="00C77FBF">
        <w:t xml:space="preserve"> būtiski lielākā mērā</w:t>
      </w:r>
      <w:r w:rsidR="00247FF9" w:rsidRPr="00C77FBF">
        <w:t>, nekā raugoties vispārīgi.</w:t>
      </w:r>
    </w:p>
    <w:p w:rsidR="003E4C61" w:rsidRPr="00D3739C" w:rsidRDefault="003E4C61" w:rsidP="00C33A64">
      <w:pPr>
        <w:pStyle w:val="virsrakstslvl4"/>
      </w:pPr>
      <w:bookmarkStart w:id="481" w:name="_Toc6841588"/>
      <w:r>
        <w:t>Nozares dokumentos aktualizētās veselības aprūpes pieejamības problēmas</w:t>
      </w:r>
      <w:bookmarkEnd w:id="481"/>
    </w:p>
    <w:p w:rsidR="003E4C61" w:rsidRDefault="00F92562" w:rsidP="00922A20">
      <w:r>
        <w:t xml:space="preserve">Lai gan Sabiedrības veselības pamatnostādnes </w:t>
      </w:r>
      <w:r w:rsidRPr="007221E5">
        <w:t>2014. – 2020.</w:t>
      </w:r>
      <w:r>
        <w:t xml:space="preserve"> g</w:t>
      </w:r>
      <w:r w:rsidRPr="007221E5">
        <w:t>adam</w:t>
      </w:r>
      <w:r>
        <w:t xml:space="preserve"> ir galvenais dokuments, kurā definētas vispārējās sabiedrības veselības un veselības aprūpes nozares problēmas, nozīmīgu informāciju šo problēmu aktualitātes izmaiņā laika gaitā un to risināšanas progresā sniedz 2.2.1. nodaļā minētie informatīvie ziņojumi, kā arī citi konceptuālie politikas dokumenti. </w:t>
      </w:r>
      <w:r w:rsidR="000E1450">
        <w:t>B</w:t>
      </w:r>
      <w:r>
        <w:t>ūtiskākie dokumenti, kas rakstur</w:t>
      </w:r>
      <w:r w:rsidR="000A4BF7">
        <w:t>o situācijas attīstību veselības aprūpē</w:t>
      </w:r>
      <w:r w:rsidR="000E1450">
        <w:t xml:space="preserve"> pēdējo gadu laikā</w:t>
      </w:r>
      <w:r w:rsidR="000A4BF7">
        <w:t>, ir i</w:t>
      </w:r>
      <w:r w:rsidR="000A4BF7" w:rsidRPr="000A4BF7">
        <w:t>nformatīv</w:t>
      </w:r>
      <w:r w:rsidR="000A4BF7">
        <w:t>ie</w:t>
      </w:r>
      <w:r w:rsidR="000A4BF7" w:rsidRPr="000A4BF7">
        <w:t xml:space="preserve"> ziņojum</w:t>
      </w:r>
      <w:r w:rsidR="000A4BF7">
        <w:t>i</w:t>
      </w:r>
      <w:r w:rsidR="000A4BF7" w:rsidRPr="000A4BF7">
        <w:t xml:space="preserve"> </w:t>
      </w:r>
      <w:r w:rsidR="000A4BF7">
        <w:t>p</w:t>
      </w:r>
      <w:r w:rsidR="000A4BF7" w:rsidRPr="000A4BF7">
        <w:t>ar veselības reformas pasākumu īstenošanu</w:t>
      </w:r>
      <w:r w:rsidR="000E1450">
        <w:t xml:space="preserve"> atbilstoši konceptuālajam ziņojumam „Par veselības aprūpes sistēmas reformu”</w:t>
      </w:r>
      <w:r w:rsidR="00120110">
        <w:rPr>
          <w:rStyle w:val="FootnoteReference"/>
        </w:rPr>
        <w:footnoteReference w:id="159"/>
      </w:r>
      <w:r w:rsidR="000E1450">
        <w:t xml:space="preserve"> un </w:t>
      </w:r>
      <w:r w:rsidR="00D4287C">
        <w:t xml:space="preserve">secīgos katra gada </w:t>
      </w:r>
      <w:r w:rsidR="000E1450">
        <w:t>valsts budžeta likum</w:t>
      </w:r>
      <w:r w:rsidR="00D4287C">
        <w:t>os</w:t>
      </w:r>
      <w:r w:rsidR="000E1450">
        <w:t xml:space="preserve"> noteiktajam, ka finansējums tiek piešķirts pēc tam, kad attiecīgais informatīvais ziņojums ir apstiprināts Ministru kabinetā</w:t>
      </w:r>
      <w:r w:rsidR="000E1450" w:rsidRPr="000E1450">
        <w:t>.</w:t>
      </w:r>
      <w:r w:rsidR="00582C08">
        <w:t xml:space="preserve"> Savukārt veselības aprūpes pakalpojumu pieejamības paaugstināšanai īstenotā rīcība līdz 2017. gadam tiek raksturota tieši šim jautājumam izstrādātos informatīvajos ziņojumos. </w:t>
      </w:r>
    </w:p>
    <w:p w:rsidR="00F92562" w:rsidRDefault="00F92562" w:rsidP="00922A20">
      <w:pPr>
        <w:rPr>
          <w:highlight w:val="yellow"/>
        </w:rPr>
      </w:pPr>
    </w:p>
    <w:p w:rsidR="0010179D" w:rsidRDefault="00D4287C" w:rsidP="00D4287C">
      <w:r>
        <w:t>Kā viens no nozīmīgākajiem veselības aprūpes pie</w:t>
      </w:r>
      <w:r w:rsidR="00C548CE">
        <w:t>ejam</w:t>
      </w:r>
      <w:r>
        <w:t xml:space="preserve">ības jautājumiem dokumentos ir identificētas </w:t>
      </w:r>
      <w:r w:rsidRPr="00D4287C">
        <w:rPr>
          <w:b/>
        </w:rPr>
        <w:t>g</w:t>
      </w:r>
      <w:r w:rsidR="0010179D" w:rsidRPr="00D4287C">
        <w:rPr>
          <w:b/>
        </w:rPr>
        <w:t>aras gaidīšanas rindas ambulatoro un plānveida stacionāro pakalpojumu saņemšanai</w:t>
      </w:r>
      <w:r w:rsidR="0010179D">
        <w:t>, kas tādējādi negatīvi ietekmē veselības aprūpes pēctecību un savlaicīgu palīdzības sniegšanu, ir viens no jautājumiem, kuru risināšana ir secīgi aplūkota daudzos</w:t>
      </w:r>
      <w:r>
        <w:t xml:space="preserve"> 2016. – 2018. gada laikā izstrādātajos</w:t>
      </w:r>
      <w:r w:rsidR="0010179D">
        <w:t xml:space="preserve"> informatīvajos ziņojumos</w:t>
      </w:r>
      <w:r w:rsidR="0010179D">
        <w:rPr>
          <w:rStyle w:val="FootnoteReference"/>
        </w:rPr>
        <w:footnoteReference w:id="160"/>
      </w:r>
      <w:r w:rsidR="0010179D">
        <w:t xml:space="preserve">. </w:t>
      </w:r>
      <w:r w:rsidR="00A82EB4">
        <w:t>Veicot veselības aprūpes pakalpojumu</w:t>
      </w:r>
      <w:r w:rsidR="004F0BA3">
        <w:t xml:space="preserve"> pieejamības paaugstināšanu</w:t>
      </w:r>
      <w:r w:rsidR="00A82EB4">
        <w:t xml:space="preserve">, </w:t>
      </w:r>
      <w:r w:rsidR="00A82EB4">
        <w:lastRenderedPageBreak/>
        <w:t>NVD noteiktās jomās izmēģina arī stratēģiskā iepirkuma organizēšanu, vienlaikus saglabājot Latvijā pastāvošo modeli, ka valsts budžeta finansētos veselības aprūpes pakalpojumus sniedz gan publiskas, gan privātas iestādes</w:t>
      </w:r>
      <w:r w:rsidR="006A295C">
        <w:rPr>
          <w:rStyle w:val="FootnoteReference"/>
        </w:rPr>
        <w:footnoteReference w:id="161"/>
      </w:r>
      <w:r w:rsidR="00A82EB4">
        <w:t>.</w:t>
      </w:r>
    </w:p>
    <w:p w:rsidR="00BB1077" w:rsidRDefault="00BB1077" w:rsidP="00D4287C"/>
    <w:p w:rsidR="00BC181F" w:rsidRDefault="00BC181F" w:rsidP="00BB1077">
      <w:r>
        <w:t xml:space="preserve">Analizējot iepriekš minētos politikas dokumentus, redzams, ka rindu samazināšanas politika nav viendabīga. 2016. – 2017. </w:t>
      </w:r>
      <w:r w:rsidR="000A0812">
        <w:t>g</w:t>
      </w:r>
      <w:r>
        <w:t>ada informatīvie ziņojumi liecina par tendenci, kas ir aplūkota iepriekšējos nozares izvērtējumos</w:t>
      </w:r>
      <w:r w:rsidR="0050378B">
        <w:rPr>
          <w:rStyle w:val="FootnoteReference"/>
        </w:rPr>
        <w:footnoteReference w:id="162"/>
      </w:r>
      <w:r>
        <w:t xml:space="preserve">, proti, ka papildu finansējuma piešķiršana notiek gada pēdējos mēnešos, kuri ir jāizlieto līdz attiecīgā kalendārā gada beigām, tādējādi panākot strauju, taču īstermiņa rindu samazinājuma efektu. Tikai </w:t>
      </w:r>
      <w:r w:rsidR="000A0812">
        <w:t>kopš</w:t>
      </w:r>
      <w:r>
        <w:t xml:space="preserve"> 2018. </w:t>
      </w:r>
      <w:r w:rsidR="000A0812">
        <w:t>g</w:t>
      </w:r>
      <w:r>
        <w:t>ada sākuma ir pamats uzskatīt, ka finansējuma plānošana notiek savlaicīgāk, jo informatīvais ziņojums</w:t>
      </w:r>
      <w:r w:rsidR="000A0812">
        <w:t>, kas</w:t>
      </w:r>
      <w:r w:rsidR="0009565D">
        <w:t xml:space="preserve"> </w:t>
      </w:r>
      <w:r w:rsidR="000A0812">
        <w:t>gada sākumā</w:t>
      </w:r>
      <w:r w:rsidR="0009565D">
        <w:t xml:space="preserve"> tiek izskatīts MK</w:t>
      </w:r>
      <w:r w:rsidR="000A0812">
        <w:t>,</w:t>
      </w:r>
      <w:r>
        <w:t xml:space="preserve"> ir pamats, lai veselības nozarei tik</w:t>
      </w:r>
      <w:r w:rsidR="000A0812">
        <w:t>t</w:t>
      </w:r>
      <w:r>
        <w:t>u piešķirts iepriekš iezīmētais papildu budžets.</w:t>
      </w:r>
      <w:r w:rsidR="000A0812">
        <w:t xml:space="preserve"> Apstiprinoša lēmuma rezultātā plānotie līdzekļi var tikt novirzīti definēto uzdevumu izpildei. Vienlaikus šī Izvērtējuma izstrādes laikā ir konstatētas grūtības izsekot tam, cik lielā mērā plānotie ieguldījumi ir devuši reālu atdevi – lielākajā daļā gadījumu katrs nākamais secīgais informatīvais ziņojums, kas attiecas uz reformas veselības aprūpē īstenošanas progresu vai rindu samazinājumu sekundārajā ambulatorajā veselības aprūpē, iezīmē plānu, kā līdzekļi tiks tērēti un prognozes, kā šie ieguldījumi var samazināt rindas garumu, taču r</w:t>
      </w:r>
      <w:r w:rsidR="005D17F3">
        <w:t>eālā</w:t>
      </w:r>
      <w:r w:rsidR="000A0812">
        <w:t xml:space="preserve"> </w:t>
      </w:r>
      <w:r w:rsidR="005D17F3">
        <w:t xml:space="preserve">sasniegtā </w:t>
      </w:r>
      <w:r w:rsidR="000A0812">
        <w:t>rezultāt</w:t>
      </w:r>
      <w:r w:rsidR="005D17F3">
        <w:t>a apskats attiecībā pret pieprasījumu</w:t>
      </w:r>
      <w:r w:rsidR="000A0812">
        <w:t xml:space="preserve"> un iepriekšējo ieguldījumu atdeves novērtējums pēc fakta nākamajā ziņojumā </w:t>
      </w:r>
      <w:r w:rsidR="00566D0F">
        <w:t>tiek sniegts ierobežoti</w:t>
      </w:r>
      <w:r w:rsidR="000A0812">
        <w:t xml:space="preserve">. Šī problēma īpaši raksturīga 2016. – 2017. gadā izstrādātajiem informatīvajiem ziņojumiem, </w:t>
      </w:r>
      <w:r w:rsidR="00C35684">
        <w:t xml:space="preserve">turklāt tie viena gada ietvaros ir izstrādāti vairāki, izmantojot atšķirīgus atskaites punktus. Kopš </w:t>
      </w:r>
      <w:r w:rsidR="000A0812">
        <w:t xml:space="preserve">2018. – 2019. </w:t>
      </w:r>
      <w:r w:rsidR="00C35684">
        <w:t>g</w:t>
      </w:r>
      <w:r w:rsidR="000A0812">
        <w:t>ad</w:t>
      </w:r>
      <w:r w:rsidR="00C35684">
        <w:t>a, kad</w:t>
      </w:r>
      <w:r w:rsidR="000A0812">
        <w:t xml:space="preserve"> izstrādātie informatīvie ziņojumi </w:t>
      </w:r>
      <w:r w:rsidR="00C35684">
        <w:t xml:space="preserve">tiek sagatavoti un izskatīti vienu reizi gada sākumā, tie </w:t>
      </w:r>
      <w:r w:rsidR="00566D0F">
        <w:t xml:space="preserve">satur vairāk informācijas par progresu rindu samazināšanā. </w:t>
      </w:r>
      <w:r w:rsidR="00765B29">
        <w:t>Vienlaikus</w:t>
      </w:r>
      <w:r w:rsidR="00566D0F">
        <w:t xml:space="preserve"> dati 2016. – 2017. gada informatīvajos ziņojumos sniegti atšķirīgā detalizācijas pakāpē nekā 2018. – 2019. gada informatīvajos ziņojumos, tādējādi salīdzināt datus un noteikt reālo progresu šajā posmā ir iespējams tikai indikatīvi.</w:t>
      </w:r>
      <w:r w:rsidR="00341D5B">
        <w:t xml:space="preserve"> Tāpat visos ziņojumos, runājot par rindu samazinājumu, iztrūkst informācijas par ieguldījumiem un atdevi dažādos Latvijas reģionos, t.i., sekundāro ambulatoro pakalpojumu pieejamība ģeogrāfiski nav analizēta. Tādējādi, kaut arī kopējais uzlabojums – rindu garuma samazināšanās – kopš 2016. gada ir redzams (sk. datu pārskatu turpinājumā), nav </w:t>
      </w:r>
      <w:r w:rsidR="005D17F3">
        <w:t>iespējas</w:t>
      </w:r>
      <w:r w:rsidR="00341D5B">
        <w:t xml:space="preserve"> pārliecināties, ka pieejamība ir uzlabojusies visos Latvijas reģionos vienādi.</w:t>
      </w:r>
    </w:p>
    <w:p w:rsidR="000A0812" w:rsidRDefault="000A0812" w:rsidP="00BB1077"/>
    <w:p w:rsidR="008475CB" w:rsidRDefault="008475CB" w:rsidP="008475CB">
      <w:r w:rsidRPr="002E5C66">
        <w:t xml:space="preserve">Uzsākot aktīvu ieguldījumu rindu uz sekundārajiem ambulatorajiem pakalpojumiem samazināšanā, „Informatīvajā ziņojumā par ambulatoro un stacionāro veselības aprūpes pakalpojumu pieejamības </w:t>
      </w:r>
      <w:r w:rsidRPr="002E5C66">
        <w:lastRenderedPageBreak/>
        <w:t>uzlabošanu” (01.11.2016.) sniegti dati par pacientu gaidīšanas rindu garumu pie dažādu specialitāšu ārstiem uz 2016. gada 1. aprīli, iezīmējot maksimālo gaidīšanas laiku, no kā izriet, ka garākās rindas bija reimatologa (līdz 275 dienām), endokrinologa (līdz 238 dienām), kardiologa (līdz 229 dienām), imunologa (līdz 201 dienām), neirologa (līdz 173 dienām), salīdzinoši īsākās rindas bija pie narkologa un bērnu ķirurga (aptuveni līdz 40 dienām). Attiecībā uz gaidīšanas rindām</w:t>
      </w:r>
      <w:r>
        <w:t xml:space="preserve"> uz dienas stacionāra ķirurģiskaji</w:t>
      </w:r>
      <w:r w:rsidR="00544F61">
        <w:t>em pasākumiem uz 2016. gada 1. a</w:t>
      </w:r>
      <w:r>
        <w:t xml:space="preserve">prīli visgarākā rinda bija oftalmoloģijā (līdz 3000 dienām) un hronisko sāpju ārstēšanai </w:t>
      </w:r>
      <w:r w:rsidR="00544F61">
        <w:t>(</w:t>
      </w:r>
      <w:r>
        <w:t>līdz 244 dienām). Jāuzsver, ka sākotnējie dati situācijas raksturošanai ietver garākos gaidīšanas laikus, no kā nav iespējams spriest par vidējo gaidīšanas laiku rindā uz noteikta veida pakalpojumu. Balstoties uz šiem datiem, veikta sākotnējā prognoze par pacientu skaitu, kāds tiks papildus apkalpots, piešķirot valsts budžeta finansējumu.</w:t>
      </w:r>
    </w:p>
    <w:p w:rsidR="008475CB" w:rsidRDefault="008475CB" w:rsidP="008475CB"/>
    <w:p w:rsidR="008475CB" w:rsidRPr="002E5C66" w:rsidRDefault="008475CB" w:rsidP="008475CB">
      <w:r>
        <w:t>Hronoloģiski nākamais dokuments – Informatīvais ziņojums „Par veselības reformas pasākumu īstenošanas turpināšanu 2017. gadā”, ietver datus par maksimālo rindu garumu uz 2016. gada 1. decembri, tā netieši parādot maksimālo rindu garuma samazināšanos. Aplūkojot iepriekš minēto ārstu speciālistu gadījumus, pie kuriem gada sākumā bija novērotas visgarākās rindas, redzams, ka maksimālais gaidīšanas laiks pie reimataloga bija līdz 107 dienām, kardiologa – līdz 133 dienām, endokrinologa – līdz 117 dienām, pie neirologa – līdz 92 dienām, par imunologu dati netika atkārtoti sniegti. Vienlaikus rindas pie citiem ārstiem speciālistiem pēc veiktajiem ieguldījumiem varēja kļūt garākas, un 2016. gada 1. decembrī visgarākā informatīvajā ziņojumā fiksētā rinda bija pie oftalmologa (līdz 150 dienām) un asinsvadu ķirurga (līdz 146 dienām). Situācija attiecībā par gaidīšanas rindu garumu dienas stacionārā uz ķirurģiskajiem pakalpojumiem uz 2016. gada 1. decembri attiecībā uz garāko rindu nebija mainījusies, un joprojām visilgāk bija jāgaida uz pakalpojumiem oftalmoloģijā (joprojām līdz 3000 dienām).</w:t>
      </w:r>
    </w:p>
    <w:p w:rsidR="008475CB" w:rsidRDefault="008475CB" w:rsidP="008475CB"/>
    <w:p w:rsidR="008475CB" w:rsidRPr="002E5C66" w:rsidRDefault="008475CB" w:rsidP="008475CB">
      <w:r>
        <w:t>Nākamais ziņojums – informatīvais ziņojums „Par veselības reformas pasākumu īstenošanas progresu veselības aprūpē 2017. gada 1. pusgadā” vairs neietver datus par maksimālajiem rindu garumiem dažādās ārstniecības iestādēs un pie dažādiem speciālistiem, bet gan aplūko sasniegtos vidējos rādītājus, veicot finanšu ieguldījumus nozarē, vairs neatdalot speciālistu grupas ar vislielāko pieprasījumu. Papildus iepriekš minētajām, šajā ziņojumā tiek aktualizēts jautājums par gaidīšanas rindu garumu ambulatorajā rehabilitācijā (sk. turpinājumā atsevišķi). Tādējādi informatīvajā ziņojumā minēts, ka pirms reformas īstenošanas vidējais rindas garums bija aptuveni 100 dienas, tad uz 2017. gada 1. pusgadu ir panākts reālais rindas samazinājums līdz vidēji 76 dienām. Ambulatoro izmeklējumu un terapijas gadījumā vidējais rindas garums pirms reformas īstenošanas bija 40 dienas, 2017. gada 1. pusgadā notika tās samazinājums līdz 35 dienām. Attiecībā uz pakalpojumiem dienas stacionārā pirms reformas īstenošanas vidējais rindas garums bija 407 dienas, uz 2017. gada 1. pusgadu tā tika samazināta līdz vidēji 247 dienām.</w:t>
      </w:r>
    </w:p>
    <w:p w:rsidR="008475CB" w:rsidRDefault="008475CB" w:rsidP="008475CB"/>
    <w:p w:rsidR="008475CB" w:rsidRDefault="008475CB" w:rsidP="008475CB">
      <w:r>
        <w:t>Nākamais ziņojums, kas ietver rindu mazināšanas jautājuma iztirzāšanu, ir informatīvais ziņojums „Par tālāku rindu samazināšanu sekundārajā ambulatorajā veselības aprūpē” (03.10.2017.), kurā blakus citai informācijai ir aktualizēta arī bērnu zobārstniecības pieejamības samazināšanās problemātika (sk. izvērst</w:t>
      </w:r>
      <w:r w:rsidR="00C548CE">
        <w:t>i</w:t>
      </w:r>
      <w:r>
        <w:t xml:space="preserve"> zemāk). Ziņojumā apkopota informācija par ārstniecības iestāžu spēju nodrošināt papildu veselības aprūpes pakalpojumus, ja tam tiktu piešķirts valsts budžets, tādējādi aktualizējot problēmu, cik ātri nozare spēj reaģēt uz strauju nozares finansējuma pieaugumu (sk. problēmu aplūkojumu turpinājumā).</w:t>
      </w:r>
    </w:p>
    <w:p w:rsidR="008475CB" w:rsidRDefault="008475CB" w:rsidP="008475CB"/>
    <w:p w:rsidR="008475CB" w:rsidRDefault="008475CB" w:rsidP="008475CB">
      <w:r w:rsidRPr="00076991">
        <w:t>Pēdējie dati par progresu gaidīšanas rindu samazinājumā ir doti informatīvajā ziņojumā „Par veselības reformas pasākumu īstenošanu 2019. gadā”. Tie rāda, ka uz 2018. gada 1. jūliju pacientu gaidīšanas rindas uz speciālistu konsultācijām vidēji bija 85 dienas, uz ambulatorajiem izmeklējumiem un terapiju – 37 dienas, dienas stacionārā sniegtajiem pakalpojumiem – 149 dienas.</w:t>
      </w:r>
    </w:p>
    <w:p w:rsidR="008475CB" w:rsidRPr="002E5C66" w:rsidRDefault="008475CB" w:rsidP="008475CB"/>
    <w:p w:rsidR="008475CB" w:rsidRPr="00583FF9" w:rsidRDefault="008475CB" w:rsidP="008475CB">
      <w:r w:rsidRPr="00E62CB9">
        <w:t>Izvērtējot politikas dokumentos ietv</w:t>
      </w:r>
      <w:r>
        <w:t>er</w:t>
      </w:r>
      <w:r w:rsidRPr="00E62CB9">
        <w:t xml:space="preserve">to informāciju, redzams, ka viena no jomām, kurā situācija ir bijusi un saglabājas kritiska ir </w:t>
      </w:r>
      <w:r w:rsidRPr="00E62CB9">
        <w:rPr>
          <w:b/>
        </w:rPr>
        <w:t>medicīniskā rehabilitācija</w:t>
      </w:r>
      <w:r w:rsidRPr="00E62CB9">
        <w:t xml:space="preserve">. Kaut arī šī ir būtiska veselības aprūpes joma, kas saistīta ar iedzīvotāju dzīves kvalitātes saglabāšanu un negatīvo faktoru ietekmes uz turpmāko veselības stāvokli (un </w:t>
      </w:r>
      <w:r w:rsidRPr="00583FF9">
        <w:t>draudošu invaliditāti) samazināšanu, rindu garums, salīdzinot ar citiem sekundāriem ambulatoriem pakalpojumiem, ir ievērojami garāks.</w:t>
      </w:r>
      <w:r>
        <w:t xml:space="preserve"> Informatīvajās ziņojumā „Par veselības reformas pasākumu īstenošanas turpināšanu 2017.gadā” ir doti sākotnējie dati par maksimālo rindu garumu uz medicīniskās rehabilitācijas pakalpojumiem. Saskaņā ar tajā ietverto informāciju visgarākās rindas bija pie šādiem speciālistiem: </w:t>
      </w:r>
      <w:r w:rsidRPr="00351610">
        <w:t xml:space="preserve">ambulatoriem fizioterapeita pakalpojumiem </w:t>
      </w:r>
      <w:r>
        <w:t>–</w:t>
      </w:r>
      <w:r w:rsidRPr="00351610">
        <w:t xml:space="preserve"> līdz pat 600 dienām</w:t>
      </w:r>
      <w:r>
        <w:t xml:space="preserve">, </w:t>
      </w:r>
      <w:r w:rsidRPr="00351610">
        <w:t xml:space="preserve">ambulatoriem ergoterapeita pakalpojumiem </w:t>
      </w:r>
      <w:r>
        <w:t>–</w:t>
      </w:r>
      <w:r w:rsidRPr="00351610">
        <w:t xml:space="preserve"> līdz 950 dienām</w:t>
      </w:r>
      <w:r>
        <w:t xml:space="preserve">, </w:t>
      </w:r>
      <w:r w:rsidRPr="00351610">
        <w:t xml:space="preserve">vispārējā masāža bērniem </w:t>
      </w:r>
      <w:r>
        <w:t xml:space="preserve">– </w:t>
      </w:r>
      <w:r w:rsidRPr="00351610">
        <w:t>līdz 420 die</w:t>
      </w:r>
      <w:r>
        <w:t>nām. Savukārt informatīvajā ziņojumā „Par veselības reformas pasākumu īstenošanas progresu veselības aprūpē 2017. gada 1. pusgadā” minēts, ka pirms reformas īstenošanas vidējais gaidīšanas rindas garums uz ambulatoro rehabilitāciju bija aptuveni 500 dienas. Īstenojot reformu 2017. gada I pusgadā, ir panākts vidējais rindas samazinājums līdz 469 dienām. Ziņojumā minēts, ka rindas samazinājums būtu bijis lielāks (vidēji 96 dienas mazāk), taču, pieaugot pakalpojuma pieejamībai, ir mainījusies pacientu uzvedība, kā rezultātā reālais sasniegtais rindas samazinājums ir bijis vidēji 31 diena. Šī informācija tālāk vēlreiz tiek apstiprināta informatīvajā ziņojumā „Par veselības reformas pasākumu īstenošanu 2018. gadā”.</w:t>
      </w:r>
    </w:p>
    <w:p w:rsidR="008475CB" w:rsidRDefault="008475CB" w:rsidP="008475CB"/>
    <w:p w:rsidR="008475CB" w:rsidRDefault="008475CB" w:rsidP="008475CB">
      <w:pPr>
        <w:rPr>
          <w:highlight w:val="yellow"/>
        </w:rPr>
      </w:pPr>
      <w:r>
        <w:t xml:space="preserve">Savukārt informatīvajā ziņojumā „Par veselības reformas pasākumu īstenošanu 2019. gadā” ir ietverta informācija par rehabilitācijas pasākumiem nepieciešamajiem ieguldījumiem kopumā 2017., 2018. un 2019. gadā, norādot, ka </w:t>
      </w:r>
      <w:r w:rsidRPr="0035313D">
        <w:t>2019.</w:t>
      </w:r>
      <w:r>
        <w:t xml:space="preserve"> </w:t>
      </w:r>
      <w:r w:rsidRPr="0035313D">
        <w:t>gadā akūtās rehabilitācijas pakalpojumu nodrošināšanā paredzētas izmaiņas.</w:t>
      </w:r>
      <w:r>
        <w:t xml:space="preserve"> Raksturotās plānotās izmaiņas attiecas uz rehabilitācijas pakalpojumu nodrošināšanu stacionāra apstākļos. Nozīmīgākās reformas rehabilitācijas pakalpojumu sniegšanā stacionārā saistāmas ar stratēģiskā iepirkuma veikšanu šīm vajadzībām, lai </w:t>
      </w:r>
      <w:r w:rsidRPr="0035313D">
        <w:t>palielināt</w:t>
      </w:r>
      <w:r>
        <w:t>u</w:t>
      </w:r>
      <w:r w:rsidRPr="0035313D">
        <w:t xml:space="preserve"> pacientu skaitu, kam tiks nodrošināti akūtās medicīniskās rehabilitācijas pakalpojumi (aptuveni 11% gadījumos no hospitalizētajiem pacientiem) par valsts līdzekļiem, samazinot pacienta maksājumu un uzlabojot pakalpojumu pieejamību</w:t>
      </w:r>
      <w:r>
        <w:t xml:space="preserve">. Kā minēts dokumentā, šo reformu mērķis ir panākt rehabilitācijas </w:t>
      </w:r>
      <w:r w:rsidRPr="005272FC">
        <w:t>pakalpojumu pieej</w:t>
      </w:r>
      <w:r>
        <w:t>amības un kvalitātes paaugstināšanu</w:t>
      </w:r>
      <w:r w:rsidRPr="005272FC">
        <w:t xml:space="preserve">, </w:t>
      </w:r>
      <w:r>
        <w:t>samazinot</w:t>
      </w:r>
      <w:r w:rsidRPr="005272FC">
        <w:t xml:space="preserve"> ārstēšanās ilgum</w:t>
      </w:r>
      <w:r>
        <w:t>u</w:t>
      </w:r>
      <w:r w:rsidRPr="005272FC">
        <w:t>, samazin</w:t>
      </w:r>
      <w:r>
        <w:t>ot</w:t>
      </w:r>
      <w:r w:rsidRPr="005272FC">
        <w:t xml:space="preserve"> stacionāro komplikāciju risk</w:t>
      </w:r>
      <w:r>
        <w:t>u</w:t>
      </w:r>
      <w:r w:rsidRPr="005272FC">
        <w:t xml:space="preserve"> komplikāciju risk</w:t>
      </w:r>
      <w:r>
        <w:t>u,</w:t>
      </w:r>
      <w:r w:rsidRPr="005272FC">
        <w:t xml:space="preserve"> atgriežoties mājās</w:t>
      </w:r>
      <w:r>
        <w:t>.</w:t>
      </w:r>
      <w:r w:rsidRPr="005272FC">
        <w:t xml:space="preserve"> </w:t>
      </w:r>
      <w:r>
        <w:t>Visu veikto aktivitāšu rezultātā tiek prognozēta</w:t>
      </w:r>
      <w:r w:rsidRPr="005272FC">
        <w:t xml:space="preserve"> pacientu skait</w:t>
      </w:r>
      <w:r>
        <w:t>a</w:t>
      </w:r>
      <w:r w:rsidRPr="005272FC">
        <w:t xml:space="preserve"> ar prognozējamo invaliditāti</w:t>
      </w:r>
      <w:r>
        <w:t xml:space="preserve"> samazināšanās. Attiecībā uz ambulatorās rehabilitācijas pakalpojumiem informatīvajā ziņojumā „Par veselības reformas pasākumu īstenošanu 2019. gadā” sniegtā informācija rāda, ka uz 2018. gada 1. jūliju pacientu gaidīšanas rindas vidējais ilgums ir bijis vidēji līdz 295 dienām.</w:t>
      </w:r>
    </w:p>
    <w:p w:rsidR="00E62CB9" w:rsidRDefault="00E62CB9" w:rsidP="00BB1077"/>
    <w:p w:rsidR="00BB1077" w:rsidRDefault="00D01167" w:rsidP="00BB1077">
      <w:r>
        <w:t>Analizētajos d</w:t>
      </w:r>
      <w:r w:rsidR="00E44105">
        <w:t xml:space="preserve">okumentos </w:t>
      </w:r>
      <w:r>
        <w:t xml:space="preserve">ir </w:t>
      </w:r>
      <w:r w:rsidR="00E44105">
        <w:t xml:space="preserve">iezīmētas </w:t>
      </w:r>
      <w:r w:rsidR="00E62CB9">
        <w:t>divas galvenās</w:t>
      </w:r>
      <w:r w:rsidR="00E44105">
        <w:t xml:space="preserve"> problēmas, kas kavē rindu mazināšanas efektivitāti. Pirmkārt, </w:t>
      </w:r>
      <w:r w:rsidR="002F7797">
        <w:t>palielinoties valsts apmaksāto veselības aprūpes pakalpojumu pieejamībai,</w:t>
      </w:r>
      <w:r w:rsidR="00E44105">
        <w:t xml:space="preserve"> </w:t>
      </w:r>
      <w:r w:rsidR="00E44105" w:rsidRPr="002F7797">
        <w:rPr>
          <w:b/>
        </w:rPr>
        <w:t xml:space="preserve">pieaug </w:t>
      </w:r>
      <w:r w:rsidR="002F7797" w:rsidRPr="002F7797">
        <w:rPr>
          <w:b/>
        </w:rPr>
        <w:t>iedzīvotāju</w:t>
      </w:r>
      <w:r w:rsidR="00E44105" w:rsidRPr="002F7797">
        <w:rPr>
          <w:b/>
        </w:rPr>
        <w:t xml:space="preserve"> skaits, kas pārslēdzas </w:t>
      </w:r>
      <w:r w:rsidR="002F7797" w:rsidRPr="002F7797">
        <w:rPr>
          <w:b/>
        </w:rPr>
        <w:t xml:space="preserve">no veselības aprūpes pakalpojumu saņemšanas privātajā sistēmā </w:t>
      </w:r>
      <w:r w:rsidR="00E44105" w:rsidRPr="002F7797">
        <w:rPr>
          <w:b/>
        </w:rPr>
        <w:t xml:space="preserve">uz </w:t>
      </w:r>
      <w:r w:rsidR="002F7797" w:rsidRPr="002F7797">
        <w:rPr>
          <w:b/>
        </w:rPr>
        <w:t xml:space="preserve">valsts pakalpojumu </w:t>
      </w:r>
      <w:r w:rsidR="00E44105" w:rsidRPr="002F7797">
        <w:rPr>
          <w:b/>
        </w:rPr>
        <w:t>sistēmu</w:t>
      </w:r>
      <w:r w:rsidR="002F7797">
        <w:t xml:space="preserve">, t.i., tādējādi provizoriski būtu jāsamazinās </w:t>
      </w:r>
      <w:r w:rsidR="002F7797">
        <w:lastRenderedPageBreak/>
        <w:t>tiešmaksājumu veselības aprūpē īpatsvaram. Vienlaikus vairākos secīgos 2016. gada informatīvajos ziņojumos ir</w:t>
      </w:r>
      <w:r w:rsidR="00E44105">
        <w:t xml:space="preserve"> konstatēts, ka n</w:t>
      </w:r>
      <w:r w:rsidR="00BB1077" w:rsidRPr="006D5BFE">
        <w:t xml:space="preserve">epieciešamību pēc papildus finanšu resursiem veselības sektorā iezīmē pastāvīga pēdējo gadu tendence: pie sarūkoša iedzīvotāju skaita, palielinās „unikālo” (viena pacienta fiksēšana sistēmā vienu reizi) pacientu skaits, kuri gada laikā ir izmantojuši valsts veselības aprūpes </w:t>
      </w:r>
      <w:r w:rsidR="00BB1077" w:rsidRPr="002F7797">
        <w:t xml:space="preserve">sistēmu. </w:t>
      </w:r>
      <w:r w:rsidR="002F7797" w:rsidRPr="002F7797">
        <w:t>Šī tendence tiek skaidrota ar sabiedrības</w:t>
      </w:r>
      <w:r w:rsidR="00BB1077" w:rsidRPr="002F7797">
        <w:t xml:space="preserve"> novecošanās </w:t>
      </w:r>
      <w:r w:rsidR="002F7797" w:rsidRPr="002F7797">
        <w:t xml:space="preserve">procesiem </w:t>
      </w:r>
      <w:r w:rsidR="00BB1077" w:rsidRPr="002F7797">
        <w:t xml:space="preserve">ar sekojošu biežāku </w:t>
      </w:r>
      <w:r w:rsidR="002F7797" w:rsidRPr="002F7797">
        <w:t xml:space="preserve">veselības aprūpes </w:t>
      </w:r>
      <w:r w:rsidR="00BB1077" w:rsidRPr="002F7797">
        <w:t>sistēmas izmantošanu (saslimstība pieaugums), kas pamatā raksturīga lielākajai daļai Eiropas valstu, gan arī jaunu slimību diagnostikas un ārstēšanas iespēju ieviešan</w:t>
      </w:r>
      <w:r w:rsidR="002F7797" w:rsidRPr="002F7797">
        <w:t>u</w:t>
      </w:r>
      <w:r w:rsidR="00BB1077" w:rsidRPr="002F7797">
        <w:rPr>
          <w:rStyle w:val="FootnoteReference"/>
        </w:rPr>
        <w:footnoteReference w:id="163"/>
      </w:r>
      <w:r w:rsidR="00BB1077" w:rsidRPr="002F7797">
        <w:t>.</w:t>
      </w:r>
      <w:r w:rsidR="00BB1077">
        <w:t xml:space="preserve"> </w:t>
      </w:r>
    </w:p>
    <w:p w:rsidR="00BB1077" w:rsidRDefault="00BB1077" w:rsidP="00D4287C"/>
    <w:p w:rsidR="00030F2A" w:rsidRDefault="00030F2A" w:rsidP="00D4287C">
      <w:r>
        <w:t>Šeit informatīvo ziņojumu autori nav identificējuši citas iepriekšējos pētījumos identificētās problēmas, proti, ka gan no iedzīvotāju, gan ārstniecības iestāžu/ personu puses pastāv dažādas stratēģijas, kā „apiet” pastāvošo rindu pēc valsts apmaksātiem veselības aprūpes pakalpojumiem vai neuzskaitīt gaidīšanas režīmā esošas personas pilnībā</w:t>
      </w:r>
      <w:r>
        <w:rPr>
          <w:rStyle w:val="FootnoteReference"/>
        </w:rPr>
        <w:footnoteReference w:id="164"/>
      </w:r>
      <w:r>
        <w:t>. Piemēram, viens no raksturīgākajiem rīcības veidiem ir nevis pacienta tūlītēja reģistrēšana gaidīšanas rindā, bet viņa novirzīšana un kādu konkrētu datumu nākotnē, kad notiks pierakstīšana rindā, tādējādi tiek uzskaitīts nevis pacienta pilns gaidīšanas laiks, bet gan gaidīšanas laiks, sākot no piereģistrēšanas dienas. Cits raksturīgs gaidīšanas brīdis ir tāds, ka ārsts, zinot pacienta akūto vajadzību, pats meklē iespējas, kurā ārstniecības iestādē atbrīvojas vieta rindā un pakalpojums ir sniedzams par valsts budžeta līdzekļiem. Šādos gadījumos pacients parasti rindā netiek uzskaitīts, lai gan nosacīti var teikt, ka arī viņš atrodas rindā uz valsts budžeta apmaksātu pakalpojumu. Šādas papildu stratēģijas vēl vairāk apgrūtina politikas veidotāju un īstenotāju iespējas prognozēt potenciālo veselības aprūpes pakalpojuma pieprasījumu.</w:t>
      </w:r>
    </w:p>
    <w:p w:rsidR="00030F2A" w:rsidRDefault="00030F2A" w:rsidP="00D4287C"/>
    <w:p w:rsidR="00341D5B" w:rsidRDefault="00E44105" w:rsidP="00D4287C">
      <w:r>
        <w:t xml:space="preserve">Otrkārt, </w:t>
      </w:r>
      <w:r w:rsidR="00B41814">
        <w:t xml:space="preserve">nozīmīgs šķērslis veselības aprūpes pakalpojumu pieejamības paaugstināšanā par valsts budžeta līdzekļiem rada </w:t>
      </w:r>
      <w:r w:rsidR="00B41814" w:rsidRPr="0009565D">
        <w:rPr>
          <w:b/>
        </w:rPr>
        <w:t>pakalpojuma samaksas jautājums (tarifi)</w:t>
      </w:r>
      <w:r w:rsidR="00B41814">
        <w:t xml:space="preserve"> – </w:t>
      </w:r>
      <w:r>
        <w:t>ārst</w:t>
      </w:r>
      <w:r w:rsidR="00B41814">
        <w:t>i nevēlas</w:t>
      </w:r>
      <w:r>
        <w:t xml:space="preserve"> sniegt pakalpojumus par </w:t>
      </w:r>
      <w:r w:rsidR="00B41814">
        <w:t xml:space="preserve">valsts </w:t>
      </w:r>
      <w:r>
        <w:t>note</w:t>
      </w:r>
      <w:r w:rsidR="00B41814">
        <w:t>i</w:t>
      </w:r>
      <w:r>
        <w:t>kto cenu.</w:t>
      </w:r>
      <w:r w:rsidR="00B41814">
        <w:t xml:space="preserve"> </w:t>
      </w:r>
      <w:r w:rsidR="00341D5B">
        <w:t xml:space="preserve">Informatīvais ziņojums „Par tālāku rindu samazināšanu sekundārā ambulatorā veselības aprūpē” (03.10.2017.) parāda datus, ka, lai gan valsts budžeta papildu finansējumu 2016. gada nogalē varētu panākt rindu samazinājumu par 50%, reālais iespējamais rindu samazinājums ir tikai 25%, jo ārstniecības iestāžu, kuru aptauju bija veicis NVD, iespējas sniegt papildu pakalpojumus ir uz pusi zemākas. Tas tāpēc, ka iestādēs trūkst ārstu speciālistu, kas ir gatavi strādāt (sniegt pakalpojumus) par valsts noteiktajām cenām (tarifiem). Tādējādi redzams, ka bez konsekventas tarifu pārskatīšanas (un paaugstināšanas) rindu samazināšanu ir iespējams panākt tikai daļēji pat ar strauju papildu finansējuma ieplūšanu veselības aprūpes nozarē. Šī ziņojuma ietvaros ir sniegts arī tarifu diapazona salīdzinājums dažādu ārstu speciālistu konsultācijām un izmeklējumiem, kas rāda, ka </w:t>
      </w:r>
      <w:r w:rsidR="00B41814">
        <w:t xml:space="preserve">samaksa par </w:t>
      </w:r>
      <w:r w:rsidR="00341D5B">
        <w:t>ārsta speciā</w:t>
      </w:r>
      <w:r w:rsidR="00B41814">
        <w:t>lista konsultāciju (MK noteikumos noteiktais tarifs kopā ar pacienta iemaksu) veidu pusi vai tikai vienu trešdaļu no cenas, ko speciālists par šo pašu konsultāciju var saņemt privātajā sektorā. Attiecībā uz ambulatoro izmeklējumu un terapijas izmaksām informatīvajā ziņojumā ietvertais salīdzinājums rāda</w:t>
      </w:r>
      <w:r w:rsidR="00074A77">
        <w:t>, ka situācija ir labāka – valsts tarifu atšķirības no privāto pakalpojumu sniedzēju cenām ir mazākas</w:t>
      </w:r>
      <w:r w:rsidR="002366C6">
        <w:t xml:space="preserve">, t.i., valsts tarifs sedz vismaz divas trešdaļas vai pusi no citu pakalpojumu sniedzēju vidējām izmaksām, atsevišķu izmeklējumu gadījumā cenas var būt arī vienādas (piemēram, osteodensitometrija, </w:t>
      </w:r>
      <w:r w:rsidR="00C548CE">
        <w:lastRenderedPageBreak/>
        <w:t>mam</w:t>
      </w:r>
      <w:r w:rsidR="002366C6">
        <w:t>ogrāfija)</w:t>
      </w:r>
      <w:r w:rsidR="00074A77">
        <w:t>.</w:t>
      </w:r>
      <w:r w:rsidR="00B95EAC">
        <w:t xml:space="preserve"> Vērtējot privāto pakal</w:t>
      </w:r>
      <w:r w:rsidR="00C548CE">
        <w:t>pojumu sniedzēju tarifus, jāņem</w:t>
      </w:r>
      <w:r w:rsidR="00B95EAC">
        <w:t xml:space="preserve"> vērā, ka tie iekļauj ne tikai ārsta saņemto atalgojumu un iestādes infrastruktūras izmaksas, bet arī zināmu peļņas daļu, tādējādi, nosakot jaunus tarifus veselības aprūpes pakalpojumu sniegšanai no valsts budžeta, ir jā</w:t>
      </w:r>
      <w:r w:rsidR="00CE51B5">
        <w:t>izlemj, cik lielā mērā no valsts budžeta līdzekļiem ir jāsedz arī iestāžu pelņas daļa.</w:t>
      </w:r>
    </w:p>
    <w:p w:rsidR="00E44105" w:rsidRDefault="00E44105" w:rsidP="00D4287C"/>
    <w:p w:rsidR="00501CBF" w:rsidRDefault="00874379" w:rsidP="00B234DF">
      <w:r w:rsidRPr="00874379">
        <w:t xml:space="preserve">Aplūkojot gaidīšanas rindu jautājumu uz sekundārajiem ambulatorajiem veselības aprūpes pakalpojumiem, speciālistu pieejamība bērniem informatīvo ziņojumu ietvaros nav aplūkota. Attiecībā uz bērnu grupu nozīmīgākā politikas dokumentos iezīmētā problēma ir </w:t>
      </w:r>
      <w:r w:rsidRPr="00874379">
        <w:rPr>
          <w:b/>
        </w:rPr>
        <w:t>bērnu zobārstniecības un zobu higiēnas pakalpojumu piedāvājuma samazināšanās par valsts budžeta līdzekļiem</w:t>
      </w:r>
      <w:r w:rsidRPr="00874379">
        <w:t>.</w:t>
      </w:r>
      <w:r>
        <w:t xml:space="preserve"> Tādējādi vairāku secīgu informatīvo ziņojumu ietvaros tiek skatīts jautājums par papildu finanšu līdzekļu piešķiršanu bērnu zobārstniecības pakalpojuma pieejamības </w:t>
      </w:r>
      <w:r w:rsidRPr="00501CBF">
        <w:t>veicināšanai.</w:t>
      </w:r>
      <w:r w:rsidR="00501CBF" w:rsidRPr="00501CBF">
        <w:t xml:space="preserve"> </w:t>
      </w:r>
    </w:p>
    <w:p w:rsidR="00501CBF" w:rsidRDefault="00501CBF" w:rsidP="00B234DF"/>
    <w:p w:rsidR="008475CB" w:rsidRDefault="008475CB" w:rsidP="008475CB">
      <w:r w:rsidRPr="00112361">
        <w:t>Bērnu zobārstniecības pieejamības samazināšanās kā nozīmīga problēma tika aktualizēta Informatīvajā ziņojumā „Par tālāku rindu samazināšanu sekundārajā ambulatorajā veselības aprūpē” (03.10.2017.).</w:t>
      </w:r>
      <w:r>
        <w:t xml:space="preserve"> dati rāda, ka kopš 2012. gada apmeklējumu skaits bērnu zobārstniecībā pakāpeniski samazinās, kā arī nozīmīgi samazinās līgumiestāžu skaits, kas sniedz pakalpojumus (trīs gadu laikā – 54 iestādes). Lai gan vidējais gaidīšanas rindu garums ir samērā līdzīgs, maksimālais tā apmērs nozīmīgi variē dalījumā pa NVD teritoriālajām iestādēm (tās nesakrīt ar Latvijas statistiskajiem reģioniem). Neprecizējot atskaites datumu, informatīvajā ziņojumā ietvertā informācija rāda, ka vidējais rindas garums uz bērnu zobārstniecību Rīgas nodaļā bija 25 dienas (maksimālais – 480 dienas</w:t>
      </w:r>
      <w:r w:rsidR="00615C75">
        <w:t>), Vidzemes nodaļā – 29 dienas (</w:t>
      </w:r>
      <w:r>
        <w:t>maksimālais – 231 dienas), Kurzemes nodaļā – vidēji 25 dienas (maksimālais – 200 dienas), Zemgales nodaļā – vidēji 17 dienas (maksimāli – 66 dienas), Latgales nodaļā – vidēji 5 dienas (maksimāli – 60 dienas). Gaidīšanas rindas novērojamas arī attiecībā uz bērnu higiēnista pakalpojumiem, kur visās NVD teritoriālajās nodaļās, izņemot Latgali, vidējais gaidīšanas ilgums pēc pakalpojuma bija no 11 līdz 17 dienām.</w:t>
      </w:r>
    </w:p>
    <w:p w:rsidR="008475CB" w:rsidRDefault="008475CB" w:rsidP="008475CB"/>
    <w:p w:rsidR="008475CB" w:rsidRPr="00112361" w:rsidRDefault="008475CB" w:rsidP="008475CB">
      <w:r>
        <w:t>Informatīvais ziņojums „Par veselības reformas pasākumu īstenošanu 2018. gadā” identificē vēl lielāku līgumiestāžu, kuras sniedz bērnu zobārstniecības pakalpojumus par valsts budžeta līdzekļiem, skaita samazinājumu, kura atjaunošana, kā rāda nākamais informatīvais ziņojums par 2019. gadu, notiek lēnāk par iepriekš notikušu līgumiestāžu skaita samazināšanos. Kā būtiskākais sadarbības šķērslis 2018. gada informatīvajā ziņojumā ir identificēts zemais valsts bērnu zobārstniecības pakalpojuma tarifs. Gaidīšanas rindu vidējais garums abos pēdējos ziņojumos vairs netiek aplūkots, tikai 2019. gada informatīvajā ziņojumā norādīts, ka, salīdzinot datus uz 2018. gada 1. jūliju un 1. novembri, gaidīšanas rindas garums uz bērnu zobārstniecības un zobu higiēnas pakalpojumiem ir samazinājies par apmēram 5%.</w:t>
      </w:r>
    </w:p>
    <w:p w:rsidR="00501CBF" w:rsidRDefault="00501CBF" w:rsidP="00B234DF"/>
    <w:p w:rsidR="00B234DF" w:rsidRPr="00EA23E8" w:rsidRDefault="00501CBF" w:rsidP="00B234DF">
      <w:r w:rsidRPr="00501CBF">
        <w:t>Identificējot problēmas aktualitāti, VM Mātes un bērna veselības uzlabošanas plāna 2018. – 2020. gadam ietvaros ir noteikusi, ka b</w:t>
      </w:r>
      <w:r w:rsidR="00B234DF" w:rsidRPr="00501CBF">
        <w:t>ērnu zobārstniecības pieejamības reformas ietvaros 2018.</w:t>
      </w:r>
      <w:r w:rsidRPr="00501CBF">
        <w:t xml:space="preserve"> </w:t>
      </w:r>
      <w:r w:rsidR="00B234DF" w:rsidRPr="00501CBF">
        <w:t xml:space="preserve">gadā tiks </w:t>
      </w:r>
      <w:r w:rsidRPr="00501CBF">
        <w:t xml:space="preserve">pārskatīts un </w:t>
      </w:r>
      <w:r w:rsidR="00B234DF" w:rsidRPr="00501CBF">
        <w:t>palielināts pakalpojumu tarifs, nodrošinot, ka par 20% pieaug</w:t>
      </w:r>
      <w:r w:rsidRPr="00501CBF">
        <w:t>s veikto</w:t>
      </w:r>
      <w:r w:rsidR="00B234DF" w:rsidRPr="00501CBF">
        <w:t xml:space="preserve"> manipulāciju </w:t>
      </w:r>
      <w:r w:rsidR="00B234DF" w:rsidRPr="00501CBF">
        <w:lastRenderedPageBreak/>
        <w:t xml:space="preserve">skaits. </w:t>
      </w:r>
      <w:r w:rsidRPr="00501CBF">
        <w:t>Nosakot sasniedzamo rezultātu 2019.gadam, VM plāno</w:t>
      </w:r>
      <w:r w:rsidR="00B234DF" w:rsidRPr="00501CBF">
        <w:t xml:space="preserve"> atjaunot </w:t>
      </w:r>
      <w:r w:rsidRPr="00501CBF">
        <w:t>z</w:t>
      </w:r>
      <w:r w:rsidR="00C548CE">
        <w:t>o</w:t>
      </w:r>
      <w:r w:rsidRPr="00501CBF">
        <w:t xml:space="preserve">bārstniecības </w:t>
      </w:r>
      <w:r w:rsidR="00B234DF" w:rsidRPr="00501CBF">
        <w:t xml:space="preserve">pakalpojumu </w:t>
      </w:r>
      <w:r w:rsidRPr="00501CBF">
        <w:t xml:space="preserve">bērniem </w:t>
      </w:r>
      <w:r w:rsidR="00B234DF" w:rsidRPr="00501CBF">
        <w:t>sniedzēju apjomu, palieli</w:t>
      </w:r>
      <w:r w:rsidRPr="00501CBF">
        <w:t xml:space="preserve">not to </w:t>
      </w:r>
      <w:r w:rsidR="00B234DF" w:rsidRPr="00501CBF">
        <w:t xml:space="preserve">līdz </w:t>
      </w:r>
      <w:r w:rsidRPr="00501CBF">
        <w:t xml:space="preserve">pat </w:t>
      </w:r>
      <w:r w:rsidR="00B234DF" w:rsidRPr="00501CBF">
        <w:t>40%</w:t>
      </w:r>
      <w:r w:rsidR="00B234DF" w:rsidRPr="00501CBF">
        <w:rPr>
          <w:rStyle w:val="FootnoteReference"/>
        </w:rPr>
        <w:footnoteReference w:id="165"/>
      </w:r>
      <w:r w:rsidR="00B234DF" w:rsidRPr="00501CBF">
        <w:t>.</w:t>
      </w:r>
    </w:p>
    <w:p w:rsidR="00B234DF" w:rsidRDefault="00B234DF" w:rsidP="00D4287C"/>
    <w:p w:rsidR="00124F90" w:rsidRPr="00B234DF" w:rsidRDefault="00124F90" w:rsidP="00124F90">
      <w:r w:rsidRPr="00B234DF">
        <w:t>Papildus šim aktivitātēm zobārstniecības pakalpojumu pieejamības nodrošināšanu bērniem līdz 18 gadiem reģionos ar zemu iedzīvotāju blīvumu sniedz mobilā zobārstniecība. M</w:t>
      </w:r>
      <w:r w:rsidR="007E20AA" w:rsidRPr="00B234DF">
        <w:t>ātes un bērna veselības uzlabošanas plān</w:t>
      </w:r>
      <w:r w:rsidRPr="00B234DF">
        <w:t>ā</w:t>
      </w:r>
      <w:r w:rsidR="007E20AA" w:rsidRPr="00B234DF">
        <w:t xml:space="preserve"> 2018. – 2020. </w:t>
      </w:r>
      <w:r w:rsidRPr="00B234DF">
        <w:t>g</w:t>
      </w:r>
      <w:r w:rsidR="007E20AA" w:rsidRPr="00B234DF">
        <w:t>adam</w:t>
      </w:r>
      <w:r w:rsidRPr="00B234DF">
        <w:t xml:space="preserve"> norādīts, ka šobrīd Latvijā </w:t>
      </w:r>
      <w:r w:rsidR="007E20AA" w:rsidRPr="00B234DF">
        <w:t xml:space="preserve">strādā divas mobilās zobārstniecības kabineta vienības. Mobilie zobārstniecības autobusu maršruti plānoti tikai lauku teritorijās, atbilstoši pakalpojumu pieejamībai bērniem, kuru dzīvesvietas tuvumā zobārstu resursi ir nepietiekoši. Izbraukumi tiek plānoti izglītības iestādēs, kuras atrodas ne tuvāk par 15 km no zobārstniecības prakses, kas ir līgumattiecībās ar NVD. </w:t>
      </w:r>
      <w:r w:rsidRPr="00B234DF">
        <w:t xml:space="preserve">Kā rāda Mātes un bērna veselības uzlabošanas plānā 2018. – 2020. </w:t>
      </w:r>
      <w:r w:rsidR="00B234DF" w:rsidRPr="00B234DF">
        <w:t>g</w:t>
      </w:r>
      <w:r w:rsidRPr="00B234DF">
        <w:t xml:space="preserve">adam sniegtā informācija, </w:t>
      </w:r>
      <w:r w:rsidR="00B234DF" w:rsidRPr="00B234DF">
        <w:t>mobilās zobārstniecības sniegto pakalpojumu skaits laika posmā no 2014. līdz 2017. gadam pieaug katru gadu, tāpēc ir identificēta vajadzība pēc mobilo zobārstniecības vienību skaita palielināšanas.</w:t>
      </w:r>
    </w:p>
    <w:p w:rsidR="00E33BA7" w:rsidRDefault="00E33BA7" w:rsidP="00D4287C"/>
    <w:p w:rsidR="00737F91" w:rsidRDefault="00737F91" w:rsidP="00D4287C">
      <w:r>
        <w:t>Gan bērnu zobārstniecības pakalpojumu pieejamības veicināšana, gan vairāki citi turpinājumā izskatītie pak</w:t>
      </w:r>
      <w:r w:rsidR="00C548CE">
        <w:t>al</w:t>
      </w:r>
      <w:r>
        <w:t>pojumi, kuru nodrošināšanai katru gadu tiek piešķirti papildu valsts budžeta līdzekļi (piemēram, endoprotezēšana, sirds un asinsvadu slimību ārstēšana, onkoloģisko pacientu ārstēšanas kvalitāt</w:t>
      </w:r>
      <w:r w:rsidR="00776545">
        <w:t xml:space="preserve">es uzlabošana, VHC un HIV/AIDS </w:t>
      </w:r>
      <w:r>
        <w:t>ārstēšana), kopš 2018. gada ir ietverti jauno politikas iniciatīvu grozā.</w:t>
      </w:r>
    </w:p>
    <w:p w:rsidR="00737F91" w:rsidRDefault="00737F91" w:rsidP="00D4287C"/>
    <w:p w:rsidR="007E20AA" w:rsidRDefault="009B088A" w:rsidP="007E20AA">
      <w:r>
        <w:t xml:space="preserve">Attiecībā uz </w:t>
      </w:r>
      <w:r w:rsidRPr="009B088A">
        <w:rPr>
          <w:b/>
        </w:rPr>
        <w:t>k</w:t>
      </w:r>
      <w:r w:rsidR="007E20AA" w:rsidRPr="007E20AA">
        <w:rPr>
          <w:b/>
        </w:rPr>
        <w:t>ompensējamo medikamentu</w:t>
      </w:r>
      <w:r w:rsidR="007E20AA">
        <w:t xml:space="preserve"> </w:t>
      </w:r>
      <w:r>
        <w:t xml:space="preserve">jomu informatīvie ziņojumu ietver datus par papildu finansējuma piešķiršanu dažādu saslimšanu ārstēšanai, piemēram, kopš </w:t>
      </w:r>
      <w:r w:rsidR="007E20AA">
        <w:t xml:space="preserve">2017. </w:t>
      </w:r>
      <w:r>
        <w:t>g</w:t>
      </w:r>
      <w:r w:rsidR="007E20AA">
        <w:t>ad</w:t>
      </w:r>
      <w:r>
        <w:t xml:space="preserve">a kompensējamo medikamentu pieejamību plānots sistemātiski uzlabot </w:t>
      </w:r>
      <w:r w:rsidR="007E20AA">
        <w:t>VHC</w:t>
      </w:r>
      <w:r>
        <w:t xml:space="preserve"> pacientiem, papildu</w:t>
      </w:r>
      <w:r w:rsidR="007E20AA">
        <w:t xml:space="preserve"> finansējums </w:t>
      </w:r>
      <w:r>
        <w:t xml:space="preserve">tiek plānots </w:t>
      </w:r>
      <w:r w:rsidR="007E20AA">
        <w:t>onkoloģisko pacientu ārstēšanai</w:t>
      </w:r>
      <w:r w:rsidR="00270C9D">
        <w:t xml:space="preserve">, </w:t>
      </w:r>
      <w:r w:rsidR="005D0814">
        <w:t>noteiktu zarnu trakta saslimšanu, psoriāzes, sirds un asinsvadu sistēmas sa</w:t>
      </w:r>
      <w:r w:rsidR="00C548CE">
        <w:t>s</w:t>
      </w:r>
      <w:r w:rsidR="005D0814">
        <w:t xml:space="preserve">limšanu ārstēšanai, </w:t>
      </w:r>
      <w:r w:rsidR="00270C9D">
        <w:t xml:space="preserve">2019. </w:t>
      </w:r>
      <w:r>
        <w:t>gada informatīvajā ziņojumā ietverta jauna iniciatīva palielināt psihiatrijas pacientiem pieejamo kompensējamo medikamentu klātu.</w:t>
      </w:r>
      <w:r w:rsidR="005D0814">
        <w:t xml:space="preserve"> Informatīvajos ziņojumos ir identificētas arī problēmas kompensējamo medikamentu nodrošināšanā. Piemēram, onkoloģisko pacientu ārstēšanas jomā informatīvajā ziņojumā „Par veselības reformas pasākumu īstenošanu 2018.gadā” norādīts, ka pastāvīgi pieaug kompensējamo zāļu lietotāju skaits (esošie pacienti turpina ārstēšanos, jauni uzsāk) pat tad, ja netiek paplašināts kompensējamo zāļu saraksts, bet nav proporcionāla valsts budžeta finansējuma pieauguma, tāpēc kompensējamo zāļu sarakstu nav iespējams papildināt ar jaunām, efektīvām zālēm.</w:t>
      </w:r>
      <w:r w:rsidR="00737F91">
        <w:t xml:space="preserve"> Tāpat identificēta problēma, ka daļai onkoloģisko pacientu šobrīd kompensējamo zāļu sarakstā iekļautās zāles nedod vēlamo rezultātu, tāpēc nepieciešama personalizētas pieejas principa ieviešana. Tā kā finansējums kompensējamo zāļu saraksta papildināšanai ir ierobežots, atbilstoši „Veselības aprūpes pakalpojumu onkoloģijas jomā uzlabošanas plānam 2017. – 2020. gadam” NVD ir izstrādājis prioritizācijas kārtību, t.i., zāles kompensējamo zāļu sarakstā būtu iekļaujamas prioritārā secībā, ievērojot noteiktus kritērijus – zāļu klīniskā nepieciešamība, salīdzinošās terapijas pieejamība, efektivitātes radītāji u.tml.</w:t>
      </w:r>
    </w:p>
    <w:p w:rsidR="005D0814" w:rsidRDefault="005D0814" w:rsidP="007E20AA"/>
    <w:p w:rsidR="007B7669" w:rsidRPr="007B7669" w:rsidRDefault="007B7669" w:rsidP="00922A20">
      <w:r w:rsidRPr="007B7669">
        <w:t>Vērtējot informatīvajos ziņojumos ietverto informāciju, redzams, ka kompensējamo medikament</w:t>
      </w:r>
      <w:r w:rsidR="00C548CE">
        <w:t>u</w:t>
      </w:r>
      <w:r w:rsidRPr="007B7669">
        <w:t xml:space="preserve"> jomā </w:t>
      </w:r>
      <w:r w:rsidR="00C548CE">
        <w:t>galvenā uzmanība ir pievērsta pa</w:t>
      </w:r>
      <w:r w:rsidRPr="007B7669">
        <w:t xml:space="preserve">cientu ar noteiktām diagnozēm ārstēšanas uzlabošanai, </w:t>
      </w:r>
      <w:r w:rsidRPr="007B7669">
        <w:lastRenderedPageBreak/>
        <w:t>savukārt nav ietverta vispārēja analīze par to, cik šobrīd zāļu kompensēšanas mehānisms ir efektīvs. Tomēr vajadzību pēc šādas analīzes rada 2.1.2. nodaļā analizētie dati, kas rāda, ka zāļu iegāde ir viens no veselības jomas lielākajiem izmaksu slogiem mājsaimniecībām, it sevišķi nabadzības riskam pakļautām personām.</w:t>
      </w:r>
      <w:r>
        <w:t xml:space="preserve"> Šobrīd nav ies</w:t>
      </w:r>
      <w:r w:rsidR="00124F90">
        <w:t>pējams noteikt, cik izmaksā noteiktu medikamentu iegāde dažādiem hroniskajiem pacientiem ārpus četrām prioritārajām jomām mēnesī un gadā, vai pastāv kādas iedzīvotāju grupas, kuriem zāļu iegāde mēnesī rada noteiktu izmaksu daudzumu, salīdzinot ar vidējiem ienākumiem valstī un nabadzības riska slieksni. Tāpat informatīvie ziņojumi neiekļauj informāciju vai kompensējamo un šobrīd nekompensējamo medikamentu grupās tiek sistemātiski neatprečotas noteikta veida zālēs, t.i., tās tiek ārstu izrakstītas, bet iedzīvotāju neizpirktas, kas var liecināt par iespējamiem finanšu šķēršļiem to iegādē. Šāda analīze varētu ļaut noteikt, vai ir kādas jomas, kurās atbalsts iedzīvotājiem caur kompensējamo zāļu iešķiršanu varētu būt lielāks, un pāreja uz e-recepšu sistēmu varētu ļaut veikt šādu administratīvi uzkrātu datu analīzi, t.sk., vismaz iedzīvotāju vecuma grupu griezumā.</w:t>
      </w:r>
    </w:p>
    <w:p w:rsidR="007B7669" w:rsidRDefault="007B7669" w:rsidP="00922A20">
      <w:pPr>
        <w:rPr>
          <w:highlight w:val="yellow"/>
        </w:rPr>
      </w:pPr>
    </w:p>
    <w:p w:rsidR="008475CB" w:rsidRDefault="008475CB" w:rsidP="008475CB">
      <w:r w:rsidRPr="00170F8C">
        <w:rPr>
          <w:b/>
        </w:rPr>
        <w:t xml:space="preserve">Sirds un asinsvadu slimību jomā </w:t>
      </w:r>
      <w:r w:rsidRPr="00170F8C">
        <w:t>arī ir plānotas vairākas jaunas iniciatīvas. Tā</w:t>
      </w:r>
      <w:r>
        <w:t xml:space="preserve"> informatīvajā ziņojumā „Par veselības reformas pasākumu īstenošanu 2018. gadā” teikts, ka reformas ietvaros ir plānots paplašināt </w:t>
      </w:r>
      <w:r w:rsidRPr="00170F8C">
        <w:t>ģimenes ārsta kompetenci un motivāciju iesaistīties sabiedrības veselības veicināšanā, īpaši uzmanību pievēršot sirds un asinsvadu slimību profilaksei un agrīnai diagnostikai.</w:t>
      </w:r>
      <w:r>
        <w:t xml:space="preserve"> Šāda iniciatīva nepieciešama, lai samazinātu</w:t>
      </w:r>
      <w:r w:rsidRPr="00170F8C">
        <w:t xml:space="preserve"> sekundārā un terciārā aprūpē </w:t>
      </w:r>
      <w:r>
        <w:t xml:space="preserve">patērētos resursus </w:t>
      </w:r>
      <w:r w:rsidRPr="00170F8C">
        <w:t>un atslogotu šo aprūpes līmeņu pakalpojumu sniedzēju darbu</w:t>
      </w:r>
      <w:r>
        <w:t>.</w:t>
      </w:r>
      <w:r w:rsidRPr="00170F8C">
        <w:t xml:space="preserve"> </w:t>
      </w:r>
      <w:r>
        <w:t xml:space="preserve">Tāpēc </w:t>
      </w:r>
      <w:r w:rsidRPr="00170F8C">
        <w:t>primārā veselības aprūpes līmenī ir jānodrošina, ka ikviens iedzīvotājs pie ģimenes ārsta regulāri var saņemt konsultācijas par sirds un asinsvadu slimību profilaksi</w:t>
      </w:r>
      <w:r>
        <w:t xml:space="preserve"> un </w:t>
      </w:r>
      <w:r w:rsidRPr="00170F8C">
        <w:t xml:space="preserve"> noteikt savu sirds un asinsvadu slimību risku ar zināmu regularitāti.</w:t>
      </w:r>
      <w:r>
        <w:t xml:space="preserve"> Tāpat ziņojumā identificēta nepieciešamība nodrošināt atbilstošu ārstu kardiologu pārklājumu visā Latvijas teritorijā un izmeklēšanas aparatūras iegādi koronārās sirds slimību diagnostikā.</w:t>
      </w:r>
    </w:p>
    <w:p w:rsidR="007E20AA" w:rsidRDefault="007E20AA" w:rsidP="00922A20"/>
    <w:p w:rsidR="00562A53" w:rsidRPr="00523577" w:rsidRDefault="005B7264" w:rsidP="00562A53">
      <w:r>
        <w:t xml:space="preserve">Viena no Sabiedrības veselības pamatnostādnēs 2014. – 2020. gadam definētajām prioritārajām jomām Latvijā ir </w:t>
      </w:r>
      <w:r w:rsidRPr="002814A4">
        <w:rPr>
          <w:b/>
        </w:rPr>
        <w:t>onkoloģisko saslimšanu savlaicīga diagnostika un efektīva ārstēšana, samazinot iedzīvotāju saslimstību un mirstību</w:t>
      </w:r>
      <w:r>
        <w:t xml:space="preserve">. </w:t>
      </w:r>
      <w:r w:rsidR="00562A53">
        <w:t>Šī mērķa izpildei detalizētu darbības programmu paredz „</w:t>
      </w:r>
      <w:r w:rsidR="00562A53" w:rsidRPr="00562A53">
        <w:t>Veselības aprūpes pakalpojumu onkoloģijas jomā uzlabošanas plāns 2017.–2020. gadam</w:t>
      </w:r>
      <w:r w:rsidR="00562A53">
        <w:t>”</w:t>
      </w:r>
      <w:r w:rsidR="00562A53">
        <w:rPr>
          <w:rStyle w:val="FootnoteReference"/>
        </w:rPr>
        <w:footnoteReference w:id="166"/>
      </w:r>
      <w:r w:rsidR="00562A53">
        <w:t>, turpinot iepriekš aizsāktās iniciatīvas</w:t>
      </w:r>
      <w:r w:rsidR="00562A53">
        <w:rPr>
          <w:rStyle w:val="FootnoteReference"/>
        </w:rPr>
        <w:footnoteReference w:id="167"/>
      </w:r>
      <w:r w:rsidR="00562A53">
        <w:t xml:space="preserve">. </w:t>
      </w:r>
      <w:r>
        <w:t xml:space="preserve">Tādējādi, kā rāda informatīvajos ziņojumos sniegtā informācija, pēdējos gados tiek veltīta pastiprināta uzmanība finansējuma piešķiršanai onkoloģisko saslimstību savlaicīgai diagnostikai un pacientu ārstēšanai. </w:t>
      </w:r>
      <w:r w:rsidR="005B4D4B" w:rsidRPr="005B4D4B">
        <w:t>Ar 2016.gada 1.oktobri tika ieviests arī tā saucamais “zaļais koridors”</w:t>
      </w:r>
      <w:r>
        <w:t>, kad</w:t>
      </w:r>
      <w:r w:rsidR="005B4D4B" w:rsidRPr="005B4D4B">
        <w:t xml:space="preserve"> pacientiem ar aizdomām par onkoloģisku saslimšanu</w:t>
      </w:r>
      <w:r>
        <w:t xml:space="preserve">, </w:t>
      </w:r>
      <w:r w:rsidR="005B4D4B" w:rsidRPr="005B4D4B">
        <w:t>piešķir</w:t>
      </w:r>
      <w:r>
        <w:t>ot specializētu kodu pēc SSK-10</w:t>
      </w:r>
      <w:r w:rsidR="005B4D4B" w:rsidRPr="005B4D4B">
        <w:t xml:space="preserve"> nepieciešamo diagnostisko izmeklējumu vai citu speciālistu konsultācijas saņemšanai, nepieciešamais pakalpojums jānodrošina 10 darba dienu laikā.</w:t>
      </w:r>
      <w:r w:rsidR="005B4D4B">
        <w:t xml:space="preserve"> </w:t>
      </w:r>
      <w:r>
        <w:t>Kā rāda apkopotie dati, šādas iniciatīvas rezultātā septiņām „</w:t>
      </w:r>
      <w:r w:rsidR="005B4D4B" w:rsidRPr="005B4D4B">
        <w:t xml:space="preserve">zaļā koridora” ļaundabīgo audzēju lokalizācijām ir palielinājies agrīni (I un II stadija) atklāto gadījumu īpatsvars un samazinājies vēlīni (III un IV stadija) atklāto </w:t>
      </w:r>
      <w:r w:rsidR="005B4D4B" w:rsidRPr="005B7264">
        <w:t>gadījumu īpatsvars</w:t>
      </w:r>
      <w:r w:rsidR="009F470F" w:rsidRPr="005B7264">
        <w:rPr>
          <w:rStyle w:val="FootnoteReference"/>
        </w:rPr>
        <w:footnoteReference w:id="168"/>
      </w:r>
      <w:r w:rsidR="009F470F" w:rsidRPr="005B7264">
        <w:t>.</w:t>
      </w:r>
      <w:r w:rsidR="005B4D4B" w:rsidRPr="005B7264">
        <w:t xml:space="preserve"> </w:t>
      </w:r>
      <w:r w:rsidRPr="005B7264">
        <w:t xml:space="preserve">Tomēr iedzīvotāju dalība skrīninga programmās, kas ir </w:t>
      </w:r>
      <w:r w:rsidRPr="005B7264">
        <w:lastRenderedPageBreak/>
        <w:t>uzskatāms par efektīvu</w:t>
      </w:r>
      <w:r>
        <w:t xml:space="preserve"> onkoloģisko saslimšanu savlaicīgas atklāšanas instrumentu, joprojām nav pietiekami aktīva. Kā parāda</w:t>
      </w:r>
      <w:r w:rsidR="009F470F">
        <w:t xml:space="preserve"> informatīvajā ziņojumā „Sabiedrības veselības pamatnostādņu 2014. – 2020. gadam īstenošanas vidusposma (2014. – 2016. gadā) novērtējums” iekļautie dati</w:t>
      </w:r>
      <w:r>
        <w:t>,</w:t>
      </w:r>
      <w:r w:rsidR="009F470F">
        <w:t xml:space="preserve"> d</w:t>
      </w:r>
      <w:r w:rsidR="009F470F" w:rsidRPr="009F470F">
        <w:t>zemdes kakla vēža, kr</w:t>
      </w:r>
      <w:r w:rsidR="009F470F">
        <w:t xml:space="preserve">ūts vēža un zarnu vēža skrīningā dalību ņēmušo iedzīvotāju </w:t>
      </w:r>
      <w:r>
        <w:t>īpatsvars 2013. – 2016. gadā ir</w:t>
      </w:r>
      <w:r w:rsidR="009F470F">
        <w:t xml:space="preserve"> samazinā</w:t>
      </w:r>
      <w:r>
        <w:t>jies</w:t>
      </w:r>
      <w:r w:rsidR="009F470F">
        <w:rPr>
          <w:rStyle w:val="FootnoteReference"/>
        </w:rPr>
        <w:footnoteReference w:id="169"/>
      </w:r>
      <w:r>
        <w:t>, un informatīvā ziņojuma autori akcentē sabiedrības informēšanas kampaņas nepieciešamību skrīninga programmu aptveramības paaugstināšanai.</w:t>
      </w:r>
      <w:r w:rsidR="00562A53">
        <w:t xml:space="preserve"> </w:t>
      </w:r>
    </w:p>
    <w:p w:rsidR="005B4D4B" w:rsidRDefault="005B4D4B" w:rsidP="00922A20"/>
    <w:p w:rsidR="00075816" w:rsidRDefault="00075816" w:rsidP="00075816">
      <w:r w:rsidRPr="00075816">
        <w:rPr>
          <w:b/>
        </w:rPr>
        <w:t>HIV agrīna diagnostika un ārstēšana</w:t>
      </w:r>
      <w:r w:rsidRPr="00EA23E8">
        <w:t xml:space="preserve"> ir vissvarīgākais profilakses pasākums, lai samazinātu HIV izplatību sabiedrībā</w:t>
      </w:r>
      <w:r>
        <w:t xml:space="preserve">, savukārt Latvijas sabiedrībā HIV izplatība, </w:t>
      </w:r>
      <w:r w:rsidRPr="00B52B33">
        <w:t>salīdzin</w:t>
      </w:r>
      <w:r>
        <w:t>ot</w:t>
      </w:r>
      <w:r w:rsidRPr="00B52B33">
        <w:t xml:space="preserve"> ar citām ES valstīm</w:t>
      </w:r>
      <w:r>
        <w:t>,</w:t>
      </w:r>
      <w:r w:rsidRPr="00B52B33">
        <w:t xml:space="preserve"> ir viena no visaugstākajām</w:t>
      </w:r>
      <w:r w:rsidRPr="00EA23E8">
        <w:t xml:space="preserve">. 2017.gada 31.oktobrī Ministru kabinets apstiprināja </w:t>
      </w:r>
      <w:r>
        <w:t>„</w:t>
      </w:r>
      <w:r w:rsidRPr="001A0C9D">
        <w:t>HIV infekcijas, seksuālās transmisijas infekciju, B un C hepatīta izplatības ierobežošanas rīcības plāns 2018. 2020.gadam</w:t>
      </w:r>
      <w:r>
        <w:t>”</w:t>
      </w:r>
      <w:r>
        <w:rPr>
          <w:rStyle w:val="FootnoteReference"/>
        </w:rPr>
        <w:footnoteReference w:id="170"/>
      </w:r>
      <w:r>
        <w:t>, kas paredz sabiedrības izglītošanu, intensīvāku darbu ar saslimšanu mērķa grupām, veselības aprūpes pakalpojumu pieejamības, agrīnas diagnostikas un ārstēšanas veicināšanu.</w:t>
      </w:r>
      <w:r w:rsidRPr="00EA23E8">
        <w:t xml:space="preserve"> Šajā rīcības plānā ir ierosināts no 2018.</w:t>
      </w:r>
      <w:r>
        <w:t xml:space="preserve"> </w:t>
      </w:r>
      <w:r w:rsidRPr="00EA23E8">
        <w:t>gada uzlabot to zāļu pieejamību, kuras nepieciešamas antiretrovi</w:t>
      </w:r>
      <w:r>
        <w:t>rālai terapijai.</w:t>
      </w:r>
      <w:r w:rsidRPr="00891EDC">
        <w:t xml:space="preserve"> </w:t>
      </w:r>
      <w:r>
        <w:t>Savukārt, s</w:t>
      </w:r>
      <w:r w:rsidRPr="00EA23E8">
        <w:t>ākot no 2016.gada, Latvija ir uzlabojusi piekļuvi HIV ārstēšanai, un HIV inficēto personu skaits, kas saņem ārstēšanu, ir pieaudzis no 27% līdz 38%</w:t>
      </w:r>
      <w:r>
        <w:rPr>
          <w:rStyle w:val="FootnoteReference"/>
        </w:rPr>
        <w:footnoteReference w:id="171"/>
      </w:r>
      <w:r w:rsidRPr="00EA23E8">
        <w:t>.</w:t>
      </w:r>
      <w:r w:rsidR="001F0775">
        <w:t xml:space="preserve"> </w:t>
      </w:r>
    </w:p>
    <w:p w:rsidR="00075816" w:rsidRDefault="00075816" w:rsidP="00922A20"/>
    <w:p w:rsidR="005B7264" w:rsidRDefault="008475CB" w:rsidP="005B7264">
      <w:r>
        <w:t>Citu pakalpojumu vidū redzams, ka a</w:t>
      </w:r>
      <w:r w:rsidR="005B7264" w:rsidRPr="004F0BA3">
        <w:t>r 2018. gada 1. janvāri valsts apmaksāto veselības aprūpes pakalpojumu klāstā ir iekļauta aknu transplantācija un aortālā vārstuļa transkatetrālā implantācija, kā arī diabēta apmācības kabineta pakalpojumi</w:t>
      </w:r>
      <w:r w:rsidR="005B7264">
        <w:rPr>
          <w:rStyle w:val="FootnoteReference"/>
        </w:rPr>
        <w:footnoteReference w:id="172"/>
      </w:r>
      <w:r w:rsidR="005B7264" w:rsidRPr="004F0BA3">
        <w:t>.</w:t>
      </w:r>
      <w:r w:rsidR="005B7264">
        <w:t xml:space="preserve"> </w:t>
      </w:r>
    </w:p>
    <w:p w:rsidR="004F0BA3" w:rsidRDefault="004F0BA3" w:rsidP="00922A20"/>
    <w:p w:rsidR="008475CB" w:rsidRDefault="008475CB" w:rsidP="008475CB">
      <w:r w:rsidRPr="00374A7E">
        <w:t xml:space="preserve">Kaut arī finanšu trūkums veselības aprūpes jomā ir problēma, kas atzīta vairākos starptautiskajos izvērtējumos un daudzos Latvijas politikas plānošanas dokumentos, </w:t>
      </w:r>
      <w:r>
        <w:t>un, saņemot papildu finansējumu, ir novērojams progress rindu garuma samazināšanā, pacientu gaidīšanas rindu ilgums uz sekundārajiem ambulatorajiem pakalpojumiem</w:t>
      </w:r>
      <w:r w:rsidR="007A588F">
        <w:t xml:space="preserve"> 2019. gadā arī</w:t>
      </w:r>
      <w:r>
        <w:t xml:space="preserve"> ir vērā ņemams, it sevišķi attiecībā uz ambulatoro rehabilitāciju. Tā kā pēdējo gadu informatīvajos ziņojumos iztrūkst datu par rindu garumu dalījumā pēc ārstu specialitātēm, no informatīvajos ziņojumos sniegtās informācijas netiek iegūta skaidrība, vai finansējums tiek novirzīts visiem pakalpojumiem vienādi vai nosakot dažādu to ampēru attiecībā uz jomām, kurā rindas ir visgarākās un pakalpojumi – visnozīmīgākie Latvijas iedzīvotāju veselības saglabāšanai. Tāpat informatīvajos ziņojumos analizētā informācija neļauj pārliecināties, kā mainās gaidīšanas rindu garums dažādos Latvijas reģionos. Daudzas no veselības aprūpes pakalpojumu kvalitāti paaugstinošām aktivitātēm 2019. gada sākumā bija tikai uzsākšanas stadijā, tādējādi tās nevar pieņemt par notikušajām. Analizējot rindu garumu pie dažādiem speciālistiem, informatīvajos ziņojumos iztrūkst informācijas par to, vai ir apzināts reālais pacientu skaits, kuriem nepieciešams pakalpojums (t.i., iekļaujot tos, kas savlaicīgi netiek pie ārsta) un cik lielā mērā tiek izvērtēta finanšu atdeve no veiktajiem papildu ieguldījumiem, kas izpaustos kā ne tikai nosaukts papildu sniegto pakalpojumu skaits, tā palielinājums procentos u.tml., bet arī kā ir </w:t>
      </w:r>
      <w:r>
        <w:lastRenderedPageBreak/>
        <w:t>mainījusies pacientu saslimšanu smaguma pakāpe un slimošanas ilgums, vai arī kādi citi parametri, kas rāda veikto pasākumu efektivitāti.</w:t>
      </w:r>
    </w:p>
    <w:p w:rsidR="00686A21" w:rsidRPr="00D3739C" w:rsidRDefault="00593710" w:rsidP="00C33A64">
      <w:pPr>
        <w:pStyle w:val="virsrakstslvl4"/>
      </w:pPr>
      <w:bookmarkStart w:id="482" w:name="_Toc2761084"/>
      <w:bookmarkStart w:id="483" w:name="_Toc2848182"/>
      <w:bookmarkStart w:id="484" w:name="_Toc6219226"/>
      <w:bookmarkStart w:id="485" w:name="_Toc6220169"/>
      <w:bookmarkStart w:id="486" w:name="_Toc6841589"/>
      <w:r w:rsidRPr="00D3739C">
        <w:t>Veselības aprūpes f</w:t>
      </w:r>
      <w:r w:rsidR="000A7C16" w:rsidRPr="00D3739C">
        <w:t>inansēšanas organizatoriskā kārtība</w:t>
      </w:r>
      <w:bookmarkEnd w:id="482"/>
      <w:bookmarkEnd w:id="483"/>
      <w:bookmarkEnd w:id="484"/>
      <w:bookmarkEnd w:id="485"/>
      <w:bookmarkEnd w:id="486"/>
    </w:p>
    <w:p w:rsidR="00F0059F" w:rsidRDefault="000C79D9" w:rsidP="00064C1E">
      <w:r>
        <w:t>Papildus Ārstniecības likumam, šobrīd galvenais tiesību akts, kas nosaka veselības aprūpes finansēšanas organizatorisko kārtību Latvijā, ir Veselības aprūpes finansēšanas likums</w:t>
      </w:r>
      <w:r>
        <w:rPr>
          <w:rStyle w:val="FootnoteReference"/>
        </w:rPr>
        <w:footnoteReference w:id="173"/>
      </w:r>
      <w:r>
        <w:t xml:space="preserve">. Šī likuma pieņemšana ir uzskatāma par konceptuālu risinājumu, ieviešot skaidrību veselības aprūpes nozares finansējuma plūsmā, jo definē visus iespējamos finansējuma avotus un to izlietojuma mērķi, un proti likuma 2. pantā noteikts, ka tas ir </w:t>
      </w:r>
      <w:r w:rsidRPr="00E14B38">
        <w:rPr>
          <w:i/>
        </w:rPr>
        <w:t>„nodrošināt ilgtspējīgu veselības aprūpes finansēšanu, kuras pamatā ir visas sabiedrības solidāra iesaiste atbildīgā nodokļu maksāšanā, lai veicinātu labai starptautiskai praksei atbilstošu veselības aprūpes finansējumu un tā efektīvu izlietojumu, tādējādi sekmējot veselības aprūpes pieejamību un sabiedrības veselības rādītāju uzlabošanos”</w:t>
      </w:r>
      <w:r w:rsidRPr="00E14B38">
        <w:t>.</w:t>
      </w:r>
      <w:r>
        <w:t xml:space="preserve"> </w:t>
      </w:r>
      <w:r w:rsidR="00093BDE">
        <w:t xml:space="preserve">Pirms </w:t>
      </w:r>
      <w:r w:rsidR="00093BDE" w:rsidRPr="00093BDE">
        <w:t>likuma izstrādes tika sagatavots konceptuālais</w:t>
      </w:r>
      <w:r w:rsidR="00773C09" w:rsidRPr="00093BDE">
        <w:t xml:space="preserve"> ziņojum</w:t>
      </w:r>
      <w:r w:rsidR="00093BDE" w:rsidRPr="00093BDE">
        <w:t>s</w:t>
      </w:r>
      <w:r w:rsidR="00773C09" w:rsidRPr="00093BDE">
        <w:t xml:space="preserve"> </w:t>
      </w:r>
      <w:r w:rsidR="00093BDE" w:rsidRPr="00093BDE">
        <w:t>„</w:t>
      </w:r>
      <w:r w:rsidR="00773C09" w:rsidRPr="00093BDE">
        <w:t xml:space="preserve">Par Latvijas veselības aprūpes sistēmas finansēšanas modeļa </w:t>
      </w:r>
      <w:r w:rsidR="00093BDE" w:rsidRPr="00093BDE">
        <w:t>maiņu”</w:t>
      </w:r>
      <w:r w:rsidR="007E20AA" w:rsidRPr="00093BDE">
        <w:rPr>
          <w:rStyle w:val="FootnoteReference"/>
        </w:rPr>
        <w:footnoteReference w:id="174"/>
      </w:r>
      <w:r w:rsidR="00093BDE" w:rsidRPr="00093BDE">
        <w:t>, kura mērķis bija pamatot nepieciešamību ieviest veselības nozarei novirzāmu maksājumu no VSAOI.</w:t>
      </w:r>
      <w:r w:rsidR="00C548CE">
        <w:t xml:space="preserve"> Ša</w:t>
      </w:r>
      <w:r w:rsidR="00F0059F">
        <w:t>jā Izvērtējumā intervētie e</w:t>
      </w:r>
      <w:r w:rsidR="00F0059F" w:rsidRPr="00F0059F">
        <w:t xml:space="preserve">ksperti norāda, ka likuma mērķis ir nesniegt </w:t>
      </w:r>
      <w:r w:rsidR="00F0059F">
        <w:t xml:space="preserve">veselības aprūpes </w:t>
      </w:r>
      <w:r w:rsidR="00F0059F" w:rsidRPr="00F0059F">
        <w:t>pakalpojumus tiem iedzīvotājiem, kas, iespējams, darba nodokļus (IIN un VSAOI) nemaksā ļaunprātīgi.</w:t>
      </w:r>
      <w:r w:rsidR="00F0059F">
        <w:t xml:space="preserve"> Tomēr, raugoties no šīs perspektīvas, identificējama  </w:t>
      </w:r>
      <w:r w:rsidR="00F0059F" w:rsidRPr="00F0059F">
        <w:t>problēma, ka veselības aprūpes publiskā finansējuma nozīmīgāk</w:t>
      </w:r>
      <w:r w:rsidR="00F0059F">
        <w:t>o</w:t>
      </w:r>
      <w:r w:rsidR="00F0059F" w:rsidRPr="00F0059F">
        <w:t xml:space="preserve"> daļu joprojām nākotnē veidos ieņēmumi no vispārējiem nodokļiem, kamēr no VSAOI – samērā nelielu daļu (pēc dažādiem aprēķiniem</w:t>
      </w:r>
      <w:r w:rsidR="00F0059F">
        <w:t xml:space="preserve"> – aptuveni </w:t>
      </w:r>
      <w:r w:rsidR="00F0059F" w:rsidRPr="00F0059F">
        <w:t xml:space="preserve">10%). Tādējādi </w:t>
      </w:r>
      <w:r w:rsidR="00F0059F">
        <w:t>secināms</w:t>
      </w:r>
      <w:r w:rsidR="00F0059F" w:rsidRPr="00F0059F">
        <w:t xml:space="preserve">, ka VSAOI relatīvā nozīme (ietekme uz iedzīvotāju iespējām saņemt </w:t>
      </w:r>
      <w:r w:rsidR="00F0059F">
        <w:t xml:space="preserve">veselības aprūpes </w:t>
      </w:r>
      <w:r w:rsidR="00F0059F" w:rsidRPr="00F0059F">
        <w:t>pakalpojumus) ir būt</w:t>
      </w:r>
      <w:r w:rsidR="00F0059F">
        <w:t>iski lielāka nekā viņu iemaksāto VSAOI pienesums, savukārt visi Latvijas iedzīvotāji piedalās veselības aprūpes finansēšanā vispārējā kārtībā caur netiešajiem nodokļiem (piemēram, PVN un akcīzes nodokļiem).</w:t>
      </w:r>
    </w:p>
    <w:p w:rsidR="00F0059F" w:rsidRDefault="00F0059F" w:rsidP="00F0059F"/>
    <w:p w:rsidR="00F0059F" w:rsidRDefault="00F0059F" w:rsidP="00F0059F">
      <w:r>
        <w:t xml:space="preserve">Papildus iepriekš minētajam, Izvērtējumā intervētie eksperti norāda, ka Veselības aprūpes finansēšanas likums nebija nav sistēmiski pamatots risinājums. Eksperti atbilstoši savai kompetences jomai norāda, ka kopumā starptautiskajā praksē ir pieņemts, ka veselības aprūpes finansēšana tiek balstīta uz vienu no diviem savstarpēji izslēdzošiem modeļiem – veselības aprūpes finansēšana no vispārējiem nodokļiem (kā tas līdz likuma pieņemšanas brīdim bija arī Latvijā) vai caur sociālo apdrošināšanu. Latvijas eksperti norāda, ka </w:t>
      </w:r>
      <w:r w:rsidR="00CD45ED">
        <w:t xml:space="preserve">līdz </w:t>
      </w:r>
      <w:r>
        <w:t xml:space="preserve">ar Veselības aprūpes finansēšanas likuma pieņemšanu Latvijā </w:t>
      </w:r>
      <w:r w:rsidR="00CD45ED">
        <w:t>notika mēģinājums</w:t>
      </w:r>
      <w:r>
        <w:t xml:space="preserve"> ieviest netipisk</w:t>
      </w:r>
      <w:r w:rsidR="00CD45ED">
        <w:t>u</w:t>
      </w:r>
      <w:r>
        <w:t xml:space="preserve"> situācij</w:t>
      </w:r>
      <w:r w:rsidR="00CD45ED">
        <w:t>u</w:t>
      </w:r>
      <w:r>
        <w:t xml:space="preserve"> – jaukt</w:t>
      </w:r>
      <w:r w:rsidR="00CD45ED">
        <w:t>u</w:t>
      </w:r>
      <w:r>
        <w:t xml:space="preserve"> veselības finansēšanas modeli, turklāt ar neproporcionāli lielāku mazākās finansējuma daļas ietekmi uz personas iespēju saņemt veselības aprūpes pakalpojumus.</w:t>
      </w:r>
      <w:r w:rsidR="00CD45ED">
        <w:t xml:space="preserve"> Kā minēts iepriekš politikas plānošanas dokumentu izklāstā, 2019. gada februārī valdība pieņēma lēmumu pagarināt likuma spēkā stāšanās datumu.</w:t>
      </w:r>
    </w:p>
    <w:p w:rsidR="00F0059F" w:rsidRPr="00093BDE" w:rsidRDefault="00F0059F" w:rsidP="00F0059F"/>
    <w:p w:rsidR="00AD3FB7" w:rsidRDefault="000C79D9" w:rsidP="00064C1E">
      <w:r w:rsidRPr="0004668A">
        <w:t>Savukārt valsts apmaksātās medicīniskās palīdzības minimumā un valsts obligātās veselības apdrošināšanā ietilpstošos veselības aprūpes pakalpojumus, kārtību, kādā tiek organizēta šo pakalpojumu sniegšana un veikta samaksa par tiem, kā arī minēto pakalpojumu samaksas apmēru</w:t>
      </w:r>
      <w:r>
        <w:t xml:space="preserve">, </w:t>
      </w:r>
      <w:r w:rsidRPr="005B1EB1">
        <w:t>kārtību, kādā pacients veic līdzmaksājumu par valsts apmaksātu veselības aprūpes pakalpojumu</w:t>
      </w:r>
      <w:r w:rsidRPr="0004668A">
        <w:t xml:space="preserve"> </w:t>
      </w:r>
      <w:r>
        <w:t>u.tml.,</w:t>
      </w:r>
      <w:r w:rsidRPr="0004668A">
        <w:t xml:space="preserve"> nosaka 2018. gada 28. augusta MK noteikumi Nr.555 „Veselības aprūpes pakalpojumu </w:t>
      </w:r>
      <w:r w:rsidRPr="0004668A">
        <w:lastRenderedPageBreak/>
        <w:t>organizēšanas un samaksas kārtība”</w:t>
      </w:r>
      <w:r>
        <w:t>.</w:t>
      </w:r>
      <w:r w:rsidR="00CA14AF">
        <w:t xml:space="preserve"> </w:t>
      </w:r>
      <w:r w:rsidR="008C479B" w:rsidRPr="00BC2214">
        <w:t>Šie no</w:t>
      </w:r>
      <w:r w:rsidRPr="00BC2214">
        <w:t>teikumi</w:t>
      </w:r>
      <w:r w:rsidR="008C479B" w:rsidRPr="00BC2214">
        <w:t xml:space="preserve">, kas pieņemti līdz ar Veselības aprūpes finansēšanas likumu līdzīgi kā iepriekšējie, kuri bija spēkā līdz likuma </w:t>
      </w:r>
      <w:r w:rsidR="004742DB">
        <w:t xml:space="preserve">un jauno noteikumu </w:t>
      </w:r>
      <w:r w:rsidR="008C479B" w:rsidRPr="00BC2214">
        <w:t>pieņemšanai</w:t>
      </w:r>
      <w:r w:rsidR="008C479B" w:rsidRPr="00BC2214">
        <w:rPr>
          <w:rStyle w:val="FootnoteReference"/>
        </w:rPr>
        <w:footnoteReference w:id="175"/>
      </w:r>
      <w:r w:rsidR="008C479B" w:rsidRPr="00BC2214">
        <w:t>,</w:t>
      </w:r>
      <w:r w:rsidRPr="00BC2214">
        <w:t xml:space="preserve"> apraksta arī atsevišķas pacienta tiesības (piemēram, tiesības izvēlēties ģimenes ārstu, savukārt vispārējās tiesības ir definētas Veselības aprūpes finansēšanas likumā) un nosaka ģimenes ārstu darba laiku.</w:t>
      </w:r>
      <w:r w:rsidRPr="00284862">
        <w:t xml:space="preserve"> Noteikumi uzskaita pakalpojumus, par ko pakalpojumu sniedzēji var prasīt samaksu (esošais valsts apmaksāto pakalpoju</w:t>
      </w:r>
      <w:r w:rsidR="00CA14AF">
        <w:t>mu nodrošinājums), un nosacījumus</w:t>
      </w:r>
      <w:r w:rsidRPr="00284862">
        <w:t xml:space="preserve">, atbilstoši kādiem NVD par šiem pakalpojumiem maksā vai nemaksā, kas tādējādi nosaka pacienta ceļu veselības aprūpes sistēmā uz noteiktu pakalpojumu saņemšanu. </w:t>
      </w:r>
    </w:p>
    <w:p w:rsidR="00AD3FB7" w:rsidRDefault="00AD3FB7" w:rsidP="00064C1E"/>
    <w:p w:rsidR="000C79D9" w:rsidRDefault="00BE18CC" w:rsidP="00064C1E">
      <w:r w:rsidRPr="00BE18CC">
        <w:t xml:space="preserve">Vērtējot iepriekšējos 2013. gada 17. decembra Ministru kabineta noteikumus Nr.1529 „Veselības aprūpes organizēšanas un finansēšanas kārtība”, </w:t>
      </w:r>
      <w:r w:rsidR="00BC2214" w:rsidRPr="00BE18CC">
        <w:t xml:space="preserve">Pasaules Bankas </w:t>
      </w:r>
      <w:r w:rsidRPr="00BE18CC">
        <w:t>eksperti konstatēja, ka „valsts apmaksāto pakalpojumu klāsts ietver tikai nedaudzus veselības veicināšanas un profilakses elementus, ja neskaita ikgadējas labjūtes pārbaudes un nacionālās skrīninga programmas. Veicināšanas pakalpojumi, piemēram, izglītojošas programmas vai smēķēšanas apkarošanas pasākumi, valsts mērogā tiek finansēti no SPKC un vietējā mērogā no pašvaldību līdzekļiem”</w:t>
      </w:r>
      <w:r w:rsidR="00BC2214" w:rsidRPr="00BE18CC">
        <w:rPr>
          <w:rStyle w:val="FootnoteReference"/>
        </w:rPr>
        <w:footnoteReference w:id="176"/>
      </w:r>
      <w:r w:rsidRPr="00BE18CC">
        <w:t>.</w:t>
      </w:r>
      <w:r w:rsidR="00BC2214" w:rsidRPr="00BE18CC">
        <w:t xml:space="preserve"> </w:t>
      </w:r>
      <w:r w:rsidRPr="00BE18CC">
        <w:t xml:space="preserve">Salīdzinot 17.12.2013. MK noteikumu Nr.1529 un 28.08.2018. MK noteikumu Nr.555 redakcijas, </w:t>
      </w:r>
      <w:r w:rsidR="0070628B">
        <w:t>redzams</w:t>
      </w:r>
      <w:r w:rsidRPr="00BE18CC">
        <w:t>, ka</w:t>
      </w:r>
      <w:r w:rsidR="00BB4481">
        <w:t xml:space="preserve"> šis secinājums ir attiecināms</w:t>
      </w:r>
      <w:r w:rsidRPr="00BE18CC">
        <w:t xml:space="preserve"> arī</w:t>
      </w:r>
      <w:r>
        <w:t xml:space="preserve"> </w:t>
      </w:r>
      <w:r w:rsidR="004742DB" w:rsidRPr="00BE18CC">
        <w:t xml:space="preserve">attiecībā uz </w:t>
      </w:r>
      <w:r w:rsidRPr="00BE18CC">
        <w:t>šobrīd spēkā esošo</w:t>
      </w:r>
      <w:r w:rsidR="00BC2214" w:rsidRPr="00BE18CC">
        <w:t xml:space="preserve"> noteikumu </w:t>
      </w:r>
      <w:r w:rsidRPr="00BE18CC">
        <w:t>(</w:t>
      </w:r>
      <w:r>
        <w:t>28.08.2018. MK noteikumiem</w:t>
      </w:r>
      <w:r w:rsidRPr="00BE18CC">
        <w:t xml:space="preserve"> Nr.555) </w:t>
      </w:r>
      <w:r w:rsidR="00BC2214" w:rsidRPr="00BE18CC">
        <w:t>redakcij</w:t>
      </w:r>
      <w:r w:rsidR="004742DB" w:rsidRPr="00BE18CC">
        <w:t>u</w:t>
      </w:r>
      <w:r w:rsidR="000C79D9" w:rsidRPr="00BE18CC">
        <w:t>.</w:t>
      </w:r>
      <w:r>
        <w:t xml:space="preserve"> </w:t>
      </w:r>
      <w:r w:rsidR="00EE298B">
        <w:t>Veselības veicināšanas un slimības profilakses pasākumu intensitātes un aptveramības paaugstināšanas vajadzību parāda gan Sabiedrības veselības pamatnostādnēs 2014. – 2020. gadam aktualizētie dati par iedzīvotāju veselību ietekmējošiem paradumiem</w:t>
      </w:r>
      <w:r w:rsidR="008A7EC9">
        <w:t>, gan</w:t>
      </w:r>
      <w:r w:rsidR="00EE298B">
        <w:t xml:space="preserve"> OECD 2016. gada Latvijas veselības </w:t>
      </w:r>
      <w:r w:rsidR="00EE298B" w:rsidRPr="008A7EC9">
        <w:t>si</w:t>
      </w:r>
      <w:r w:rsidR="008A7EC9">
        <w:t>stēmas izvērtējuma rekomendācija</w:t>
      </w:r>
      <w:r w:rsidR="00EE298B" w:rsidRPr="008A7EC9">
        <w:t>s</w:t>
      </w:r>
      <w:r w:rsidR="00EE298B" w:rsidRPr="008A7EC9">
        <w:rPr>
          <w:rStyle w:val="FootnoteReference"/>
        </w:rPr>
        <w:footnoteReference w:id="177"/>
      </w:r>
      <w:r w:rsidR="00EE298B" w:rsidRPr="008A7EC9">
        <w:t>.</w:t>
      </w:r>
      <w:r w:rsidR="005B4D4B" w:rsidRPr="008A7EC9">
        <w:t xml:space="preserve"> </w:t>
      </w:r>
      <w:r w:rsidR="008A7EC9" w:rsidRPr="008A7EC9">
        <w:t>Savukārt VM, sniedzot pārskatu par rekomendāciju īstenošanas progresu</w:t>
      </w:r>
      <w:r w:rsidR="008A7EC9" w:rsidRPr="008A7EC9">
        <w:rPr>
          <w:rStyle w:val="FootnoteReference"/>
        </w:rPr>
        <w:footnoteReference w:id="178"/>
      </w:r>
      <w:r w:rsidR="008A7EC9" w:rsidRPr="008A7EC9">
        <w:t>, norāda uz ES fondu projektu īstenošanu šajā jomā (sk. iepriekš 2.2.1. nodaļu)</w:t>
      </w:r>
      <w:r w:rsidR="008A7EC9">
        <w:t>, t.i.,</w:t>
      </w:r>
      <w:r w:rsidR="000C79D9" w:rsidRPr="008A7EC9">
        <w:t xml:space="preserve"> </w:t>
      </w:r>
      <w:r w:rsidR="008A7EC9">
        <w:t>v</w:t>
      </w:r>
      <w:r w:rsidR="000C79D9" w:rsidRPr="008A7EC9">
        <w:t xml:space="preserve">eselības veicināšanas pasākumi </w:t>
      </w:r>
      <w:r w:rsidR="006C0C6E" w:rsidRPr="008A7EC9">
        <w:t xml:space="preserve">šobrīd </w:t>
      </w:r>
      <w:r w:rsidR="000C79D9" w:rsidRPr="008A7EC9">
        <w:t xml:space="preserve">tiek īstenoti </w:t>
      </w:r>
      <w:r w:rsidR="00F12000" w:rsidRPr="008A7EC9">
        <w:t>galvenokārt</w:t>
      </w:r>
      <w:r w:rsidR="000C79D9" w:rsidRPr="008A7EC9">
        <w:t xml:space="preserve"> ES fondu projektu ietvaros, kā arī no valsts budžeta un vietējā mērogā no pašvaldību līdzekļiem.</w:t>
      </w:r>
      <w:r w:rsidR="00EE1BA9" w:rsidRPr="008A7EC9">
        <w:t xml:space="preserve"> </w:t>
      </w:r>
      <w:r w:rsidR="008A7EC9">
        <w:t>Tomēr jāuzsver, ka, l</w:t>
      </w:r>
      <w:r w:rsidR="00EE1BA9" w:rsidRPr="008A7EC9">
        <w:t xml:space="preserve">ai gan ES fondu aktivitātes sniedz būtisku atbalstu nozarei aktuālu jautājumu risināšanā, šajā gadījumā – slimību profilakses un veselības veicināšanas pasākumu aptveramības būtiskā paaugstināšanā, tie nenodrošina pakalpojuma sniegšanas nepārtrauktību, līdz ar to </w:t>
      </w:r>
      <w:r w:rsidR="003C6DBA" w:rsidRPr="008A7EC9">
        <w:t>arī patstāvīgu noklājumu reģionu</w:t>
      </w:r>
      <w:r w:rsidR="00EE1BA9" w:rsidRPr="008A7EC9">
        <w:t xml:space="preserve"> un mērķa grupas pieejamības aspektā. </w:t>
      </w:r>
      <w:r w:rsidR="006C0C6E" w:rsidRPr="008A7EC9">
        <w:t>Tādējādi var secināt, ka</w:t>
      </w:r>
      <w:r w:rsidR="00EE1BA9" w:rsidRPr="008A7EC9">
        <w:t xml:space="preserve"> </w:t>
      </w:r>
      <w:r w:rsidR="003C6DBA" w:rsidRPr="008A7EC9">
        <w:t xml:space="preserve">ES </w:t>
      </w:r>
      <w:r w:rsidR="00EE1BA9" w:rsidRPr="008A7EC9">
        <w:t xml:space="preserve">fondu aktivitātes </w:t>
      </w:r>
      <w:r w:rsidR="006C0C6E" w:rsidRPr="008A7EC9">
        <w:t>ne</w:t>
      </w:r>
      <w:r w:rsidR="00EE1BA9" w:rsidRPr="008A7EC9">
        <w:t xml:space="preserve">risina </w:t>
      </w:r>
      <w:r w:rsidR="006C0C6E" w:rsidRPr="008A7EC9">
        <w:t>sabiedrības veselības jautājumu aktualizēšanas vajadzību</w:t>
      </w:r>
      <w:r w:rsidR="00EE1BA9" w:rsidRPr="008A7EC9">
        <w:t xml:space="preserve"> ilgtermiņā</w:t>
      </w:r>
      <w:r w:rsidR="006C0C6E" w:rsidRPr="008A7EC9">
        <w:t xml:space="preserve">, un ir būtiski, lai tiktu nodrošināta uzsākto aktivitāšu pēctecība, nodrošinot attiecīgi </w:t>
      </w:r>
      <w:r w:rsidR="00C548CE">
        <w:t>valsts vai pašvaldību budžeta fi</w:t>
      </w:r>
      <w:r w:rsidR="006C0C6E" w:rsidRPr="008A7EC9">
        <w:t>nansējumu, lai veicinātu iedzīvotāju vidū nepieciešamo veselīga dzīvesveida un paradumu nostiprināšanos</w:t>
      </w:r>
      <w:r w:rsidR="00EE1BA9" w:rsidRPr="008A7EC9">
        <w:t xml:space="preserve"> </w:t>
      </w:r>
      <w:r w:rsidR="006C0C6E" w:rsidRPr="008A7EC9">
        <w:t>un efekt</w:t>
      </w:r>
      <w:r w:rsidR="00AE429C">
        <w:t>a</w:t>
      </w:r>
      <w:r w:rsidR="006C0C6E" w:rsidRPr="008A7EC9">
        <w:t xml:space="preserve"> ilgstspēju</w:t>
      </w:r>
      <w:r w:rsidR="00EE1BA9" w:rsidRPr="008A7EC9">
        <w:t>.</w:t>
      </w:r>
      <w:r w:rsidR="007E20AA">
        <w:t xml:space="preserve"> Tāpat ir jāpievērš uzmanība tam, ka informatīvajos ziņojumos par veselības aprūpes reformas pasākumu īstenošanu, kas ir nozīmīgs informācijas avots par dažādās jomās plānoto un sasniegto konkrēta laika posma ietvaros, netiek iekļauti dati par ES fondu projektos īstenotajām aktivitātēm veselības veicināšanas jomā, tādējādi </w:t>
      </w:r>
      <w:r w:rsidR="00AE429C">
        <w:t xml:space="preserve">šobrīd </w:t>
      </w:r>
      <w:r w:rsidR="007E20AA">
        <w:t xml:space="preserve">nav </w:t>
      </w:r>
      <w:r w:rsidR="00AE429C">
        <w:t>pieejama</w:t>
      </w:r>
      <w:r w:rsidR="007E20AA">
        <w:t xml:space="preserve"> informācija par šo pasākumu efektivitāti. </w:t>
      </w:r>
    </w:p>
    <w:p w:rsidR="00B372CB" w:rsidRDefault="00B372CB" w:rsidP="00064C1E">
      <w:r>
        <w:lastRenderedPageBreak/>
        <w:t>Veselības aprūpes nozares finansēšan</w:t>
      </w:r>
      <w:r w:rsidR="00CA14AF">
        <w:t>a</w:t>
      </w:r>
      <w:r>
        <w:t>s ziņā svarīgi ir vēl vairāki tiesību akti. Farmācijas likums</w:t>
      </w:r>
      <w:r>
        <w:rPr>
          <w:rStyle w:val="FootnoteReference"/>
        </w:rPr>
        <w:footnoteReference w:id="179"/>
      </w:r>
      <w:r>
        <w:t xml:space="preserve"> ir nozīmīgs ar to, ka, nosakot</w:t>
      </w:r>
      <w:r w:rsidRPr="00387A5C">
        <w:t xml:space="preserve"> fizisko un juridisko personu darbību farmācijas jomā, </w:t>
      </w:r>
      <w:r>
        <w:t xml:space="preserve">ir pamats, uz kā ir izdota virkne nozari reglamentējošo MK noteikumu, t.sk., 2006. gada 31. oktobra MK noteikumus </w:t>
      </w:r>
      <w:r w:rsidRPr="003B201F">
        <w:t>Nr. 899</w:t>
      </w:r>
      <w:r>
        <w:t xml:space="preserve"> „</w:t>
      </w:r>
      <w:r w:rsidRPr="003B201F">
        <w:t xml:space="preserve">Ambulatorajai ārstēšanai paredzēto zāļu un medicīnisko ierīču iegādes </w:t>
      </w:r>
      <w:r>
        <w:t>izdevumu kompensācijas kārtība”</w:t>
      </w:r>
      <w:r>
        <w:rPr>
          <w:rStyle w:val="FootnoteReference"/>
        </w:rPr>
        <w:footnoteReference w:id="180"/>
      </w:r>
      <w:r>
        <w:t xml:space="preserve">. </w:t>
      </w:r>
      <w:r w:rsidRPr="00380687">
        <w:t>Kompensācijas kārtība ietver pasākumu kopumu, kas pacientam nodrošina iespēju iegādāties zāles un medicīniskās ierīces, kuru iegādes izdevumus atbilstoši šiem noteikumiem daļēji vai pilnībā sedz no likumā par valsts budžetu kārtējam gadam zāļu iegādes izdevumu kompensācijai piešķirtajiem līdzekļiem</w:t>
      </w:r>
      <w:r>
        <w:t xml:space="preserve"> (sk. sīkāk 2.2.3. nodaļu). MK noteikumu </w:t>
      </w:r>
      <w:r w:rsidR="00CA14AF" w:rsidRPr="003B201F">
        <w:t>Nr. 899</w:t>
      </w:r>
      <w:r w:rsidR="00CA14AF">
        <w:t xml:space="preserve"> (31.10.2006.) </w:t>
      </w:r>
      <w:r>
        <w:t>10. punkts paredz, ka z</w:t>
      </w:r>
      <w:r w:rsidRPr="002220B8">
        <w:t>āļu un medicīnisko ierīču iegādes izdevumus kompensē saskaņā ar kompensējamo zāļu sarakstu un M sarakstu, ko veido un uztur Nacionālais veselības dienests.</w:t>
      </w:r>
      <w:r>
        <w:t xml:space="preserve"> Turpinājumā sniegti arī nosacījumi, kā zāles tiek iekļautas šajā zāļu sarakstā.</w:t>
      </w:r>
    </w:p>
    <w:p w:rsidR="00B372CB" w:rsidRDefault="00B372CB" w:rsidP="00064C1E"/>
    <w:p w:rsidR="000C79D9" w:rsidRPr="00B372CB" w:rsidRDefault="00B372CB" w:rsidP="00064C1E">
      <w:pPr>
        <w:rPr>
          <w:bCs/>
        </w:rPr>
      </w:pPr>
      <w:r>
        <w:t xml:space="preserve">Vēl viens nozīmīgs tiesību akts ir </w:t>
      </w:r>
      <w:r w:rsidRPr="0050576F">
        <w:t>Epidemioloģiskās drošības likums</w:t>
      </w:r>
      <w:r>
        <w:rPr>
          <w:rStyle w:val="FootnoteReference"/>
        </w:rPr>
        <w:footnoteReference w:id="181"/>
      </w:r>
      <w:r>
        <w:t xml:space="preserve">, kura </w:t>
      </w:r>
      <w:r w:rsidR="00BC2214">
        <w:t xml:space="preserve">mērķis ir </w:t>
      </w:r>
      <w:r w:rsidR="00BC2214" w:rsidRPr="00BC2214">
        <w:t>reglamentēt epidemioloģisko drošību un noteikt valsts institūciju, pašvaldību, fizisko un juridisko personu tiesības un pienākumus epidemioloģiskās drošības jomā</w:t>
      </w:r>
      <w:r>
        <w:t xml:space="preserve">, un </w:t>
      </w:r>
      <w:r w:rsidR="00BC2214">
        <w:t xml:space="preserve">saskaņā ar likuma 3.pantu </w:t>
      </w:r>
      <w:r w:rsidR="00CA14AF">
        <w:t>šī</w:t>
      </w:r>
      <w:r>
        <w:t xml:space="preserve"> mērķ</w:t>
      </w:r>
      <w:r w:rsidR="00CA14AF">
        <w:t>a</w:t>
      </w:r>
      <w:r>
        <w:t xml:space="preserve"> ietvaros </w:t>
      </w:r>
      <w:r w:rsidR="00CA14AF">
        <w:t xml:space="preserve">tiek veikta arī </w:t>
      </w:r>
      <w:r w:rsidR="00CA14AF" w:rsidRPr="00CA14AF">
        <w:t>infekcijas slimību epidemioloģiskā uzraudzīb</w:t>
      </w:r>
      <w:r w:rsidR="00CA14AF">
        <w:t xml:space="preserve">a, </w:t>
      </w:r>
      <w:r>
        <w:t>iedzīvotāju nodrošināšana ar imūnbioloģiskiem preparātiem un vakc</w:t>
      </w:r>
      <w:r w:rsidR="00CA14AF">
        <w:t>ī</w:t>
      </w:r>
      <w:r>
        <w:t>n</w:t>
      </w:r>
      <w:r w:rsidR="00CA14AF">
        <w:t>ām</w:t>
      </w:r>
      <w:r>
        <w:t xml:space="preserve"> u.tml. pasākum</w:t>
      </w:r>
      <w:r w:rsidR="00BC2214">
        <w:t>i</w:t>
      </w:r>
      <w:r>
        <w:t xml:space="preserve">. Uz šī likuma pamata ir izdoti vairāki MK noteikumi, no kuriem svarīgākais no tiem šī Izvērtējuma kontekstā ir 2000. gada 26. </w:t>
      </w:r>
      <w:r w:rsidR="00BC2214">
        <w:t>septembra</w:t>
      </w:r>
      <w:r>
        <w:t xml:space="preserve"> MK noteikumi Nr. 330 „</w:t>
      </w:r>
      <w:r w:rsidRPr="00DD26F6">
        <w:rPr>
          <w:bCs/>
        </w:rPr>
        <w:t>Vakcinācijas noteikumi</w:t>
      </w:r>
      <w:r>
        <w:rPr>
          <w:bCs/>
        </w:rPr>
        <w:t>”</w:t>
      </w:r>
      <w:r>
        <w:rPr>
          <w:rStyle w:val="FootnoteReference"/>
          <w:bCs/>
        </w:rPr>
        <w:footnoteReference w:id="182"/>
      </w:r>
      <w:r>
        <w:rPr>
          <w:bCs/>
        </w:rPr>
        <w:t>.</w:t>
      </w:r>
      <w:r w:rsidRPr="00765742">
        <w:t xml:space="preserve"> </w:t>
      </w:r>
      <w:r>
        <w:t>Likuma 30. panta 1. daļa nosaka, ka šajos MK noteikumos ir norādītas infekcijas slimības, pret kurām personas</w:t>
      </w:r>
      <w:r w:rsidR="00CA14AF">
        <w:t xml:space="preserve"> ir</w:t>
      </w:r>
      <w:r>
        <w:t xml:space="preserve"> vakcinējamas obligāti</w:t>
      </w:r>
      <w:r w:rsidR="00BC2214">
        <w:t xml:space="preserve"> (attiecīgi </w:t>
      </w:r>
      <w:r w:rsidR="00CA14AF" w:rsidRPr="00CA14AF">
        <w:t xml:space="preserve">MK noteikumu Nr. 330 </w:t>
      </w:r>
      <w:r w:rsidR="00CA14AF">
        <w:t xml:space="preserve">(26.09.2000.) </w:t>
      </w:r>
      <w:r w:rsidR="00BC2214">
        <w:t>3. punkts)</w:t>
      </w:r>
      <w:r>
        <w:t>, kā arī šīs vakcinācijas kārtību un vakcinējamo personu loku, paredzot, ka izdevumus par vakcināciju pret minētajām slimībām sedz no gadskārtējā valsts budžetā šim nolūkam paredzētajiem līdzekļiem.</w:t>
      </w:r>
    </w:p>
    <w:p w:rsidR="000A51CF" w:rsidRDefault="000A51CF" w:rsidP="003945E0">
      <w:pPr>
        <w:pStyle w:val="Heading3"/>
      </w:pPr>
      <w:bookmarkStart w:id="487" w:name="_Toc6841590"/>
      <w:r>
        <w:t>Valsts noteiktie atvieglojumi trūcīgām un nabadzības riskam pakļautajām iedzīvotāju grupām veselības aprūpes pakalpojumu saņemšanai</w:t>
      </w:r>
      <w:bookmarkEnd w:id="487"/>
    </w:p>
    <w:p w:rsidR="001E4ACE" w:rsidRDefault="001A4D2A" w:rsidP="00064C1E">
      <w:r w:rsidRPr="001E4ACE">
        <w:t>Kopumā valsts noteiktie atvieglojumi iedzīvotājiem attiecībā uz veselības aprūpes pakalpojumu saņemšanu</w:t>
      </w:r>
      <w:r w:rsidR="004742DB">
        <w:t xml:space="preserve"> un zāļu iegādi</w:t>
      </w:r>
      <w:r w:rsidRPr="001E4ACE">
        <w:t xml:space="preserve"> ir noteikti vairākos tiesību aktos, no kuriem galvenie ir </w:t>
      </w:r>
      <w:r w:rsidR="00D86985" w:rsidRPr="001E4ACE">
        <w:t>Veselības aprūpes finansēšanas likums un no tā izrietošie 28.08.2018. MK noteikumi Nr.555 „Veselības aprūpes pakalpojumu organizēšanas un samaksas kārtība” (</w:t>
      </w:r>
      <w:r w:rsidR="001E4ACE" w:rsidRPr="001E4ACE">
        <w:t>veselības aprūpes pakalpojumu finansēšana</w:t>
      </w:r>
      <w:r w:rsidR="00D86985" w:rsidRPr="001E4ACE">
        <w:t xml:space="preserve">), no Farmācijas likuma izrietošie 31.10.2006. MK noteikumi Nr. 899 „Ambulatorajai ārstēšanai paredzēto zāļu un medicīnisko ierīču iegādes izdevumu kompensācijas kārtība” </w:t>
      </w:r>
      <w:r w:rsidR="001E4ACE" w:rsidRPr="001E4ACE">
        <w:t xml:space="preserve">(zāļu un medicīnisko ierīču iegādes atvieglojumi) </w:t>
      </w:r>
      <w:r w:rsidR="00D86985" w:rsidRPr="001E4ACE">
        <w:t>un Epidemioloģiskās drošības likums un no tā izrietošie 26.</w:t>
      </w:r>
      <w:r w:rsidR="00D90BC7">
        <w:t>09</w:t>
      </w:r>
      <w:r w:rsidR="00D86985" w:rsidRPr="001E4ACE">
        <w:t>.2000. MK noteikumi Nr. 330 „Vakcinācijas noteikumi”</w:t>
      </w:r>
      <w:r w:rsidR="001E4ACE" w:rsidRPr="001E4ACE">
        <w:t xml:space="preserve"> (bezmaksas vakcinācijas mērķa grupas)</w:t>
      </w:r>
      <w:r w:rsidR="00D86985" w:rsidRPr="001E4ACE">
        <w:t xml:space="preserve">. </w:t>
      </w:r>
      <w:r w:rsidR="00E90979">
        <w:t>Tiesību aktu analīze rāda, ka kopumā atvieglojumu noteikšanas sistēma ir grūti izsekojama, un proti, atvieglojumu mērķa grupas parasti ir noteiktas hierarhiski augstākā tiesību aktā (likumā), savukārt atvieglojuma apmērs – MK noteikumos. Dažādu atvieglojumu saņemšanai kompensējamo zāļu un medicīnisko ierīču jomā ir noteikti izņēmumi vai papildu nosacījumi, kas padara tiesību aktu grūti uztveramu ikdienas lietotājam. Tādējādi persona, kura saskaņā ar tiesību aktiem varētu saņemt atvieglojumus, ir atkarīga no ārstniecības personas zināšanām un gatavības izrakstīt</w:t>
      </w:r>
      <w:r w:rsidR="00E12BA0">
        <w:t xml:space="preserve"> attiecīgās zāles </w:t>
      </w:r>
      <w:r w:rsidR="00E12BA0">
        <w:lastRenderedPageBreak/>
        <w:t>vai medicīniskās ierīces</w:t>
      </w:r>
      <w:r w:rsidR="00E90979">
        <w:t xml:space="preserve">. </w:t>
      </w:r>
      <w:r w:rsidRPr="001A4D2A">
        <w:t xml:space="preserve">Valsts noteikto atvieglojumu dažādām iedzīvotāju grupām veselības aprūpes pakalpojumu </w:t>
      </w:r>
      <w:r w:rsidRPr="004742DB">
        <w:t xml:space="preserve">saņemšanai apsekojuma rezultāti detalizēti aplūkojami </w:t>
      </w:r>
      <w:r w:rsidR="004742DB" w:rsidRPr="004742DB">
        <w:t>Gala ziņojuma</w:t>
      </w:r>
      <w:r w:rsidRPr="004742DB">
        <w:t xml:space="preserve"> </w:t>
      </w:r>
      <w:r w:rsidR="004742DB" w:rsidRPr="004742DB">
        <w:t>10</w:t>
      </w:r>
      <w:r w:rsidRPr="004742DB">
        <w:t>. pielikumā.</w:t>
      </w:r>
      <w:r w:rsidRPr="001A4D2A">
        <w:t xml:space="preserve"> </w:t>
      </w:r>
    </w:p>
    <w:p w:rsidR="001E4ACE" w:rsidRDefault="001E4ACE" w:rsidP="00064C1E"/>
    <w:p w:rsidR="00937B73" w:rsidRDefault="001A4D2A" w:rsidP="00922A20">
      <w:r w:rsidRPr="001A4D2A">
        <w:t xml:space="preserve">Apkopojot </w:t>
      </w:r>
      <w:r w:rsidR="004742DB">
        <w:t>Gala ziņojuma 10</w:t>
      </w:r>
      <w:r w:rsidR="001E4ACE">
        <w:t xml:space="preserve">. </w:t>
      </w:r>
      <w:r w:rsidRPr="001A4D2A">
        <w:t xml:space="preserve">pielikumā ietverto informāciju, noteiktām personu grupām pieejamie atvieglojumi </w:t>
      </w:r>
      <w:r w:rsidRPr="005B1EB1">
        <w:t>varētu tikt iedalīti divās lielās grupās, un proti: (a) atbrīvojumi no pacientu līdzmaksājumiem un (b)</w:t>
      </w:r>
      <w:r w:rsidRPr="001A4D2A">
        <w:t xml:space="preserve"> b</w:t>
      </w:r>
      <w:r w:rsidR="00A54B33" w:rsidRPr="001A4D2A">
        <w:t>ezmaksas pakalpojumi vai atvieglojumi noteiktām mērķa grupām noteiktu pakalpojumu</w:t>
      </w:r>
      <w:r w:rsidR="000C3638">
        <w:t>,</w:t>
      </w:r>
      <w:r w:rsidRPr="001A4D2A">
        <w:t xml:space="preserve"> saslimšanu </w:t>
      </w:r>
      <w:r w:rsidR="000C3638">
        <w:t xml:space="preserve">un zāļu iegādes </w:t>
      </w:r>
      <w:r w:rsidR="00A54B33" w:rsidRPr="001A4D2A">
        <w:t>gadījumos</w:t>
      </w:r>
      <w:r>
        <w:t>.</w:t>
      </w:r>
      <w:r w:rsidR="001E4ACE">
        <w:t xml:space="preserve"> </w:t>
      </w:r>
      <w:r w:rsidR="000C3638">
        <w:t>Visu šo a</w:t>
      </w:r>
      <w:r w:rsidR="00DD7DB5">
        <w:t>tvieglojumu</w:t>
      </w:r>
      <w:r w:rsidR="000C3638">
        <w:t xml:space="preserve"> veidu</w:t>
      </w:r>
      <w:r w:rsidR="00DD7DB5">
        <w:t xml:space="preserve"> mērķa grupu noteikša</w:t>
      </w:r>
      <w:r w:rsidR="003A6ACA">
        <w:t xml:space="preserve">nā </w:t>
      </w:r>
      <w:r w:rsidR="00DD7DB5">
        <w:t>var identificēt</w:t>
      </w:r>
      <w:r w:rsidR="003A6ACA">
        <w:t xml:space="preserve"> </w:t>
      </w:r>
      <w:r w:rsidR="00DD7DB5">
        <w:t>piecu</w:t>
      </w:r>
      <w:r w:rsidR="003A6ACA">
        <w:t xml:space="preserve"> kritērij</w:t>
      </w:r>
      <w:r w:rsidR="00DD7DB5">
        <w:t>u izmantošanu</w:t>
      </w:r>
      <w:r w:rsidR="003A6ACA">
        <w:t xml:space="preserve">: </w:t>
      </w:r>
    </w:p>
    <w:p w:rsidR="00937B73" w:rsidRDefault="003A6ACA" w:rsidP="003F469F">
      <w:pPr>
        <w:pStyle w:val="ListParagraph"/>
        <w:numPr>
          <w:ilvl w:val="0"/>
          <w:numId w:val="117"/>
        </w:numPr>
        <w:spacing w:line="276" w:lineRule="auto"/>
        <w:jc w:val="both"/>
      </w:pPr>
      <w:r>
        <w:t>piederība sociāl</w:t>
      </w:r>
      <w:r w:rsidR="00937B73">
        <w:t>i mazaizsargāta</w:t>
      </w:r>
      <w:r>
        <w:t>i vai atstumtības riska grupai (</w:t>
      </w:r>
      <w:r w:rsidR="00937B73">
        <w:t>bērni vecumā līdz 18 gadiem,</w:t>
      </w:r>
      <w:r w:rsidR="00937B73" w:rsidRPr="003A6ACA">
        <w:t xml:space="preserve"> </w:t>
      </w:r>
      <w:r w:rsidRPr="003A6ACA">
        <w:t>trūcīgās personas</w:t>
      </w:r>
      <w:r w:rsidR="00937B73">
        <w:t>, patvēruma meklētāji</w:t>
      </w:r>
      <w:r>
        <w:t xml:space="preserve">); </w:t>
      </w:r>
    </w:p>
    <w:p w:rsidR="000903BE" w:rsidRDefault="000903BE" w:rsidP="003F469F">
      <w:pPr>
        <w:pStyle w:val="ListParagraph"/>
        <w:numPr>
          <w:ilvl w:val="0"/>
          <w:numId w:val="117"/>
        </w:numPr>
        <w:spacing w:line="276" w:lineRule="auto"/>
        <w:jc w:val="both"/>
      </w:pPr>
      <w:r>
        <w:t>kopējais funkcionālais stāvoklis (piemēram, personas ar I vai II grupas invaliditāti</w:t>
      </w:r>
      <w:r w:rsidR="00E86007">
        <w:t>;</w:t>
      </w:r>
      <w:r>
        <w:t xml:space="preserve"> </w:t>
      </w:r>
      <w:r w:rsidRPr="00937B73">
        <w:t>personas, kuras saņem veselības aprūpi mājās vai paliatīvo aprūpi stacionārajā ārstniecības iestādē Ministru kabineta noteiktajā apjomā, kā arī paliatīvo aprūpi, ko sniedz ģimenes ārsts mājas vizītes laikā</w:t>
      </w:r>
      <w:r>
        <w:t xml:space="preserve">); </w:t>
      </w:r>
    </w:p>
    <w:p w:rsidR="00937B73" w:rsidRDefault="00937B73" w:rsidP="003F469F">
      <w:pPr>
        <w:pStyle w:val="ListParagraph"/>
        <w:numPr>
          <w:ilvl w:val="0"/>
          <w:numId w:val="117"/>
        </w:numPr>
        <w:spacing w:line="276" w:lineRule="auto"/>
        <w:jc w:val="both"/>
      </w:pPr>
      <w:r>
        <w:t xml:space="preserve">personas, kurām ir konstatēta noteikta saslimšana, tiek veikti izmeklējumi šai saslimšanai vai </w:t>
      </w:r>
      <w:r w:rsidR="00E12BA0">
        <w:t xml:space="preserve">tās </w:t>
      </w:r>
      <w:r>
        <w:t xml:space="preserve">atrodas noteiktā funkcionālā </w:t>
      </w:r>
      <w:r w:rsidR="000C3638">
        <w:t xml:space="preserve">(fizioloģiskā) </w:t>
      </w:r>
      <w:r>
        <w:t>stāvoklī</w:t>
      </w:r>
      <w:r w:rsidR="003A6ACA">
        <w:t xml:space="preserve"> (</w:t>
      </w:r>
      <w:r>
        <w:t xml:space="preserve">piemēram, </w:t>
      </w:r>
      <w:r w:rsidRPr="00937B73">
        <w:t>grūtnieces un sievietes pēcdzemdību periodā līdz 70 dienām, ja tiek saņemti veselības aprūpes pakalpojumi, kas saistīti ar grūtniecības un pēcdzemdību novērošanu un grūtniecības norisi</w:t>
      </w:r>
      <w:r w:rsidR="00B858A0">
        <w:t>;</w:t>
      </w:r>
      <w:r>
        <w:t xml:space="preserve"> </w:t>
      </w:r>
      <w:r w:rsidRPr="00937B73">
        <w:t>personas, kuras saņem veselības aprūpes pakalpojumus Ministru kabineta noteikto infekcijas slimību gadījumos</w:t>
      </w:r>
      <w:r>
        <w:t>, orgānu donori u.tml.</w:t>
      </w:r>
      <w:r w:rsidR="003A6ACA">
        <w:t xml:space="preserve">); </w:t>
      </w:r>
    </w:p>
    <w:p w:rsidR="00DD7DB5" w:rsidRDefault="00DD7DB5" w:rsidP="003F469F">
      <w:pPr>
        <w:pStyle w:val="ListParagraph"/>
        <w:numPr>
          <w:ilvl w:val="0"/>
          <w:numId w:val="117"/>
        </w:numPr>
        <w:spacing w:line="276" w:lineRule="auto"/>
        <w:jc w:val="both"/>
      </w:pPr>
      <w:r>
        <w:t xml:space="preserve">atbilstība </w:t>
      </w:r>
      <w:r w:rsidRPr="00937B73">
        <w:t>politiski represētās personas, nacionālās pretošanās kustības dalībniek</w:t>
      </w:r>
      <w:r>
        <w:t xml:space="preserve">a </w:t>
      </w:r>
      <w:r w:rsidRPr="00937B73">
        <w:t>un Černobiļas atomelektrostacijas avārijas rezultātā cietušās personas</w:t>
      </w:r>
      <w:r>
        <w:t xml:space="preserve"> un</w:t>
      </w:r>
      <w:r w:rsidRPr="00937B73">
        <w:t xml:space="preserve"> tās seku likvidācijā cietušās personas</w:t>
      </w:r>
      <w:r>
        <w:t xml:space="preserve"> statusam</w:t>
      </w:r>
      <w:r w:rsidRPr="00937B73">
        <w:t>;</w:t>
      </w:r>
    </w:p>
    <w:p w:rsidR="003A6ACA" w:rsidRDefault="00DD7DB5" w:rsidP="003F469F">
      <w:pPr>
        <w:pStyle w:val="ListParagraph"/>
        <w:numPr>
          <w:ilvl w:val="0"/>
          <w:numId w:val="117"/>
        </w:numPr>
        <w:spacing w:line="276" w:lineRule="auto"/>
        <w:jc w:val="both"/>
      </w:pPr>
      <w:r>
        <w:t xml:space="preserve">dalība noteiktos </w:t>
      </w:r>
      <w:r w:rsidR="003A6ACA">
        <w:t>profilaktisk</w:t>
      </w:r>
      <w:r>
        <w:t>os</w:t>
      </w:r>
      <w:r w:rsidR="003A6ACA">
        <w:t xml:space="preserve"> pasākum</w:t>
      </w:r>
      <w:r>
        <w:t>us</w:t>
      </w:r>
      <w:r w:rsidR="003A6ACA">
        <w:t xml:space="preserve"> (</w:t>
      </w:r>
      <w:r w:rsidR="00937B73">
        <w:t xml:space="preserve">personas, kas saņem noteikta veida </w:t>
      </w:r>
      <w:r w:rsidR="003A6ACA">
        <w:t>vakcinācij</w:t>
      </w:r>
      <w:r w:rsidR="00937B73">
        <w:t>u vai piedalās</w:t>
      </w:r>
      <w:r w:rsidR="003A6ACA">
        <w:t xml:space="preserve"> skr</w:t>
      </w:r>
      <w:r w:rsidR="00937B73">
        <w:t>īningā</w:t>
      </w:r>
      <w:r w:rsidR="00766282">
        <w:t>, kur mērķa grupas noteikšanā atskaites punkts ir personas vecums</w:t>
      </w:r>
      <w:r w:rsidR="003A6ACA">
        <w:t>).</w:t>
      </w:r>
    </w:p>
    <w:p w:rsidR="003A6ACA" w:rsidRDefault="003A6ACA" w:rsidP="00922A20"/>
    <w:p w:rsidR="000903BE" w:rsidRDefault="00351655" w:rsidP="00922A20">
      <w:r w:rsidRPr="00766282">
        <w:t>Izvērtējot tiesību aktos ietvertos atvieglojumus, redzams, ka</w:t>
      </w:r>
      <w:r w:rsidR="00CF09BF">
        <w:t>, izņemot atsevišķus gadījumus,</w:t>
      </w:r>
      <w:r w:rsidR="00766282" w:rsidRPr="00766282">
        <w:t xml:space="preserve"> galvenie kritēriji, uz kuriem tiek balstīta atvieglojumu piešķiršana veselības aprūpes pakalpojumu saņemšana</w:t>
      </w:r>
      <w:r w:rsidR="00BC2214">
        <w:t>i un zāļu iegādei</w:t>
      </w:r>
      <w:r w:rsidR="00766282" w:rsidRPr="00766282">
        <w:t>, ir personai konstatēt</w:t>
      </w:r>
      <w:r w:rsidR="00CF09BF">
        <w:t>a</w:t>
      </w:r>
      <w:r w:rsidR="00766282" w:rsidRPr="00766282">
        <w:t xml:space="preserve"> saslimšan</w:t>
      </w:r>
      <w:r w:rsidR="00CF09BF">
        <w:t>a</w:t>
      </w:r>
      <w:r w:rsidR="00766282" w:rsidRPr="00766282">
        <w:t>, noteikt</w:t>
      </w:r>
      <w:r w:rsidR="00CF09BF">
        <w:t>s funkcionālais</w:t>
      </w:r>
      <w:r w:rsidR="00766282" w:rsidRPr="00766282">
        <w:t xml:space="preserve"> stāvokli</w:t>
      </w:r>
      <w:r w:rsidR="00CF09BF">
        <w:t>s</w:t>
      </w:r>
      <w:r w:rsidR="00766282" w:rsidRPr="00766282">
        <w:t xml:space="preserve"> vai dalīb</w:t>
      </w:r>
      <w:r w:rsidR="00CF09BF">
        <w:t>a</w:t>
      </w:r>
      <w:r w:rsidR="00766282" w:rsidRPr="00766282">
        <w:t xml:space="preserve"> noteiktos profilaktiskos pasākumos. </w:t>
      </w:r>
      <w:r w:rsidR="00CF09BF">
        <w:t>Aplūkojot atšķirīgos gadījumus, var noteikt</w:t>
      </w:r>
      <w:r w:rsidR="00766282" w:rsidRPr="00766282">
        <w:t xml:space="preserve"> trīs soci</w:t>
      </w:r>
      <w:r w:rsidR="00CF09BF">
        <w:t>āli mazaizsargātās</w:t>
      </w:r>
      <w:r w:rsidR="00766282" w:rsidRPr="00766282">
        <w:t xml:space="preserve"> vai atstumtības riska grup</w:t>
      </w:r>
      <w:r w:rsidR="00CF09BF">
        <w:t>as, kurām</w:t>
      </w:r>
      <w:r w:rsidR="00766282" w:rsidRPr="00766282">
        <w:t xml:space="preserve"> ir noteikti konkrēti atvieglojumi veselības aprūpes pakalpojumu saņemšanai. Šīs grupas ir bērni vecumā līdz 18 gadiem, trūcīgās personas, patvēruma meklētāji. Vienlaikus gan Pasaules Bankas, gan OECD</w:t>
      </w:r>
      <w:r w:rsidR="00D17259">
        <w:rPr>
          <w:rStyle w:val="FootnoteReference"/>
        </w:rPr>
        <w:footnoteReference w:id="183"/>
      </w:r>
      <w:r w:rsidR="00766282" w:rsidRPr="00766282">
        <w:t xml:space="preserve"> izvērtējumā, kā arī </w:t>
      </w:r>
      <w:r w:rsidR="00766282" w:rsidRPr="00D17259">
        <w:t>atsevišķu Latvijas ekspertu vērtējumā svarīgi būtu tiesību aktos paredzēt arī atvieglojumus maznodrošinātām personām</w:t>
      </w:r>
      <w:r w:rsidR="00286675">
        <w:t xml:space="preserve"> (t.i., kuras nevar pretendēt uz atvieglojumiem, ko saņem trūcīgas personas)</w:t>
      </w:r>
      <w:r w:rsidR="00766282" w:rsidRPr="00D17259">
        <w:t>.</w:t>
      </w:r>
    </w:p>
    <w:p w:rsidR="00120E06" w:rsidRDefault="000A51CF" w:rsidP="003945E0">
      <w:pPr>
        <w:pStyle w:val="Heading3"/>
      </w:pPr>
      <w:bookmarkStart w:id="488" w:name="_Toc6841591"/>
      <w:r w:rsidRPr="00FE2526">
        <w:lastRenderedPageBreak/>
        <w:t>Pašvaldību noteiktie atvieglojumi trūcīgām un maznodrošinātām personām, kā arī nabadzības riskam pakļautajām iedzīvotāju grupām veselības aprūpes pakalpojumu saņemšanai</w:t>
      </w:r>
      <w:bookmarkEnd w:id="488"/>
      <w:r>
        <w:t xml:space="preserve"> </w:t>
      </w:r>
      <w:r w:rsidR="00120E06">
        <w:t xml:space="preserve"> </w:t>
      </w:r>
    </w:p>
    <w:p w:rsidR="00EB4231" w:rsidRDefault="00EB4231" w:rsidP="00064C1E">
      <w:r w:rsidRPr="00E75D7D">
        <w:t>Bals</w:t>
      </w:r>
      <w:r>
        <w:t xml:space="preserve">toties uz vortālā </w:t>
      </w:r>
      <w:r w:rsidRPr="00E75D7D">
        <w:rPr>
          <w:i/>
        </w:rPr>
        <w:t>likumi.lv</w:t>
      </w:r>
      <w:r>
        <w:t xml:space="preserve"> un pašvaldību interneta vietnēs </w:t>
      </w:r>
      <w:r w:rsidRPr="00E75D7D">
        <w:t>publiski pieej</w:t>
      </w:r>
      <w:r>
        <w:t xml:space="preserve">amiem saistošajiem noteikumiem, tika analizēti 119 pašvaldību (9 republikas pilsētas un 110 novadi) saistošie noteikumi par pieejamajiem atvieglojumiem dažādām iedzīvotāju grupām veselības aprūpes jomā. Pašvaldību </w:t>
      </w:r>
      <w:r w:rsidRPr="000C3638">
        <w:t xml:space="preserve">saistošo noteikumu apsekojuma rezultāti ir apkopoti 5.pielikumā (sk. </w:t>
      </w:r>
      <w:r w:rsidR="000C3638" w:rsidRPr="000C3638">
        <w:t>Gala ziņojuma</w:t>
      </w:r>
      <w:r w:rsidR="00E42849" w:rsidRPr="000C3638">
        <w:t xml:space="preserve"> </w:t>
      </w:r>
      <w:r w:rsidR="000C3638" w:rsidRPr="000C3638">
        <w:t>11</w:t>
      </w:r>
      <w:r w:rsidR="00E42849" w:rsidRPr="000C3638">
        <w:t>.pielikum</w:t>
      </w:r>
      <w:r w:rsidR="000C3638" w:rsidRPr="000C3638">
        <w:t>u</w:t>
      </w:r>
      <w:r w:rsidRPr="000C3638">
        <w:t>)</w:t>
      </w:r>
      <w:r w:rsidR="000B42DE" w:rsidRPr="000C3638">
        <w:t>.</w:t>
      </w:r>
      <w:r>
        <w:t xml:space="preserve"> </w:t>
      </w:r>
    </w:p>
    <w:p w:rsidR="00FE2526" w:rsidRDefault="00FE2526" w:rsidP="00064C1E"/>
    <w:p w:rsidR="000C2C59" w:rsidRPr="00E46054" w:rsidRDefault="00EB4231" w:rsidP="00064C1E">
      <w:r>
        <w:t xml:space="preserve">Šajā apakšnodaļā ir sniegts pašvaldību dokumentu analīzes rezultātu kopsavilkums. </w:t>
      </w:r>
      <w:r w:rsidR="000C2C59" w:rsidRPr="00E46054">
        <w:t xml:space="preserve">Pašvaldību sniegtos atvieglojumu veidus veselības aprūpes </w:t>
      </w:r>
      <w:r w:rsidR="00DB478E">
        <w:t xml:space="preserve">pakalpojumu pieejamības </w:t>
      </w:r>
      <w:r w:rsidR="000C2C59" w:rsidRPr="00E46054">
        <w:t xml:space="preserve">jomā </w:t>
      </w:r>
      <w:r w:rsidR="00DB478E">
        <w:t>var</w:t>
      </w:r>
      <w:r w:rsidR="000C2C59" w:rsidRPr="00E46054">
        <w:t xml:space="preserve"> iedalīt divās </w:t>
      </w:r>
      <w:r w:rsidR="00DB478E">
        <w:t xml:space="preserve">lielās </w:t>
      </w:r>
      <w:r w:rsidR="000C2C59" w:rsidRPr="00E46054">
        <w:t xml:space="preserve">grupās – </w:t>
      </w:r>
      <w:r w:rsidR="00DB478E">
        <w:t>(1)</w:t>
      </w:r>
      <w:r w:rsidR="000C2C59" w:rsidRPr="00E46054">
        <w:t xml:space="preserve"> atvieglojumi ar materiālā stāvokļa izvērtēšanu un</w:t>
      </w:r>
      <w:r w:rsidR="00DB478E">
        <w:t xml:space="preserve"> (2) </w:t>
      </w:r>
      <w:r w:rsidR="000C2C59" w:rsidRPr="00E46054">
        <w:t>atvieglojumi bez materiālā stāvokļa izvērtēšanas</w:t>
      </w:r>
      <w:r w:rsidR="000C2C59">
        <w:t>.</w:t>
      </w:r>
      <w:r w:rsidR="000C2C59" w:rsidRPr="00E46054">
        <w:t xml:space="preserve"> Pirmās grupas atvieglojumi ir noteikti</w:t>
      </w:r>
      <w:r w:rsidR="00FE2526">
        <w:t xml:space="preserve"> </w:t>
      </w:r>
      <w:r w:rsidR="00FE2526" w:rsidRPr="00E46054">
        <w:t>„</w:t>
      </w:r>
      <w:r w:rsidR="00FE2526" w:rsidRPr="00E46054">
        <w:rPr>
          <w:bCs/>
        </w:rPr>
        <w:t>Sociālo pakalpoju</w:t>
      </w:r>
      <w:r w:rsidR="00FE2526">
        <w:rPr>
          <w:bCs/>
        </w:rPr>
        <w:t>mu un sociālās palīdzības likumā</w:t>
      </w:r>
      <w:r w:rsidR="000B42DE">
        <w:rPr>
          <w:bCs/>
        </w:rPr>
        <w:t>”,</w:t>
      </w:r>
      <w:r w:rsidR="000C2C59" w:rsidRPr="00E46054">
        <w:t xml:space="preserve"> </w:t>
      </w:r>
      <w:r w:rsidR="00FE2526">
        <w:t xml:space="preserve">kas nozīmē, </w:t>
      </w:r>
      <w:r w:rsidR="00935C56" w:rsidRPr="00935C56">
        <w:t xml:space="preserve">ka atbilstoši likumā noteiktajam, pašvaldības </w:t>
      </w:r>
      <w:r w:rsidR="00935C56">
        <w:t xml:space="preserve">sociālo </w:t>
      </w:r>
      <w:r w:rsidR="00935C56" w:rsidRPr="00935C56">
        <w:t>pabalstu veselības aprūpei vajadzētu būt iespējai saņemt jebkurai personai, kura saviem spēkiem nespēj nodrošināt sevi vai pārvarēt īpašas dzīves grūtības un kura nesaņem pietiekamu palīdzību ne no viena cita avota. S</w:t>
      </w:r>
      <w:r w:rsidR="000C2C59" w:rsidRPr="00935C56">
        <w:t>avukārt, otrās grupas</w:t>
      </w:r>
      <w:r w:rsidR="00FE2526" w:rsidRPr="00935C56">
        <w:t xml:space="preserve"> atvieglojumi</w:t>
      </w:r>
      <w:r w:rsidR="000C2C59" w:rsidRPr="00935C56">
        <w:t xml:space="preserve"> ir katras pašvaldības brīva iniciatīva, līdz ar to </w:t>
      </w:r>
      <w:r w:rsidR="00FE2526" w:rsidRPr="00935C56">
        <w:t xml:space="preserve">tie ir </w:t>
      </w:r>
      <w:r w:rsidR="000C2C59" w:rsidRPr="00935C56">
        <w:t>pieejami tikai noteikt</w:t>
      </w:r>
      <w:r w:rsidR="00FE2526" w:rsidRPr="00935C56">
        <w:t>u</w:t>
      </w:r>
      <w:r w:rsidR="000C2C59" w:rsidRPr="00935C56">
        <w:t xml:space="preserve"> pašvaldīb</w:t>
      </w:r>
      <w:r w:rsidR="00FE2526" w:rsidRPr="00935C56">
        <w:t>u iedzīvotājiem</w:t>
      </w:r>
      <w:r w:rsidR="000C2C59" w:rsidRPr="00935C56">
        <w:t>.</w:t>
      </w:r>
      <w:r w:rsidR="00FE2526">
        <w:t xml:space="preserve"> </w:t>
      </w:r>
    </w:p>
    <w:p w:rsidR="00FE2526" w:rsidRPr="00FE2526" w:rsidRDefault="00AD3EDD" w:rsidP="00106704">
      <w:pPr>
        <w:pStyle w:val="Caption"/>
      </w:pPr>
      <w:r>
        <w:fldChar w:fldCharType="begin"/>
      </w:r>
      <w:r w:rsidR="000F1524">
        <w:instrText xml:space="preserve"> STYLEREF 1 \s </w:instrText>
      </w:r>
      <w:r>
        <w:fldChar w:fldCharType="separate"/>
      </w:r>
      <w:bookmarkStart w:id="489" w:name="_Toc6857678"/>
      <w:r w:rsidR="00224B50">
        <w:rPr>
          <w:noProof/>
        </w:rPr>
        <w:t>2</w:t>
      </w:r>
      <w:r>
        <w:rPr>
          <w:noProof/>
        </w:rPr>
        <w:fldChar w:fldCharType="end"/>
      </w:r>
      <w:r w:rsidR="00A46B54">
        <w:t>.</w:t>
      </w:r>
      <w:r>
        <w:fldChar w:fldCharType="begin"/>
      </w:r>
      <w:r w:rsidR="000F1524">
        <w:instrText xml:space="preserve"> SEQ Tabula \* ARABIC \s 1 </w:instrText>
      </w:r>
      <w:r>
        <w:fldChar w:fldCharType="separate"/>
      </w:r>
      <w:r w:rsidR="00224B50">
        <w:rPr>
          <w:noProof/>
        </w:rPr>
        <w:t>5</w:t>
      </w:r>
      <w:r>
        <w:rPr>
          <w:noProof/>
        </w:rPr>
        <w:fldChar w:fldCharType="end"/>
      </w:r>
      <w:r w:rsidR="00FE2526">
        <w:t>.tabula. Pašvaldību noteiktie atvieglojumi veselības aprūpes pakalpojumu saņemšanai</w:t>
      </w:r>
      <w:bookmarkEnd w:id="489"/>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8"/>
        <w:gridCol w:w="4961"/>
      </w:tblGrid>
      <w:tr w:rsidR="000C2C59" w:rsidRPr="00C85EB4" w:rsidTr="006106B3">
        <w:trPr>
          <w:trHeight w:val="309"/>
        </w:trPr>
        <w:tc>
          <w:tcPr>
            <w:tcW w:w="9639" w:type="dxa"/>
            <w:gridSpan w:val="2"/>
            <w:shd w:val="clear" w:color="auto" w:fill="B8CCE4" w:themeFill="accent1" w:themeFillTint="66"/>
          </w:tcPr>
          <w:p w:rsidR="000C2C59" w:rsidRPr="00C85EB4" w:rsidRDefault="000C2C59" w:rsidP="00064C1E">
            <w:pPr>
              <w:ind w:left="108"/>
              <w:jc w:val="center"/>
              <w:rPr>
                <w:b/>
                <w:sz w:val="22"/>
                <w:szCs w:val="22"/>
              </w:rPr>
            </w:pPr>
            <w:r w:rsidRPr="00C85EB4">
              <w:rPr>
                <w:b/>
                <w:sz w:val="22"/>
                <w:szCs w:val="22"/>
              </w:rPr>
              <w:t xml:space="preserve">Atvieglojumu veidi </w:t>
            </w:r>
          </w:p>
        </w:tc>
      </w:tr>
      <w:tr w:rsidR="000C2C59" w:rsidRPr="00C85EB4" w:rsidTr="00C85EB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4678" w:type="dxa"/>
            <w:shd w:val="clear" w:color="auto" w:fill="DBE5F1" w:themeFill="accent1" w:themeFillTint="33"/>
          </w:tcPr>
          <w:p w:rsidR="000C2C59" w:rsidRPr="00C85EB4" w:rsidRDefault="000C2C59" w:rsidP="00064C1E">
            <w:pPr>
              <w:jc w:val="center"/>
              <w:rPr>
                <w:b/>
                <w:sz w:val="22"/>
                <w:szCs w:val="22"/>
              </w:rPr>
            </w:pPr>
            <w:r w:rsidRPr="00C85EB4">
              <w:rPr>
                <w:b/>
                <w:sz w:val="22"/>
                <w:szCs w:val="22"/>
              </w:rPr>
              <w:t>Ar materiālā stāvokļa izvērtēšanu</w:t>
            </w:r>
          </w:p>
        </w:tc>
        <w:tc>
          <w:tcPr>
            <w:tcW w:w="4961" w:type="dxa"/>
            <w:shd w:val="clear" w:color="auto" w:fill="DBE5F1" w:themeFill="accent1" w:themeFillTint="33"/>
          </w:tcPr>
          <w:p w:rsidR="000C2C59" w:rsidRPr="00C85EB4" w:rsidRDefault="000C2C59" w:rsidP="00064C1E">
            <w:pPr>
              <w:jc w:val="center"/>
              <w:rPr>
                <w:b/>
                <w:sz w:val="22"/>
                <w:szCs w:val="22"/>
              </w:rPr>
            </w:pPr>
            <w:r w:rsidRPr="00C85EB4">
              <w:rPr>
                <w:b/>
                <w:sz w:val="22"/>
                <w:szCs w:val="22"/>
              </w:rPr>
              <w:t>Bez materiālā stāvokļa izvērtēšanas</w:t>
            </w:r>
          </w:p>
        </w:tc>
      </w:tr>
      <w:tr w:rsidR="000C2C59" w:rsidRPr="00C85EB4" w:rsidTr="00EB423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4678" w:type="dxa"/>
          </w:tcPr>
          <w:p w:rsidR="000C2C59" w:rsidRPr="00C85EB4" w:rsidRDefault="000C2C59" w:rsidP="00064C1E">
            <w:pPr>
              <w:rPr>
                <w:sz w:val="22"/>
                <w:szCs w:val="22"/>
              </w:rPr>
            </w:pPr>
            <w:r w:rsidRPr="00C85EB4">
              <w:rPr>
                <w:sz w:val="22"/>
                <w:szCs w:val="22"/>
              </w:rPr>
              <w:t>Pabalsts veselības aprūpei</w:t>
            </w:r>
          </w:p>
        </w:tc>
        <w:tc>
          <w:tcPr>
            <w:tcW w:w="4961" w:type="dxa"/>
          </w:tcPr>
          <w:p w:rsidR="000C2C59" w:rsidRPr="00C85EB4" w:rsidRDefault="000C2C59" w:rsidP="00064C1E">
            <w:pPr>
              <w:rPr>
                <w:sz w:val="22"/>
                <w:szCs w:val="22"/>
              </w:rPr>
            </w:pPr>
            <w:r w:rsidRPr="00C85EB4">
              <w:rPr>
                <w:sz w:val="22"/>
                <w:szCs w:val="22"/>
              </w:rPr>
              <w:t>Pabalsts veselības uzlabošanai politiski represētām personām</w:t>
            </w:r>
          </w:p>
        </w:tc>
      </w:tr>
      <w:tr w:rsidR="000C2C59" w:rsidRPr="00C85EB4" w:rsidTr="00EB423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4678" w:type="dxa"/>
          </w:tcPr>
          <w:p w:rsidR="000C2C59" w:rsidRPr="00C85EB4" w:rsidRDefault="000C2C59" w:rsidP="00064C1E">
            <w:pPr>
              <w:rPr>
                <w:sz w:val="22"/>
                <w:szCs w:val="22"/>
              </w:rPr>
            </w:pPr>
            <w:r w:rsidRPr="00C85EB4">
              <w:rPr>
                <w:sz w:val="22"/>
                <w:szCs w:val="22"/>
              </w:rPr>
              <w:t>Ārstniecības pabalsts</w:t>
            </w:r>
          </w:p>
        </w:tc>
        <w:tc>
          <w:tcPr>
            <w:tcW w:w="4961" w:type="dxa"/>
          </w:tcPr>
          <w:p w:rsidR="000C2C59" w:rsidRPr="00C85EB4" w:rsidRDefault="000C2C59" w:rsidP="00064C1E">
            <w:pPr>
              <w:rPr>
                <w:sz w:val="22"/>
                <w:szCs w:val="22"/>
              </w:rPr>
            </w:pPr>
            <w:r w:rsidRPr="00C85EB4">
              <w:rPr>
                <w:sz w:val="22"/>
                <w:szCs w:val="22"/>
              </w:rPr>
              <w:t>Pabalsts veselības uzlabošanai pensijas vecuma personām</w:t>
            </w:r>
          </w:p>
        </w:tc>
      </w:tr>
      <w:tr w:rsidR="000C2C59" w:rsidRPr="00C85EB4" w:rsidTr="00EB423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4678" w:type="dxa"/>
          </w:tcPr>
          <w:p w:rsidR="000C2C59" w:rsidRPr="00C85EB4" w:rsidRDefault="000C2C59" w:rsidP="00064C1E">
            <w:pPr>
              <w:rPr>
                <w:sz w:val="22"/>
                <w:szCs w:val="22"/>
              </w:rPr>
            </w:pPr>
            <w:r w:rsidRPr="00C85EB4">
              <w:rPr>
                <w:sz w:val="22"/>
                <w:szCs w:val="22"/>
              </w:rPr>
              <w:t>Pabalstu veselības aprūpei un medicīnisko izdevumu apmaksai</w:t>
            </w:r>
          </w:p>
        </w:tc>
        <w:tc>
          <w:tcPr>
            <w:tcW w:w="4961" w:type="dxa"/>
          </w:tcPr>
          <w:p w:rsidR="000C2C59" w:rsidRPr="00C85EB4" w:rsidRDefault="000C2C59" w:rsidP="00064C1E">
            <w:pPr>
              <w:rPr>
                <w:sz w:val="22"/>
                <w:szCs w:val="22"/>
              </w:rPr>
            </w:pPr>
            <w:r w:rsidRPr="00C85EB4">
              <w:rPr>
                <w:sz w:val="22"/>
                <w:szCs w:val="22"/>
              </w:rPr>
              <w:t>Pabalsts personai, kura slimo ar tuberkulozi</w:t>
            </w:r>
          </w:p>
        </w:tc>
      </w:tr>
      <w:tr w:rsidR="000C2C59" w:rsidRPr="00C85EB4" w:rsidTr="00EB423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4678" w:type="dxa"/>
          </w:tcPr>
          <w:p w:rsidR="000C2C59" w:rsidRPr="00C85EB4" w:rsidRDefault="000C2C59" w:rsidP="00064C1E">
            <w:pPr>
              <w:rPr>
                <w:sz w:val="22"/>
                <w:szCs w:val="22"/>
              </w:rPr>
            </w:pPr>
            <w:r w:rsidRPr="00C85EB4">
              <w:rPr>
                <w:sz w:val="22"/>
                <w:szCs w:val="22"/>
              </w:rPr>
              <w:t>Pabalsts ārstēšanās, medikamentu un higiēnas preču (pamperu, katetru u.c.) iegādes izdevumu segšanai</w:t>
            </w:r>
          </w:p>
        </w:tc>
        <w:tc>
          <w:tcPr>
            <w:tcW w:w="4961" w:type="dxa"/>
          </w:tcPr>
          <w:p w:rsidR="000C2C59" w:rsidRPr="00C85EB4" w:rsidRDefault="000C2C59" w:rsidP="00064C1E">
            <w:pPr>
              <w:rPr>
                <w:sz w:val="22"/>
                <w:szCs w:val="22"/>
              </w:rPr>
            </w:pPr>
            <w:r w:rsidRPr="00C85EB4">
              <w:rPr>
                <w:sz w:val="22"/>
                <w:szCs w:val="22"/>
              </w:rPr>
              <w:t>Pabalsts onkoloģisko saslimšanu ārstēšanai</w:t>
            </w:r>
          </w:p>
        </w:tc>
      </w:tr>
      <w:tr w:rsidR="000C2C59" w:rsidRPr="00C85EB4" w:rsidTr="00EB423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4678" w:type="dxa"/>
          </w:tcPr>
          <w:p w:rsidR="000C2C59" w:rsidRPr="00C85EB4" w:rsidRDefault="000C2C59" w:rsidP="00064C1E">
            <w:pPr>
              <w:rPr>
                <w:sz w:val="22"/>
                <w:szCs w:val="22"/>
              </w:rPr>
            </w:pPr>
            <w:r w:rsidRPr="00C85EB4">
              <w:rPr>
                <w:sz w:val="22"/>
                <w:szCs w:val="22"/>
              </w:rPr>
              <w:t>Pabalstu briļļu vai kontaktlēcu iegādei trūcīgu vai maznodrošinātu ģimeņu</w:t>
            </w:r>
          </w:p>
          <w:p w:rsidR="000C2C59" w:rsidRPr="00C85EB4" w:rsidRDefault="000C2C59" w:rsidP="00064C1E">
            <w:pPr>
              <w:rPr>
                <w:sz w:val="22"/>
                <w:szCs w:val="22"/>
              </w:rPr>
            </w:pPr>
            <w:r w:rsidRPr="00C85EB4">
              <w:rPr>
                <w:sz w:val="22"/>
                <w:szCs w:val="22"/>
              </w:rPr>
              <w:t>nepilngadīgo bērnu vajadzībām</w:t>
            </w:r>
          </w:p>
        </w:tc>
        <w:tc>
          <w:tcPr>
            <w:tcW w:w="4961" w:type="dxa"/>
          </w:tcPr>
          <w:p w:rsidR="000C2C59" w:rsidRPr="00C85EB4" w:rsidRDefault="000C2C59" w:rsidP="00064C1E">
            <w:pPr>
              <w:rPr>
                <w:sz w:val="22"/>
                <w:szCs w:val="22"/>
              </w:rPr>
            </w:pPr>
            <w:r w:rsidRPr="00C85EB4">
              <w:rPr>
                <w:sz w:val="22"/>
                <w:szCs w:val="22"/>
              </w:rPr>
              <w:t>Pabalsts ģimenei ar bērnu, kuram noteikta invaliditāte un/vai kurš slimo ar celiakiju un</w:t>
            </w:r>
          </w:p>
          <w:p w:rsidR="000C2C59" w:rsidRPr="00C85EB4" w:rsidRDefault="000C2C59" w:rsidP="00064C1E">
            <w:pPr>
              <w:rPr>
                <w:sz w:val="22"/>
                <w:szCs w:val="22"/>
              </w:rPr>
            </w:pPr>
            <w:r w:rsidRPr="00C85EB4">
              <w:rPr>
                <w:sz w:val="22"/>
                <w:szCs w:val="22"/>
              </w:rPr>
              <w:t>kuram nav noteikta invaliditāte</w:t>
            </w:r>
          </w:p>
        </w:tc>
      </w:tr>
      <w:tr w:rsidR="000C2C59" w:rsidRPr="00C85EB4" w:rsidTr="00EB423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4678" w:type="dxa"/>
          </w:tcPr>
          <w:p w:rsidR="000C2C59" w:rsidRPr="00C85EB4" w:rsidRDefault="000C2C59" w:rsidP="00064C1E">
            <w:pPr>
              <w:rPr>
                <w:sz w:val="22"/>
                <w:szCs w:val="22"/>
              </w:rPr>
            </w:pPr>
            <w:r w:rsidRPr="00C85EB4">
              <w:rPr>
                <w:sz w:val="22"/>
                <w:szCs w:val="22"/>
              </w:rPr>
              <w:t>Pabalsts inkontinences līdzekļu iegādei</w:t>
            </w:r>
          </w:p>
        </w:tc>
        <w:tc>
          <w:tcPr>
            <w:tcW w:w="4961" w:type="dxa"/>
          </w:tcPr>
          <w:p w:rsidR="000C2C59" w:rsidRPr="00C85EB4" w:rsidRDefault="000C2C59" w:rsidP="00064C1E">
            <w:pPr>
              <w:rPr>
                <w:sz w:val="22"/>
                <w:szCs w:val="22"/>
              </w:rPr>
            </w:pPr>
            <w:r w:rsidRPr="00C85EB4">
              <w:rPr>
                <w:sz w:val="22"/>
                <w:szCs w:val="22"/>
              </w:rPr>
              <w:t>Pabalsts vecākiem, kuri audzina bērnu ar īpašām vajadzībām</w:t>
            </w:r>
          </w:p>
        </w:tc>
      </w:tr>
      <w:tr w:rsidR="000C2C59" w:rsidRPr="00C85EB4" w:rsidTr="00EB423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4678" w:type="dxa"/>
          </w:tcPr>
          <w:p w:rsidR="000C2C59" w:rsidRPr="00C85EB4" w:rsidRDefault="000C2C59" w:rsidP="00064C1E">
            <w:pPr>
              <w:rPr>
                <w:sz w:val="22"/>
                <w:szCs w:val="22"/>
              </w:rPr>
            </w:pPr>
            <w:r w:rsidRPr="00C85EB4">
              <w:rPr>
                <w:sz w:val="22"/>
                <w:szCs w:val="22"/>
              </w:rPr>
              <w:t>Pabalsts zobu protezēšanai</w:t>
            </w:r>
          </w:p>
        </w:tc>
        <w:tc>
          <w:tcPr>
            <w:tcW w:w="4961" w:type="dxa"/>
          </w:tcPr>
          <w:p w:rsidR="000C2C59" w:rsidRPr="00C85EB4" w:rsidRDefault="000C2C59" w:rsidP="00064C1E">
            <w:pPr>
              <w:rPr>
                <w:sz w:val="22"/>
                <w:szCs w:val="22"/>
              </w:rPr>
            </w:pPr>
            <w:r w:rsidRPr="00C85EB4">
              <w:rPr>
                <w:sz w:val="22"/>
                <w:szCs w:val="22"/>
              </w:rPr>
              <w:t>Atbalsts jaundzimušā bērna vecākiem</w:t>
            </w:r>
          </w:p>
        </w:tc>
      </w:tr>
      <w:tr w:rsidR="000C2C59" w:rsidRPr="00C85EB4" w:rsidTr="00EB4231">
        <w:trPr>
          <w:trHeight w:val="232"/>
        </w:trPr>
        <w:tc>
          <w:tcPr>
            <w:tcW w:w="4678" w:type="dxa"/>
          </w:tcPr>
          <w:p w:rsidR="000C2C59" w:rsidRPr="00C85EB4" w:rsidRDefault="000C2C59" w:rsidP="00064C1E">
            <w:pPr>
              <w:rPr>
                <w:sz w:val="22"/>
                <w:szCs w:val="22"/>
              </w:rPr>
            </w:pPr>
            <w:r w:rsidRPr="00C85EB4">
              <w:rPr>
                <w:sz w:val="22"/>
                <w:szCs w:val="22"/>
              </w:rPr>
              <w:t>Pabalsts medikamentu iegādei</w:t>
            </w:r>
          </w:p>
        </w:tc>
        <w:tc>
          <w:tcPr>
            <w:tcW w:w="4961" w:type="dxa"/>
          </w:tcPr>
          <w:p w:rsidR="000C2C59" w:rsidRPr="00C85EB4" w:rsidRDefault="000C2C59" w:rsidP="00064C1E">
            <w:pPr>
              <w:rPr>
                <w:sz w:val="22"/>
                <w:szCs w:val="22"/>
              </w:rPr>
            </w:pPr>
            <w:r w:rsidRPr="00C85EB4">
              <w:rPr>
                <w:sz w:val="22"/>
                <w:szCs w:val="22"/>
              </w:rPr>
              <w:t>Pabalsts vecākiem, kuri audzina bērnu ar īpašām vajadzībām</w:t>
            </w:r>
          </w:p>
        </w:tc>
      </w:tr>
      <w:tr w:rsidR="00EB4231" w:rsidRPr="00C85EB4" w:rsidTr="00EB4231">
        <w:trPr>
          <w:trHeight w:val="137"/>
        </w:trPr>
        <w:tc>
          <w:tcPr>
            <w:tcW w:w="4678" w:type="dxa"/>
            <w:vMerge w:val="restart"/>
          </w:tcPr>
          <w:p w:rsidR="00EB4231" w:rsidRPr="00C85EB4" w:rsidRDefault="00EB4231" w:rsidP="00064C1E">
            <w:pPr>
              <w:rPr>
                <w:sz w:val="22"/>
                <w:szCs w:val="22"/>
              </w:rPr>
            </w:pPr>
            <w:r w:rsidRPr="00C85EB4">
              <w:rPr>
                <w:sz w:val="22"/>
                <w:szCs w:val="22"/>
              </w:rPr>
              <w:t xml:space="preserve">Pabalsta kontracepcijas līdzekļu iegādei sievietēm no trūcīgām, maznodrošinātām un sociālā riska ģimenēm </w:t>
            </w:r>
          </w:p>
        </w:tc>
        <w:tc>
          <w:tcPr>
            <w:tcW w:w="4961" w:type="dxa"/>
          </w:tcPr>
          <w:p w:rsidR="00EB4231" w:rsidRPr="00C85EB4" w:rsidRDefault="00EB4231" w:rsidP="00917A17">
            <w:pPr>
              <w:rPr>
                <w:sz w:val="22"/>
                <w:szCs w:val="22"/>
              </w:rPr>
            </w:pPr>
            <w:r w:rsidRPr="00C85EB4">
              <w:rPr>
                <w:sz w:val="22"/>
                <w:szCs w:val="22"/>
              </w:rPr>
              <w:t xml:space="preserve">Vienreizējs pabalsts </w:t>
            </w:r>
            <w:r w:rsidR="00917A17">
              <w:rPr>
                <w:sz w:val="22"/>
                <w:szCs w:val="22"/>
              </w:rPr>
              <w:t>personām ar invaliditāti</w:t>
            </w:r>
            <w:r w:rsidRPr="00C85EB4">
              <w:rPr>
                <w:sz w:val="22"/>
                <w:szCs w:val="22"/>
              </w:rPr>
              <w:t xml:space="preserve"> kopš bērnības</w:t>
            </w:r>
          </w:p>
        </w:tc>
      </w:tr>
      <w:tr w:rsidR="00EB4231" w:rsidRPr="00C85EB4" w:rsidTr="00EB4231">
        <w:trPr>
          <w:trHeight w:val="138"/>
        </w:trPr>
        <w:tc>
          <w:tcPr>
            <w:tcW w:w="4678" w:type="dxa"/>
            <w:vMerge/>
          </w:tcPr>
          <w:p w:rsidR="00EB4231" w:rsidRPr="00C85EB4" w:rsidRDefault="00EB4231" w:rsidP="00064C1E">
            <w:pPr>
              <w:ind w:left="108"/>
              <w:rPr>
                <w:sz w:val="22"/>
                <w:szCs w:val="22"/>
              </w:rPr>
            </w:pPr>
          </w:p>
        </w:tc>
        <w:tc>
          <w:tcPr>
            <w:tcW w:w="4961" w:type="dxa"/>
          </w:tcPr>
          <w:p w:rsidR="00EB4231" w:rsidRPr="00C85EB4" w:rsidRDefault="00EB4231" w:rsidP="00064C1E">
            <w:pPr>
              <w:rPr>
                <w:sz w:val="22"/>
                <w:szCs w:val="22"/>
              </w:rPr>
            </w:pPr>
            <w:r w:rsidRPr="00C85EB4">
              <w:rPr>
                <w:sz w:val="22"/>
                <w:szCs w:val="22"/>
              </w:rPr>
              <w:t>Vienreizējs pabalsts krīzes situācijā</w:t>
            </w:r>
          </w:p>
        </w:tc>
      </w:tr>
      <w:tr w:rsidR="00EB4231" w:rsidRPr="00C85EB4" w:rsidTr="00EB4231">
        <w:trPr>
          <w:trHeight w:val="243"/>
        </w:trPr>
        <w:tc>
          <w:tcPr>
            <w:tcW w:w="4678" w:type="dxa"/>
            <w:vMerge/>
          </w:tcPr>
          <w:p w:rsidR="00EB4231" w:rsidRPr="00C85EB4" w:rsidRDefault="00EB4231" w:rsidP="00064C1E">
            <w:pPr>
              <w:ind w:left="108"/>
              <w:rPr>
                <w:sz w:val="22"/>
                <w:szCs w:val="22"/>
              </w:rPr>
            </w:pPr>
          </w:p>
        </w:tc>
        <w:tc>
          <w:tcPr>
            <w:tcW w:w="4961" w:type="dxa"/>
          </w:tcPr>
          <w:p w:rsidR="00EB4231" w:rsidRPr="00C85EB4" w:rsidRDefault="00EB4231" w:rsidP="00064C1E">
            <w:pPr>
              <w:rPr>
                <w:sz w:val="22"/>
                <w:szCs w:val="22"/>
              </w:rPr>
            </w:pPr>
            <w:r w:rsidRPr="00C85EB4">
              <w:rPr>
                <w:sz w:val="22"/>
                <w:szCs w:val="22"/>
              </w:rPr>
              <w:t>Pabalsts hemodialīzes pacientiem</w:t>
            </w:r>
          </w:p>
        </w:tc>
      </w:tr>
      <w:tr w:rsidR="00EB4231" w:rsidRPr="00C85EB4" w:rsidTr="00EB4231">
        <w:trPr>
          <w:trHeight w:val="243"/>
        </w:trPr>
        <w:tc>
          <w:tcPr>
            <w:tcW w:w="4678" w:type="dxa"/>
            <w:vMerge/>
          </w:tcPr>
          <w:p w:rsidR="00EB4231" w:rsidRPr="00C85EB4" w:rsidRDefault="00EB4231" w:rsidP="00064C1E">
            <w:pPr>
              <w:ind w:left="108"/>
              <w:rPr>
                <w:sz w:val="22"/>
                <w:szCs w:val="22"/>
              </w:rPr>
            </w:pPr>
          </w:p>
        </w:tc>
        <w:tc>
          <w:tcPr>
            <w:tcW w:w="4961" w:type="dxa"/>
          </w:tcPr>
          <w:p w:rsidR="00EB4231" w:rsidRPr="00C85EB4" w:rsidRDefault="00EB4231" w:rsidP="00064C1E">
            <w:pPr>
              <w:rPr>
                <w:sz w:val="22"/>
                <w:szCs w:val="22"/>
              </w:rPr>
            </w:pPr>
            <w:r w:rsidRPr="00C85EB4">
              <w:rPr>
                <w:sz w:val="22"/>
                <w:szCs w:val="22"/>
              </w:rPr>
              <w:t>Pabalsts veselības uzlabošanai un sociālās rehabilitācijas plāna mērķu sasniegšanai</w:t>
            </w:r>
          </w:p>
        </w:tc>
      </w:tr>
      <w:tr w:rsidR="00EB4231" w:rsidRPr="00C85EB4" w:rsidTr="00EB4231">
        <w:trPr>
          <w:trHeight w:val="243"/>
        </w:trPr>
        <w:tc>
          <w:tcPr>
            <w:tcW w:w="4678" w:type="dxa"/>
            <w:vMerge/>
          </w:tcPr>
          <w:p w:rsidR="00EB4231" w:rsidRPr="00C85EB4" w:rsidRDefault="00EB4231" w:rsidP="00064C1E">
            <w:pPr>
              <w:ind w:left="108"/>
              <w:rPr>
                <w:sz w:val="22"/>
                <w:szCs w:val="22"/>
              </w:rPr>
            </w:pPr>
          </w:p>
        </w:tc>
        <w:tc>
          <w:tcPr>
            <w:tcW w:w="4961" w:type="dxa"/>
          </w:tcPr>
          <w:p w:rsidR="00EB4231" w:rsidRPr="00C85EB4" w:rsidRDefault="00EB4231" w:rsidP="00064C1E">
            <w:pPr>
              <w:rPr>
                <w:sz w:val="22"/>
                <w:szCs w:val="22"/>
              </w:rPr>
            </w:pPr>
            <w:r w:rsidRPr="00C85EB4">
              <w:rPr>
                <w:sz w:val="22"/>
                <w:szCs w:val="22"/>
              </w:rPr>
              <w:t>Pabalsts operācijas izdevumu segšanai</w:t>
            </w:r>
          </w:p>
        </w:tc>
      </w:tr>
    </w:tbl>
    <w:p w:rsidR="000C2C59" w:rsidRPr="00E46054" w:rsidRDefault="000C2C59" w:rsidP="00064C1E">
      <w:pPr>
        <w:pStyle w:val="virsrakstslvl3"/>
        <w:spacing w:line="276" w:lineRule="auto"/>
      </w:pPr>
      <w:bookmarkStart w:id="490" w:name="_Toc529180132"/>
      <w:bookmarkStart w:id="491" w:name="_Toc529180377"/>
      <w:bookmarkStart w:id="492" w:name="_Toc531694152"/>
      <w:bookmarkStart w:id="493" w:name="_Toc531856257"/>
      <w:bookmarkStart w:id="494" w:name="_Toc531860046"/>
      <w:bookmarkStart w:id="495" w:name="_Toc535935121"/>
      <w:r w:rsidRPr="00E46054">
        <w:lastRenderedPageBreak/>
        <w:t>Atvieglojum</w:t>
      </w:r>
      <w:r w:rsidR="00E12BA0">
        <w:t>u</w:t>
      </w:r>
      <w:r w:rsidRPr="00E46054">
        <w:t xml:space="preserve"> veidi ar materiālā stāvokļa izvērtēšanu</w:t>
      </w:r>
      <w:bookmarkEnd w:id="490"/>
      <w:bookmarkEnd w:id="491"/>
      <w:bookmarkEnd w:id="492"/>
      <w:bookmarkEnd w:id="493"/>
      <w:bookmarkEnd w:id="494"/>
      <w:bookmarkEnd w:id="495"/>
    </w:p>
    <w:p w:rsidR="00935C56" w:rsidRDefault="000C2C59" w:rsidP="00935C56">
      <w:r w:rsidRPr="00E46054">
        <w:t xml:space="preserve">Atvieglojumi </w:t>
      </w:r>
      <w:r>
        <w:t xml:space="preserve">veselības aprūpes pakalpojumu pieejamībai </w:t>
      </w:r>
      <w:r w:rsidRPr="00E46054">
        <w:t xml:space="preserve">pašvaldībās tiek nodrošināti saskaņā ar </w:t>
      </w:r>
      <w:r w:rsidRPr="00935C56">
        <w:t>„</w:t>
      </w:r>
      <w:r w:rsidRPr="00935C56">
        <w:rPr>
          <w:bCs/>
        </w:rPr>
        <w:t>Sociālo pakalpojumu un sociālās palīdzības likumu</w:t>
      </w:r>
      <w:r w:rsidR="00935C56" w:rsidRPr="00935C56">
        <w:rPr>
          <w:bCs/>
        </w:rPr>
        <w:t>”</w:t>
      </w:r>
      <w:r w:rsidRPr="00935C56">
        <w:rPr>
          <w:bCs/>
        </w:rPr>
        <w:t xml:space="preserve">. </w:t>
      </w:r>
      <w:r w:rsidRPr="00935C56">
        <w:t xml:space="preserve">Pašvaldību saistošajos noteikumos mēdz atšķirties pieejamo atvieglojumu apzīmējumi, </w:t>
      </w:r>
      <w:r w:rsidR="00935C56" w:rsidRPr="00935C56">
        <w:t>pašvaldības parasti nosaka vienu pabalsta veidu, kur ietverti vairāki mērķi, taču dažkārt tiek noteikts pabalsts katram ar veselības aprūpes nodrošināšanu saistītam mērķim atsevišķi.</w:t>
      </w:r>
    </w:p>
    <w:p w:rsidR="000C2C59" w:rsidRPr="00E46054" w:rsidRDefault="000C2C59" w:rsidP="00922A20">
      <w:r w:rsidRPr="00E46054">
        <w:t>Saistošajos noteikumos visbiežāk sastopams „Pabalsts veselības aprūpei” un „Ārstniecības pabalsts”, kas pēc būtības i</w:t>
      </w:r>
      <w:r>
        <w:t xml:space="preserve">r viens un tas pats atvieglojuma veids, kas ietver šādus </w:t>
      </w:r>
      <w:r w:rsidRPr="00E46054">
        <w:t>pabalstu</w:t>
      </w:r>
      <w:r>
        <w:t>s:</w:t>
      </w:r>
      <w:r w:rsidRPr="00E46054">
        <w:t xml:space="preserve">  </w:t>
      </w:r>
    </w:p>
    <w:p w:rsidR="000C2C59" w:rsidRPr="00E46054" w:rsidRDefault="000C2C59" w:rsidP="003F469F">
      <w:pPr>
        <w:pStyle w:val="ListParagraph"/>
        <w:numPr>
          <w:ilvl w:val="0"/>
          <w:numId w:val="53"/>
        </w:numPr>
        <w:spacing w:line="276" w:lineRule="auto"/>
        <w:jc w:val="both"/>
      </w:pPr>
      <w:r w:rsidRPr="00E46054">
        <w:t>pabalsts ārstēšanās izdevumu apmaksai (ambulatori, stacionāri);</w:t>
      </w:r>
    </w:p>
    <w:p w:rsidR="000C2C59" w:rsidRPr="00E46054" w:rsidRDefault="000C2C59" w:rsidP="003F469F">
      <w:pPr>
        <w:pStyle w:val="ListParagraph"/>
        <w:numPr>
          <w:ilvl w:val="0"/>
          <w:numId w:val="53"/>
        </w:numPr>
        <w:spacing w:line="276" w:lineRule="auto"/>
        <w:jc w:val="both"/>
      </w:pPr>
      <w:r w:rsidRPr="00E46054">
        <w:t>pabalsts medikamentu apmaksai;</w:t>
      </w:r>
    </w:p>
    <w:p w:rsidR="000C2C59" w:rsidRPr="00D90BC7" w:rsidRDefault="000C2C59" w:rsidP="003F469F">
      <w:pPr>
        <w:pStyle w:val="ListParagraph"/>
        <w:numPr>
          <w:ilvl w:val="0"/>
          <w:numId w:val="53"/>
        </w:numPr>
        <w:spacing w:line="276" w:lineRule="auto"/>
        <w:jc w:val="both"/>
      </w:pPr>
      <w:r w:rsidRPr="00D90BC7">
        <w:t>pabalsts pacienta iemaksu un /vai līdzmaksājumu pie ārsta speciālista segšanai;</w:t>
      </w:r>
    </w:p>
    <w:p w:rsidR="000C2C59" w:rsidRPr="00E46054" w:rsidRDefault="000C2C59" w:rsidP="003F469F">
      <w:pPr>
        <w:pStyle w:val="ListParagraph"/>
        <w:numPr>
          <w:ilvl w:val="0"/>
          <w:numId w:val="53"/>
        </w:numPr>
        <w:spacing w:line="276" w:lineRule="auto"/>
        <w:jc w:val="both"/>
      </w:pPr>
      <w:r w:rsidRPr="00E46054">
        <w:rPr>
          <w:color w:val="000000"/>
        </w:rPr>
        <w:t>pabalsts atsevišķu situāciju risināšanai  (piemēram, medicīnas un higiēnas preču iegādei);</w:t>
      </w:r>
    </w:p>
    <w:p w:rsidR="000C2C59" w:rsidRPr="00E46054" w:rsidRDefault="000C2C59" w:rsidP="003F469F">
      <w:pPr>
        <w:pStyle w:val="ListParagraph"/>
        <w:numPr>
          <w:ilvl w:val="0"/>
          <w:numId w:val="53"/>
        </w:numPr>
        <w:spacing w:line="276" w:lineRule="auto"/>
        <w:jc w:val="both"/>
      </w:pPr>
      <w:r w:rsidRPr="00E46054">
        <w:t>pabalsts inkontinences līdzekļu iegādei;</w:t>
      </w:r>
    </w:p>
    <w:p w:rsidR="000C2C59" w:rsidRPr="00E46054" w:rsidRDefault="000C2C59" w:rsidP="003F469F">
      <w:pPr>
        <w:pStyle w:val="ListParagraph"/>
        <w:numPr>
          <w:ilvl w:val="0"/>
          <w:numId w:val="53"/>
        </w:numPr>
        <w:spacing w:line="276" w:lineRule="auto"/>
        <w:jc w:val="both"/>
      </w:pPr>
      <w:r w:rsidRPr="00E46054">
        <w:rPr>
          <w:color w:val="000000"/>
        </w:rPr>
        <w:t xml:space="preserve">pabalsts ārstēšanai no atkarībām </w:t>
      </w:r>
      <w:r w:rsidRPr="00E46054">
        <w:t>(tikai atsevišķās pašvaldībās);</w:t>
      </w:r>
    </w:p>
    <w:p w:rsidR="000C2C59" w:rsidRPr="00E46054" w:rsidRDefault="000C2C59" w:rsidP="003F469F">
      <w:pPr>
        <w:pStyle w:val="ListParagraph"/>
        <w:numPr>
          <w:ilvl w:val="0"/>
          <w:numId w:val="53"/>
        </w:numPr>
        <w:spacing w:line="276" w:lineRule="auto"/>
        <w:jc w:val="both"/>
      </w:pPr>
      <w:r w:rsidRPr="00E46054">
        <w:t>pabalsts briļļu iegādei trūcīgo ģimeņu bērniem,</w:t>
      </w:r>
    </w:p>
    <w:p w:rsidR="000C2C59" w:rsidRPr="00E46054" w:rsidRDefault="000C2C59" w:rsidP="003F469F">
      <w:pPr>
        <w:pStyle w:val="ListParagraph"/>
        <w:numPr>
          <w:ilvl w:val="0"/>
          <w:numId w:val="53"/>
        </w:numPr>
        <w:spacing w:line="276" w:lineRule="auto"/>
        <w:jc w:val="both"/>
      </w:pPr>
      <w:r w:rsidRPr="00E46054">
        <w:t xml:space="preserve">pabalsts ortopēdisko apavu iegādei (tikai atsevišķās pašvaldībās); </w:t>
      </w:r>
    </w:p>
    <w:p w:rsidR="000C2C59" w:rsidRPr="00E46054" w:rsidRDefault="000C2C59" w:rsidP="003F469F">
      <w:pPr>
        <w:pStyle w:val="ListParagraph"/>
        <w:numPr>
          <w:ilvl w:val="0"/>
          <w:numId w:val="53"/>
        </w:numPr>
        <w:spacing w:line="276" w:lineRule="auto"/>
        <w:jc w:val="both"/>
      </w:pPr>
      <w:r w:rsidRPr="00E46054">
        <w:t>pabalsts kontracepcijas līdzekļu iegādei sievietēm no trūcīgām, maznodrošinātām un sociālā riska ģimenēm (pieejams tikai Bauskas novadā);</w:t>
      </w:r>
    </w:p>
    <w:p w:rsidR="000C2C59" w:rsidRPr="00E46054" w:rsidRDefault="000C2C59" w:rsidP="003F469F">
      <w:pPr>
        <w:pStyle w:val="ListParagraph"/>
        <w:numPr>
          <w:ilvl w:val="0"/>
          <w:numId w:val="53"/>
        </w:numPr>
        <w:spacing w:line="276" w:lineRule="auto"/>
        <w:jc w:val="both"/>
      </w:pPr>
      <w:r w:rsidRPr="00E46054">
        <w:t xml:space="preserve">pabalsts zobu ārstēšanai un protezēšanai u.c. </w:t>
      </w:r>
    </w:p>
    <w:p w:rsidR="004D70A2" w:rsidRDefault="004D70A2" w:rsidP="00064C1E"/>
    <w:p w:rsidR="000C2C59" w:rsidRPr="00E46054" w:rsidRDefault="000C2C59" w:rsidP="00922A20">
      <w:r w:rsidRPr="00E46054">
        <w:t xml:space="preserve">Būtiski norādīt, </w:t>
      </w:r>
      <w:r w:rsidR="004D70A2">
        <w:t xml:space="preserve">ka </w:t>
      </w:r>
      <w:r w:rsidRPr="00E46054">
        <w:t xml:space="preserve">pabalstu veidi variē minētajos atvieglojumos, tādējādi  atvieglojums ar  vienu un to pašu nosaukumu </w:t>
      </w:r>
      <w:r w:rsidR="004D70A2">
        <w:t>dažādās</w:t>
      </w:r>
      <w:r w:rsidRPr="00E46054">
        <w:t xml:space="preserve"> pašvaldībā</w:t>
      </w:r>
      <w:r w:rsidR="004D70A2">
        <w:t>s</w:t>
      </w:r>
      <w:r w:rsidRPr="00E46054">
        <w:t xml:space="preserve"> var </w:t>
      </w:r>
      <w:r w:rsidR="004D70A2">
        <w:t xml:space="preserve">saturiski </w:t>
      </w:r>
      <w:r w:rsidRPr="00E46054">
        <w:t>atšķirties. Atvieglojum</w:t>
      </w:r>
      <w:r w:rsidR="004D70A2">
        <w:t>u</w:t>
      </w:r>
      <w:r w:rsidRPr="00E46054">
        <w:t xml:space="preserve"> veidi </w:t>
      </w:r>
      <w:r w:rsidR="004D70A2">
        <w:t xml:space="preserve">veselības aprūpes pakalpojumu pieejamībai </w:t>
      </w:r>
      <w:r w:rsidRPr="00E46054">
        <w:t xml:space="preserve">ar materiālā stāvokļa izvērtēšanu tiek nodrošināti </w:t>
      </w:r>
      <w:r w:rsidR="004D70A2">
        <w:t xml:space="preserve">pamatā </w:t>
      </w:r>
      <w:r w:rsidRPr="00E46054">
        <w:t xml:space="preserve">šādām </w:t>
      </w:r>
      <w:r w:rsidRPr="004D70A2">
        <w:rPr>
          <w:b/>
        </w:rPr>
        <w:t>iedzīvotāju grupām</w:t>
      </w:r>
      <w:r w:rsidRPr="00E46054">
        <w:t>:</w:t>
      </w:r>
    </w:p>
    <w:p w:rsidR="000C2C59" w:rsidRPr="00E46054" w:rsidRDefault="004D70A2" w:rsidP="003F469F">
      <w:pPr>
        <w:numPr>
          <w:ilvl w:val="0"/>
          <w:numId w:val="54"/>
        </w:numPr>
      </w:pPr>
      <w:r>
        <w:t>trūcīgas personas (ģimenes)</w:t>
      </w:r>
      <w:r w:rsidR="000C2C59">
        <w:t>;</w:t>
      </w:r>
    </w:p>
    <w:p w:rsidR="000C2C59" w:rsidRPr="00E46054" w:rsidRDefault="000C2C59" w:rsidP="003F469F">
      <w:pPr>
        <w:numPr>
          <w:ilvl w:val="0"/>
          <w:numId w:val="54"/>
        </w:numPr>
        <w:tabs>
          <w:tab w:val="left" w:pos="993"/>
        </w:tabs>
      </w:pPr>
      <w:r w:rsidRPr="00E46054">
        <w:t>maz</w:t>
      </w:r>
      <w:r>
        <w:t>nodrošinātas personas (ģimenes);</w:t>
      </w:r>
    </w:p>
    <w:p w:rsidR="000C2C59" w:rsidRPr="00E46054" w:rsidRDefault="000C2C59" w:rsidP="003F469F">
      <w:pPr>
        <w:numPr>
          <w:ilvl w:val="0"/>
          <w:numId w:val="54"/>
        </w:numPr>
      </w:pPr>
      <w:r w:rsidRPr="00E46054">
        <w:t>pensijas vecuma cilvēki (atsevišķi dzīvojoši, vientuļi, nestrādājoši, personas, kuras sasniegušas 80, 85, 90 un vairāk gadu vecumu);</w:t>
      </w:r>
    </w:p>
    <w:p w:rsidR="000C2C59" w:rsidRPr="00E46054" w:rsidRDefault="000C2C59" w:rsidP="003F469F">
      <w:pPr>
        <w:numPr>
          <w:ilvl w:val="0"/>
          <w:numId w:val="54"/>
        </w:numPr>
      </w:pPr>
      <w:r w:rsidRPr="00E46054">
        <w:t>personas ar invaliditāti (I, II, ats</w:t>
      </w:r>
      <w:r>
        <w:t>evišķ</w:t>
      </w:r>
      <w:r w:rsidRPr="00E46054">
        <w:t>os gadījumos ar III grupu, bērni ar invaliditāti, personas ar invaliditāti kopš bērnības, nestrādājošas personas ar invaliditāti);</w:t>
      </w:r>
    </w:p>
    <w:p w:rsidR="000C2C59" w:rsidRDefault="000C2C59" w:rsidP="003F469F">
      <w:pPr>
        <w:numPr>
          <w:ilvl w:val="0"/>
          <w:numId w:val="54"/>
        </w:numPr>
      </w:pPr>
      <w:r w:rsidRPr="00E46054">
        <w:t>person</w:t>
      </w:r>
      <w:r w:rsidR="004D70A2">
        <w:t xml:space="preserve">as ar noteiktu ienākumu līmeni (tās var būt personas, kurām nav maznodrošinātās vai trūcīgās personas statuss, bet kurām pašvaldība izvērtē ienākuma līmeni gadā, </w:t>
      </w:r>
      <w:r w:rsidR="00935C56">
        <w:t>kurš savukārt nosaka</w:t>
      </w:r>
      <w:r w:rsidR="004D70A2">
        <w:t xml:space="preserve"> personas atbilstīb</w:t>
      </w:r>
      <w:r w:rsidR="00935C56">
        <w:t>u</w:t>
      </w:r>
      <w:r w:rsidR="004D70A2">
        <w:t xml:space="preserve"> noteikta atvieglojuma saņemšanai);</w:t>
      </w:r>
    </w:p>
    <w:p w:rsidR="004D70A2" w:rsidRPr="00E46054" w:rsidRDefault="004D70A2" w:rsidP="003F469F">
      <w:pPr>
        <w:numPr>
          <w:ilvl w:val="0"/>
          <w:numId w:val="54"/>
        </w:numPr>
      </w:pPr>
      <w:r>
        <w:t>personas, kuras ir ārstējušās/ārstējas no atkarībām.</w:t>
      </w:r>
    </w:p>
    <w:p w:rsidR="000C2C59" w:rsidRPr="00E46054" w:rsidRDefault="000C2C59" w:rsidP="00922A20"/>
    <w:p w:rsidR="00BA378E" w:rsidRPr="00E46054" w:rsidRDefault="004D70A2" w:rsidP="00922A20">
      <w:r>
        <w:t>A</w:t>
      </w:r>
      <w:r w:rsidR="000C2C59" w:rsidRPr="00E46054">
        <w:t>tvieglojumu saņēmēju mērķa grupas un apmēri variē pašvaldīb</w:t>
      </w:r>
      <w:r w:rsidR="00EB61CC">
        <w:t>u starpā</w:t>
      </w:r>
      <w:r w:rsidR="000C2C59" w:rsidRPr="00E46054">
        <w:t>. Pašvaldības parasti nosaka</w:t>
      </w:r>
      <w:r>
        <w:t>,</w:t>
      </w:r>
      <w:r w:rsidR="000C2C59" w:rsidRPr="00E46054">
        <w:t xml:space="preserve"> kādā apmērā tiek segta katra atvieglojuma pozīcija un tā maksimālo apmēru. </w:t>
      </w:r>
      <w:r>
        <w:t>V</w:t>
      </w:r>
      <w:r w:rsidR="000C2C59" w:rsidRPr="00E46054">
        <w:t xml:space="preserve">iena atvieglojuma veida apmērs var atšķirties starp dažādām tā saņēmēju mērķa grupām ne tikai starp pašvaldībām, bet arī vienas pašvaldības ietvaros. </w:t>
      </w:r>
      <w:r>
        <w:t>Š</w:t>
      </w:r>
      <w:r w:rsidR="000C2C59" w:rsidRPr="00E46054">
        <w:t>āda nekonsekvence pašvaldīb</w:t>
      </w:r>
      <w:r w:rsidR="00EB61CC">
        <w:t>u starpā</w:t>
      </w:r>
      <w:r w:rsidR="000C2C59" w:rsidRPr="00E46054">
        <w:t xml:space="preserve"> atvieglojumu nosaukumos, mērķa grupās un apmēros apgrūtina sniegto atvieglojumu salīdzināšanu.</w:t>
      </w:r>
    </w:p>
    <w:p w:rsidR="004D70A2" w:rsidRPr="00315872" w:rsidRDefault="000C2C59" w:rsidP="00C33A64">
      <w:pPr>
        <w:pStyle w:val="virsrakstslvl4"/>
      </w:pPr>
      <w:bookmarkStart w:id="496" w:name="_Toc529180133"/>
      <w:bookmarkStart w:id="497" w:name="_Toc529180378"/>
      <w:bookmarkStart w:id="498" w:name="_Toc531694153"/>
      <w:bookmarkStart w:id="499" w:name="_Toc531856258"/>
      <w:bookmarkStart w:id="500" w:name="_Toc531860047"/>
      <w:bookmarkStart w:id="501" w:name="_Toc535935122"/>
      <w:bookmarkStart w:id="502" w:name="_Toc2761087"/>
      <w:bookmarkStart w:id="503" w:name="_Toc2848185"/>
      <w:bookmarkStart w:id="504" w:name="_Toc6220172"/>
      <w:bookmarkStart w:id="505" w:name="_Toc6841592"/>
      <w:r w:rsidRPr="00315872">
        <w:lastRenderedPageBreak/>
        <w:t>Atvieglojum</w:t>
      </w:r>
      <w:r w:rsidR="00E12BA0">
        <w:t>u</w:t>
      </w:r>
      <w:r w:rsidRPr="00315872">
        <w:t xml:space="preserve"> veidi bez materiālā stāvokļa izvērtēšanas</w:t>
      </w:r>
      <w:bookmarkEnd w:id="496"/>
      <w:bookmarkEnd w:id="497"/>
      <w:bookmarkEnd w:id="498"/>
      <w:bookmarkEnd w:id="499"/>
      <w:bookmarkEnd w:id="500"/>
      <w:bookmarkEnd w:id="501"/>
      <w:bookmarkEnd w:id="502"/>
      <w:bookmarkEnd w:id="503"/>
      <w:bookmarkEnd w:id="504"/>
      <w:bookmarkEnd w:id="505"/>
    </w:p>
    <w:p w:rsidR="000C2C59" w:rsidRPr="00E46054" w:rsidRDefault="000C2C59" w:rsidP="00922A20">
      <w:r w:rsidRPr="00E46054">
        <w:t>Atvieglojum</w:t>
      </w:r>
      <w:r w:rsidR="00E12BA0">
        <w:t>u</w:t>
      </w:r>
      <w:r w:rsidRPr="00E46054">
        <w:t xml:space="preserve"> veidi </w:t>
      </w:r>
      <w:r w:rsidR="004D70A2">
        <w:t xml:space="preserve">bez personas materiālā stāvokļa izvērtēšanas ir </w:t>
      </w:r>
      <w:r w:rsidRPr="00E46054">
        <w:t>noteikti tikai atsevišķu pašvaldību saistošajos noteikumos.</w:t>
      </w:r>
      <w:r w:rsidR="004D70A2">
        <w:t xml:space="preserve"> </w:t>
      </w:r>
    </w:p>
    <w:p w:rsidR="000C2C59" w:rsidRPr="00E46054" w:rsidRDefault="000C2C59" w:rsidP="00922A20"/>
    <w:p w:rsidR="004D70A2" w:rsidRDefault="004D70A2" w:rsidP="00922A20">
      <w:r>
        <w:t xml:space="preserve">Šāda veida atvieglojumi veselības aprūpes pakalpojumu pieejamībai </w:t>
      </w:r>
      <w:r w:rsidR="000C2C59" w:rsidRPr="00E46054">
        <w:t>var tikt piešķirt</w:t>
      </w:r>
      <w:r>
        <w:t>i</w:t>
      </w:r>
      <w:r w:rsidR="000C2C59" w:rsidRPr="00E46054">
        <w:t xml:space="preserve"> </w:t>
      </w:r>
      <w:r>
        <w:t xml:space="preserve">pēc personas </w:t>
      </w:r>
      <w:r w:rsidR="00E12BA0">
        <w:t>piederība</w:t>
      </w:r>
      <w:r w:rsidR="004E2D9E">
        <w:t>s</w:t>
      </w:r>
      <w:r w:rsidR="00E12BA0">
        <w:t xml:space="preserve"> noteiktai mērķa grupai</w:t>
      </w:r>
      <w:r>
        <w:t xml:space="preserve">, kuru nosaka konkrēta pazīme – ģimenes stāvoklis, saslimšanas diagnoze, invaliditāte u.tml. Pašvaldību saistošo noteikumu analīzes rezultātā var minēt šādas mērķa grupas: </w:t>
      </w:r>
    </w:p>
    <w:p w:rsidR="004D70A2" w:rsidRDefault="000C2C59" w:rsidP="003F469F">
      <w:pPr>
        <w:pStyle w:val="ListParagraph"/>
        <w:numPr>
          <w:ilvl w:val="0"/>
          <w:numId w:val="55"/>
        </w:numPr>
        <w:spacing w:line="276" w:lineRule="auto"/>
        <w:jc w:val="both"/>
      </w:pPr>
      <w:r w:rsidRPr="00E46054">
        <w:t>audžuģimene</w:t>
      </w:r>
      <w:r w:rsidR="004D70A2">
        <w:t>s;</w:t>
      </w:r>
      <w:r w:rsidRPr="00E46054">
        <w:t xml:space="preserve"> </w:t>
      </w:r>
    </w:p>
    <w:p w:rsidR="004D70A2" w:rsidRDefault="000C2C59" w:rsidP="003F469F">
      <w:pPr>
        <w:pStyle w:val="ListParagraph"/>
        <w:numPr>
          <w:ilvl w:val="0"/>
          <w:numId w:val="55"/>
        </w:numPr>
        <w:spacing w:line="276" w:lineRule="auto"/>
        <w:jc w:val="both"/>
      </w:pPr>
      <w:r w:rsidRPr="00E46054">
        <w:t>represēt</w:t>
      </w:r>
      <w:r w:rsidR="004D70A2">
        <w:t>ās</w:t>
      </w:r>
      <w:r w:rsidRPr="00E46054">
        <w:t xml:space="preserve"> persona</w:t>
      </w:r>
      <w:r w:rsidR="004D70A2">
        <w:t>s;</w:t>
      </w:r>
    </w:p>
    <w:p w:rsidR="004D70A2" w:rsidRDefault="004D70A2" w:rsidP="003F469F">
      <w:pPr>
        <w:pStyle w:val="ListParagraph"/>
        <w:numPr>
          <w:ilvl w:val="0"/>
          <w:numId w:val="55"/>
        </w:numPr>
        <w:spacing w:line="276" w:lineRule="auto"/>
        <w:jc w:val="both"/>
      </w:pPr>
      <w:r>
        <w:t xml:space="preserve">personas, kuras slimo ar </w:t>
      </w:r>
      <w:r w:rsidR="000C2C59" w:rsidRPr="00E46054">
        <w:t>onkoloģisk</w:t>
      </w:r>
      <w:r>
        <w:t>u</w:t>
      </w:r>
      <w:r w:rsidR="000C2C59" w:rsidRPr="00E46054">
        <w:t xml:space="preserve"> </w:t>
      </w:r>
      <w:r>
        <w:t>slimību</w:t>
      </w:r>
      <w:r w:rsidR="000C2C59" w:rsidRPr="00E46054">
        <w:t>, astm</w:t>
      </w:r>
      <w:r>
        <w:t>u</w:t>
      </w:r>
      <w:r w:rsidR="000C2C59" w:rsidRPr="00E46054">
        <w:t>, tuberkuloz</w:t>
      </w:r>
      <w:r>
        <w:t>i</w:t>
      </w:r>
      <w:r w:rsidR="000C2C59" w:rsidRPr="00E46054">
        <w:t>, celiakij</w:t>
      </w:r>
      <w:r>
        <w:t>u, nieru mazspēju;</w:t>
      </w:r>
    </w:p>
    <w:p w:rsidR="004D70A2" w:rsidRDefault="004D70A2" w:rsidP="003F469F">
      <w:pPr>
        <w:pStyle w:val="ListParagraph"/>
        <w:numPr>
          <w:ilvl w:val="0"/>
          <w:numId w:val="55"/>
        </w:numPr>
        <w:spacing w:line="276" w:lineRule="auto"/>
        <w:jc w:val="both"/>
      </w:pPr>
      <w:r>
        <w:t xml:space="preserve">personas ar </w:t>
      </w:r>
      <w:r w:rsidR="000C2C59" w:rsidRPr="00E46054">
        <w:t>funkcionāli</w:t>
      </w:r>
      <w:r>
        <w:t>em</w:t>
      </w:r>
      <w:r w:rsidR="000C2C59" w:rsidRPr="00E46054">
        <w:t xml:space="preserve"> traucējumi</w:t>
      </w:r>
      <w:r>
        <w:t>em;</w:t>
      </w:r>
    </w:p>
    <w:p w:rsidR="004D70A2" w:rsidRDefault="000C2C59" w:rsidP="003F469F">
      <w:pPr>
        <w:pStyle w:val="ListParagraph"/>
        <w:numPr>
          <w:ilvl w:val="0"/>
          <w:numId w:val="55"/>
        </w:numPr>
        <w:spacing w:line="276" w:lineRule="auto"/>
        <w:jc w:val="both"/>
      </w:pPr>
      <w:r w:rsidRPr="005252B1">
        <w:t>Černobiļas atomelektrostacijas avārijas seku likvidēšanas</w:t>
      </w:r>
      <w:r>
        <w:t xml:space="preserve"> dalībnieki</w:t>
      </w:r>
      <w:r w:rsidR="004D70A2">
        <w:t>;</w:t>
      </w:r>
    </w:p>
    <w:p w:rsidR="004D70A2" w:rsidRDefault="004D70A2" w:rsidP="003F469F">
      <w:pPr>
        <w:pStyle w:val="ListParagraph"/>
        <w:numPr>
          <w:ilvl w:val="0"/>
          <w:numId w:val="55"/>
        </w:numPr>
        <w:spacing w:line="276" w:lineRule="auto"/>
        <w:jc w:val="both"/>
      </w:pPr>
      <w:r>
        <w:t>Afganistānas kara dalībnieki</w:t>
      </w:r>
      <w:r w:rsidR="00B858A0">
        <w:t>.</w:t>
      </w:r>
    </w:p>
    <w:p w:rsidR="004D70A2" w:rsidRDefault="004D70A2" w:rsidP="00922A20"/>
    <w:p w:rsidR="000C2C59" w:rsidRPr="00E46054" w:rsidRDefault="004D70A2" w:rsidP="00922A20">
      <w:r>
        <w:t>Veselības aprūpes pakalpojumu pieejamības atvieglojumi var tikt piešķirti arī personām, kas nonākušas dažādās krīzes situācijās</w:t>
      </w:r>
      <w:r w:rsidR="000C2C59" w:rsidRPr="00E46054">
        <w:t>. Piemēram, dažās pašvaldībās pas</w:t>
      </w:r>
      <w:r w:rsidR="00DB478E">
        <w:t>tāv „Pabalsts krīzes situācijā” vai</w:t>
      </w:r>
      <w:r w:rsidR="000C2C59" w:rsidRPr="00E46054">
        <w:t xml:space="preserve"> „Pab</w:t>
      </w:r>
      <w:r w:rsidR="00DB478E">
        <w:t>alsts ārkārtas situācijā”, kuru</w:t>
      </w:r>
      <w:r w:rsidR="000C2C59" w:rsidRPr="00E46054">
        <w:t xml:space="preserve"> personas </w:t>
      </w:r>
      <w:r w:rsidR="00DB478E">
        <w:t xml:space="preserve">ir </w:t>
      </w:r>
      <w:r w:rsidR="000C2C59" w:rsidRPr="00E46054">
        <w:t>tiesīgas saņemt ilgstošas ārstēšanās vai smagu saslimšanu gadījumos. Sniegtie atvieglojumu veidi ļoti atšķiras pašvaldīb</w:t>
      </w:r>
      <w:r w:rsidR="00935C56">
        <w:t>u starpā</w:t>
      </w:r>
      <w:r w:rsidR="000C2C59" w:rsidRPr="00E46054">
        <w:t>.</w:t>
      </w:r>
    </w:p>
    <w:p w:rsidR="000C2C59" w:rsidRPr="00E46054" w:rsidRDefault="000C2C59" w:rsidP="00922A20">
      <w:pPr>
        <w:rPr>
          <w:b/>
        </w:rPr>
      </w:pPr>
    </w:p>
    <w:p w:rsidR="000C2C59" w:rsidRPr="00E46054" w:rsidRDefault="000C2C59" w:rsidP="00922A20">
      <w:r w:rsidRPr="00E46054">
        <w:t>Atsevišķās pašvaldīb</w:t>
      </w:r>
      <w:r w:rsidR="00E12BA0">
        <w:t>ā</w:t>
      </w:r>
      <w:r w:rsidRPr="00E46054">
        <w:t xml:space="preserve">s ir saistošie noteikumi, kas paredz psiholoģisko konsultāciju nodrošināšanu personām krīzes situācijā, taču šis atbalsta veids tiek ietverts saistošajos noteikumos par sociālajiem pakalpojumiem pašvaldībā. </w:t>
      </w:r>
    </w:p>
    <w:p w:rsidR="000C2C59" w:rsidRPr="00E46054" w:rsidRDefault="000C2C59" w:rsidP="00922A20"/>
    <w:p w:rsidR="005C0F9E" w:rsidRDefault="000C2C59" w:rsidP="00922A20">
      <w:r w:rsidRPr="00E46054">
        <w:t xml:space="preserve">Dažkārt pašvaldību saistošajos noteikumos mēdz būt pabalsta veidi, kuros ietverts atbalsts, kas nav tieši saistīts ar veselības aprūpi, piemēram, ceļa izdevumu segšanai uz ārstniecības iestādi vai arī pabalsts veselības aprūpei ir sasaistīts ar pabalstu sociālās rehabilitācijas nodrošināšanai institūcijās. Vai pretēji </w:t>
      </w:r>
      <w:r w:rsidR="00D6514F">
        <w:t>–</w:t>
      </w:r>
      <w:r w:rsidRPr="00E46054">
        <w:t xml:space="preserve"> saistošajos noteikumos pie sociālajiem pakalpojumiem ievietots pabalsts „Speciālista pakalpojuma” saņemšanai, kas tiek piešķirts saskaņā ar personas/ģimenes individuālo sociālās rehabilitācijas plānu un nodrošina speciālista (narkologa, fizioterapeita, ergoterapeita u.c. speciālistu) konsultācijas. </w:t>
      </w:r>
    </w:p>
    <w:p w:rsidR="00323B56" w:rsidRPr="006C0D8B" w:rsidRDefault="00323B56" w:rsidP="003945E0">
      <w:pPr>
        <w:pStyle w:val="Heading3"/>
      </w:pPr>
      <w:bookmarkStart w:id="506" w:name="_Toc6841593"/>
      <w:r w:rsidRPr="006C0D8B">
        <w:t>Jaunās politikas iniciatīvas un budžeta pieteikumi</w:t>
      </w:r>
      <w:r w:rsidR="009F6530" w:rsidRPr="006C0D8B">
        <w:t xml:space="preserve"> v</w:t>
      </w:r>
      <w:r w:rsidRPr="006C0D8B">
        <w:t>eselības jomā</w:t>
      </w:r>
      <w:bookmarkEnd w:id="506"/>
      <w:r w:rsidRPr="006C0D8B">
        <w:t xml:space="preserve"> </w:t>
      </w:r>
    </w:p>
    <w:p w:rsidR="000769DC" w:rsidRDefault="006C0D8B" w:rsidP="000769DC">
      <w:r w:rsidRPr="000769DC">
        <w:t>VM budžeta pieteikumi attiecībā uz jaunajām politikas iniciatīvām (budžeta prioritārie pasākumi) publiski ir pieejam</w:t>
      </w:r>
      <w:r w:rsidR="004E2D9E">
        <w:t>i</w:t>
      </w:r>
      <w:r w:rsidRPr="000769DC">
        <w:t xml:space="preserve"> par laika posmu no 2016. līdz 2018. gadam.</w:t>
      </w:r>
      <w:r w:rsidR="000769DC">
        <w:t xml:space="preserve"> </w:t>
      </w:r>
      <w:r w:rsidR="000769DC" w:rsidRPr="000769DC">
        <w:t xml:space="preserve">Aplūkojot trīs gadu pieprasījumus un piešķīrumus, secināms, ka vairumā gadījumu prioritāro budžeta pieprasījumu ietvaros tiek pieprasīts un piešķirts papildu finansējums veselības nozares pamata problēmu risināšanai, t.i., piemēram, apstiprinot 2017. gada budžetu, papildu finansējums jauno politikas iniciatīvu ietvaros piešķirts minimālās algas paaugstināšanai nozarē strādājošajiem, rindu mazināšanai uz speciālistu </w:t>
      </w:r>
      <w:r w:rsidR="000769DC" w:rsidRPr="000769DC">
        <w:lastRenderedPageBreak/>
        <w:t>pakalpojumiem ambulatorajā veselības aprūpē, gaidīšanas rindu mazināšanai plānveida stacionārajā veselības aprūpē u.tml.</w:t>
      </w:r>
      <w:r w:rsidR="000769DC">
        <w:rPr>
          <w:rStyle w:val="FootnoteReference"/>
        </w:rPr>
        <w:footnoteReference w:id="184"/>
      </w:r>
    </w:p>
    <w:p w:rsidR="000769DC" w:rsidRPr="000769DC" w:rsidRDefault="000769DC" w:rsidP="000769DC"/>
    <w:p w:rsidR="000769DC" w:rsidRPr="000769DC" w:rsidRDefault="000769DC" w:rsidP="000769DC">
      <w:r w:rsidRPr="000769DC">
        <w:t>Vienlaikus FM, 2017. gadā veicot veselības aprūpes situācijas padziļinātu analīzi attiecībā uz piešķirto un izlietoto budžetu, konstatē virkni faktu, kurus iesaka novērst VM</w:t>
      </w:r>
      <w:r w:rsidR="00C44615">
        <w:rPr>
          <w:rStyle w:val="FootnoteReference"/>
        </w:rPr>
        <w:footnoteReference w:id="185"/>
      </w:r>
      <w:r w:rsidRPr="000769DC">
        <w:t>. Ņemot vērā, ka nevienlīdzību veselības aprūpes jomā aktualizē atšķirīgās iedzīvotāju iespējas piekļūt valsts finansētajiem veselības aprūpes pakalpojumiem, kā arī FM vēlreiz vērš uzmanību uz vairākiem problemātiskiem veselības aprūpes finansēšanas jautājumiem, kurus ir identificējuši starptautiskie izvērtējumi, būtiskākie secinājumi ir ietverti arī šajā Izvērtējumā. FM atzīst, ka veselības nozarei piešķirtais finansējums ir nepietiekošs pie nenodefinēta pakalpojumu groza, t.i., nesasaistot to ar faktiski nepieciešamo pakalpojumu apjomu, un ir nepieciešams rast risinājumu tā palielināšanai, tomēr šobrīd spēkā esošā valsts budžeta finansējuma sadales kārtība nesniedz pārliecību par tā maksimāli efektīvu sadalījumu un izlietojumu (t.i., netiek veikts sistēmisks izdevumu efektivitātes un lietderīguma izvērtējums). Tādējādi tiek atzīts, ka papildu finansējums nozarei piešķirams mērķēti un veicot strukturālās reformas, kas risinātu identificētās, t.sk., iepriekš minētās nepilnības.</w:t>
      </w:r>
    </w:p>
    <w:p w:rsidR="000769DC" w:rsidRDefault="000769DC" w:rsidP="000769DC"/>
    <w:p w:rsidR="000769DC" w:rsidRPr="000769DC" w:rsidRDefault="000769DC" w:rsidP="000769DC">
      <w:r w:rsidRPr="000769DC">
        <w:t>Izvērtējot informāciju par valsts kompensējamajiem medikamentiem, FM secina, ka NVD nav instrumentu, kā iekļaut sarakstā jaunu, lētāku analogu preparātu, ja pats ražotājs nav vērsies ar iesniegumu par preparāta iekļaušanu sarakstā. Pat ja ražotājs, kura medikaments ir iekļauts Latvijas valsts kompensējamo medikamentu sarakstā, izstrādā lētāku analogu produktu, kuru var piedāvāt citām valstīm, Latvijai turpina piegādāt tikai dārgo oriģinālu, jo ražotājam tas ir izdevīgāk, nekā piedāvāt lētāko analogu. Kā arī secināms, ka no visiem kompensējamo zāļu sarakstiem (A, B, C un M) alternatīvos kompensējamos medikamentus var piedāvāt tikai A sarakstā iekļautajiem medikamentiem. FM iesaka VM pārskatīt references kārtību kompensējamo zāļu sistēmā, paredzot iespēju alternatīvo medikamentu iekļaušanu arī B un C kompensējamo medikamentu sarakstos.</w:t>
      </w:r>
    </w:p>
    <w:p w:rsidR="0018604E" w:rsidRDefault="0018604E" w:rsidP="000769DC"/>
    <w:p w:rsidR="000769DC" w:rsidRPr="000769DC" w:rsidRDefault="000769DC" w:rsidP="000769DC">
      <w:r w:rsidRPr="000769DC">
        <w:t>FM norāda, ka VM ir nepieciešams izvērtēt un sniegt priekšlikumus konkrētām ārstniecības programmām un pacientu grupām (atbilstoši pieejamam finansējuma apmēram), kurām pakalpojumi tiek apmaksāti pēc fakta (t.i., būtu jābūt apmaksātām tām ārstniecības programmām, kurām ir kritiska ietekme uz sabiedrības veselību kopumā, piemēram, saistībā ar citu personu apdraudējumu vai potenciālā darbspējīgā mūža ilguma samazināšanos).</w:t>
      </w:r>
    </w:p>
    <w:p w:rsidR="000769DC" w:rsidRDefault="000769DC" w:rsidP="000769DC"/>
    <w:p w:rsidR="000769DC" w:rsidRPr="00323B56" w:rsidRDefault="00E44105" w:rsidP="000769DC">
      <w:r w:rsidRPr="000769DC">
        <w:t>FM secina</w:t>
      </w:r>
      <w:r>
        <w:t>, ka</w:t>
      </w:r>
      <w:r w:rsidRPr="000769DC">
        <w:t xml:space="preserve"> </w:t>
      </w:r>
      <w:r w:rsidR="000769DC" w:rsidRPr="000769DC">
        <w:t xml:space="preserve">stacionāri nereti pilda sociālas funkcijas, </w:t>
      </w:r>
      <w:r>
        <w:t>tāpēc</w:t>
      </w:r>
      <w:r w:rsidR="000769DC" w:rsidRPr="000769DC">
        <w:t xml:space="preserve"> VM sadarbībā ar LM būtu jāizvērtē nepieciešamība veidot trešo, iztrūkstošo aprūpes sistēmu, kas darbotos paralēli sociālajai aprūpei un veselības aprūpei, piedāvājot to uzskatīt par ilgtermiņa (hronisko pacientu) aprūpi. FM ieskatā šī </w:t>
      </w:r>
      <w:r w:rsidR="000769DC" w:rsidRPr="000769DC">
        <w:lastRenderedPageBreak/>
        <w:t>sistēma varētu būt vismaz daļēji institucionalizēta, t.i., tiek ieteikts izmantot infrastruktūru, kura vairs nav nepieciešama akūtās veselības aprūpes sniegšanai. Hronisko pacientu aprūpe aptvertu kopšanu, aprūpi mājās, HIV/AIDS u.c. pacientu aprūpi, kuru stāvoklis nav akūts, taču vienlaikus tie nav uzskatāmi par sociālās aprūpes pacientiem, jo tiem ir pastāvīgi nepieciešama ārsta uzraudzība.</w:t>
      </w:r>
    </w:p>
    <w:p w:rsidR="00EE61F1" w:rsidRDefault="00876123" w:rsidP="00064C1E">
      <w:pPr>
        <w:pStyle w:val="Heading2"/>
      </w:pPr>
      <w:bookmarkStart w:id="507" w:name="_Toc6841594"/>
      <w:r>
        <w:t>N</w:t>
      </w:r>
      <w:r w:rsidR="00120E06" w:rsidRPr="00120E06">
        <w:t xml:space="preserve">evienlīdzība </w:t>
      </w:r>
      <w:r w:rsidR="000A51CF">
        <w:t xml:space="preserve">veselības </w:t>
      </w:r>
      <w:r w:rsidR="00120E06" w:rsidRPr="00120E06">
        <w:t>jomā</w:t>
      </w:r>
      <w:r>
        <w:t xml:space="preserve"> specifiskās mērķa grupās</w:t>
      </w:r>
      <w:bookmarkEnd w:id="507"/>
    </w:p>
    <w:p w:rsidR="00014036" w:rsidRPr="005633C5" w:rsidRDefault="005633C5" w:rsidP="00922A20">
      <w:r w:rsidRPr="005633C5">
        <w:t>Izvērtējuma mērķim n</w:t>
      </w:r>
      <w:r w:rsidR="00014036" w:rsidRPr="005633C5">
        <w:t xml:space="preserve">evienlīdzības veselības aprūpes jomā galvenās mērķa grupas </w:t>
      </w:r>
      <w:r w:rsidRPr="005633C5">
        <w:t>tika</w:t>
      </w:r>
      <w:r w:rsidR="00014036" w:rsidRPr="005633C5">
        <w:t xml:space="preserve"> noteiktas šādas:</w:t>
      </w:r>
    </w:p>
    <w:p w:rsidR="00014036" w:rsidRPr="005633C5" w:rsidRDefault="00014036" w:rsidP="003F469F">
      <w:pPr>
        <w:pStyle w:val="ListParagraph"/>
        <w:numPr>
          <w:ilvl w:val="0"/>
          <w:numId w:val="129"/>
        </w:numPr>
        <w:spacing w:line="276" w:lineRule="auto"/>
        <w:jc w:val="both"/>
      </w:pPr>
      <w:r w:rsidRPr="005633C5">
        <w:t>pirmspensijas un pensijas vecuma cilvēki;</w:t>
      </w:r>
    </w:p>
    <w:p w:rsidR="00014036" w:rsidRPr="005633C5" w:rsidRDefault="00014036" w:rsidP="003F469F">
      <w:pPr>
        <w:pStyle w:val="ListParagraph"/>
        <w:numPr>
          <w:ilvl w:val="0"/>
          <w:numId w:val="129"/>
        </w:numPr>
        <w:spacing w:line="276" w:lineRule="auto"/>
        <w:jc w:val="both"/>
      </w:pPr>
      <w:r w:rsidRPr="005633C5">
        <w:t xml:space="preserve">ģimenes ar bērniem, īpaši daudzbērnu un viena </w:t>
      </w:r>
      <w:r w:rsidR="00BA1727">
        <w:t xml:space="preserve">vecāka mājsaimniecības </w:t>
      </w:r>
      <w:r w:rsidRPr="005633C5">
        <w:t>(t.sk. ģimenes ar bērniem, kuriem ir funkcionēšanas ierobežojumi vai invaliditāte);</w:t>
      </w:r>
    </w:p>
    <w:p w:rsidR="00014036" w:rsidRPr="005633C5" w:rsidRDefault="00014036" w:rsidP="003F469F">
      <w:pPr>
        <w:pStyle w:val="ListParagraph"/>
        <w:numPr>
          <w:ilvl w:val="0"/>
          <w:numId w:val="129"/>
        </w:numPr>
        <w:spacing w:line="276" w:lineRule="auto"/>
        <w:jc w:val="both"/>
      </w:pPr>
      <w:r w:rsidRPr="005633C5">
        <w:t>bezdarbnieki, īpaši ilgstošie bezdarbnieki;</w:t>
      </w:r>
    </w:p>
    <w:p w:rsidR="00014036" w:rsidRPr="005633C5" w:rsidRDefault="00014036" w:rsidP="003F469F">
      <w:pPr>
        <w:pStyle w:val="ListParagraph"/>
        <w:numPr>
          <w:ilvl w:val="0"/>
          <w:numId w:val="129"/>
        </w:numPr>
        <w:spacing w:line="276" w:lineRule="auto"/>
        <w:jc w:val="both"/>
      </w:pPr>
      <w:r w:rsidRPr="005633C5">
        <w:t>trūcīgās un maznodrošinātās personas;</w:t>
      </w:r>
    </w:p>
    <w:p w:rsidR="00014036" w:rsidRPr="005633C5" w:rsidRDefault="00014036" w:rsidP="003F469F">
      <w:pPr>
        <w:pStyle w:val="ListParagraph"/>
        <w:numPr>
          <w:ilvl w:val="0"/>
          <w:numId w:val="129"/>
        </w:numPr>
        <w:spacing w:line="276" w:lineRule="auto"/>
        <w:jc w:val="both"/>
      </w:pPr>
      <w:r w:rsidRPr="005633C5">
        <w:t>personas ar funkcionēšanas ierobežojumiem, tai skaitā personas ar invaliditāti (visas invaliditātes grupas un traucējumu veidi; bērni, darbspējas un virs darbspējas vecuma dzimumu griezumā);</w:t>
      </w:r>
    </w:p>
    <w:p w:rsidR="00014036" w:rsidRPr="005633C5" w:rsidRDefault="00014036" w:rsidP="003F469F">
      <w:pPr>
        <w:pStyle w:val="ListParagraph"/>
        <w:numPr>
          <w:ilvl w:val="0"/>
          <w:numId w:val="129"/>
        </w:numPr>
        <w:spacing w:line="276" w:lineRule="auto"/>
        <w:jc w:val="both"/>
      </w:pPr>
      <w:r w:rsidRPr="005633C5">
        <w:t>lauku teritorijās dzīvojošie;</w:t>
      </w:r>
    </w:p>
    <w:p w:rsidR="00014036" w:rsidRPr="005633C5" w:rsidRDefault="00014036" w:rsidP="003F469F">
      <w:pPr>
        <w:pStyle w:val="ListParagraph"/>
        <w:numPr>
          <w:ilvl w:val="0"/>
          <w:numId w:val="129"/>
        </w:numPr>
        <w:spacing w:line="276" w:lineRule="auto"/>
        <w:jc w:val="both"/>
      </w:pPr>
      <w:r w:rsidRPr="005633C5">
        <w:t>vardarbībā cietušās personas, tai skaitā cilvēktirdzniecības upuri;</w:t>
      </w:r>
    </w:p>
    <w:p w:rsidR="00014036" w:rsidRPr="005633C5" w:rsidRDefault="00014036" w:rsidP="003F469F">
      <w:pPr>
        <w:pStyle w:val="ListParagraph"/>
        <w:numPr>
          <w:ilvl w:val="0"/>
          <w:numId w:val="129"/>
        </w:numPr>
        <w:spacing w:line="276" w:lineRule="auto"/>
        <w:jc w:val="both"/>
      </w:pPr>
      <w:r w:rsidRPr="005633C5">
        <w:t>bezpajumtnieki;</w:t>
      </w:r>
    </w:p>
    <w:p w:rsidR="00014036" w:rsidRPr="005633C5" w:rsidRDefault="00014036" w:rsidP="003F469F">
      <w:pPr>
        <w:pStyle w:val="ListParagraph"/>
        <w:numPr>
          <w:ilvl w:val="0"/>
          <w:numId w:val="129"/>
        </w:numPr>
        <w:spacing w:line="276" w:lineRule="auto"/>
        <w:jc w:val="both"/>
      </w:pPr>
      <w:r w:rsidRPr="005633C5">
        <w:t>no ieslodzījuma vietām atbrīvotās personas;</w:t>
      </w:r>
    </w:p>
    <w:p w:rsidR="00014036" w:rsidRPr="005633C5" w:rsidRDefault="00014036" w:rsidP="003F469F">
      <w:pPr>
        <w:pStyle w:val="ListParagraph"/>
        <w:numPr>
          <w:ilvl w:val="0"/>
          <w:numId w:val="129"/>
        </w:numPr>
        <w:spacing w:line="276" w:lineRule="auto"/>
        <w:jc w:val="both"/>
      </w:pPr>
      <w:r w:rsidRPr="005633C5">
        <w:t>romi;</w:t>
      </w:r>
    </w:p>
    <w:p w:rsidR="00876123" w:rsidRPr="005633C5" w:rsidRDefault="00014036" w:rsidP="003F469F">
      <w:pPr>
        <w:pStyle w:val="ListParagraph"/>
        <w:numPr>
          <w:ilvl w:val="0"/>
          <w:numId w:val="129"/>
        </w:numPr>
        <w:spacing w:line="276" w:lineRule="auto"/>
        <w:jc w:val="both"/>
      </w:pPr>
      <w:r w:rsidRPr="005633C5">
        <w:t>patvēruma meklētāji, bēgļi un personas ar alternatīvo statusu.</w:t>
      </w:r>
    </w:p>
    <w:p w:rsidR="005633C5" w:rsidRPr="005633C5" w:rsidRDefault="005633C5" w:rsidP="00064C1E"/>
    <w:p w:rsidR="005633C5" w:rsidRDefault="00D90BC7" w:rsidP="00064C1E">
      <w:r>
        <w:t xml:space="preserve">Izvērtējumā veikto datu, dokumentu un tiesību aktu </w:t>
      </w:r>
      <w:r w:rsidR="005633C5" w:rsidRPr="00CB78BF">
        <w:t xml:space="preserve">analīze </w:t>
      </w:r>
      <w:r w:rsidR="00CB78BF" w:rsidRPr="00CB78BF">
        <w:t>rāda, ka kopumā nevienlīdzības veselības jomā riskam ir pakļautas visas iedzīvotāju grupas, kas atbilst trūcīgas personas statusam, bērni, personas ar I vai II grupas invaliditāti, patvēruma meklētāji</w:t>
      </w:r>
      <w:r w:rsidR="00CB78BF">
        <w:t>, ieslodzītās personas</w:t>
      </w:r>
      <w:r w:rsidR="00CB78BF" w:rsidRPr="00CB78BF">
        <w:t xml:space="preserve"> un personas, kurām ir noteiktas hroniskas saslimšanas, kuru ārstēšanai ir nepieciešamas noteiktas zāles vai medicīniskās ierīces. I</w:t>
      </w:r>
      <w:r w:rsidR="005633C5" w:rsidRPr="00CB78BF">
        <w:t xml:space="preserve">zvērtējumā intervēto ekspertu vērtējumā </w:t>
      </w:r>
      <w:r w:rsidR="00CB78BF" w:rsidRPr="00CB78BF">
        <w:t xml:space="preserve">nevienlīdzības veselības pieejamības jomā riskam ir pakļautas visas personas </w:t>
      </w:r>
      <w:r w:rsidR="005633C5" w:rsidRPr="00CB78BF">
        <w:t xml:space="preserve">ar zemiem ienākumiem, </w:t>
      </w:r>
      <w:r w:rsidR="00CB78BF" w:rsidRPr="00CB78BF">
        <w:t xml:space="preserve">neatkarīgi no tā, vai tām ir </w:t>
      </w:r>
      <w:r w:rsidR="00CB78BF">
        <w:t xml:space="preserve">vai nav </w:t>
      </w:r>
      <w:r w:rsidR="00CB78BF" w:rsidRPr="00CB78BF">
        <w:t>piešķirts trūcīgas personas statuss</w:t>
      </w:r>
      <w:r w:rsidR="00CB78BF">
        <w:t>, kas vienlaicīgi var pārklāties ar citām iepriekš minētajām pazīmēm, piemēram, pensijas vecuma cilvēki, ģimenes ar bērniem</w:t>
      </w:r>
      <w:r w:rsidR="00CB78BF" w:rsidRPr="005633C5">
        <w:t xml:space="preserve">, īpaši daudzbērnu un viena </w:t>
      </w:r>
      <w:r w:rsidR="00BA1727">
        <w:t>vecāka mājsaimniecības</w:t>
      </w:r>
      <w:r w:rsidR="00CB78BF">
        <w:t>, bezdarbnieki</w:t>
      </w:r>
      <w:r w:rsidR="00CB78BF" w:rsidRPr="00CB78BF">
        <w:t xml:space="preserve">. </w:t>
      </w:r>
      <w:r w:rsidR="00CB78BF">
        <w:t>Savukārt par vairāku citu mērķa grupu piederību nevienlīdzības riskam veselības aprūpes jomā pakļautiem iedzīvotājiem eksperti pauda atšķirīgus viedokļus</w:t>
      </w:r>
      <w:r w:rsidR="00022497">
        <w:t>, norādot ka Latvijas tiesiskais regulējums pietiekami rūpējas par to, lai tās saņemtu veselības aprūpes pakalpojumus vienādā mērā ar citiem iedzīvotājiem</w:t>
      </w:r>
      <w:r w:rsidR="00CB78BF">
        <w:t>.</w:t>
      </w:r>
      <w:r w:rsidR="00145381">
        <w:t xml:space="preserve"> Visu iepriekš minēto grupu situācijas sīkāks raksturojums ir sniegts tālākās apakšnodaļās.</w:t>
      </w:r>
    </w:p>
    <w:p w:rsidR="00E6154B" w:rsidRDefault="00E6154B" w:rsidP="00064C1E"/>
    <w:p w:rsidR="00982FC0" w:rsidRDefault="00E6154B" w:rsidP="00064C1E">
      <w:r w:rsidRPr="00675E7E">
        <w:t>Atsev</w:t>
      </w:r>
      <w:r w:rsidR="00155519" w:rsidRPr="00675E7E">
        <w:t>išķi Izvērtējumā intervētie</w:t>
      </w:r>
      <w:r w:rsidRPr="00675E7E">
        <w:t xml:space="preserve"> eksperti norāda, ka arī strādājošais noteiktā situācijā var kļ</w:t>
      </w:r>
      <w:r w:rsidR="000F1524">
        <w:t>ū</w:t>
      </w:r>
      <w:r w:rsidRPr="00675E7E">
        <w:t xml:space="preserve">t </w:t>
      </w:r>
      <w:r w:rsidR="000F1524">
        <w:t>par pakļ</w:t>
      </w:r>
      <w:r w:rsidR="00155519" w:rsidRPr="00675E7E">
        <w:t>autu nevienlīdzībai veselības aprūpes jomā, piemēram, ja viņam steidzami ir bijusi nepieciešama operācija un gaidīt rindā uz valsts apmaksātu plānveida operāciju nav bijis iespējams.</w:t>
      </w:r>
      <w:r w:rsidRPr="00675E7E">
        <w:t xml:space="preserve"> </w:t>
      </w:r>
      <w:r w:rsidR="00155519" w:rsidRPr="00675E7E">
        <w:t xml:space="preserve">Tomēr veselības aprūpes izdevumu potenciālo ietekmi uz personas risku nokļūt materiālajā nenodrošinātībā precīzāk ilustrē 1.2.5. nodaļā izklāstītie LU Sociālo un politisko pētījumu institūta pētnieka M. Niklasa aprēķini. Autors norāda, ka šobrīd materiālās nenodrošinātības indeksa aprēķinā </w:t>
      </w:r>
      <w:r w:rsidR="00155519" w:rsidRPr="00675E7E">
        <w:lastRenderedPageBreak/>
        <w:t xml:space="preserve">izmaksas veselības pakalpojumiem nav ietvertas, tomēr Latvijas gadījumā ar augstu pacientu tiešmaksājumu īpatsvaru veselības aprūpes izdevumu struktūrā, šīs izdevumu pozīciju iekļaušana ir izskatāma. Šo pieņēmumu autors pamato ar aprēķiniem, izmantojot SUSTINNO projekta ietvaros 2015. gadā veiktas iedzīvotāju aptaujas datus, – iekļaujot materiālās nenodrošinātības indeksa aprēķinā </w:t>
      </w:r>
      <w:r w:rsidR="00BA2DCE" w:rsidRPr="00675E7E">
        <w:t xml:space="preserve">veselības aprūpes izdevumus, </w:t>
      </w:r>
      <w:r w:rsidR="00155519" w:rsidRPr="00675E7E">
        <w:t>strādājošo iedzīvotāju 15 – 64 gadu vecumā materiālās nenodrošinātības indeksa vērtība pieaug par 3,8 procentpunktiem</w:t>
      </w:r>
      <w:r w:rsidR="00BA2DCE" w:rsidRPr="00675E7E">
        <w:rPr>
          <w:rStyle w:val="FootnoteReference"/>
        </w:rPr>
        <w:footnoteReference w:id="186"/>
      </w:r>
      <w:r w:rsidR="00155519" w:rsidRPr="00675E7E">
        <w:t>.</w:t>
      </w:r>
    </w:p>
    <w:p w:rsidR="00155519" w:rsidRDefault="00155519" w:rsidP="00064C1E"/>
    <w:p w:rsidR="00140220" w:rsidRPr="007063A4" w:rsidRDefault="00982FC0" w:rsidP="00064C1E">
      <w:r w:rsidRPr="00D92538">
        <w:t>Kopumā v</w:t>
      </w:r>
      <w:r w:rsidR="00140220" w:rsidRPr="00D92538">
        <w:t xml:space="preserve">eselības aprūpes pieejamība </w:t>
      </w:r>
      <w:r w:rsidR="00E6154B" w:rsidRPr="00D92538">
        <w:t xml:space="preserve">noteiktās grupās ir zemāka </w:t>
      </w:r>
      <w:r w:rsidR="00140220" w:rsidRPr="00D92538">
        <w:t xml:space="preserve">ne tikai pašas veselības aprūpes nozares situācijas </w:t>
      </w:r>
      <w:r w:rsidR="00D92538" w:rsidRPr="00D92538">
        <w:t xml:space="preserve">(piemēram, rindu uz pakalpojumiem) </w:t>
      </w:r>
      <w:r w:rsidR="00140220" w:rsidRPr="00D92538">
        <w:t xml:space="preserve">dēļ </w:t>
      </w:r>
      <w:r w:rsidRPr="00D92538">
        <w:t>–</w:t>
      </w:r>
      <w:r w:rsidR="00140220" w:rsidRPr="00D92538">
        <w:t xml:space="preserve"> būtībā problēma ir kompleksa</w:t>
      </w:r>
      <w:r w:rsidRPr="00D92538">
        <w:t>,</w:t>
      </w:r>
      <w:r w:rsidR="00140220" w:rsidRPr="00D92538">
        <w:t xml:space="preserve"> </w:t>
      </w:r>
      <w:r w:rsidRPr="00D92538">
        <w:t>un</w:t>
      </w:r>
      <w:r w:rsidR="00140220" w:rsidRPr="00D92538">
        <w:t xml:space="preserve"> tā </w:t>
      </w:r>
      <w:r w:rsidRPr="00D92538">
        <w:t>ir atkarīga no situācijas</w:t>
      </w:r>
      <w:r w:rsidR="00140220" w:rsidRPr="00D92538">
        <w:t xml:space="preserve"> cit</w:t>
      </w:r>
      <w:r w:rsidRPr="00D92538">
        <w:t>ās nozar</w:t>
      </w:r>
      <w:r w:rsidR="00E6154B" w:rsidRPr="00D92538">
        <w:t>ē</w:t>
      </w:r>
      <w:r w:rsidR="00140220" w:rsidRPr="00D92538">
        <w:t xml:space="preserve">s (piemēram, </w:t>
      </w:r>
      <w:r w:rsidRPr="00D92538">
        <w:t>liela ietekme uz veselības aprūpes pieejamību ir</w:t>
      </w:r>
      <w:r w:rsidRPr="007063A4">
        <w:t xml:space="preserve"> </w:t>
      </w:r>
      <w:r w:rsidR="00140220" w:rsidRPr="007063A4">
        <w:t>transporta pakalpojumu pieejamība</w:t>
      </w:r>
      <w:r w:rsidRPr="007063A4">
        <w:t>i). Iedzīvotāju sastaptās grūtības var būt arī</w:t>
      </w:r>
      <w:r w:rsidR="00140220" w:rsidRPr="007063A4">
        <w:t xml:space="preserve"> individuāli situatīvas, </w:t>
      </w:r>
      <w:r w:rsidRPr="007063A4">
        <w:t>jo</w:t>
      </w:r>
      <w:r w:rsidR="00140220" w:rsidRPr="007063A4">
        <w:t xml:space="preserve"> rodas no dažādu sociālo atstumtību veicinošo apstākļu un noteiktu saslimstību radītā sloga savstarpējās mijiedarbības. Šādā situācijā, ja viens no apstākļiem personai vēl būtu risināms, tad vienlaikus notiekot vairākām, situāciju savstarpēji pasliktinošām epizodēm, personai ne tikai samazinās veselības aprūpes pieejamība, bet arī tās rezultātā var rasties nopietns apdraudējums veselībai ilgtermiņā.</w:t>
      </w:r>
    </w:p>
    <w:p w:rsidR="0018604E" w:rsidRDefault="0018604E" w:rsidP="00064C1E"/>
    <w:p w:rsidR="000278DA" w:rsidRDefault="00A9028A" w:rsidP="00064C1E">
      <w:r w:rsidRPr="007063A4">
        <w:t xml:space="preserve">Turpmākajās apakšnodaļās </w:t>
      </w:r>
      <w:r w:rsidR="000278DA" w:rsidRPr="007063A4">
        <w:t xml:space="preserve">ir raksturota specifisku mērķa grupu situācija </w:t>
      </w:r>
      <w:r w:rsidR="003124EC" w:rsidRPr="007063A4">
        <w:t>veselības aprūpes</w:t>
      </w:r>
      <w:r w:rsidR="000278DA" w:rsidRPr="007063A4">
        <w:t xml:space="preserve"> pieejamības jomā</w:t>
      </w:r>
      <w:r w:rsidR="007063A4" w:rsidRPr="007063A4">
        <w:t>. Pieejamo datu ietvaros situācija raksturota gan kvantitatīvi, gan kvalitatīvi. Daļa mērķa grupu ir aplūkota, balstoties tikai uz kvalitatīvu izvērtējumu,</w:t>
      </w:r>
      <w:r w:rsidR="000278DA" w:rsidRPr="007063A4">
        <w:t xml:space="preserve"> </w:t>
      </w:r>
      <w:r w:rsidR="007063A4" w:rsidRPr="007063A4">
        <w:t>jo tās ir</w:t>
      </w:r>
      <w:r w:rsidR="000278DA" w:rsidRPr="007063A4">
        <w:t xml:space="preserve"> statistiski mazskaitlīgas</w:t>
      </w:r>
      <w:r w:rsidR="007063A4" w:rsidRPr="007063A4">
        <w:t xml:space="preserve"> un netiek aptvertas</w:t>
      </w:r>
      <w:r w:rsidR="000278DA" w:rsidRPr="007063A4">
        <w:t xml:space="preserve"> </w:t>
      </w:r>
      <w:r w:rsidR="007063A4" w:rsidRPr="007063A4">
        <w:t>statistikas vajadzībām veiktajos</w:t>
      </w:r>
      <w:r w:rsidR="000278DA" w:rsidRPr="007063A4">
        <w:t xml:space="preserve"> apsekojumos vai arī dati konkrētās mērķa grupas pazīmes grie</w:t>
      </w:r>
      <w:r w:rsidR="00D54545">
        <w:t>zumā nav pieejami (piemēram, EU-</w:t>
      </w:r>
      <w:r w:rsidR="000278DA" w:rsidRPr="007063A4">
        <w:t>SILC jautājumi nav pieejami sadalījumā pēc etniskās piederības, attiecīgi nav iespējams izdalīt romus kā atsevišķu mērķa grupu</w:t>
      </w:r>
      <w:r w:rsidR="003124EC" w:rsidRPr="007063A4">
        <w:t xml:space="preserve">; līdzīga situācija ir attiecībā uz vardarbībā cietušām personām, no ieslodzījuma vietām atbrīvotājām personām un patvēruma meklētājiem; savukārt bezpajumtnieki kopumā kā mērķa grupa ir sarežģīti pētāma un standarta apsekojumos netiek </w:t>
      </w:r>
      <w:r w:rsidR="00675E7E">
        <w:t>ap</w:t>
      </w:r>
      <w:r w:rsidR="003124EC" w:rsidRPr="007063A4">
        <w:t>tverta</w:t>
      </w:r>
      <w:r w:rsidR="000278DA" w:rsidRPr="007063A4">
        <w:t>).</w:t>
      </w:r>
      <w:r w:rsidR="000278DA" w:rsidRPr="003124EC">
        <w:t xml:space="preserve"> </w:t>
      </w:r>
    </w:p>
    <w:p w:rsidR="00297C34" w:rsidRPr="007063A4" w:rsidRDefault="00297C34" w:rsidP="003945E0">
      <w:pPr>
        <w:pStyle w:val="Heading3"/>
      </w:pPr>
      <w:bookmarkStart w:id="508" w:name="_Toc6841595"/>
      <w:r w:rsidRPr="007063A4">
        <w:t>P</w:t>
      </w:r>
      <w:r w:rsidR="00140220" w:rsidRPr="007063A4">
        <w:t>irmspensijas un p</w:t>
      </w:r>
      <w:r w:rsidRPr="007063A4">
        <w:t>ensijas vecuma cilvēki</w:t>
      </w:r>
      <w:bookmarkEnd w:id="508"/>
    </w:p>
    <w:p w:rsidR="00140220" w:rsidRDefault="007063A4" w:rsidP="00140220">
      <w:r>
        <w:t>Izvērtējumā i</w:t>
      </w:r>
      <w:r w:rsidR="00140220" w:rsidRPr="00140220">
        <w:t>ntervētie eksperti kopumā piekrīt, ka pirmspensijas un pensijas vecuma cilvēki ir viena no</w:t>
      </w:r>
      <w:r w:rsidR="00140220">
        <w:t xml:space="preserve"> grupām, kas pakļauta nozīmīgam nevienlīdzības riskam veselības jomā. Šo piederību nosaka divi galvenie apstākļi. Pirmkārt, tie ir mērķa grupas zemie ienākumi</w:t>
      </w:r>
      <w:r w:rsidR="000456FE">
        <w:t xml:space="preserve"> (sk. 1. nodaļas ietvaros analizētos ienākumus, nabadzības un sociālās atstumtības rādītājus, t.sk., pensijas vecuma cilvēku vecuma grupā)</w:t>
      </w:r>
      <w:r w:rsidR="00140220">
        <w:t xml:space="preserve">, kas padara veselības aprūpi mazāk pieejamu finansiālā sloga dēļ (piemēram, ņemot vērā visus tiešmaksājumus). Otrkārt, pirmspensijas un pensijas vecuma iedzīvotāji vienlaikus </w:t>
      </w:r>
      <w:r>
        <w:t xml:space="preserve">ir </w:t>
      </w:r>
      <w:r w:rsidR="00140220">
        <w:t>grupa, kura veselības aprūpes pakalpojumus patērē visvairāk, jo atbilstoši vecumposmam vairāk slimo ar hroniskām saslimšanām.</w:t>
      </w:r>
    </w:p>
    <w:p w:rsidR="00140220" w:rsidRDefault="00140220" w:rsidP="00140220"/>
    <w:p w:rsidR="005B1EB1" w:rsidRDefault="00140220" w:rsidP="00140220">
      <w:r>
        <w:t xml:space="preserve">Ja personas ienākumi ir tik zemi, ka tai pienākas trūcīgas personas statuss, tad pirmspensijas vai pensijas vecuma persona ir atbrīvota no pacienta līdzmaksājuma. Tomēr gadījumā, ja persona nevar iegūt šo statusu, tad finansiālais slogs ir nozīmīgi jūtams. Kā norāda intervētie eksperti, pirmspensijas vecumā ir arī lielāks risks tikt atlaistam no darba vai arī šis vecums kombinējas ar </w:t>
      </w:r>
      <w:r>
        <w:lastRenderedPageBreak/>
        <w:t xml:space="preserve">ilgstošu bezdarbu, kā rezultātā finansiālu apstākļu dēļ personas pieejamība veselības aprūpei arī samazinās. Eksperti atzīst, ka, raugoties no pirmspensijas un pensijas vecuma iedzīvotāju ienākumu viedokļa, līdzmaksājumu apjoms, piemēram, stacionārā un uz sarežģītākiem izmeklējumiem (piemēram, vizuālā diagnostika) ir nozīmīgi liels. </w:t>
      </w:r>
      <w:r w:rsidR="00476C67">
        <w:t>Būtisku</w:t>
      </w:r>
      <w:r>
        <w:t xml:space="preserve"> slogu rada arī zāļu iegādes izmaksas. Lai gan noteiktu diagnožu gadījumā ir iespējama pat 100% medikamentu izmaksu kompensācija, kā arī, iegūstot trūcīgās personas statusu, ir iespējams saņemt pa</w:t>
      </w:r>
      <w:r w:rsidR="007063A4">
        <w:t>t</w:t>
      </w:r>
      <w:r>
        <w:t xml:space="preserve"> 100% izmaksu kompensāciju, tomēr </w:t>
      </w:r>
      <w:r w:rsidRPr="0064050E">
        <w:t>eksperti norāda, ka</w:t>
      </w:r>
      <w:r w:rsidR="007063A4">
        <w:t xml:space="preserve"> šie atvieglojumi ir nepietiekami un zāļu iegāde joprojām rada</w:t>
      </w:r>
      <w:r w:rsidRPr="0064050E">
        <w:t xml:space="preserve"> nozīmīg</w:t>
      </w:r>
      <w:r w:rsidR="007063A4">
        <w:t>u</w:t>
      </w:r>
      <w:r w:rsidRPr="0064050E">
        <w:t xml:space="preserve"> finansiāl</w:t>
      </w:r>
      <w:r w:rsidR="007063A4">
        <w:t>o</w:t>
      </w:r>
      <w:r w:rsidRPr="0064050E">
        <w:t xml:space="preserve"> slog</w:t>
      </w:r>
      <w:r w:rsidR="007063A4">
        <w:t>u</w:t>
      </w:r>
      <w:r w:rsidRPr="0064050E">
        <w:t xml:space="preserve">. </w:t>
      </w:r>
      <w:r w:rsidR="005B1EB1">
        <w:t>Šo ekspertu viedokli apstiprina arī EU-SILC 2017. gada veselības moduļa dati (sk. iepriekš 2.1.2. nodaļu) par dažādu ar veselības aprūpi, ārstēšanos un medikamentu radīto izmaksu ietekmi uz mājsaimniecību budžetu. Visbiežāk apgrūtinājumu personām 65+ gadu vecumā radīja zāļu iegāde.</w:t>
      </w:r>
    </w:p>
    <w:p w:rsidR="005B1EB1" w:rsidRDefault="005B1EB1" w:rsidP="00140220"/>
    <w:p w:rsidR="00741156" w:rsidRDefault="005B1EB1" w:rsidP="00741156">
      <w:r>
        <w:t>Izvērtējumā intervētie e</w:t>
      </w:r>
      <w:r w:rsidR="00140220" w:rsidRPr="0064050E">
        <w:t xml:space="preserve">ksperti atsaucas </w:t>
      </w:r>
      <w:r w:rsidR="007063A4">
        <w:t xml:space="preserve">uz </w:t>
      </w:r>
      <w:r w:rsidR="00140220" w:rsidRPr="0064050E">
        <w:t>farmācijas nozares regulējumu, ka zāļu iepakojumus nedrīkst dalīt</w:t>
      </w:r>
      <w:r w:rsidR="00140220">
        <w:t>, kas personai ar zemiem ienākumiem rada būtisku slogu, iegādājoties lielus zāļu iepakojumus</w:t>
      </w:r>
      <w:r w:rsidR="00140220" w:rsidRPr="0064050E">
        <w:t>.</w:t>
      </w:r>
      <w:r w:rsidR="00140220">
        <w:t xml:space="preserve"> Eksperti norāda, ka minētajai problēmai tika meklēts risinājums, tomēr intervijās </w:t>
      </w:r>
      <w:r w:rsidR="00140220" w:rsidRPr="00741156">
        <w:t>iegūtā informācija nav pietiekama, lai iegūtu skaidrību par problēmas šī brīža aktualitāti.</w:t>
      </w:r>
      <w:r w:rsidR="00741156" w:rsidRPr="00741156">
        <w:t xml:space="preserve"> Šeit jāņem vērā, ka zāļu iepakojumus, t.sk. kompensējamo zāļu iepakojumus, ir iespējams dalīt, taču nav iespējams izņemt pa daļām vienā receptē izrakstītās zāles. Tādējādi, lai risinātu ekspertu identificētos problēmu, personai ir nepieciešamas vairākas receptes ar mazāku daudzumu, kas savukārt var tikt uzskatīts par administratīvo slogu, raugoties no ārstniecības personu puses.</w:t>
      </w:r>
    </w:p>
    <w:p w:rsidR="00140220" w:rsidRDefault="00140220" w:rsidP="00140220"/>
    <w:p w:rsidR="00140220" w:rsidRDefault="00140220" w:rsidP="00140220">
      <w:r>
        <w:t>Runājot par pirmspensijas un pensijas vecuma iedzīvotāju vajadzībām veselības aprūpē, eksperti norāda uz divām specifiskām vajadzībām. Pirmkārt, lai samazinātu finansiālo slogu, eksperti iesaka izvērtēt pacienta līdzmaksājuma apmēra samazinājumu pensionāriem bez viņu ienākuma izvērtējuma, jo, kā minēts iepriekš, šajā vecuma grupā veselības aprūpes pakalpojumu patēriņš pieaug. Otrkārt, eksperti iesaka izvērtēt un paplašināt to diagnožu daudzumu, kuru gadījumā pacientam pienākas aprūpe mājās, konkrētus gadījumus neminot.</w:t>
      </w:r>
    </w:p>
    <w:p w:rsidR="00297C34" w:rsidRPr="007063A4" w:rsidRDefault="00297C34" w:rsidP="003945E0">
      <w:pPr>
        <w:pStyle w:val="Heading3"/>
      </w:pPr>
      <w:bookmarkStart w:id="509" w:name="_Toc6841596"/>
      <w:r w:rsidRPr="007063A4">
        <w:t>Ģimenes ar bērniem</w:t>
      </w:r>
      <w:bookmarkEnd w:id="509"/>
    </w:p>
    <w:p w:rsidR="00140220" w:rsidRDefault="00140220" w:rsidP="00140220">
      <w:r w:rsidRPr="00140220">
        <w:t>Ģimenes ar bērniem, īpaši daudzbērnu un nepilnās ģimenes (t.sk. ģimenes ar bērniem, kuriem ir</w:t>
      </w:r>
      <w:r w:rsidRPr="002B16BB">
        <w:t xml:space="preserve"> funkcionēšanas ierobežojumi vai invaliditāte) ekspertu vērtējumā ir ļoti heterogēna mērķa grupa. Šīs mērķa grupas vajadzības un veselības aprūpes pakalpojumu pieejamība ir atkarīga no vairākiem savstarpēji saistītiem faktoriem.</w:t>
      </w:r>
      <w:r>
        <w:t xml:space="preserve"> Pirmkārt, no vecāku finansiālā stāvokļa un netieši – bērnu skaita ģimenē, t.i., kas nosaka ģimenes locekļu skaitu, kuri ar mājsaimniecībai pieejamajiem līdzekļiem ir jānodrošina. Ja ģimene neatbilst trūcīgas ģimenes statusam, taču ir pakļauta </w:t>
      </w:r>
      <w:r w:rsidR="007063A4">
        <w:t xml:space="preserve">zemu ienākumu radītam </w:t>
      </w:r>
      <w:r>
        <w:t>nabadzības riskam, tad šis apstāklis kopumā ietekmē bērnu veselību. Otrkārt, situācija ir atkarīga arī no bērnu veselības aprūpes vajadzībām – jo sarežģītāks ir veselības stāvoklis, jo vairāk un specifiskākas ir bērnu vajadzības attiecībā uz veselības aprūpi</w:t>
      </w:r>
      <w:r w:rsidR="007063A4">
        <w:t>, un attiecīgi</w:t>
      </w:r>
      <w:r>
        <w:t xml:space="preserve"> </w:t>
      </w:r>
      <w:r w:rsidR="007063A4">
        <w:t xml:space="preserve">– </w:t>
      </w:r>
      <w:r>
        <w:t xml:space="preserve">sarežģītāk ir nodrošināt to savlaicīgu un adekvātu apmierināšanu. Eksperti norāda, ka novērojama arī negatīvo apstākļu summēšanās, kā rezultātā ģimenes, kurās aug bērni ar invaliditāti bieži vien ir arī viena </w:t>
      </w:r>
      <w:r w:rsidR="00BA1727">
        <w:t>vecāka mājsaimniecības</w:t>
      </w:r>
      <w:r>
        <w:t>.</w:t>
      </w:r>
    </w:p>
    <w:p w:rsidR="00140220" w:rsidRPr="002B16BB" w:rsidRDefault="00140220" w:rsidP="00140220"/>
    <w:p w:rsidR="00140220" w:rsidRDefault="00140220" w:rsidP="00140220">
      <w:r w:rsidRPr="00713DF3">
        <w:lastRenderedPageBreak/>
        <w:t xml:space="preserve">Kopumā vairums Izvērtējumā intervēto ekspertu norāda, ka, lai gan bērniem ir tiesības uz valsts </w:t>
      </w:r>
      <w:r w:rsidR="00451D67">
        <w:t>apmaksātu</w:t>
      </w:r>
      <w:r w:rsidRPr="00713DF3">
        <w:t xml:space="preserve"> veselības aprūpi, praksē </w:t>
      </w:r>
      <w:r w:rsidR="00675E7E">
        <w:t xml:space="preserve">pieejamība </w:t>
      </w:r>
      <w:r w:rsidRPr="00713DF3">
        <w:t>š</w:t>
      </w:r>
      <w:r w:rsidR="00451D67">
        <w:t>o</w:t>
      </w:r>
      <w:r w:rsidRPr="00713DF3">
        <w:t xml:space="preserve"> tiesīb</w:t>
      </w:r>
      <w:r w:rsidR="00451D67">
        <w:t>u īstenošana</w:t>
      </w:r>
      <w:r w:rsidR="00675E7E">
        <w:t>i</w:t>
      </w:r>
      <w:r w:rsidR="00451D67">
        <w:t xml:space="preserve"> </w:t>
      </w:r>
      <w:r w:rsidRPr="00713DF3">
        <w:t>ir ierobežota. Eksperti norāda, ka šī situācija ir vērtējama kritiski, jo</w:t>
      </w:r>
      <w:r>
        <w:t xml:space="preserve"> no šo tiesību īstenošanas ir </w:t>
      </w:r>
      <w:r w:rsidR="007063A4">
        <w:t xml:space="preserve">atkarīgas </w:t>
      </w:r>
      <w:r>
        <w:t>citas bērnu tiesības (tās ir savstarpēji saistītas). Ja bērnam nav šīs tiesības īstenotas, tas ir sasaistīts ar viņu vispārējo dzīves kvalitāti, izglītību, attīstību u.tml.</w:t>
      </w:r>
      <w:r w:rsidRPr="00B5102D">
        <w:t xml:space="preserve"> </w:t>
      </w:r>
      <w:r>
        <w:t xml:space="preserve">To ģimeņu bērniem, kuri dzīvo tālāk no nozīmīgiem reģionāliem centriem un Rīgas, sarežģītāki veselības aprūpes pakalpojumi ir mazāk pieejami speciālistu zemā pārklājuma blīvuma dēļ. Gadījumā, ja noteikti veselības aprūpes pakalpojumi ir pieejami tikai Rīgā, laukos dzīvojošajiem ir jārūpējas par bērnu nogādāšanu Rīgā. Strādājošiem vecākiem tas var nozīmēt gan brīvdienas ņemšanu darbavietā, gan papildus transporta izmaksas. Viena </w:t>
      </w:r>
      <w:r w:rsidR="00BA1727">
        <w:t>vecāka mājsaimniecībā</w:t>
      </w:r>
      <w:r>
        <w:t xml:space="preserve"> papildu grūtības rada apstāklis, ka, ja ir vairāki mazi bērni, viena bērna vešana uz Rīgu nozīmē, ka nepieciešami pieskatīšanas pakalpojumi citiem bērniem.</w:t>
      </w:r>
    </w:p>
    <w:p w:rsidR="00140220" w:rsidRPr="009A6AA4" w:rsidRDefault="00140220" w:rsidP="00140220">
      <w:r>
        <w:t xml:space="preserve"> </w:t>
      </w:r>
    </w:p>
    <w:p w:rsidR="00675E7E" w:rsidRDefault="00140220" w:rsidP="00140220">
      <w:r w:rsidRPr="00AF3D68">
        <w:t xml:space="preserve">Norādot, ka bērnu tiesības uz veselības aprūpi Latvijā netiek ievērotas, eksperti min vairākus iemeslus. Pirmkārt, </w:t>
      </w:r>
      <w:r>
        <w:t xml:space="preserve">grūtības rada savlaicīga veselības aprūpes pieejamība, kas izriet no </w:t>
      </w:r>
      <w:r w:rsidRPr="00AF3D68">
        <w:t xml:space="preserve">speciālistu un </w:t>
      </w:r>
      <w:r>
        <w:t xml:space="preserve">valsts apmaksāto </w:t>
      </w:r>
      <w:r w:rsidRPr="00AF3D68">
        <w:t xml:space="preserve">pakalpojumu </w:t>
      </w:r>
      <w:r>
        <w:t>trūkuma</w:t>
      </w:r>
      <w:r w:rsidRPr="00AF3D68">
        <w:t xml:space="preserve">. Kā viena no visbiežāk sastopamajām situācijām ir tāda, ka, lai saņemtu noteikta speciālista pakalpojumu, jāgaida ir rindā vairākus mēnešus. </w:t>
      </w:r>
      <w:r w:rsidR="00675E7E">
        <w:t>Te jānorāda, ka 2.2.2. nodaļā aplūkotie informatīvie ziņojumi nesniedz datus par rindu garumu pie ārstiem speciālistiem bērniem, un galvenā problēma attiecībā uz bērnu veselības aprūpi, kas identificējama no politikas dokumentiem, ir zobārstniecības pakalpojumu piedāvājuma samazināšanās. Šo problēmu akcentēja arī vairāki Izvērtējumā intervētie eksperti.</w:t>
      </w:r>
    </w:p>
    <w:p w:rsidR="00675E7E" w:rsidRDefault="00675E7E" w:rsidP="00140220"/>
    <w:p w:rsidR="00A26A9F" w:rsidRDefault="00140220" w:rsidP="00140220">
      <w:r w:rsidRPr="00AF3D68">
        <w:t>Tiesībsarga pārstāvis norādīja, ka nesenā laika posmā ir saņēmis kolektīvu iesniegumu par bērnu zobārstniecības pieejamību Liepājā, un proti, no iesnieguma izriet, ka pilsētā ir tikai viens zobārsts, kam ir līgums ar valsti, attiecīgi, lai saņemtu tā pakalpojumu, ir ilgi jāgaida. Savukārt braukšana uz citu pilsētu pie zobārsta, kuram ir noslēgts līgums par valsts apmaksātu pakalpojumu sniegšanu</w:t>
      </w:r>
      <w:r w:rsidR="00C4619C">
        <w:t xml:space="preserve"> bērniem</w:t>
      </w:r>
      <w:r w:rsidRPr="00AF3D68">
        <w:t>, vecākiem r</w:t>
      </w:r>
      <w:r w:rsidR="00C4619C">
        <w:t>a</w:t>
      </w:r>
      <w:r w:rsidRPr="00AF3D68">
        <w:t>da papildu slog</w:t>
      </w:r>
      <w:r w:rsidR="00C4619C">
        <w:t>u</w:t>
      </w:r>
      <w:r w:rsidRPr="00AF3D68">
        <w:t xml:space="preserve">. </w:t>
      </w:r>
      <w:r w:rsidR="00A26A9F">
        <w:t>Zobārstniecības pakalpojumu pieejamība bērniem bija viens no rādītājiem, ko ļāva izvērtēt CSP EU-SILC dati, un tie apstiprina ekspertu identificēto problēmu, ka pastāv situācijas, kurās bērniem netika veikta nepieciešamā zobu ārstēšana, lai gan tā bija nepieciešama (sk. iepriekš 2.1.2. nodaļu).</w:t>
      </w:r>
      <w:r w:rsidR="00721073">
        <w:t xml:space="preserve"> </w:t>
      </w:r>
      <w:r w:rsidR="00675E7E">
        <w:t xml:space="preserve">Problēmas aktualitāti un politikas veidotāju rīcību tās mazināšanai parāda arī </w:t>
      </w:r>
      <w:r w:rsidR="00675E7E" w:rsidRPr="00675E7E">
        <w:t xml:space="preserve">2.2.2. nodaļas ietvaros sniegtais politikas dokumentu apskats. </w:t>
      </w:r>
      <w:r w:rsidR="00792E1F">
        <w:t>Plānotās rīcības ietvaros kā vēlamais sasniedzamais rezultāts tika noteikts pakalpojumu pieejamības paaugstināšanās par 20% 2018. gadā un par 40% – 2019. gadā</w:t>
      </w:r>
      <w:r w:rsidR="00792E1F">
        <w:rPr>
          <w:rStyle w:val="FootnoteReference"/>
        </w:rPr>
        <w:footnoteReference w:id="187"/>
      </w:r>
      <w:r w:rsidR="00792E1F">
        <w:t>.</w:t>
      </w:r>
      <w:r w:rsidR="00675E7E" w:rsidRPr="00675E7E">
        <w:t xml:space="preserve"> Lai gan redzams, ka politikas veidotāji kopumā ir apzinājuši pastāvošo problēmu</w:t>
      </w:r>
      <w:r w:rsidR="00721073" w:rsidRPr="00675E7E">
        <w:t xml:space="preserve">, </w:t>
      </w:r>
      <w:r w:rsidR="00675E7E" w:rsidRPr="00675E7E">
        <w:t>šobrīd pieejama</w:t>
      </w:r>
      <w:r w:rsidR="00C548CE">
        <w:t>j</w:t>
      </w:r>
      <w:r w:rsidR="00675E7E" w:rsidRPr="00675E7E">
        <w:t>os dokumentos nav datu, cik efektīvi ir</w:t>
      </w:r>
      <w:r w:rsidR="00792E1F">
        <w:t xml:space="preserve"> plānotās rīcības</w:t>
      </w:r>
      <w:r w:rsidR="00675E7E" w:rsidRPr="00675E7E">
        <w:t xml:space="preserve"> rezultāti</w:t>
      </w:r>
      <w:r w:rsidR="00721073" w:rsidRPr="00675E7E">
        <w:t>.</w:t>
      </w:r>
    </w:p>
    <w:p w:rsidR="00A26A9F" w:rsidRDefault="00A26A9F" w:rsidP="00140220"/>
    <w:p w:rsidR="00140220" w:rsidRDefault="00140220" w:rsidP="00140220">
      <w:r w:rsidRPr="00AF3D68">
        <w:t xml:space="preserve">Līdzīga situācija ir sastopama arī uz </w:t>
      </w:r>
      <w:r>
        <w:t xml:space="preserve">savlaicīgu </w:t>
      </w:r>
      <w:r w:rsidRPr="00AF3D68">
        <w:t xml:space="preserve">citu ārstu speciālistu pieejamību bērniem. </w:t>
      </w:r>
      <w:r w:rsidR="00675E7E">
        <w:t>2.2.2. nodaļas ietvaros analizētie politikas dokumenti neapskata ārstu speciālistu pieejamības problēmu bērniem līdz 18 gadu vecumam, tomēr Izvērtējumā intervētie e</w:t>
      </w:r>
      <w:r w:rsidRPr="00AF3D68">
        <w:t xml:space="preserve">ksperti </w:t>
      </w:r>
      <w:r w:rsidR="00675E7E">
        <w:t>norāda</w:t>
      </w:r>
      <w:r w:rsidRPr="00AF3D68">
        <w:t>, ka problemātiska ir bērnu psihiatru, kardiologa un neirologa pakalpojumu pieejamība. Tāpat, neskatoties uz to, ka bērni ir tā mērķa grupa, kurām tiek nodrošināta valsts apmaksāta ģimenes ārsta mājas vizīt</w:t>
      </w:r>
      <w:r w:rsidR="00C4619C">
        <w:t>e</w:t>
      </w:r>
      <w:r w:rsidRPr="00AF3D68">
        <w:t xml:space="preserve">, ekspertu </w:t>
      </w:r>
      <w:r w:rsidRPr="00AF3D68">
        <w:lastRenderedPageBreak/>
        <w:t>novērojumi rāda, ka praksē šis princips ne vienmēr tiek ievērots</w:t>
      </w:r>
      <w:r>
        <w:t xml:space="preserve"> (t.sk., novērots, ka netiek pietiekami aprūpēti jaundzimušie)</w:t>
      </w:r>
      <w:r w:rsidRPr="00AF3D68">
        <w:t>.</w:t>
      </w:r>
    </w:p>
    <w:p w:rsidR="00140220" w:rsidRDefault="00140220" w:rsidP="00140220"/>
    <w:p w:rsidR="00140220" w:rsidRPr="00140220" w:rsidRDefault="00140220" w:rsidP="00140220">
      <w:r>
        <w:t>Otrkārt, eksperti norāda, ka daudzi</w:t>
      </w:r>
      <w:r w:rsidR="00476C67">
        <w:t>em</w:t>
      </w:r>
      <w:r>
        <w:t xml:space="preserve"> bērniem</w:t>
      </w:r>
      <w:r w:rsidR="00476C67">
        <w:t>, it sevišķi</w:t>
      </w:r>
      <w:r w:rsidR="00476C67" w:rsidRPr="00A75D4D">
        <w:t xml:space="preserve"> </w:t>
      </w:r>
      <w:r w:rsidR="00476C67">
        <w:t xml:space="preserve">bērniem ar invaliditāti, </w:t>
      </w:r>
      <w:r>
        <w:t>nepieciešami pakalpojumi</w:t>
      </w:r>
      <w:r w:rsidR="00476C67">
        <w:t xml:space="preserve"> </w:t>
      </w:r>
      <w:r>
        <w:t xml:space="preserve">nav iekļauti valsts apmaksāto pakalpojumu grozā. Runājot par piemēriem, parasti šādos gadījumos eksperti </w:t>
      </w:r>
      <w:r w:rsidR="00C4619C">
        <w:t>norāda uz</w:t>
      </w:r>
      <w:r>
        <w:t xml:space="preserve"> fizioterapijas un rehabilitācijas pakalpojumu nepieejamību, kā arī to, ka valsts pilnībā nesedz šādu pakalpojumu izmaksas. Grūtības bērniem ar funkcionāliem traucējumiem rada arī tehnisko palīglīdzekļu pieejamība, un proti, tā kā bērns aug</w:t>
      </w:r>
      <w:r w:rsidR="00C4619C">
        <w:t xml:space="preserve"> (un dažos vecuma posmos – strauji)</w:t>
      </w:r>
      <w:r>
        <w:t>, tad palīgierīču nomaiņa ir jāveic regulāri, savukārt no valsts puses pastāv ierobežojumi. Tādējādi bērniem ar invaliditāti iztrūkst tādu pakalpojumu pieejamība, kas izriet no saslimšanas. Šādos gadījumos nepieciešama regulāra atkārtota terapija, un, iespējams, līdzīga aprūpes pieejamības organizēšana, kāda pastāv onkoloģisko slimību jomā (tā sauktais „zaļais koridors”).</w:t>
      </w:r>
    </w:p>
    <w:p w:rsidR="00297C34" w:rsidRPr="00C4619C" w:rsidRDefault="00297C34" w:rsidP="003945E0">
      <w:pPr>
        <w:pStyle w:val="Heading3"/>
      </w:pPr>
      <w:bookmarkStart w:id="510" w:name="_Toc6841597"/>
      <w:r w:rsidRPr="00C4619C">
        <w:t>Trūcīgās un maznodrošinātās personas</w:t>
      </w:r>
      <w:bookmarkEnd w:id="510"/>
    </w:p>
    <w:p w:rsidR="00140220" w:rsidRDefault="000C090F" w:rsidP="00140220">
      <w:r>
        <w:t>T</w:t>
      </w:r>
      <w:r w:rsidR="00140220">
        <w:t>rūcīg</w:t>
      </w:r>
      <w:r>
        <w:t>u</w:t>
      </w:r>
      <w:r w:rsidR="00140220">
        <w:t xml:space="preserve"> un maznodrošināt</w:t>
      </w:r>
      <w:r>
        <w:t>u</w:t>
      </w:r>
      <w:r w:rsidR="00140220">
        <w:t xml:space="preserve"> person</w:t>
      </w:r>
      <w:r>
        <w:t>u situāciju attiecībā uz veselības aprūpi nevar apskatīt vienoti</w:t>
      </w:r>
      <w:r w:rsidR="00140220">
        <w:t xml:space="preserve">. Nozīmīgākā šīs grupas kopējā problēma ir pakalpojumu finansiālā pieejamība. </w:t>
      </w:r>
      <w:r>
        <w:t>Tomēr, j</w:t>
      </w:r>
      <w:r w:rsidR="00140220">
        <w:t xml:space="preserve">a trūcīgajām personām daudzos gadījumos pacientu līdzmaksājumu sedz valsts, tad maznodrošinātām personām valsts līmenī veselības aprūpei atvieglojumi netiek piešķirti. Maznodrošināto personu atbalstu nodrošina tikai pašvaldības, tādējādi </w:t>
      </w:r>
      <w:r>
        <w:t>šis atbalsts</w:t>
      </w:r>
      <w:r w:rsidR="00140220">
        <w:t xml:space="preserve"> valsts teritorijā tiek </w:t>
      </w:r>
      <w:r>
        <w:t>sniegts</w:t>
      </w:r>
      <w:r w:rsidR="00140220">
        <w:t xml:space="preserve"> atšķirīgi. Atsevišķi </w:t>
      </w:r>
      <w:r>
        <w:t xml:space="preserve">Izvērtējumā intervētie </w:t>
      </w:r>
      <w:r w:rsidR="00140220">
        <w:t>eksperti atgādina, ka savulaik arī maznodrošinātām personām tika piešķirti atvieglojumi attiecībā uz veselības aprūpes pakalpojumu saņemšanu, un būtībā atbalsta šādas politikas turpināšanu. Eksperti vērš arī uzmanību uz to, ka dažreiz personām, kuras pēc būtības ir trūcīgas, pastāv šķēršļi nokārtot trūcīgas personas statusu</w:t>
      </w:r>
      <w:r w:rsidR="003E16EF">
        <w:t xml:space="preserve"> (piemēram, dokumentu trūkums, spējas organizēti ievērot administratīvās procedūras, kas nepieciešamas statusa iegūšanai u.tml.)</w:t>
      </w:r>
      <w:r w:rsidR="00140220">
        <w:t>, kā rezultātā veselības aprūpes pakalpojumi tām nav pieejami. Ekspertu novērojumi rāda, ka trūcīgo statusu grūtības ir nokārtot tieši tām personām, kuras visvairāk pakļautas sociālās atstumtības riskam (piemēram, romu tautības cilvēkiem, bezpajumtniekiem u.tml.). Tāpat eksperti norāda, ka šķērslis trūcīgas personas statusa saņemšanai ir mājsaimniecībā deklarēto personu skaits un viņu ienākumi. Tā rezultātā trūcīgā statuss var netikt piešķirts, lai gan pēc būtības citi īpašumā deklarētie nedalās ar saviem ienākumiem ar to personu, kura pieprasa trūcīgā statusu.</w:t>
      </w:r>
    </w:p>
    <w:p w:rsidR="00140220" w:rsidRDefault="00140220" w:rsidP="00140220"/>
    <w:p w:rsidR="00140220" w:rsidRDefault="00140220" w:rsidP="00140220">
      <w:r>
        <w:t>Attiecībā uz bezdarbniekiem, t.sk. ilgstošajiem bezdarbniekiem, eksperti uzskata, ka viņu grūtības attiecībā uz veselības aprūpes pakalpojumu pieejamību izriet no diviem aspektiem – finansiālajām iespējām (t.sk. iespējas iegūt trūcīgas personas statusu) un kopējo potenciāli zemāko motivāciju rūpēties par savu veselību</w:t>
      </w:r>
      <w:r w:rsidR="000C090F">
        <w:t>, tādējādi šīs grupas situācija ir aplūkojama kopā ar tr</w:t>
      </w:r>
      <w:r w:rsidR="00476C67">
        <w:t>ū</w:t>
      </w:r>
      <w:r w:rsidR="000C090F">
        <w:t>cīgām un maznodrošinātām personām</w:t>
      </w:r>
      <w:r>
        <w:t>.</w:t>
      </w:r>
    </w:p>
    <w:p w:rsidR="00297C34" w:rsidRPr="000C090F" w:rsidRDefault="00297C34" w:rsidP="003945E0">
      <w:pPr>
        <w:pStyle w:val="Heading3"/>
      </w:pPr>
      <w:bookmarkStart w:id="511" w:name="_Toc6841598"/>
      <w:r w:rsidRPr="000C090F">
        <w:t>Personas ar invaliditāti</w:t>
      </w:r>
      <w:bookmarkEnd w:id="511"/>
      <w:r w:rsidR="00140220" w:rsidRPr="000C090F">
        <w:t xml:space="preserve"> </w:t>
      </w:r>
    </w:p>
    <w:p w:rsidR="00140220" w:rsidRPr="00140220" w:rsidRDefault="000C090F" w:rsidP="00140220">
      <w:r>
        <w:t>P</w:t>
      </w:r>
      <w:r w:rsidR="00140220" w:rsidRPr="000C090F">
        <w:t>ersonām ar funkcionēšanas ierobežojumiem, tai skaitā person</w:t>
      </w:r>
      <w:r>
        <w:t>u</w:t>
      </w:r>
      <w:r w:rsidR="00140220" w:rsidRPr="000C090F">
        <w:t xml:space="preserve"> ar invaliditāti</w:t>
      </w:r>
      <w:r>
        <w:t>, pieejamība veselības aprūpes pakalpojumiem</w:t>
      </w:r>
      <w:r w:rsidR="00140220">
        <w:t xml:space="preserve"> ir </w:t>
      </w:r>
      <w:r>
        <w:t xml:space="preserve">aplūkojama kā </w:t>
      </w:r>
      <w:r w:rsidR="00140220">
        <w:t>kompleksa</w:t>
      </w:r>
      <w:r>
        <w:t xml:space="preserve"> problēma</w:t>
      </w:r>
      <w:r w:rsidR="00140220">
        <w:t xml:space="preserve">, kas izriet no mērķa grupas specifiskajām vajadzībām, regulāras vajadzības pēc pakalpojumiem un personu zemajiem ienākumiem. Attiecībā uz pakalpojumiem īpaši zema ir uzturošās rehabilitācijas pakalpojumu </w:t>
      </w:r>
      <w:r w:rsidR="00140220">
        <w:lastRenderedPageBreak/>
        <w:t>pieejamība. Tāpat eksperti tieši saistībā ar personām ar invaliditāti norāda, ka valsts kompensējamo zāļu saraksts varētu būt plašāks – gan attiecībā uz diagnozēm, kuru gadījumā zāles tiek kompensētas, gan arī uz jaunāko medikamentu iekļaušanu sarakstā.</w:t>
      </w:r>
      <w:r w:rsidR="000C3638">
        <w:t xml:space="preserve"> Ņemot vērā, ka EU-SILC un citi apsekojumi, kā arī administratīvie dati neļauj iegūt kvantificējamu informāciju par personu ar invaliditāti veselības stāvokli, vajadzībām un nevienlīdzību veselības aprūpē, ņemot vērā šo personu zemo ienākumu līmeni, kopumā uzskatāms, ka šī mērķa grupa sastopas ar līdzīgām problēmām kā pensijas un pirmspensijas vecuma cilvēki un trūcīgas un maznodrošinātas personas.</w:t>
      </w:r>
    </w:p>
    <w:p w:rsidR="003124EC" w:rsidRPr="00922A20" w:rsidRDefault="003124EC" w:rsidP="003945E0">
      <w:pPr>
        <w:pStyle w:val="Heading3"/>
      </w:pPr>
      <w:bookmarkStart w:id="512" w:name="_Toc6841599"/>
      <w:r w:rsidRPr="003124EC">
        <w:t>Vardarbībā cietušās personas</w:t>
      </w:r>
      <w:r w:rsidR="00DC6CEC">
        <w:t>, t.sk., cilvēktirdzniecības upuri</w:t>
      </w:r>
      <w:bookmarkEnd w:id="512"/>
    </w:p>
    <w:p w:rsidR="007A381B" w:rsidRDefault="0036339E" w:rsidP="00064C1E">
      <w:pPr>
        <w:tabs>
          <w:tab w:val="left" w:pos="993"/>
        </w:tabs>
        <w:rPr>
          <w:color w:val="000000"/>
        </w:rPr>
      </w:pPr>
      <w:r w:rsidRPr="00B4725D">
        <w:rPr>
          <w:color w:val="000000"/>
        </w:rPr>
        <w:t>Izvērtējumā kā atsevišķa mērķa grupa tiek izdalītas vardarbībā cietušas personas, t.sk. cilvēku tirdzniecība</w:t>
      </w:r>
      <w:r w:rsidR="00E12BA0">
        <w:rPr>
          <w:color w:val="000000"/>
        </w:rPr>
        <w:t>s</w:t>
      </w:r>
      <w:r w:rsidRPr="00B4725D">
        <w:rPr>
          <w:color w:val="000000"/>
        </w:rPr>
        <w:t xml:space="preserve"> upuri. </w:t>
      </w:r>
      <w:r w:rsidR="007A381B" w:rsidRPr="00B4725D">
        <w:rPr>
          <w:color w:val="000000"/>
        </w:rPr>
        <w:t xml:space="preserve">Kopumā eksperti atzīst, ka </w:t>
      </w:r>
      <w:r w:rsidR="00B4725D" w:rsidRPr="00B4725D">
        <w:rPr>
          <w:color w:val="000000"/>
        </w:rPr>
        <w:t>šī mērķa grupa</w:t>
      </w:r>
      <w:r w:rsidR="007A381B" w:rsidRPr="00B4725D">
        <w:rPr>
          <w:color w:val="000000"/>
        </w:rPr>
        <w:t xml:space="preserve"> līdz šim nav bijusi iezīmēta kā specifiska </w:t>
      </w:r>
      <w:r w:rsidR="00E12BA0">
        <w:rPr>
          <w:color w:val="000000"/>
        </w:rPr>
        <w:t>atbalstāmā</w:t>
      </w:r>
      <w:r w:rsidR="00B4725D" w:rsidRPr="00B4725D">
        <w:rPr>
          <w:color w:val="000000"/>
        </w:rPr>
        <w:t xml:space="preserve"> grupa</w:t>
      </w:r>
      <w:r w:rsidR="007A381B" w:rsidRPr="00B4725D">
        <w:rPr>
          <w:color w:val="000000"/>
        </w:rPr>
        <w:t xml:space="preserve">. Tomēr līdz ar Veselības aprūpes finansēšanas likuma pieņemšanu </w:t>
      </w:r>
      <w:r w:rsidR="00B4725D" w:rsidRPr="00B4725D">
        <w:rPr>
          <w:color w:val="000000"/>
        </w:rPr>
        <w:t xml:space="preserve">vardarbībā cietušajām personām, t.sk., cilvēku tirdzniecības upuriem, ir tiesības </w:t>
      </w:r>
      <w:r w:rsidR="007A381B" w:rsidRPr="00B4725D">
        <w:rPr>
          <w:color w:val="000000"/>
        </w:rPr>
        <w:t>saņemt veselības aprūpes pakalpojumus valsts obligātās ve</w:t>
      </w:r>
      <w:r w:rsidR="00B4725D" w:rsidRPr="00B4725D">
        <w:rPr>
          <w:color w:val="000000"/>
        </w:rPr>
        <w:t>selības apdrošināšanas ietvaros, ja šo</w:t>
      </w:r>
      <w:r w:rsidR="007A381B" w:rsidRPr="00B4725D">
        <w:rPr>
          <w:color w:val="000000"/>
        </w:rPr>
        <w:t xml:space="preserve"> </w:t>
      </w:r>
      <w:r w:rsidR="00B4725D" w:rsidRPr="00B4725D">
        <w:rPr>
          <w:color w:val="000000"/>
        </w:rPr>
        <w:t>„</w:t>
      </w:r>
      <w:r w:rsidR="007A381B" w:rsidRPr="00B4725D">
        <w:rPr>
          <w:color w:val="000000"/>
        </w:rPr>
        <w:t>statusu apliecina procesa virzītāja lēmuma kopija vai tiesībaizsardzības institūcijas izziņa.</w:t>
      </w:r>
      <w:r w:rsidR="00C944C9">
        <w:rPr>
          <w:color w:val="000000"/>
        </w:rPr>
        <w:t xml:space="preserve"> </w:t>
      </w:r>
      <w:r w:rsidR="007A381B" w:rsidRPr="00B4725D">
        <w:rPr>
          <w:color w:val="000000"/>
        </w:rPr>
        <w:t>Ministru kabinets nosaka laikposmu, kurā minētās personas ir uzskatāmas par apdrošinātām personām” (11.panta 2.daļas 20. punkts).</w:t>
      </w:r>
    </w:p>
    <w:p w:rsidR="007A381B" w:rsidRDefault="007A381B" w:rsidP="00064C1E">
      <w:pPr>
        <w:tabs>
          <w:tab w:val="left" w:pos="993"/>
        </w:tabs>
        <w:rPr>
          <w:color w:val="000000"/>
        </w:rPr>
      </w:pPr>
    </w:p>
    <w:p w:rsidR="0036339E" w:rsidRDefault="00395382" w:rsidP="00064C1E">
      <w:pPr>
        <w:tabs>
          <w:tab w:val="left" w:pos="993"/>
        </w:tabs>
      </w:pPr>
      <w:r>
        <w:t xml:space="preserve">Neskatoties uz šo likumā </w:t>
      </w:r>
      <w:r w:rsidRPr="004D7043">
        <w:t>nodrošināto normu, galvenā šī mērķa grupas vajadzība, kas ietekmē arī iespējas saņemt nepieciešamos veselības aprūpes pakalpojumus, ekspertu vērtējumā, ir savlaicīga vardarbības fakta identificēšana un atbilstošu veselības un sociālās rehabilitācijas pakalpojumu pieejamība.</w:t>
      </w:r>
    </w:p>
    <w:p w:rsidR="007A381B" w:rsidRDefault="007A381B" w:rsidP="00AD08F1">
      <w:pPr>
        <w:tabs>
          <w:tab w:val="left" w:pos="993"/>
        </w:tabs>
      </w:pPr>
    </w:p>
    <w:p w:rsidR="002D52D6" w:rsidRDefault="00AD08F1" w:rsidP="00AD08F1">
      <w:r>
        <w:t>Eksperti norāda, ka vardarbības situācijas, kuras piedzīvo dažādas iedzīvotāju grupas</w:t>
      </w:r>
      <w:r w:rsidR="00476C67">
        <w:t>,</w:t>
      </w:r>
      <w:r>
        <w:t xml:space="preserve"> </w:t>
      </w:r>
      <w:r w:rsidR="00476C67">
        <w:t>a</w:t>
      </w:r>
      <w:r>
        <w:t>tšķiras</w:t>
      </w:r>
      <w:r w:rsidR="00476C67">
        <w:t>.</w:t>
      </w:r>
      <w:r>
        <w:t xml:space="preserve"> </w:t>
      </w:r>
      <w:r w:rsidR="00476C67">
        <w:t xml:space="preserve">Atsevišķi </w:t>
      </w:r>
      <w:r>
        <w:t xml:space="preserve">ir identificējama vardarbība pret bērniem līdz 18 gadu vecumam un vardarbība pret pieaugušajiem, kur pēdējā gadījumā novērojamas būtiskas atšķirības atkarībā no personas dzimuma. Vīrieši biežāk piedzīvo vardarbību sociālajā vidē, kas raksturīgas ar riskantu uzvedību, t.i., ārpus ģimenes. Savukārt sievietes visvairāk sastopas ar vardarbību ģimenē vai partnerattiecībās. Šīs atšķirības ietekmē to, cik savlaicīgi notiek vardarbības fakta konstatēšana, kāda ir procedūra, lai atzītu vardarbības faktu, un kādi veselības aprūpes pakalpojumi personai ir nepieciešami un pieejami. Eksperti arī norāda, ka administratīvo datu uzkrāšana (traumu reģistrs, policijas ziņojumi u.tml.) šobrīd nav pietiekami kvalitatīva, lai novērtētu patieso mērķa grupas lielumu. </w:t>
      </w:r>
      <w:r w:rsidR="002D52D6">
        <w:t xml:space="preserve">Viena no Izvērtējuma ekspertēm atsaucas uz </w:t>
      </w:r>
      <w:r w:rsidR="002D52D6" w:rsidRPr="0029565B">
        <w:t>ES Pamattiesību aģentūras kvantitatīvās aptaujas rezultātiem</w:t>
      </w:r>
      <w:r w:rsidR="002D52D6" w:rsidRPr="0029565B">
        <w:rPr>
          <w:rStyle w:val="FootnoteReference"/>
        </w:rPr>
        <w:footnoteReference w:id="188"/>
      </w:r>
      <w:r w:rsidR="002D52D6">
        <w:t>, saskaņā ar kuriem</w:t>
      </w:r>
      <w:r w:rsidR="002D52D6" w:rsidRPr="0029565B">
        <w:t xml:space="preserve"> fizisku un/vai seksuālu vardarbību kopumā savas dzīves laikā Latvijā piedzīvojušas 39% sieviešu. Visbiežāk vardarbība piedzīvota no esošā vai bijušā partnera – to atzīst 32% sieviešu. Gadījumos, kad fiziska un/vai seksuāla vardarbība piedzīvota dzīves laikā no citām personām, kas nav bijis aptaujātās sievietes partneris, visbiežāk varmāka bijusi pazīstama persona </w:t>
      </w:r>
      <w:r w:rsidR="002D52D6" w:rsidRPr="0029565B">
        <w:lastRenderedPageBreak/>
        <w:t xml:space="preserve">(37%) un draugs vai paziņa (26%). </w:t>
      </w:r>
      <w:r w:rsidR="002D52D6">
        <w:t>Saistībā ar veselības aprūpes jautājumiem minētās aptaujas dati ir arī pamats secinājumam, ka v</w:t>
      </w:r>
      <w:r w:rsidR="002D52D6" w:rsidRPr="0029565B">
        <w:t xml:space="preserve">ardarbības jautājums Latvijā ir sensitīvs, jo, salīdzinot ES mērogā, Latvija ir to valstu starpā, kurās aptaujātās </w:t>
      </w:r>
      <w:r w:rsidR="002D52D6">
        <w:t xml:space="preserve">sievietes </w:t>
      </w:r>
      <w:r w:rsidR="002D52D6" w:rsidRPr="0029565B">
        <w:t>retāk nekā vidēji ES uzskatītu par pieņemamu, ka ārsts vispārējās apskates laikā uzdotu jautājumus, vai gūtie ievainojumi ir saistīti ar vardarbību (Latvijā to atzīst par pieņemamu 77%, vidēji ES – 87% aptaujāto)</w:t>
      </w:r>
      <w:r w:rsidR="002D52D6" w:rsidRPr="0029565B">
        <w:rPr>
          <w:rStyle w:val="FootnoteReference"/>
        </w:rPr>
        <w:footnoteReference w:id="189"/>
      </w:r>
      <w:r w:rsidR="002D52D6" w:rsidRPr="0029565B">
        <w:t>.</w:t>
      </w:r>
    </w:p>
    <w:p w:rsidR="002D52D6" w:rsidRDefault="002D52D6" w:rsidP="00AD08F1"/>
    <w:p w:rsidR="002D52D6" w:rsidRDefault="00AD08F1" w:rsidP="00AD08F1">
      <w:r>
        <w:t xml:space="preserve">Izvērtējumā intervētā eksperte norāda, ka atbildīgo dienestu (piemēram, policijas darbinieku) vidū pastāv maldīgi priekšstati par iedzīvotāju grupām, kuras visbiežāk cieš no vardarbības, un proti, balstoties uz saņemtajiem ziņojumiem Valsts policijā, tiek uzskatīts, ka vardarbība visbiežāk ir sastopama sociālā riska ģimenēs (ģimenēs ar zemu ienākumu līmeni, atkarībām u.tml.). </w:t>
      </w:r>
      <w:r w:rsidR="002D52D6">
        <w:t>Līdzīgs secinājums rodas, analizējot arī ES Pamattiesību aģentūras aptaujas datus, kuri rāda, ka</w:t>
      </w:r>
      <w:r w:rsidR="002D52D6" w:rsidRPr="002D52D6">
        <w:t xml:space="preserve"> </w:t>
      </w:r>
      <w:r w:rsidR="002D52D6">
        <w:t>f</w:t>
      </w:r>
      <w:r w:rsidR="002D52D6" w:rsidRPr="0029565B">
        <w:t>iziskas vardarbības riska grupā atrodas alkohola vai narkotiku atkarībā esošu vīriešu dzīvesbiedres</w:t>
      </w:r>
      <w:r w:rsidR="002D52D6" w:rsidRPr="0029565B">
        <w:rPr>
          <w:rStyle w:val="FootnoteReference"/>
        </w:rPr>
        <w:footnoteReference w:id="190"/>
      </w:r>
      <w:r w:rsidR="002D52D6" w:rsidRPr="0029565B">
        <w:t>.</w:t>
      </w:r>
    </w:p>
    <w:p w:rsidR="004F28B0" w:rsidRDefault="002D52D6" w:rsidP="00330579">
      <w:r>
        <w:t>Tomēr Izvērtējumā intervētās e</w:t>
      </w:r>
      <w:r w:rsidR="00476C67">
        <w:t>kspertes skatījumā</w:t>
      </w:r>
      <w:r w:rsidR="00AD08F1">
        <w:t xml:space="preserve"> par maz vērības tiek pievērsts tam, ka vardarbības </w:t>
      </w:r>
      <w:r w:rsidR="00E12BA0">
        <w:t xml:space="preserve">gadījumi </w:t>
      </w:r>
      <w:r w:rsidR="00AD08F1">
        <w:t xml:space="preserve">ģimenēs ar augstākiem ienākumiem parasti nenonāk policijas redzeslokā, jo vardarbībā cietušās personas par piedzīvoto vardarbību neziņo, taču vēršas pie privātiem pakalpojumu sniedzējiem (piemēram, psihoterapeitiem). </w:t>
      </w:r>
      <w:r>
        <w:t xml:space="preserve">Turklāt arī </w:t>
      </w:r>
      <w:r w:rsidR="004F28B0" w:rsidRPr="0029565B">
        <w:t>ES līmenī veiktie pētījumi rāda, ka lielai sabiedrības daļai ir raksturīga upuri vainojoša attieksme (arī sieviešu vidū), kas nozīmē, ka vardarbības upuru savlaicīga identificēšana sabiedrībā un palīdzības sniegšana var būt kavēta</w:t>
      </w:r>
      <w:r w:rsidR="00D11856">
        <w:rPr>
          <w:rStyle w:val="FootnoteReference"/>
        </w:rPr>
        <w:footnoteReference w:id="191"/>
      </w:r>
      <w:r w:rsidR="004F28B0" w:rsidRPr="0029565B">
        <w:t xml:space="preserve">. </w:t>
      </w:r>
      <w:r w:rsidR="002D505E">
        <w:t xml:space="preserve">Kopumā </w:t>
      </w:r>
      <w:r w:rsidR="002D505E" w:rsidRPr="002D505E">
        <w:t>Izvērtējumā intervētie eksperti norāda, ka šī mērķa grupa Latvijā tiek nepietiekami identificēta un pakalpojumu sniegšanai, lai gan tā ir paredzēta tiesiskajā regulējumā, praksē sastopas ar dažādām grūtībām</w:t>
      </w:r>
      <w:r w:rsidR="002D505E">
        <w:t>, kā arī eksperti uzskata, ka psiholoģiskā palīdzība nav vienīgais nepieciešamais veselības aprūpes pakalpojums, lai gan šobrīd, runājot par attiecīgo mērķa grupu, tas ir visbiežāk pieminētais</w:t>
      </w:r>
      <w:r w:rsidR="002D505E" w:rsidRPr="002D505E">
        <w:t>.</w:t>
      </w:r>
    </w:p>
    <w:p w:rsidR="002D505E" w:rsidRPr="0029565B" w:rsidRDefault="002D505E" w:rsidP="00330579"/>
    <w:p w:rsidR="00330579" w:rsidRDefault="00330579" w:rsidP="00330579">
      <w:r>
        <w:t>Vardarbības kontekstā īpaši iezīmējās seksuālās vardarbības jautājums, un proti, lai tiktu konstatēta seksuālā vardarbība un tiktu ierosināts un novests līdz tiesai kriminālprocess, ir jāveic tiesu medicīniskā ekspertīze. Izvērtējumā intervētā eksperte vērš uzmanību uz to, ka šobrīd ekspertu Latvijas mērogā (it sevišķi apdzīvotajās vietās ārpus Rīgas) ir par maz, lai šī procedūra tiktu veikta savlaicīgi un pret vardarbībā cietušiem upuriem psiholoģiski mazāk traumējoši. Kā piemēru eksperte min situāciju, ka gadījumā, ja vardarbība ir piedzīvota piektdienas vakarā pēc tiesu medicīnas eksperta darba laika beigām, seksuālajā vardarbībā cietusī persona līdz nepieciešamo analīžu paņemšanas brīdim pirmdienā nedrīkst veikt higiēnas procedūras. Izvērtējumā intervētā eksperte norāda, ka, lai gan jau 2010. gad</w:t>
      </w:r>
      <w:r w:rsidR="00476C67">
        <w:t>ā</w:t>
      </w:r>
      <w:r>
        <w:t xml:space="preserve"> Veselības ministrija bija izstrādājusi iespējamo risinājumu problēmas mazināšanā, proti, apmācīt ginekologus, kuri ir līgumattiecībās ar NVD, kā noņemt tiesu ekspertīzei nepieciešamās analīzes, tomēr iniciatīvas praktiskā īstenošana līdz Izvērtējuma veikšanas brīdim nav notikusi. Kā viens no iemesliem tiek minēts apstāklis, ka daudzi ginekologi strādā tikai </w:t>
      </w:r>
      <w:r>
        <w:lastRenderedPageBreak/>
        <w:t xml:space="preserve">privātajā sektorā un nav ieinteresēti sadarboties ar valsts institūcijām tiesu medicīnas ekspertīžu veikšanas vajadzībām. Tādējādi, kā norāda Izvērtējumā intervētā eksperte, seksuālā vardarbība Latvijā gan tiek nepilnīgi identificēta, gan praksē pastāv šķēršļi tās identificēšanai un rezultātā – vardarbībā cietušajam upurim saņemt atbilstošus no vardarbības fakta konstatēšanas izrietošus veselības aprūpes pakalpojumus. </w:t>
      </w:r>
    </w:p>
    <w:p w:rsidR="00330579" w:rsidRDefault="00330579" w:rsidP="00330579"/>
    <w:p w:rsidR="007324B7" w:rsidRDefault="007942DD" w:rsidP="00064C1E">
      <w:pPr>
        <w:rPr>
          <w:highlight w:val="cyan"/>
        </w:rPr>
      </w:pPr>
      <w:r w:rsidRPr="007942DD">
        <w:t>Intervētie eksperti atsaucas uz to, ka Valsts policijas veiktā uzskaite neuzrāda, ka Latvijā būtu personas, kas atbilst cilvēktirdzniecības upuru definīcijai, pieļaujot, ka tāda situācija radusies datu uzskaites nepilnību dēļ. Tādējādi turpmāk minētās politikas iniciatīvas attiecībā uz šo mērķa grupu ir aplūkojama indikatīvi.</w:t>
      </w:r>
      <w:r w:rsidR="000C723E" w:rsidRPr="007942DD">
        <w:t xml:space="preserve"> </w:t>
      </w:r>
      <w:r w:rsidR="00DC6CEC" w:rsidRPr="007942DD">
        <w:t xml:space="preserve">Lai risinātu </w:t>
      </w:r>
      <w:r w:rsidR="00BC389B" w:rsidRPr="007942DD">
        <w:t>veselības aprūpes pieejamības</w:t>
      </w:r>
      <w:r w:rsidR="00DC6CEC" w:rsidRPr="007942DD">
        <w:t xml:space="preserve"> problēmas</w:t>
      </w:r>
      <w:r w:rsidR="00BC389B" w:rsidRPr="007942DD">
        <w:t xml:space="preserve"> cilvēktirdzniecības</w:t>
      </w:r>
      <w:r w:rsidR="00BC389B">
        <w:t xml:space="preserve"> upuriem kā specifiskai mērķa grupai</w:t>
      </w:r>
      <w:r w:rsidR="00DC6CEC">
        <w:t xml:space="preserve">, </w:t>
      </w:r>
      <w:r w:rsidR="007324B7" w:rsidRPr="007324B7">
        <w:t>2019.</w:t>
      </w:r>
      <w:r w:rsidR="00DE1C08">
        <w:t xml:space="preserve"> </w:t>
      </w:r>
      <w:r w:rsidR="007324B7" w:rsidRPr="007324B7">
        <w:t>gada 1.</w:t>
      </w:r>
      <w:r w:rsidR="00DE1C08">
        <w:t xml:space="preserve"> </w:t>
      </w:r>
      <w:r w:rsidR="007324B7" w:rsidRPr="007324B7">
        <w:t>janvārī spēkā stā</w:t>
      </w:r>
      <w:r w:rsidR="00E12BA0">
        <w:t>jās</w:t>
      </w:r>
      <w:r w:rsidR="007324B7" w:rsidRPr="007324B7">
        <w:t xml:space="preserve"> normatīvo aktu nosacījumi, kas nodrošinās labāku atbalstu tām personām, kuras atzītas par cietušajiem kriminālprocesā par cilvēku tirdzniecību.</w:t>
      </w:r>
      <w:r w:rsidR="007324B7">
        <w:t xml:space="preserve"> Saskaņā ar Veselības aprūpes finansēšanas likumu tiesības saņemt veselības aprūpes pakalpojumus valsts obligātās veselības apdrošināšanas ietvaros ir cilvēktirdzniecības upurim, kura statusu apliecina procesa virzītāja lēmuma kopija vai tiesībaizsardzības institūcijas izziņa. Personām, kuras atzītas par cietušo kriminālprocesā par cilvēku tirdzniecību, no 2019.</w:t>
      </w:r>
      <w:r w:rsidR="00DE1C08">
        <w:t xml:space="preserve"> </w:t>
      </w:r>
      <w:r w:rsidR="007324B7">
        <w:t xml:space="preserve">gada 1.janvāra </w:t>
      </w:r>
      <w:r w:rsidR="00E12BA0">
        <w:t>ir</w:t>
      </w:r>
      <w:r w:rsidR="007324B7">
        <w:t xml:space="preserve"> pieejam</w:t>
      </w:r>
      <w:r w:rsidR="00E12BA0">
        <w:t>i</w:t>
      </w:r>
      <w:r w:rsidR="007324B7">
        <w:t xml:space="preserve"> pilnā „groza” valsts apmaksātie medicīnas pakalpojumi. Persona zaudē tiesības saņemt pilno „grozu”, ja ir pagājuši trīs mēneši no brīža, kad persona vairs neatbilst noteiktajam statusam. Iedzīvotājiem tiek ieteikts pārliecināties, ka viņu statuss ir aktualizēts pie attiecīgā reģistra turētāja – Iekšlietu ministrijas Informācijas centra (reģistrā pieejamā i</w:t>
      </w:r>
      <w:r w:rsidR="00476C67">
        <w:t>nformācija: informācija par bāre</w:t>
      </w:r>
      <w:r w:rsidR="007324B7">
        <w:t>ņiem un krimināllietu upuriem (personas, kuras kriminālprocesā atzītas par cietušajiem smagos noziegumos – cilvēktirdzniecība, noziegumi pret tikumību, dzimumneaizskaramību, persona, kurai nozieguma rezultātā  radīti smagi miesas bojājumi, psihiski traucējumi, vai kuras cietušas noziegumos, ko izdarījis tuvinieks)</w:t>
      </w:r>
      <w:r w:rsidR="007324B7">
        <w:rPr>
          <w:rStyle w:val="FootnoteReference"/>
        </w:rPr>
        <w:footnoteReference w:id="192"/>
      </w:r>
      <w:r w:rsidR="007324B7">
        <w:t>.</w:t>
      </w:r>
    </w:p>
    <w:p w:rsidR="003124EC" w:rsidRPr="003124EC" w:rsidRDefault="003124EC" w:rsidP="003945E0">
      <w:pPr>
        <w:pStyle w:val="Heading3"/>
      </w:pPr>
      <w:bookmarkStart w:id="513" w:name="_Toc6841600"/>
      <w:r w:rsidRPr="003124EC">
        <w:t>Bezpajumtnieki</w:t>
      </w:r>
      <w:bookmarkEnd w:id="513"/>
    </w:p>
    <w:p w:rsidR="0051221A" w:rsidRPr="005D212F" w:rsidRDefault="0051221A" w:rsidP="0051221A">
      <w:pPr>
        <w:rPr>
          <w:color w:val="000000"/>
        </w:rPr>
      </w:pPr>
      <w:r w:rsidRPr="005D212F">
        <w:rPr>
          <w:color w:val="000000"/>
        </w:rPr>
        <w:t>Bezpajumtnieki</w:t>
      </w:r>
      <w:r w:rsidRPr="005D212F">
        <w:rPr>
          <w:b/>
          <w:color w:val="000000"/>
        </w:rPr>
        <w:t xml:space="preserve"> </w:t>
      </w:r>
      <w:r w:rsidRPr="005D212F">
        <w:rPr>
          <w:color w:val="000000"/>
        </w:rPr>
        <w:t>jeb personas bez dzīvesvietas ir specifiska mērķa grupa veselības aprūpes jomā tādā nozīmē, ka visbiežāk tie ir cilvēki, kuriem nav darba, nav iztikas līdzekļu un mājokļa, tādējādi veselības aprūpes jomā, kā norāda Izvērtējumā intervētie eksperti, viņi bieži vien nonāk, lai, p</w:t>
      </w:r>
      <w:r w:rsidR="003E16EF">
        <w:rPr>
          <w:color w:val="000000"/>
        </w:rPr>
        <w:t>irmkārt, risinātu savas sociāla rakstura</w:t>
      </w:r>
      <w:r w:rsidRPr="005D212F">
        <w:rPr>
          <w:color w:val="000000"/>
        </w:rPr>
        <w:t xml:space="preserve"> problēmas</w:t>
      </w:r>
      <w:r w:rsidR="003E16EF">
        <w:rPr>
          <w:color w:val="000000"/>
        </w:rPr>
        <w:t xml:space="preserve"> (pajumtes trūkums, iespējas nonākt siltumā un nomazgāties u.tml.)</w:t>
      </w:r>
      <w:r w:rsidRPr="005D212F">
        <w:rPr>
          <w:color w:val="000000"/>
        </w:rPr>
        <w:t xml:space="preserve">, savukārt veselības aprūpe uz šo problēmu fona iegūst </w:t>
      </w:r>
      <w:r w:rsidRPr="000C090F">
        <w:rPr>
          <w:color w:val="000000"/>
        </w:rPr>
        <w:t>sekundāru raksturu. Vienlaikus nav iespējams precīzi identificēt mērķa grupas faktisko lielumu, vismaz balstoties uz šobrīd pieejamiem publiskajiem datiem. Tādējādi mērķa grupas stāvokli ir</w:t>
      </w:r>
      <w:r>
        <w:rPr>
          <w:color w:val="000000"/>
        </w:rPr>
        <w:t xml:space="preserve"> iespējams raksturot, balstoties uz kvalitatīvās izpētes rezultātiem.</w:t>
      </w:r>
    </w:p>
    <w:p w:rsidR="0051221A" w:rsidRDefault="0051221A" w:rsidP="0051221A">
      <w:pPr>
        <w:rPr>
          <w:color w:val="000000"/>
        </w:rPr>
      </w:pPr>
    </w:p>
    <w:p w:rsidR="0051221A" w:rsidRPr="00B17AAE" w:rsidRDefault="0051221A" w:rsidP="0051221A">
      <w:pPr>
        <w:rPr>
          <w:color w:val="000000"/>
        </w:rPr>
      </w:pPr>
      <w:r w:rsidRPr="00B17AAE">
        <w:rPr>
          <w:color w:val="000000"/>
        </w:rPr>
        <w:t xml:space="preserve">Viena no sākotnējām problēmām, kas ietekmē bezpajumtnieku iespējas saņemt veselības aprūpes pakalpojumus, ir viņu dokumentu statuss, un, proti, personām var būt derīguma termiņu zaudējuši personu apliecinoši dokumenti, kā arī var būt tādas situācijas, kad personai vispār nav piešķirts personas kods. Pēdējā situācijā persona neparādās veselības aprūpes sistēmas datu bāzēs. No šī </w:t>
      </w:r>
      <w:r w:rsidR="00E12BA0">
        <w:rPr>
          <w:color w:val="000000"/>
        </w:rPr>
        <w:t>aspekta</w:t>
      </w:r>
      <w:r w:rsidRPr="00B17AAE">
        <w:rPr>
          <w:color w:val="000000"/>
        </w:rPr>
        <w:t xml:space="preserve"> izriet arī tas, ka persona nav reģistrējusies pie ģimenes ārsta, kā rezultātā plānveida </w:t>
      </w:r>
      <w:r w:rsidR="00E12BA0" w:rsidRPr="00B17AAE">
        <w:rPr>
          <w:color w:val="000000"/>
        </w:rPr>
        <w:t xml:space="preserve">palīdzību </w:t>
      </w:r>
      <w:r w:rsidRPr="00B17AAE">
        <w:rPr>
          <w:color w:val="000000"/>
        </w:rPr>
        <w:t xml:space="preserve">tā </w:t>
      </w:r>
      <w:r w:rsidR="00E12BA0" w:rsidRPr="00B17AAE">
        <w:rPr>
          <w:color w:val="000000"/>
        </w:rPr>
        <w:t xml:space="preserve">nespēj </w:t>
      </w:r>
      <w:r w:rsidRPr="00B17AAE">
        <w:rPr>
          <w:color w:val="000000"/>
        </w:rPr>
        <w:t xml:space="preserve">saņemt. Attiecīgi galvenās vietas, kur šāda persona var saņemt veselības aprūpi ir </w:t>
      </w:r>
      <w:r w:rsidRPr="00B17AAE">
        <w:rPr>
          <w:color w:val="000000"/>
        </w:rPr>
        <w:lastRenderedPageBreak/>
        <w:t xml:space="preserve">patversmēs, ja tām ir izveidota sadarbība ar ģimenes ārstiem (piemēram, Rīgā), vai stacionāru uzņemšanas nodaļās. </w:t>
      </w:r>
    </w:p>
    <w:p w:rsidR="0051221A" w:rsidRPr="00B17AAE" w:rsidRDefault="0051221A" w:rsidP="0051221A">
      <w:pPr>
        <w:rPr>
          <w:color w:val="000000"/>
        </w:rPr>
      </w:pPr>
    </w:p>
    <w:p w:rsidR="0051221A" w:rsidRDefault="0051221A" w:rsidP="0051221A">
      <w:pPr>
        <w:rPr>
          <w:color w:val="000000"/>
        </w:rPr>
      </w:pPr>
      <w:r w:rsidRPr="005D212F">
        <w:rPr>
          <w:color w:val="000000"/>
        </w:rPr>
        <w:t xml:space="preserve">Raksturojot risinājumus, kas tiek piemēroti, lai risinātu šīs grupas problēmas veselības aprūpes jomā, Izvērtējumā intervētā eksperte, norādīja, ka, pirmkārt, tā ir sadarbība ar noteiktu ģimenes ārstu, kas uzņem klientus dienas centrā. Attiecīgi personām bez dzīvesvietas ir iespēja vērsties pie šī ģimenes ārsta. Nozīmīgas grūtības, pēc ekspertes vērtējuma, rodas brīdī, kad personai bez dzīvesvietas nepieciešama sekundārā veselības aprūpe. </w:t>
      </w:r>
      <w:r>
        <w:rPr>
          <w:color w:val="000000"/>
        </w:rPr>
        <w:t xml:space="preserve">Gadījumā, ja persona bez dzīvesvietas nav nokārtojusi trūcīgas personas statusu, tad veselības aprūpes pakalpojumi nav pieejami, pirmkārt, </w:t>
      </w:r>
      <w:r w:rsidRPr="000C090F">
        <w:rPr>
          <w:color w:val="000000"/>
        </w:rPr>
        <w:t xml:space="preserve">pacientu līdzmaksājuma apmēra dēļ, kā tas ir līdzīgi citām iedzīvotāju grupām ar zemiem ienākumiem. Vienlaikus, pat ja persona bez dzīvesvietas ir ieguvusi trūcīgas personas statusu, Izvērtējumā intervētā eksperte norāda, ka šis fakts nemaina pakalpojuma pieejamību, un, ja ģimenes ārsts ir izrakstījis nosūtījumu pie speciālista, vairumam bezpajumtnieku šis pakalpojums nav finansiāli pieejams, neskatoties uz to, ka saskaņā ar </w:t>
      </w:r>
      <w:r w:rsidR="0076547F" w:rsidRPr="000C090F">
        <w:t>2018. gada 28. augusta MK noteikumiem Nr.555 „Veselības aprūpes pakalpojumu organizēšanas un samaksas kārtība”</w:t>
      </w:r>
      <w:r w:rsidRPr="000C090F">
        <w:rPr>
          <w:color w:val="000000"/>
        </w:rPr>
        <w:t xml:space="preserve"> trūcīgās personas ir atbrīvotas no pacientu līdzmaksājuma, saņemot arī ārsta speciālista un daudzu laboratorisku izmeklējumu pakalpojumu. Tā kā eksperte komentē situāciju no ikdienas prakses viedokļa, apkopojot atšķirīgu mērķa grupas pārstāvju pieredzi un identificējot problēmu, nav minēts, kādu</w:t>
      </w:r>
      <w:r>
        <w:rPr>
          <w:color w:val="000000"/>
        </w:rPr>
        <w:t xml:space="preserve"> tieši maksājumu dēļ bezpajumtniekiem ar trūcīgā statusu pakalpojums kļūst nepieejams. Līdzīgi kā citu iedzīvotāju grupu gadījumā, šķērslis ir gaidīšana rindā, lai saņemtu valsts apmaksāta ārsta speciālista pakalpojumu. </w:t>
      </w:r>
    </w:p>
    <w:p w:rsidR="0051221A" w:rsidRDefault="0051221A" w:rsidP="0051221A">
      <w:pPr>
        <w:rPr>
          <w:color w:val="000000"/>
        </w:rPr>
      </w:pPr>
    </w:p>
    <w:p w:rsidR="0051221A" w:rsidRPr="005D212F" w:rsidRDefault="0051221A" w:rsidP="0051221A">
      <w:pPr>
        <w:rPr>
          <w:color w:val="000000"/>
        </w:rPr>
      </w:pPr>
      <w:r>
        <w:rPr>
          <w:color w:val="000000"/>
        </w:rPr>
        <w:t xml:space="preserve">Tāpat Izvērtējumā intervētā </w:t>
      </w:r>
      <w:r w:rsidRPr="005D212F">
        <w:rPr>
          <w:color w:val="000000"/>
        </w:rPr>
        <w:t xml:space="preserve">eksperte norāda, ka daudzos gadījumos personas bez dzīvesvietas nevēlas doties uz slimnīcu (stacionāru), jo pēc vairāku stundu pavadīšanas rindā, viņš tiek apskatīts nakts laikā un tad viņu palūdz atstāt telpas. Šādā situācijā personai bez dzīvesvietas ir grūtības nokļūt siltā vidē, jo patversmes atrašanās vieta atrodas relatīvi tālu no stacionāriem. </w:t>
      </w:r>
      <w:r>
        <w:rPr>
          <w:color w:val="000000"/>
        </w:rPr>
        <w:t>Vienlaikus, kā atzīst Izvērtējumā intervētie eksperti, stacionāru uzņemšanas nodaļas ir tās vietas, kurās personas bez dzīvesvietas var saņemt gan personas higiēnas aprūpi, gan izmeklēšanu.</w:t>
      </w:r>
    </w:p>
    <w:p w:rsidR="00213197" w:rsidRDefault="00213197" w:rsidP="0051221A">
      <w:pPr>
        <w:rPr>
          <w:color w:val="000000"/>
        </w:rPr>
      </w:pPr>
    </w:p>
    <w:p w:rsidR="0051221A" w:rsidRPr="005D212F" w:rsidRDefault="0051221A" w:rsidP="0051221A">
      <w:pPr>
        <w:rPr>
          <w:color w:val="000000"/>
        </w:rPr>
      </w:pPr>
      <w:r w:rsidRPr="005D212F">
        <w:rPr>
          <w:color w:val="000000"/>
        </w:rPr>
        <w:t>Personām bez dzīvesvietas problemātiska ir arī ārstēšanās nodrošināšana, ja t</w:t>
      </w:r>
      <w:r w:rsidR="00E12BA0">
        <w:rPr>
          <w:color w:val="000000"/>
        </w:rPr>
        <w:t>ā</w:t>
      </w:r>
      <w:r w:rsidRPr="005D212F">
        <w:rPr>
          <w:color w:val="000000"/>
        </w:rPr>
        <w:t>m ir nepieciešamas zāles. Izvērtējumā intervētā eksperte norāda, ka patversme var iepirkt mazu medikamentu daudzumu, un tas tiek izlietots akūtām vai neatliekamām situācijām, kas rodas patversmē uz vietas. Ja personai bez dzīvesvietas tiek izrakstīti medikamenti, kuri nav kompensējamie, tad parasti mērķa grupas pārstāvji tos neiegādājas finanšu līdzekļu trūkuma dēļ.</w:t>
      </w:r>
      <w:r>
        <w:rPr>
          <w:color w:val="000000"/>
        </w:rPr>
        <w:t xml:space="preserve"> Arī kompensējamo medikament</w:t>
      </w:r>
      <w:r w:rsidR="00E12BA0">
        <w:rPr>
          <w:color w:val="000000"/>
        </w:rPr>
        <w:t>u iegāde bezpajumtniekiem var radīt grūtības, kas saistītas</w:t>
      </w:r>
      <w:r w:rsidRPr="0014275D">
        <w:rPr>
          <w:color w:val="000000"/>
        </w:rPr>
        <w:t xml:space="preserve"> ar 31.10.2006. MK noteikumos Nr. 899 „Ambulatorajai ārstēšanai paredzēto zāļu un medicīnisko ierīču iegādes izdevumu kompensācijas kārtība” definētajiem nosacījumiem, piemēram, 3.</w:t>
      </w:r>
      <w:r w:rsidRPr="0014275D">
        <w:rPr>
          <w:color w:val="000000"/>
          <w:vertAlign w:val="superscript"/>
        </w:rPr>
        <w:t>1</w:t>
      </w:r>
      <w:r w:rsidRPr="0014275D">
        <w:rPr>
          <w:color w:val="000000"/>
        </w:rPr>
        <w:t xml:space="preserve"> 1. un 3.</w:t>
      </w:r>
      <w:r w:rsidRPr="0014275D">
        <w:rPr>
          <w:color w:val="000000"/>
          <w:vertAlign w:val="superscript"/>
        </w:rPr>
        <w:t>1</w:t>
      </w:r>
      <w:r w:rsidRPr="0014275D">
        <w:rPr>
          <w:color w:val="000000"/>
        </w:rPr>
        <w:t xml:space="preserve"> 2. punktā ir noteikts, ka noteiktos gadījumos trūcīgai personai, iegādājoties kompensējamās zāles, var būt jāveic maksājums, ja attiecīgi izrakstītas kompensējamo zāļu A sarakstā iekļautās nereferences zāles (jāsedz starpība starp attiecīgās grupas nereferences un references zāļu aptiekas cenu) un ja izrakstīto zāļu izmaksas pārsniedz šo noteikumu noteikto apmēru</w:t>
      </w:r>
      <w:r>
        <w:rPr>
          <w:color w:val="000000"/>
        </w:rPr>
        <w:t xml:space="preserve">. </w:t>
      </w:r>
    </w:p>
    <w:p w:rsidR="003124EC" w:rsidRPr="003124EC" w:rsidRDefault="003124EC" w:rsidP="003945E0">
      <w:pPr>
        <w:pStyle w:val="Heading3"/>
      </w:pPr>
      <w:bookmarkStart w:id="514" w:name="_Toc6841601"/>
      <w:r w:rsidRPr="003124EC">
        <w:lastRenderedPageBreak/>
        <w:t>Ieslodzījuma vietās esošas un no ieslodzījuma atbrīvotās personas</w:t>
      </w:r>
      <w:bookmarkEnd w:id="514"/>
    </w:p>
    <w:p w:rsidR="007C75FA" w:rsidRDefault="008D6552" w:rsidP="00064C1E">
      <w:r>
        <w:t>Šī I</w:t>
      </w:r>
      <w:r w:rsidR="000C090F" w:rsidRPr="00622DB9">
        <w:t xml:space="preserve">zvērtējuma galvenā mērķa grupa ir bijušie ieslodzītie, kā personas, kuras pēc atbrīvojuma nonāk vispārējā veselības aprūpes sistēmā, kurā tām ir jāatrod nepieciešamie pakalpojumi. Tomēr, izstrādājot Izvērtējumu, tika konstatēts, ka </w:t>
      </w:r>
      <w:r w:rsidR="00622DB9" w:rsidRPr="00622DB9">
        <w:t xml:space="preserve">publiski pieejamu </w:t>
      </w:r>
      <w:r w:rsidR="0051221A" w:rsidRPr="00622DB9">
        <w:t>datu par person</w:t>
      </w:r>
      <w:r w:rsidR="000C090F" w:rsidRPr="00622DB9">
        <w:t>u</w:t>
      </w:r>
      <w:r w:rsidR="0051221A" w:rsidRPr="00622DB9">
        <w:t>, kuras ir atbrīvotas no ieslodzījuma vietām</w:t>
      </w:r>
      <w:r w:rsidR="000C090F" w:rsidRPr="00622DB9">
        <w:t xml:space="preserve">, vajadzībām saistībā ar </w:t>
      </w:r>
      <w:r w:rsidR="00622DB9" w:rsidRPr="00622DB9">
        <w:t>veselības</w:t>
      </w:r>
      <w:r w:rsidR="000C090F" w:rsidRPr="00622DB9">
        <w:t xml:space="preserve"> aprūpes pieejamību, sastaptajiem šķēršļiem pakalpojuma pieejamībā u.tml.</w:t>
      </w:r>
      <w:r w:rsidR="00622DB9" w:rsidRPr="00622DB9">
        <w:t>, praktiski nav.</w:t>
      </w:r>
      <w:r w:rsidR="0051221A" w:rsidRPr="00622DB9">
        <w:t xml:space="preserve"> </w:t>
      </w:r>
      <w:r w:rsidR="00622DB9" w:rsidRPr="00622DB9">
        <w:t>T</w:t>
      </w:r>
      <w:r w:rsidR="0051221A" w:rsidRPr="00622DB9">
        <w:t>ādēļ</w:t>
      </w:r>
      <w:r w:rsidR="00622DB9" w:rsidRPr="00622DB9">
        <w:t>, izvērtējot pieejamos informācijas avotus,</w:t>
      </w:r>
      <w:r w:rsidR="0051221A" w:rsidRPr="00622DB9">
        <w:t xml:space="preserve"> tik</w:t>
      </w:r>
      <w:r w:rsidR="00622DB9" w:rsidRPr="00622DB9">
        <w:t>a secināts, ka Izvērtējuma ietvaros ir iespējams identificēt potenciālās mērķa grupas vajadzības, balstoties uz</w:t>
      </w:r>
      <w:r w:rsidR="0051221A" w:rsidRPr="00622DB9">
        <w:t xml:space="preserve"> dati</w:t>
      </w:r>
      <w:r w:rsidR="00622DB9" w:rsidRPr="00622DB9">
        <w:t>em</w:t>
      </w:r>
      <w:r w:rsidR="0051221A" w:rsidRPr="00622DB9">
        <w:t xml:space="preserve"> par ieslodzītajām personām (kas ir šobrīd pieejama un sasniedzama mērķa grupa), kuras vēlāk kļūst par personām, kuras ir atbrīvotas no ieslodzījuma vietām.</w:t>
      </w:r>
      <w:r w:rsidR="00622DB9">
        <w:t xml:space="preserve"> Tādējādi šīs nodaļas ietvaros turpinājumā ir sniegts integrēts situācijas raksturojums, prognozējot bijušo ieslodzīto vajadzības, balstoties uz esošo notiesāto personu situācijas analīzi, vienlaikus izvērtējot intervences iespējas, kuras īstenojamas personas ieslodzījuma laikā.</w:t>
      </w:r>
    </w:p>
    <w:p w:rsidR="0051221A" w:rsidRDefault="0051221A" w:rsidP="00140220"/>
    <w:p w:rsidR="00140220" w:rsidRPr="00140220" w:rsidRDefault="00622DB9" w:rsidP="00140220">
      <w:pPr>
        <w:rPr>
          <w:highlight w:val="green"/>
        </w:rPr>
      </w:pPr>
      <w:r w:rsidRPr="00622DB9">
        <w:t>Kopumā, vērtējot, cik nozīmīgi ir atzīt</w:t>
      </w:r>
      <w:r w:rsidR="00140220" w:rsidRPr="00622DB9">
        <w:t xml:space="preserve"> person</w:t>
      </w:r>
      <w:r w:rsidRPr="00622DB9">
        <w:t>as</w:t>
      </w:r>
      <w:r w:rsidR="00140220" w:rsidRPr="00622DB9">
        <w:t xml:space="preserve">, kas atbrīvotas no ieslodzījuma vietām, </w:t>
      </w:r>
      <w:r w:rsidRPr="00622DB9">
        <w:t xml:space="preserve">par īpašu mērķa grupu, </w:t>
      </w:r>
      <w:r w:rsidR="00140220" w:rsidRPr="00622DB9">
        <w:t>intervēto ekspertu skatījums ir būtiski atšķirīgs. Viena ekspertu daļa norāda, ka bijušajiem ieslodzītajiem ir tādas pašas tiesības un iespējas saņemt veselības aprūpes pakalpojumus kā citām iedzīvotāju grupām, un, ja bijušais ieslodzītais ir saņēmis trūcīgas personas statusu, tad viņš ir arī atbrīvots no pacienta līdzmaksājuma, t.i., saņem atvieglojumus, kas izriet no šī statusa. Savukārt otra ekspertu grupa norāda, ka bijušie ieslodzītie ir atzīstama par īpašu mērķa grupu vairāku iemeslu dēļ. Pirmkārt, šī mērķa grupa savas specifikas dēļ ir vairāk pakļauta infekcijas slimību (tuberkuloze, HIV, hepatīt</w:t>
      </w:r>
      <w:r w:rsidR="00451D67">
        <w:t>i</w:t>
      </w:r>
      <w:r w:rsidR="00140220" w:rsidRPr="00622DB9">
        <w:t xml:space="preserve"> u.tml.) riskam</w:t>
      </w:r>
      <w:r w:rsidRPr="00622DB9">
        <w:t xml:space="preserve"> (sk. turpinājumā SPKC veikto aptauju datus)</w:t>
      </w:r>
      <w:r w:rsidR="00140220" w:rsidRPr="00622DB9">
        <w:t>, tādējādi radot apdraudējumu arī apkārtējai sabiedrībai. Tādējādi vispārējās sabiedrības veselības drošības dēļ bijušajiem ieslodzītajiem būtu jāpievērš īpaša vērtība. Vienlaikus bijušie ieslodzītie cieš arī no dažādām citām hroniskām saslimšanām, kuras radušās viņu dzīvesveida pirms ieslodzījuma dēļ. Tās galvenokārt ir atkarības, riskantas uzvedības rezultātā radušās traum</w:t>
      </w:r>
      <w:r w:rsidRPr="00622DB9">
        <w:t>a</w:t>
      </w:r>
      <w:r w:rsidR="00140220" w:rsidRPr="00622DB9">
        <w:t>s (t.sk., atkārtotas galvas traumas), hroniskas (piemēram, gremošanas sistēmas) slimības un onkoloģiskas saslimšanas. Otrkārt, vairuma bijušo ieslodzīto veselības stāvoklis bieži vien ir kopumā sliktāks nekā citu iedzīvotāju līdzīgā vecumā veselības stāvoklis, tādējādi, lai sekmīgi iekļautos sabiedrībā un darba tirgū, viņiem ir nepieciešama papildu uzmanība un, iespējams, arī kompleksāka veselības aprūpe. Treškārt, noteiktas grūtības saņemt veselības aprūpes pakalpojumu uzreiz pēc atbrīvošanas no ieslodzījuma rada arī administratīvās procedūras, kas izriet no ģimenes ārstu apmaksas sistēmas. Un proti, kamēr persona atrodas ieslodzījumā, tā ģimenes ārsta uzskaites sistēmā, pie kura persona ir reģistrēta, tiek bloķēt</w:t>
      </w:r>
      <w:r w:rsidR="00E12BA0">
        <w:t>a</w:t>
      </w:r>
      <w:r w:rsidR="00140220" w:rsidRPr="00622DB9">
        <w:t>. Tā rezultātā, ja persona ir atbrīvota no ieslodzījuma, it īpaši, pirms termiņa, informācija par atbrīvošanu nav savlaicīgi nonākusi NVD rīcībā, un personas statuss kādu laiku saglabājas kā bloķēts. Attiecīgi, vai persona, kas atbrīvota no ieslodzījuma, saņems ģimenes ārsta pakalpojumu, ir lielā mērā atkarīga no ārsta attieksmes</w:t>
      </w:r>
      <w:r w:rsidR="00931497">
        <w:t xml:space="preserve"> un izpratnes par tiesību aktos noteiktās </w:t>
      </w:r>
      <w:r w:rsidR="00931497" w:rsidRPr="00931497">
        <w:t>kārtības piemērošanu praksē.</w:t>
      </w:r>
      <w:r w:rsidR="00930A5B" w:rsidRPr="00931497">
        <w:t xml:space="preserve"> </w:t>
      </w:r>
      <w:r w:rsidR="00931497" w:rsidRPr="00931497">
        <w:t>P</w:t>
      </w:r>
      <w:r w:rsidR="00930A5B" w:rsidRPr="00931497">
        <w:t xml:space="preserve">roti, </w:t>
      </w:r>
      <w:r w:rsidR="00931497" w:rsidRPr="00931497">
        <w:t xml:space="preserve">ģimenes </w:t>
      </w:r>
      <w:r w:rsidR="00930A5B" w:rsidRPr="00931497">
        <w:t xml:space="preserve">ārsts var subjektīvi izvēlēties, vai pamatojoties uz to, ka administratīvi bijušais ieslodzītais ir sistēmā bloķēts, atteikties sniegt pakalpojumu, vai </w:t>
      </w:r>
      <w:r w:rsidR="00EF3D49" w:rsidRPr="00931497">
        <w:t>sniegt pakalpojumu</w:t>
      </w:r>
      <w:r w:rsidR="00931497" w:rsidRPr="00931497">
        <w:t xml:space="preserve"> 2018. gada 28. augusta MK noteikumi Nr.555 „Veselības aprūpes pakalpojumu organizēšanas un samaksas kārtība” 28.punkta kārtībā</w:t>
      </w:r>
      <w:r w:rsidR="00EF3D49" w:rsidRPr="00931497">
        <w:t xml:space="preserve">, </w:t>
      </w:r>
      <w:r w:rsidR="00931497" w:rsidRPr="00931497">
        <w:t>proti, ka „persona nezaudē tiesības saņemt valsts apmaksātus veselības aprūpes pakalpojumus atbilstoši tās statusam – apdrošināta persona vai persona, kurai ir tiesības saņemt valsts apmaksātās medicīniskās palīdzības minimumu” un 35.3. punkta kārtībā</w:t>
      </w:r>
      <w:r w:rsidR="00140220" w:rsidRPr="00931497">
        <w:t>.</w:t>
      </w:r>
      <w:r w:rsidR="00140220" w:rsidRPr="00622DB9">
        <w:t xml:space="preserve"> </w:t>
      </w:r>
      <w:r w:rsidR="00931497">
        <w:t>Pēdējā principa izmantošanu varētu ilustrēt dati par to, cik b</w:t>
      </w:r>
      <w:r w:rsidR="00C548CE">
        <w:t>ie</w:t>
      </w:r>
      <w:r w:rsidR="00931497">
        <w:t xml:space="preserve">ži ģimenes ārsti ir </w:t>
      </w:r>
      <w:r w:rsidR="00931497">
        <w:lastRenderedPageBreak/>
        <w:t xml:space="preserve">snieguši pakalpojumus pacientiem, balstoties uz iepriekš minēto MK noteikumu punktiem. </w:t>
      </w:r>
      <w:r w:rsidR="00140220" w:rsidRPr="00622DB9">
        <w:t>Vienlaikus eksperti norāda, ka vairumā gadījumu bijušie ieslodzītie nav reģistrēti pie ģimenes ārsta vai neatceras, pie kura viņi formāli ir reģistrēti.</w:t>
      </w:r>
      <w:r>
        <w:t xml:space="preserve"> Tādējādi pastāv risks, ka bez atbalsta personas, kas palīdz sakārtot dokumentus, persona, iznākot no ieslodzījuma, vajadzības gadījumā pie ārsta tomēr nevēršas.</w:t>
      </w:r>
    </w:p>
    <w:p w:rsidR="00622DB9" w:rsidRDefault="00622DB9" w:rsidP="00064C1E"/>
    <w:p w:rsidR="007B5D07" w:rsidRDefault="00622DB9" w:rsidP="00064C1E">
      <w:r>
        <w:t>Nozīmīgākie</w:t>
      </w:r>
      <w:r w:rsidR="007B5D07" w:rsidRPr="007B5D07">
        <w:t xml:space="preserve"> informācijas avoti par notiesāto (ieslodzījuma vietās esošu personu) veselību sniedz 2014. un </w:t>
      </w:r>
      <w:r w:rsidR="007D4C46" w:rsidRPr="007B5D07">
        <w:t>2018. gada pētījum</w:t>
      </w:r>
      <w:r w:rsidR="007B5D07" w:rsidRPr="007B5D07">
        <w:t xml:space="preserve">i par atkarību izraisošo vielu lietošanu ieslodzījuma vietās, kuru ietvaros ir noskaidrota arī </w:t>
      </w:r>
      <w:r>
        <w:t xml:space="preserve">cita veida </w:t>
      </w:r>
      <w:r w:rsidR="007B5D07" w:rsidRPr="007B5D07">
        <w:t>informācija par notiesāto personu veselību</w:t>
      </w:r>
      <w:r w:rsidR="007B5D07">
        <w:t xml:space="preserve"> (pētījumu pasūtītājs – SPKC)</w:t>
      </w:r>
      <w:r w:rsidR="007B5D07" w:rsidRPr="007B5D07">
        <w:t>.</w:t>
      </w:r>
      <w:r w:rsidR="007B5D07">
        <w:t xml:space="preserve"> Šīs nodaļas turpinājumā sniegtā informācija ir iegūta šo abu pētījumu rezultātu ziņojumos. </w:t>
      </w:r>
      <w:r w:rsidR="008543DE" w:rsidRPr="008543DE">
        <w:t>Kopumā 2018. gada aptaujā redzams, ka 32% notiesāto ir pamēģinājuši vai lietojuši narkotikas ieslodzījumā dzīves laikā, 17% – pēdējā gada laikā un 8% – pēdējā mēneša laikā</w:t>
      </w:r>
      <w:r w:rsidR="007B5D07">
        <w:t xml:space="preserve">, un šie rādītāji nav mainījušies kopš 2010. </w:t>
      </w:r>
      <w:r w:rsidR="007B5D07" w:rsidRPr="007B5D07">
        <w:t>gada</w:t>
      </w:r>
      <w:r w:rsidR="007B5D07" w:rsidRPr="007B5D07">
        <w:rPr>
          <w:rStyle w:val="FootnoteReference"/>
        </w:rPr>
        <w:footnoteReference w:id="193"/>
      </w:r>
      <w:r w:rsidR="008543DE" w:rsidRPr="007B5D07">
        <w:t>. T</w:t>
      </w:r>
      <w:r w:rsidR="007B5D07" w:rsidRPr="007B5D07">
        <w:t xml:space="preserve">as nozīmē, ka ieslodzījuma vietās ir </w:t>
      </w:r>
      <w:r w:rsidR="008543DE" w:rsidRPr="007B5D07">
        <w:t>būtiski turpināt iesāktās rīcībpolitikas aktivitātes gan</w:t>
      </w:r>
      <w:r w:rsidR="008543DE" w:rsidRPr="008543DE">
        <w:t xml:space="preserve"> atkarības vielu izplatības jomā, gan kaitējuma mazināšanas pasākumu jomā.</w:t>
      </w:r>
      <w:r w:rsidR="007B5D07">
        <w:t xml:space="preserve"> </w:t>
      </w:r>
    </w:p>
    <w:p w:rsidR="007B5D07" w:rsidRDefault="007B5D07" w:rsidP="00064C1E"/>
    <w:p w:rsidR="008543DE" w:rsidRDefault="00622DB9" w:rsidP="00064C1E">
      <w:r>
        <w:t>SPKC 2018. gada pētījumā</w:t>
      </w:r>
      <w:r w:rsidR="007B5D07" w:rsidRPr="007942DD">
        <w:t xml:space="preserve"> intervēto e</w:t>
      </w:r>
      <w:r w:rsidR="008543DE" w:rsidRPr="007942DD">
        <w:t>kspertu vērtējumā HIV, V</w:t>
      </w:r>
      <w:r w:rsidR="007942DD" w:rsidRPr="007942DD">
        <w:t>HB</w:t>
      </w:r>
      <w:r w:rsidR="008543DE" w:rsidRPr="007942DD">
        <w:t xml:space="preserve"> un V</w:t>
      </w:r>
      <w:r w:rsidR="007942DD" w:rsidRPr="007942DD">
        <w:t>HC</w:t>
      </w:r>
      <w:r w:rsidR="008543DE" w:rsidRPr="007942DD">
        <w:t xml:space="preserve"> izplatība ieslodzījuma vietās ir nopietna</w:t>
      </w:r>
      <w:r w:rsidR="008543DE" w:rsidRPr="00884F46">
        <w:t xml:space="preserve"> problēma, jo šo infekcijas slimību izplatība ieslodzījuma vietās ir ievērojami augstāka nekā sabiedrībā kopumā. </w:t>
      </w:r>
      <w:r w:rsidR="007B5D07">
        <w:t xml:space="preserve">2018. gada aptaujā </w:t>
      </w:r>
      <w:r w:rsidR="008543DE" w:rsidRPr="00581E35">
        <w:t xml:space="preserve">26% notiesāto norāda, ka ir inficēti ar hepatītu C, kas ir par 10% vairāk nekā 2014. gadā. 8% notiesāto </w:t>
      </w:r>
      <w:r w:rsidR="007B5D07">
        <w:t>2018. gadā norāda</w:t>
      </w:r>
      <w:r w:rsidR="008543DE" w:rsidRPr="00581E35">
        <w:t xml:space="preserve">, ka ir inficēti ar HIV/AIDS. 7% notiesāto norāda, ka dzīves laikā ir slimojuši vai šobrīd slimo ar tuberkulozi, 6% notiesāto – </w:t>
      </w:r>
      <w:r w:rsidR="007B5D07">
        <w:t xml:space="preserve">ar hepatītu B. </w:t>
      </w:r>
      <w:r w:rsidR="007C75FA">
        <w:t>2018. gada aptaujā</w:t>
      </w:r>
      <w:r w:rsidR="007B5D07">
        <w:t xml:space="preserve"> ir pieejami </w:t>
      </w:r>
      <w:r w:rsidR="007C75FA">
        <w:t xml:space="preserve">arī </w:t>
      </w:r>
      <w:r w:rsidR="007B5D07">
        <w:t xml:space="preserve">dati par </w:t>
      </w:r>
      <w:r w:rsidR="008543DE" w:rsidRPr="00581E35">
        <w:t>notiesāto, kuri ir slimojuši vai pašlaik slimo un ārstējas no hepatīta B,</w:t>
      </w:r>
      <w:r w:rsidR="008543DE">
        <w:t xml:space="preserve"> hepatīta C vai HIV/AIDS, atbild</w:t>
      </w:r>
      <w:r w:rsidR="007B5D07">
        <w:t>ēm</w:t>
      </w:r>
      <w:r w:rsidR="008543DE">
        <w:t xml:space="preserve"> par ārstēšanos no attiecīgajām infekcijas </w:t>
      </w:r>
      <w:r w:rsidR="008543DE" w:rsidRPr="007C75FA">
        <w:t xml:space="preserve">slimībām. </w:t>
      </w:r>
      <w:r w:rsidR="007B5D07" w:rsidRPr="007C75FA">
        <w:t>V</w:t>
      </w:r>
      <w:r w:rsidR="008543DE" w:rsidRPr="007C75FA">
        <w:t xml:space="preserve">airumā gadījumu </w:t>
      </w:r>
      <w:r w:rsidR="007B5D07" w:rsidRPr="007C75FA">
        <w:t>ieslodzījuma vietā</w:t>
      </w:r>
      <w:r w:rsidR="008543DE" w:rsidRPr="007C75FA">
        <w:t xml:space="preserve"> no hepatīta ārstējas mazāk notiesāto, nekā tas ir</w:t>
      </w:r>
      <w:r w:rsidR="008543DE">
        <w:t xml:space="preserve"> bijis brīvībā. Attiecīgi</w:t>
      </w:r>
      <w:r w:rsidR="007C75FA">
        <w:t xml:space="preserve"> notiesāto 2018. gada aptaujas dati rāda,</w:t>
      </w:r>
      <w:r w:rsidR="008543DE">
        <w:t xml:space="preserve"> brīvībā no hepatīta B ārstējušies 39% un cietumā ārstējušies vai pašlaik ārstējas 21% notiesāto. No hepatīta C brīvībā ārstējušies 75%, bet ieslodzījumā 58% notiesātie. 72% notiesāto brīvībā ārstējušies no </w:t>
      </w:r>
      <w:r w:rsidR="008543DE" w:rsidRPr="00E25F1D">
        <w:t>HIV/AIDS, un ieslodzījuma vietā šo slimību ārstējuši 88% HIV inficētu notiesāto, kuri ir inficēti ar attiecīgo slimību.</w:t>
      </w:r>
      <w:r w:rsidR="007C75FA" w:rsidRPr="00E25F1D">
        <w:t xml:space="preserve"> Izvērtējumā intervētā eksperte norāda, ja, neskatoties uz </w:t>
      </w:r>
      <w:r w:rsidRPr="00E25F1D">
        <w:t>to, ka ieslodzīto veselības aprūpe tiek finansēta no valsts budžeta</w:t>
      </w:r>
      <w:r w:rsidR="007C75FA" w:rsidRPr="00E25F1D">
        <w:t xml:space="preserve">, notiesāto ārstēšanās paradumus ieslodzījumā var ietekmēt </w:t>
      </w:r>
      <w:r w:rsidR="00655D1D" w:rsidRPr="00E25F1D">
        <w:t>savstarpējo attiecību un attieksmes (subkultūras)</w:t>
      </w:r>
      <w:r w:rsidR="007C75FA" w:rsidRPr="00E25F1D">
        <w:t xml:space="preserve"> faktori</w:t>
      </w:r>
      <w:r w:rsidR="00E25F1D" w:rsidRPr="00E25F1D">
        <w:t>, tādējādi, neskatoties uz pakalpojumu pieejamību, pastāv motīvi, kuru dēļ notiesātais atsakās no ārstēšanās</w:t>
      </w:r>
      <w:r w:rsidR="007C75FA" w:rsidRPr="00E25F1D">
        <w:t>.</w:t>
      </w:r>
    </w:p>
    <w:p w:rsidR="008543DE" w:rsidRDefault="008543DE" w:rsidP="00064C1E"/>
    <w:p w:rsidR="008543DE" w:rsidRDefault="00995ECA" w:rsidP="00064C1E">
      <w:pPr>
        <w:rPr>
          <w:highlight w:val="green"/>
        </w:rPr>
      </w:pPr>
      <w:r>
        <w:t>Pētījumā minētie eksperti norāda, ka v</w:t>
      </w:r>
      <w:r w:rsidR="008543DE" w:rsidRPr="00884F46">
        <w:t xml:space="preserve">isbiežāk personas ieslodzījuma vietās jau nonāk inficējušās, tomēr inficēšanās uz vietas netiek izslēgta. </w:t>
      </w:r>
      <w:r>
        <w:t>P</w:t>
      </w:r>
      <w:r w:rsidR="008543DE" w:rsidRPr="00884F46">
        <w:t>ēdējos gados būtiski ir palielinājies ar infekcijas slimībām diagnosticēto gadījumu skaits</w:t>
      </w:r>
      <w:r>
        <w:t xml:space="preserve"> ieslodzījuma vietās</w:t>
      </w:r>
      <w:r w:rsidR="008543DE" w:rsidRPr="00884F46">
        <w:t xml:space="preserve">. To apstiprina arī notiesāto </w:t>
      </w:r>
      <w:r>
        <w:t xml:space="preserve">2018. gada </w:t>
      </w:r>
      <w:r w:rsidR="008543DE" w:rsidRPr="00884F46">
        <w:t>aptaujas dati, kas rāda, ka ar dažādām infekcijas slimībām dzīves laikā slimojuši vai arī patlaban slimo kopumā 52% notiesāto, un šis rādītājs, salīdzinot ar 2014. gadu, ir pieaudzis par 11</w:t>
      </w:r>
      <w:r w:rsidR="00E12BA0">
        <w:t xml:space="preserve"> procent</w:t>
      </w:r>
      <w:r w:rsidR="008543DE" w:rsidRPr="00884F46">
        <w:t>punktiem. Šo situāciju eksperti skaidro ar regulāru bezmaksas testēšan</w:t>
      </w:r>
      <w:r w:rsidR="00E12BA0">
        <w:t>as</w:t>
      </w:r>
      <w:r w:rsidR="008543DE" w:rsidRPr="00884F46">
        <w:t xml:space="preserve"> uzsākšanu un ārstēšanas un medikamentu pieejamību, kas motivē ieslodzītos veikt pārbaudes. </w:t>
      </w:r>
      <w:r>
        <w:t xml:space="preserve">Šobrīd pastāvošā </w:t>
      </w:r>
      <w:r>
        <w:lastRenderedPageBreak/>
        <w:t>kārtība ir tāda, ka, n</w:t>
      </w:r>
      <w:r w:rsidR="008543DE" w:rsidRPr="00884F46">
        <w:t xml:space="preserve">onākot ieslodzījuma vietā, personai tiek veikta HIV testēšana, kas ir brīvprātīga. Vēlāk HIV tests var tikt veikts, ja ārstam vai pacientam ir radušās aizdomas par inficēšanos. </w:t>
      </w:r>
      <w:r w:rsidR="008543DE">
        <w:t xml:space="preserve">Kopumā aptaujas dati rāda, ka notiesāto skaits, kuriem ieslodzījumā ir veikts HIV tests pēdējo četru gadu laikā ir būtiski pieaudzis. 2018. gadā 44% notiesāto norāda, ka viņiem ieslodzījumā ir veikts HIV tests. </w:t>
      </w:r>
      <w:r w:rsidR="008543DE" w:rsidRPr="00884F46">
        <w:t xml:space="preserve">Savukārt </w:t>
      </w:r>
      <w:r w:rsidR="00E25F1D">
        <w:t>VHC</w:t>
      </w:r>
      <w:r w:rsidR="008543DE" w:rsidRPr="00884F46">
        <w:t xml:space="preserve"> tests personai tiek veikts tikai tad, ja tai jau ir diagnosticēts HIV vai </w:t>
      </w:r>
      <w:r w:rsidR="00E25F1D">
        <w:t>VHB</w:t>
      </w:r>
      <w:r w:rsidR="008543DE" w:rsidRPr="00884F46">
        <w:t>, vai persona ir izteikusi tādu vēlmi. Ekspertu vērtējumā pārbaudi būtu nepieciešams veikt arī pēc soda izciešanas</w:t>
      </w:r>
      <w:r w:rsidR="008543DE">
        <w:t>,</w:t>
      </w:r>
      <w:r w:rsidR="008543DE" w:rsidRPr="00884F46">
        <w:t xml:space="preserve"> atstājot ieslodzījumu vietu, taču šobrīd tam nav pietiekamu finanšu līdzekļu.</w:t>
      </w:r>
      <w:r>
        <w:t xml:space="preserve"> </w:t>
      </w:r>
      <w:r w:rsidR="008543DE" w:rsidRPr="00884F46">
        <w:t xml:space="preserve">Galvenās profilaktiskās aktivitātes, kas tiek īstenotas infekcijas slimību izplatības ierobežošanai </w:t>
      </w:r>
      <w:r w:rsidR="008543DE">
        <w:t>ieslodzījuma vietās</w:t>
      </w:r>
      <w:r w:rsidR="008543DE" w:rsidRPr="00884F46">
        <w:t>, ir testēšana, inficēto personu konsultēšana un ieslodzījumu vietu darbinieku izglītošana par profilakses pasākumiem un drošības pasākumiem, esot kontaktā ar ieslodzītajiem.</w:t>
      </w:r>
    </w:p>
    <w:p w:rsidR="00E12BA0" w:rsidRDefault="00E12BA0" w:rsidP="00064C1E"/>
    <w:p w:rsidR="008543DE" w:rsidRDefault="00995ECA" w:rsidP="00064C1E">
      <w:pPr>
        <w:rPr>
          <w:highlight w:val="green"/>
        </w:rPr>
      </w:pPr>
      <w:r w:rsidRPr="00995ECA">
        <w:t xml:space="preserve">2018. gada aptauja par atkarību izraisošo vielu lietošanu ieslodzījuma vietās ļauj raksturot notiesāto personu atkarības problēmu, savukārt 2014. gada aptauja – arī depresiju (2018. gada aptaujā depresijas tests vairs nav veikts). </w:t>
      </w:r>
      <w:r w:rsidR="008543DE" w:rsidRPr="00995ECA">
        <w:t xml:space="preserve">Kā liecina </w:t>
      </w:r>
      <w:r w:rsidRPr="00995ECA">
        <w:t xml:space="preserve">2018. gada </w:t>
      </w:r>
      <w:r w:rsidR="008543DE" w:rsidRPr="00995ECA">
        <w:t>notiesāto personu aptaujā iekļautie Līdsas Atkarības anketas jautājumi, 41% notiesātajiem nav problēmas, kas saistītas ar atkarību. 42%</w:t>
      </w:r>
      <w:r w:rsidR="008543DE" w:rsidRPr="008543DE">
        <w:t xml:space="preserve"> notiesāto, iespējams, ir vieglas atkarības problēmas, kas ir par 8% mazāk nekā 2014. gadā. 14% notiesāto ir vidējas atkarības problēmas, bet 3% notiesāto ir smagas atkarības problēmas</w:t>
      </w:r>
      <w:r w:rsidR="00100F0C">
        <w:t>.</w:t>
      </w:r>
    </w:p>
    <w:p w:rsidR="00D77544" w:rsidRDefault="00995ECA" w:rsidP="00064C1E">
      <w:r w:rsidRPr="00995ECA">
        <w:t>Savukārt 2014. gada</w:t>
      </w:r>
      <w:r w:rsidR="00D77544" w:rsidRPr="00995ECA">
        <w:t xml:space="preserve"> notiesāto personu aptaujā iekļautā </w:t>
      </w:r>
      <w:r w:rsidR="00D77544" w:rsidRPr="00995ECA">
        <w:rPr>
          <w:i/>
        </w:rPr>
        <w:t>Lundbeck</w:t>
      </w:r>
      <w:r w:rsidR="00D77544" w:rsidRPr="00995ECA">
        <w:t xml:space="preserve"> testa rezultāti</w:t>
      </w:r>
      <w:r w:rsidRPr="00995ECA">
        <w:t xml:space="preserve"> rāda</w:t>
      </w:r>
      <w:r w:rsidR="00D77544" w:rsidRPr="00995ECA">
        <w:t>, tad depresija ir</w:t>
      </w:r>
      <w:r w:rsidR="00D77544" w:rsidRPr="00D77544">
        <w:t xml:space="preserve"> raksturīga 7% notiesāto, bet vidējas depresijas pazīmes, pie kurām būtu nepieciešams konsultēties ar ārstu, sastopamas 30% gadījumu. Visbiežāk – aptuveni vienai trešdaļai notiesāto – raksturīgas vieglas depresijas pazīmes, bet 27% notiesāto depresijas pazīmes vispār nav novērojamas. </w:t>
      </w:r>
      <w:r w:rsidR="00CA74CD">
        <w:t>Tā kā, s</w:t>
      </w:r>
      <w:r w:rsidR="00D77544" w:rsidRPr="00D77544">
        <w:t xml:space="preserve">alīdzinot ar 2010. gada aptaujas rezultātiem, </w:t>
      </w:r>
      <w:r w:rsidR="00D77544" w:rsidRPr="008543DE">
        <w:rPr>
          <w:i/>
        </w:rPr>
        <w:t>Lundbeck</w:t>
      </w:r>
      <w:r w:rsidR="00D77544" w:rsidRPr="00D77544">
        <w:t xml:space="preserve"> testa rezultāti neuzrāda statistiski nozīmīgas atšķirības</w:t>
      </w:r>
      <w:r w:rsidR="008543DE">
        <w:rPr>
          <w:rStyle w:val="FootnoteReference"/>
        </w:rPr>
        <w:footnoteReference w:id="194"/>
      </w:r>
      <w:r w:rsidR="00CA74CD">
        <w:t>, var uzskatīt, ka arī 2018. gadā situācija garīgās veselības jomā ir saglabājusies līdzīga.</w:t>
      </w:r>
    </w:p>
    <w:p w:rsidR="00622DB9" w:rsidRPr="00E25F1D" w:rsidRDefault="00622DB9" w:rsidP="00622DB9"/>
    <w:p w:rsidR="00622DB9" w:rsidRPr="00622DB9" w:rsidRDefault="00622DB9" w:rsidP="00064C1E">
      <w:r w:rsidRPr="00E25F1D">
        <w:t xml:space="preserve">Izvērtējumā intervētie eksperti atbilstoši savai kompetences jomai norāda uz vairākām iecerēm, kas nākotnē varētu uzlabot esošo un no tā izrietošo bijušo ieslodzīto veselības stāvokli. Tā kā ieslodzījuma vietā notiesātās personas ir sastopamas vienuviet, ir motivētākas sadarboties ar tiesībsargājošām iestādēm, t.sk., motivētākas rūpēties par savu veselību, nekā tas ir ārpus ieslodzījuma (kā viens no nozīmīgiem motivējošiem faktoriem tiek minēts arī tas, ka valsts apmaksā ieslodzīto veselības aprūpi), eksperti norāda, ka tā kopumā ir labvēlīga vide ieslodzīto ārstēšanai. Tādējādi TM sadarbībā ar VM ir iecere </w:t>
      </w:r>
      <w:r w:rsidR="00E12BA0">
        <w:t xml:space="preserve">padarīt </w:t>
      </w:r>
      <w:r w:rsidR="00840D3F">
        <w:t>ārstēšanos efektīvāku</w:t>
      </w:r>
      <w:r w:rsidRPr="00E25F1D">
        <w:t xml:space="preserve">. Jau šobrīd ieslodzījuma vietās Izvērtējuma īstenošanas brīdī tiek īstenots projekts par atteikšanos no smēķēšanas. </w:t>
      </w:r>
      <w:r w:rsidR="00E25F1D" w:rsidRPr="00E25F1D">
        <w:t>Eksperti</w:t>
      </w:r>
      <w:r w:rsidRPr="00E25F1D">
        <w:t xml:space="preserve"> atzīst, ka noderīga būtu arī ieslodzīto dalība veselības veicināšanas un slimību profilakses pasākumos, piemēram, ir vajadzība pēc informācijas par zobu higiēnu, veselīgu dzīvesveidu</w:t>
      </w:r>
      <w:r w:rsidR="00E25F1D">
        <w:t xml:space="preserve"> u.tml</w:t>
      </w:r>
      <w:r w:rsidRPr="00E25F1D">
        <w:t>.</w:t>
      </w:r>
    </w:p>
    <w:p w:rsidR="003124EC" w:rsidRPr="00922A20" w:rsidRDefault="003124EC" w:rsidP="003945E0">
      <w:pPr>
        <w:pStyle w:val="Heading3"/>
      </w:pPr>
      <w:bookmarkStart w:id="515" w:name="_Toc6841602"/>
      <w:r w:rsidRPr="003124EC">
        <w:t>Romi</w:t>
      </w:r>
      <w:bookmarkEnd w:id="515"/>
    </w:p>
    <w:p w:rsidR="00140220" w:rsidRDefault="00426D56" w:rsidP="00064C1E">
      <w:r w:rsidRPr="00426D56">
        <w:t xml:space="preserve">Aplūkojot romu tautības iedzīvotājus no </w:t>
      </w:r>
      <w:r w:rsidR="00140220" w:rsidRPr="00426D56">
        <w:t>nevienlīdzība</w:t>
      </w:r>
      <w:r w:rsidRPr="00426D56">
        <w:t>s</w:t>
      </w:r>
      <w:r w:rsidR="00140220" w:rsidRPr="00426D56">
        <w:t xml:space="preserve"> veselības aprūpes jomā </w:t>
      </w:r>
      <w:r w:rsidRPr="00426D56">
        <w:t>viedokļa</w:t>
      </w:r>
      <w:r w:rsidR="00140220" w:rsidRPr="00426D56">
        <w:t xml:space="preserve">, eksperti norāda, ka </w:t>
      </w:r>
      <w:r w:rsidRPr="00426D56">
        <w:t xml:space="preserve">tā pamatojas uz </w:t>
      </w:r>
      <w:r w:rsidR="00140220" w:rsidRPr="00426D56">
        <w:t>kultūras atšķirīb</w:t>
      </w:r>
      <w:r w:rsidRPr="00426D56">
        <w:t>ām un dažādām</w:t>
      </w:r>
      <w:r w:rsidR="00140220" w:rsidRPr="00426D56">
        <w:t xml:space="preserve"> sociāl</w:t>
      </w:r>
      <w:r w:rsidRPr="00426D56">
        <w:t>ajām</w:t>
      </w:r>
      <w:r w:rsidR="00140220" w:rsidRPr="00426D56">
        <w:t xml:space="preserve"> problēm</w:t>
      </w:r>
      <w:r w:rsidRPr="00426D56">
        <w:t>ām, kas izriet no</w:t>
      </w:r>
      <w:r w:rsidR="00140220" w:rsidRPr="00426D56">
        <w:t xml:space="preserve"> trūcīgas vai maznodrošinātas personas statusa, taču papildus tam, it īpaši vecākās paaudzes grupās, </w:t>
      </w:r>
      <w:r w:rsidR="00140220" w:rsidRPr="00426D56">
        <w:lastRenderedPageBreak/>
        <w:t xml:space="preserve">veselības aprūpes pakalpojumu saņemšanu apgrūtina arī informācijas iegūšanas barjeras (piemēram, vecākās paaudzes ierobežotās lasīt un rakstīt prasmes dēļ). </w:t>
      </w:r>
    </w:p>
    <w:p w:rsidR="00140220" w:rsidRDefault="00140220" w:rsidP="00064C1E"/>
    <w:p w:rsidR="00930A5B" w:rsidRDefault="00426D56" w:rsidP="00064C1E">
      <w:r>
        <w:t>Kvantitatīvi si</w:t>
      </w:r>
      <w:r w:rsidR="00CA74CD" w:rsidRPr="00CA74CD">
        <w:t>tuāciju saistībā ar romu veselību un pieejamību veselības aprūpes pakalpojumiem iespējams raksturot tikai ar 2015. gadā veiktas aptaujas datiem, kad tika veikta romu aptauja par dažādiem sociāli ekonomiskajiem jautājumiem. Vērtējamo aspektu starpā bija arī veselības aprūpe. Saskaņā ar šīs aptaujas datiem</w:t>
      </w:r>
      <w:r w:rsidR="00CA74CD" w:rsidRPr="00CA74CD">
        <w:rPr>
          <w:rStyle w:val="FootnoteReference"/>
        </w:rPr>
        <w:footnoteReference w:id="195"/>
      </w:r>
      <w:r w:rsidR="00CA74CD" w:rsidRPr="00CA74CD">
        <w:t xml:space="preserve">, </w:t>
      </w:r>
      <w:r w:rsidR="00F97185" w:rsidRPr="00CA74CD">
        <w:t>98,2% aptaujāto romu ir savs ģimenes ārsts, un pēdējā gada laikā saistībā ar</w:t>
      </w:r>
      <w:r w:rsidR="00F97185">
        <w:t xml:space="preserve"> savas vai bērnu veselības jautājumiem pie ģimenes ārsta vērsušies 87,8% respondentu (to skaitā gandrīz puse – 47,5% – pēdējā mēneša laikā). </w:t>
      </w:r>
      <w:r w:rsidR="00930A5B">
        <w:t>Šie dati nav būtiski atšķirīgi no situācijas sabiedrībā vidēji.</w:t>
      </w:r>
    </w:p>
    <w:p w:rsidR="00930A5B" w:rsidRDefault="00930A5B" w:rsidP="00064C1E"/>
    <w:p w:rsidR="00F97185" w:rsidRDefault="00F97185" w:rsidP="00064C1E">
      <w:r>
        <w:t xml:space="preserve">Savukārt zināšanu un informācijas trūkums par atsevišķu pakalpojumu pieejamību (piemēram, ģimenes ārstu konsultatīvo tālruni) apgrūtina to pilnvērtīgu izmantošanu, turklāt ierastie komunikācijas kanāli – bukleti aptiekās un/vai ģimenes ārstu praksēs, reklāmas un sociālās kampaņas plašsaziņas līdzekļos u. tml. – darbojas nepietiekami. Pētījums rāda, ka romu tautības iedzīvotāji īpaši rūpējas par savu bērnu veselību, tādēļ savu iespēju un izpratnes robežās cenšas izmantot visus veselības aprūpes sniegtos labumus – tā, piemēram, vakcīnas pret slimībām bērniem ir izmantojuši gandrīz puse (46,7%) aptaujāto romu visā Latvijā (tikai 7% romi nebija dzirdējuši par iespēju saņemt vakcīnas pret slimībām bērniem). Savukārt attieksme pret pieaugušo ģimenes locekļu veselības stāvokli vērtējama daudz vienaldzīgāka – pensionāriem domātās vakcīnas ar atlaidēm vai bez maksas izmanto vien 8,5% aptaujāto romu, un par šādu iespēju pirmo reizi dzirdējuši – 22,8%. </w:t>
      </w:r>
    </w:p>
    <w:p w:rsidR="00F97185" w:rsidRDefault="00F97185" w:rsidP="00064C1E"/>
    <w:p w:rsidR="00426D56" w:rsidRDefault="00F97185" w:rsidP="00064C1E">
      <w:r>
        <w:t>Pētījumā secināts, ka salīdzinājumā ar 2003. gadu ir uzlabojusies situācija dzemdniecības jomā – 84,3% aptaujāto romu sieviešu, kurām ir bērni vecumā līdz</w:t>
      </w:r>
      <w:r w:rsidR="002F1BFA">
        <w:t xml:space="preserve"> </w:t>
      </w:r>
      <w:r>
        <w:t>13 gadiem, pēdējās grūtniecības laikā ir stājušās uzskaitē un regulāri apmeklējušas ginekologu</w:t>
      </w:r>
      <w:r w:rsidR="002F1BFA">
        <w:t xml:space="preserve"> </w:t>
      </w:r>
      <w:r>
        <w:t xml:space="preserve">vai dzemdību speciālistu. </w:t>
      </w:r>
      <w:r w:rsidR="002F1BFA">
        <w:t>Tomēr g</w:t>
      </w:r>
      <w:r>
        <w:t>rū</w:t>
      </w:r>
      <w:r w:rsidR="002F1BFA">
        <w:t>tības</w:t>
      </w:r>
      <w:r>
        <w:t xml:space="preserve"> ar ģimenes pieauguma</w:t>
      </w:r>
      <w:r w:rsidR="002F1BFA">
        <w:t xml:space="preserve"> </w:t>
      </w:r>
      <w:r>
        <w:t xml:space="preserve">plānošanu un informācijas trūkums par kontracepcijas līdzekļiem </w:t>
      </w:r>
      <w:r w:rsidR="002F1BFA">
        <w:t>joprojām</w:t>
      </w:r>
      <w:r>
        <w:t xml:space="preserve"> bieži</w:t>
      </w:r>
      <w:r w:rsidR="002F1BFA">
        <w:t xml:space="preserve"> </w:t>
      </w:r>
      <w:r>
        <w:t xml:space="preserve">noved pie agrīnas grūtniecības vai aborta veikšanas. </w:t>
      </w:r>
    </w:p>
    <w:p w:rsidR="00426D56" w:rsidRDefault="00426D56" w:rsidP="00064C1E"/>
    <w:p w:rsidR="009E7A8E" w:rsidRPr="00426D56" w:rsidRDefault="00426D56" w:rsidP="00064C1E">
      <w:r w:rsidRPr="00426D56">
        <w:t>Kopumā ekspertu viedoklis par nepieciešamību pievērst uzmanību romu tautības iedzīvotāju veselības aprūpei dalās. Viena ekspertu grupa uzskata, ka nav nepieciešami īpaši pasāku</w:t>
      </w:r>
      <w:r w:rsidR="003976C0">
        <w:t>mi, jo kopumā romiem ir pieejams</w:t>
      </w:r>
      <w:r w:rsidRPr="00426D56">
        <w:t xml:space="preserve"> tāds pats veselības aprūpes pakalpojumu klāsts kā citiem Latvijas iedzīvotājiem. Otra ekspertu grupa uzskata, ka veselības aprūpes pieejamību romu tautības iedzīvotājiem būtu jāveicina, sadarbojoties ar šo nacionālo minoritāti pārstāvošajām NVO.</w:t>
      </w:r>
    </w:p>
    <w:p w:rsidR="003124EC" w:rsidRPr="00922A20" w:rsidRDefault="003124EC" w:rsidP="003945E0">
      <w:pPr>
        <w:pStyle w:val="Heading3"/>
      </w:pPr>
      <w:bookmarkStart w:id="516" w:name="_Toc6841603"/>
      <w:r w:rsidRPr="003124EC">
        <w:t>Patvēruma meklētāji, bēgļi un personas ar alternatīvo statusu</w:t>
      </w:r>
      <w:bookmarkEnd w:id="516"/>
    </w:p>
    <w:p w:rsidR="000907AC" w:rsidRDefault="00140220" w:rsidP="00064C1E">
      <w:r w:rsidRPr="00551AF1">
        <w:t xml:space="preserve">Tā kā patvēruma meklētāji, bēgļi un personas ar alternatīvo statusu Latvijā ir samērā maza grupa, tad vairums ekspertu norāda uz to, ka veselības aprūpes pakalpojumu pieejamība šai mērķa grupai tie nodrošināta Veselības aprūpes finansēšanas likuma noteiktajā kārtībā, savukārt par specifiskām vajadzībām vai problēmām nebija informēti. </w:t>
      </w:r>
      <w:r w:rsidR="00551AF1">
        <w:t xml:space="preserve">Tādējādi nozīmīgākais informācijas avots ir pētījums, ko </w:t>
      </w:r>
      <w:r w:rsidR="000907AC">
        <w:t>2017.</w:t>
      </w:r>
      <w:r w:rsidR="00DE1C08">
        <w:t xml:space="preserve"> </w:t>
      </w:r>
      <w:r w:rsidR="000907AC">
        <w:t>gadā</w:t>
      </w:r>
      <w:r w:rsidR="00551AF1">
        <w:t xml:space="preserve"> veica</w:t>
      </w:r>
      <w:r w:rsidR="000907AC">
        <w:t xml:space="preserve"> nodibinājums „Baltic Institute of Social Sciences”</w:t>
      </w:r>
      <w:r w:rsidR="00551AF1">
        <w:t>. Tas aplūko</w:t>
      </w:r>
      <w:r w:rsidR="000907AC">
        <w:t xml:space="preserve"> </w:t>
      </w:r>
      <w:r w:rsidR="009C5A55">
        <w:t>t</w:t>
      </w:r>
      <w:r w:rsidR="000907AC">
        <w:t xml:space="preserve">rešo valstu </w:t>
      </w:r>
      <w:r w:rsidR="000907AC">
        <w:lastRenderedPageBreak/>
        <w:t>valstspiederīgo, t.sk. starptautiskās aizsardzības personu</w:t>
      </w:r>
      <w:r w:rsidR="009C5A55">
        <w:t>,</w:t>
      </w:r>
      <w:r w:rsidR="000907AC">
        <w:t xml:space="preserve"> situāciju Latvijā dažādās jomās, kas bija pirmais šāda veida pētījums ar pašas mērķa grupas līdzdalību (pētījumā tika veiktas padziļinātās intervijas ar bēgļiem, patvēruma meklētājiem un personām ar alternatīvo statusu). Viena no pētījumā analizētajām jomām ir veselības aprūpes pieejamība. Izvērtējumā sniegtais šīs mērķa grupas situācijas raksturojums </w:t>
      </w:r>
      <w:r w:rsidR="000A73F0">
        <w:t>veselības aprūpes</w:t>
      </w:r>
      <w:r w:rsidR="000907AC">
        <w:t xml:space="preserve"> pieejamības jomā ir balstīts uz minēto pētījumu</w:t>
      </w:r>
      <w:r w:rsidR="000907AC">
        <w:rPr>
          <w:rStyle w:val="FootnoteReference"/>
        </w:rPr>
        <w:footnoteReference w:id="196"/>
      </w:r>
      <w:r w:rsidR="005C5F9D">
        <w:t>, kā arī Izvērtējumā veiktajām ekspertu intervijām.</w:t>
      </w:r>
      <w:r w:rsidR="000907AC">
        <w:t xml:space="preserve"> </w:t>
      </w:r>
    </w:p>
    <w:p w:rsidR="000907AC" w:rsidRDefault="000907AC" w:rsidP="00064C1E">
      <w:pPr>
        <w:rPr>
          <w:rFonts w:eastAsiaTheme="majorEastAsia"/>
        </w:rPr>
      </w:pPr>
    </w:p>
    <w:p w:rsidR="005E5278" w:rsidRDefault="005E5278" w:rsidP="00064C1E">
      <w:r w:rsidRPr="00B93BF0">
        <w:t xml:space="preserve">Saskaņā ar </w:t>
      </w:r>
      <w:r>
        <w:t xml:space="preserve">PMLP </w:t>
      </w:r>
      <w:r w:rsidRPr="00B93BF0">
        <w:t>apkopoto statistiku laikā no 1998.</w:t>
      </w:r>
      <w:r w:rsidR="009C5A55">
        <w:t xml:space="preserve"> </w:t>
      </w:r>
      <w:r w:rsidRPr="00B93BF0">
        <w:t>gada līdz 2017.</w:t>
      </w:r>
      <w:r w:rsidR="009C5A55">
        <w:t xml:space="preserve"> </w:t>
      </w:r>
      <w:r w:rsidRPr="00B93BF0">
        <w:t>gadam Latvijā starptautisko aizsardzību lūguši 2513 p</w:t>
      </w:r>
      <w:r>
        <w:t>atvēruma meklētāji (2017.</w:t>
      </w:r>
      <w:r w:rsidR="00DE1C08">
        <w:t xml:space="preserve"> </w:t>
      </w:r>
      <w:r>
        <w:t xml:space="preserve">gadā – </w:t>
      </w:r>
      <w:r w:rsidRPr="00B93BF0">
        <w:t>395, kas ir visu gadu lielākais skaits). Kopumā bēgļa statuss ir piešķirts kopumā 157 personai, savukārt alternatīvās aizsardzības statuss – 514 personām. 2017.</w:t>
      </w:r>
      <w:r w:rsidR="00DE1C08">
        <w:t xml:space="preserve"> </w:t>
      </w:r>
      <w:r w:rsidRPr="00B93BF0">
        <w:t>gadā 39 bēgļa statusi, 259 alternatīvie statusi. Pavisam 2017.</w:t>
      </w:r>
      <w:r w:rsidR="00DE1C08">
        <w:t xml:space="preserve"> </w:t>
      </w:r>
      <w:r w:rsidRPr="00B93BF0">
        <w:t>gadā  patvērumu pieprasīja 395 personas. Bēgļa statuss ir piešķirts 39 personā</w:t>
      </w:r>
      <w:r>
        <w:t>m, alternatīvais – 259 personām</w:t>
      </w:r>
      <w:r w:rsidRPr="00B93BF0">
        <w:t>.</w:t>
      </w:r>
      <w:r>
        <w:t xml:space="preserve"> </w:t>
      </w:r>
      <w:r w:rsidRPr="00B93BF0">
        <w:t>Patvēruma meklētāju galvenās izcelsmes valstis 2017.</w:t>
      </w:r>
      <w:r w:rsidR="00DE1C08">
        <w:t xml:space="preserve"> </w:t>
      </w:r>
      <w:r w:rsidRPr="00B93BF0">
        <w:t>gadā –  Sīrija, Vjetnama, Krievija, Eritreja, Kazahstāna.</w:t>
      </w:r>
      <w:r w:rsidRPr="00B93BF0">
        <w:rPr>
          <w:vertAlign w:val="superscript"/>
        </w:rPr>
        <w:footnoteReference w:id="197"/>
      </w:r>
    </w:p>
    <w:p w:rsidR="008C4A38" w:rsidRDefault="008C4A38" w:rsidP="00064C1E">
      <w:pPr>
        <w:rPr>
          <w:rFonts w:eastAsiaTheme="majorEastAsia"/>
          <w:highlight w:val="yellow"/>
        </w:rPr>
      </w:pPr>
    </w:p>
    <w:p w:rsidR="00893E88" w:rsidRDefault="000907AC" w:rsidP="00064C1E">
      <w:pPr>
        <w:rPr>
          <w:rFonts w:eastAsiaTheme="majorEastAsia"/>
        </w:rPr>
      </w:pPr>
      <w:r w:rsidRPr="000E199E">
        <w:rPr>
          <w:rFonts w:eastAsiaTheme="majorEastAsia"/>
        </w:rPr>
        <w:t xml:space="preserve">Sociālās palīdzības kopums, kas ir pieejams šai mērķa grupai, ir atkarīgs no viņu legālā uzturēšanās statusa un piešķirtās uzturēšanas atļaujas veida. </w:t>
      </w:r>
      <w:r w:rsidR="000E199E" w:rsidRPr="000E199E">
        <w:rPr>
          <w:rFonts w:eastAsiaTheme="majorEastAsia"/>
        </w:rPr>
        <w:t xml:space="preserve">Ja patvēruma meklētājam tiek piešķirts bēgļa statuss, tad viņš saņem pastāvīgās uzturēšanās atļauju (PUA), kas sniedz tiesības arī saņemt veselības </w:t>
      </w:r>
      <w:r w:rsidR="000E199E" w:rsidRPr="00CD2D43">
        <w:rPr>
          <w:rFonts w:eastAsiaTheme="majorEastAsia"/>
        </w:rPr>
        <w:t>aprūpes pakalpojumus</w:t>
      </w:r>
      <w:r w:rsidR="00914311" w:rsidRPr="00CD2D43">
        <w:rPr>
          <w:rFonts w:eastAsiaTheme="majorEastAsia"/>
        </w:rPr>
        <w:t xml:space="preserve"> kā trešo valstu pilsoņiem ar PUA un pastāvīgajiem iedzīvotājiem</w:t>
      </w:r>
      <w:r w:rsidR="000E199E" w:rsidRPr="00CD2D43">
        <w:rPr>
          <w:rFonts w:eastAsiaTheme="majorEastAsia"/>
          <w:color w:val="FF0000"/>
        </w:rPr>
        <w:t>.</w:t>
      </w:r>
      <w:r w:rsidR="000E199E" w:rsidRPr="00CD2D43">
        <w:rPr>
          <w:rFonts w:eastAsiaTheme="majorEastAsia"/>
        </w:rPr>
        <w:t xml:space="preserve"> </w:t>
      </w:r>
      <w:r w:rsidR="00893E88">
        <w:rPr>
          <w:rFonts w:eastAsiaTheme="majorEastAsia"/>
        </w:rPr>
        <w:t>Saskaņā ar Veselības aprūpes finansēšanas likuma 6.pantu patvēruma meklētāji ir atbrīvoti no pacienta līdzmaksājuma, saskaņā ar 9.pantu bēgļi</w:t>
      </w:r>
      <w:r w:rsidR="00401403">
        <w:rPr>
          <w:rFonts w:eastAsiaTheme="majorEastAsia"/>
        </w:rPr>
        <w:t>em</w:t>
      </w:r>
      <w:r w:rsidR="00893E88">
        <w:rPr>
          <w:rFonts w:eastAsiaTheme="majorEastAsia"/>
        </w:rPr>
        <w:t xml:space="preserve"> vai </w:t>
      </w:r>
      <w:r w:rsidR="00401403">
        <w:rPr>
          <w:rFonts w:eastAsiaTheme="majorEastAsia"/>
        </w:rPr>
        <w:t>personai</w:t>
      </w:r>
      <w:r w:rsidR="00893E88" w:rsidRPr="00893E88">
        <w:rPr>
          <w:rFonts w:eastAsiaTheme="majorEastAsia"/>
        </w:rPr>
        <w:t>, kurai piešķirts alternatīvais statuss</w:t>
      </w:r>
      <w:r w:rsidR="00401403">
        <w:rPr>
          <w:rFonts w:eastAsiaTheme="majorEastAsia"/>
        </w:rPr>
        <w:t xml:space="preserve"> (ar termiņuzturēšanās atļauju jeb TUA)</w:t>
      </w:r>
      <w:r w:rsidR="00893E88">
        <w:rPr>
          <w:rFonts w:eastAsiaTheme="majorEastAsia"/>
        </w:rPr>
        <w:t>, kā arī patvēruma meklētājiem ir t</w:t>
      </w:r>
      <w:r w:rsidR="00893E88" w:rsidRPr="00893E88">
        <w:rPr>
          <w:rFonts w:eastAsiaTheme="majorEastAsia"/>
        </w:rPr>
        <w:t>iesības saņemt valsts apmaksātās medicīniskās palīdzības minimumu</w:t>
      </w:r>
      <w:r w:rsidR="00893E88">
        <w:rPr>
          <w:rFonts w:eastAsiaTheme="majorEastAsia"/>
        </w:rPr>
        <w:t>.</w:t>
      </w:r>
      <w:r w:rsidR="00893E88" w:rsidRPr="00893E88">
        <w:rPr>
          <w:rFonts w:eastAsiaTheme="majorEastAsia"/>
        </w:rPr>
        <w:t xml:space="preserve"> </w:t>
      </w:r>
      <w:r w:rsidR="00893E88">
        <w:rPr>
          <w:rFonts w:eastAsiaTheme="majorEastAsia"/>
        </w:rPr>
        <w:t>Vienlaikus Veselības aprūpes finansēšanas likuma 11. pants paredz, ka šīm mērķa grupām ir t</w:t>
      </w:r>
      <w:r w:rsidR="00893E88" w:rsidRPr="00893E88">
        <w:rPr>
          <w:rFonts w:eastAsiaTheme="majorEastAsia"/>
        </w:rPr>
        <w:t>iesības saņemt veselības aprūpes pakalpojumus valsts obligātās veselības apdrošināšanas ietvaros</w:t>
      </w:r>
      <w:r w:rsidR="00893E88">
        <w:rPr>
          <w:rFonts w:eastAsiaTheme="majorEastAsia"/>
        </w:rPr>
        <w:t xml:space="preserve"> tikai tad, ja tās ir veikušās veselības apdrošināšanas iemaksas vai ja tās atbilst papildu nosacījumiem (līdzīgi kā tas ir pastāvīgo Latvijas iedzīvotāju gadījumā). Ņemot vērā, ka šo </w:t>
      </w:r>
      <w:r w:rsidR="00401403">
        <w:rPr>
          <w:rFonts w:eastAsiaTheme="majorEastAsia"/>
        </w:rPr>
        <w:t xml:space="preserve">Veselības aprūpes finansēšanas likuma </w:t>
      </w:r>
      <w:r w:rsidR="00893E88">
        <w:rPr>
          <w:rFonts w:eastAsiaTheme="majorEastAsia"/>
        </w:rPr>
        <w:t xml:space="preserve">nosacījumu stāšanas spēkā ir </w:t>
      </w:r>
      <w:r w:rsidR="00893E88" w:rsidRPr="00401403">
        <w:rPr>
          <w:rFonts w:eastAsiaTheme="majorEastAsia"/>
        </w:rPr>
        <w:t xml:space="preserve">atlikta (sk. sīkāk iepriekš nodaļu „Veselības aprūpes finansēšanas organizatoriskā kārtība”), tad </w:t>
      </w:r>
      <w:r w:rsidR="00401403" w:rsidRPr="00401403">
        <w:rPr>
          <w:rFonts w:eastAsiaTheme="majorEastAsia"/>
        </w:rPr>
        <w:t>Izvērtējuma izstrādes laikā ir iespējams raksturot tikai nozīmīgākās problēmas attiecībā uz veselības aprūpes pakalpojumu pieejamību, kas noskaidrotas iepriekšējos pētījumos.</w:t>
      </w:r>
    </w:p>
    <w:p w:rsidR="00893E88" w:rsidRDefault="00893E88" w:rsidP="00064C1E">
      <w:pPr>
        <w:rPr>
          <w:rFonts w:eastAsiaTheme="majorEastAsia"/>
        </w:rPr>
      </w:pPr>
    </w:p>
    <w:p w:rsidR="00914311" w:rsidRPr="00CD2D43" w:rsidRDefault="00914311" w:rsidP="00064C1E">
      <w:pPr>
        <w:pStyle w:val="NormalWeb"/>
        <w:rPr>
          <w:color w:val="000000"/>
        </w:rPr>
      </w:pPr>
      <w:r w:rsidRPr="00CD2D43">
        <w:rPr>
          <w:bCs/>
          <w:color w:val="000000"/>
        </w:rPr>
        <w:t>No 2016. gada 23. septembra stāj</w:t>
      </w:r>
      <w:r w:rsidR="00CD2D43" w:rsidRPr="00CD2D43">
        <w:rPr>
          <w:bCs/>
          <w:color w:val="000000"/>
        </w:rPr>
        <w:t>ā</w:t>
      </w:r>
      <w:r w:rsidRPr="00CD2D43">
        <w:rPr>
          <w:bCs/>
          <w:color w:val="000000"/>
        </w:rPr>
        <w:t xml:space="preserve">s spēkā Veselības ministrijas izstrādātie MK noteikumi Nr. 620 “Kārtība, kādā veic aizturētā patvēruma meklētāja veselības stāvokļa pārbaudi un sanitāro apstrādi, kā arī reģistrē to rezultātus”. Noteikumi nosaka kārtību, kādā ārstniecības personai ir jāveic patvēruma meklētāju sanitārā apstrāde un veselības pārbaude pēc aizturēto patvēruma meklētāju ievietošanas izmitināšanas centrā. </w:t>
      </w:r>
      <w:r w:rsidRPr="00CD2D43">
        <w:rPr>
          <w:color w:val="000000"/>
        </w:rPr>
        <w:t xml:space="preserve">Atbilstoši noteikumiem sanitārā apstrāde ietver mazgāšanos pirtī vai dušā, kā arī nepieciešamības gadījumā apstrādi pret pedikulozi un patvēruma meklētāja personīgā apģērba un personīgo lietu dezinfekciju, dezinsekciju un deratizāciju. </w:t>
      </w:r>
    </w:p>
    <w:p w:rsidR="00914311" w:rsidRPr="00CD2D43" w:rsidRDefault="00914311" w:rsidP="00064C1E">
      <w:pPr>
        <w:pStyle w:val="NormalWeb"/>
        <w:rPr>
          <w:color w:val="000000"/>
        </w:rPr>
      </w:pPr>
    </w:p>
    <w:p w:rsidR="00914311" w:rsidRPr="00CD2D43" w:rsidRDefault="00914311" w:rsidP="00064C1E">
      <w:r w:rsidRPr="00CD2D43">
        <w:rPr>
          <w:color w:val="000000"/>
        </w:rPr>
        <w:lastRenderedPageBreak/>
        <w:t>Savukārt aizturētā patvēruma meklētāja veselības pārbaude ietver personas aptauju un, ja iespējams, medicīniskas dokumentācijas izskatīšanu, antropometriju (ķermeņa masa, augums), vispārējo apskati un pārbaudi, lai noteiktu tuberkulozi, kā arī citu nepieciešamo izmeklējumu nozīmēšanu, ņemot vērā personas veselības stāvokli, slimību simptomus un īpašo epidemioloģisko situāciju aizturētā patvēruma meklētāja izcelsmes valstī vai valstī, kurā persona uzturējās pirms iebraukšanas Latvijā. Piemēram, personām, kurām kopš ierašanās Latvijā nav pagājušas vairāk kā 30 dienas no brīža, kad tās ir ceļojušas no poliomielīta skartajām valstīm vai šķērsojušas poliomielīta skartās valstis, būs jāveic arī izmeklēšana uz poliovīrusu klātbūtni. Pēc personas veselības pārbaudes, ārstniecības personai būs jāizsniedz atzinums par veselības stāvokli un rekomendācijas, kā arī aizturētais patvēruma meklētājs jāinformē par rīcību saslimšanas gadījumā, veselības aprūpes pakalpojumu saņemšanas iespējām un ieteicamajiem profilakses pasākumiem. Sanitārās apstrādes un veselības stāvokļa pārbaudes rezultātus ārstniecības personas reģistrēs pacienta ambulatorajā kartē</w:t>
      </w:r>
      <w:r w:rsidR="00996001" w:rsidRPr="00CD2D43">
        <w:rPr>
          <w:rStyle w:val="FootnoteReference"/>
          <w:color w:val="000000"/>
        </w:rPr>
        <w:footnoteReference w:id="198"/>
      </w:r>
      <w:r w:rsidRPr="00CD2D43">
        <w:rPr>
          <w:color w:val="000000"/>
        </w:rPr>
        <w:t>.</w:t>
      </w:r>
    </w:p>
    <w:p w:rsidR="000907AC" w:rsidRPr="00CD2D43" w:rsidRDefault="000907AC" w:rsidP="00064C1E"/>
    <w:p w:rsidR="00914311" w:rsidRPr="00CD2D43" w:rsidRDefault="00914311" w:rsidP="00064C1E">
      <w:r w:rsidRPr="00CD2D43">
        <w:t>Starptautiskās aizsardzības personu pieredze veselības aprūpes jomā ir jāskata atsevišķi vairākos posmos. Pirmkārt, augstāk aprakstītās obligātās veselības pārbaudes uzņemšanas procedūras laikā, par kurām intervētie šīs mērķa grupas pārstāvji neizteica nekādas sūdzības – nedz par nepieciešamību šādas pārbaudes veikt, nedz par veidu, kā tas notiek. Otrkārt, nozīmīgas problēmas ar veselības aprūpi pašas mērķa grupas vērtējumā nav arī laikā, kamēr patvēruma meklētāji, gaidot lēmumu pieņemšanu par savu statusu, atrodas PMIC „Mucenieki”.</w:t>
      </w:r>
    </w:p>
    <w:p w:rsidR="00914311" w:rsidRPr="00CD2D43" w:rsidRDefault="00914311" w:rsidP="00064C1E"/>
    <w:p w:rsidR="00914311" w:rsidRPr="00CD2D43" w:rsidRDefault="00914311" w:rsidP="00064C1E">
      <w:r w:rsidRPr="00CD2D43">
        <w:t>Problēmas sākas tajā brīdī, kad ir nepieciešama jau specifiska medicīniska palīdzība vai manipulācijas, ārstu</w:t>
      </w:r>
      <w:r w:rsidR="00996001">
        <w:t xml:space="preserve"> </w:t>
      </w:r>
      <w:r w:rsidRPr="00CD2D43">
        <w:t>speciālistu konsultācijas, kas ir pieejamas par maksu, kas šīs mērķa grupas gadījumā nozīmē, ka tie praktiski nav pieejami. Treškārt, veselības aprūpe ārpus PMIC „Mucenieki”, kad ir uzsākta patstāvīga dzīve. Kopumā alternatīvo statusu ieguvušas personas veselības aprūpes jomā sastopas ar tām pašām problēmām kā trešo valstu pilsoņi ar TUA.</w:t>
      </w:r>
    </w:p>
    <w:p w:rsidR="00914311" w:rsidRPr="00CD2D43" w:rsidRDefault="00914311" w:rsidP="00064C1E"/>
    <w:p w:rsidR="003124EC" w:rsidRPr="00CD2D43" w:rsidRDefault="00914311" w:rsidP="00064C1E">
      <w:r w:rsidRPr="00CD2D43">
        <w:t xml:space="preserve">Papildu sarežģījumus šajā mērķa grupā rada </w:t>
      </w:r>
      <w:r w:rsidRPr="00CD2D43">
        <w:rPr>
          <w:u w:val="single"/>
        </w:rPr>
        <w:t>starpniekvalodas trūkums</w:t>
      </w:r>
      <w:r w:rsidRPr="00CD2D43">
        <w:t>, kas būtiski apgrūtina saziņu ar ārstniecības personām un veselības aprūpes pakalpojumu pieejamību kopumā. Intervētās personas stāstīja, ka daudzkārt viņām nav saprotama ārstu sniegtā informācija par savu vai bērnu veselības stāvokli. Saziņā tiek izmantoti dažādi līdzekļi, piemēram, tulkošana ar mobilo aplikāciju palīdzību. Pētījumā izskanēja gadījumi, kad ārsti atsakās vienlaikus ar pacientu vizītē būt klāt arī tulkam, pat ja pacientam ir iespēja ierasties ar tulku. Līdz ar to pacientam ir vairākkārtīgi jādodas no ārsta pie tulka, no tulka pie ārsta, kas ļoti ievelk garumā kā izmeklēšanas, tā ārstēšanas procesu. Turklāt šādā veidā faktiski tiek pārkāptas pacienta tiesības saņemt izsmeļošu informāciju par savu veselības stāvokli un ārstēšanu</w:t>
      </w:r>
      <w:r w:rsidR="00CD2D43">
        <w:t>.</w:t>
      </w:r>
    </w:p>
    <w:p w:rsidR="00914311" w:rsidRPr="00CD2D43" w:rsidRDefault="00914311" w:rsidP="00064C1E"/>
    <w:p w:rsidR="00551AF1" w:rsidRPr="00140220" w:rsidRDefault="00914311" w:rsidP="009C5A55">
      <w:r w:rsidRPr="00CD2D43">
        <w:t xml:space="preserve">Otra problēma, kuru visās intervijās aktualizēja šī mērķa grupa, ir </w:t>
      </w:r>
      <w:r w:rsidRPr="00CD2D43">
        <w:rPr>
          <w:u w:val="single"/>
        </w:rPr>
        <w:t>augstā samaksa par veselības aprūpes pakalpojumiem</w:t>
      </w:r>
      <w:r w:rsidRPr="00CD2D43">
        <w:t xml:space="preserve">, īpaši pie speciālistiem, t.sk. zobārstniecības pakalpojumiem. Finansiālais atbalsts, ko sniedz valsts uzturēšanās izdevumu segšanai, ir niecīgs, lai varētu atļauties segt jebkādus izdevumus par ārstniecību vai medikamentiem, savukārt nodarbinātības iespējas, lai nopelnītu, arī ir </w:t>
      </w:r>
      <w:r w:rsidRPr="00CD2D43">
        <w:lastRenderedPageBreak/>
        <w:t>ierobežotas. Pat tajos gadījumos, kad darbs ir, saņemtais atalgojums spēj segt tikai pašas primārās vajadzības – mājokli un pārtiku, medikamentiem un ārsta apmeklējumam naudas līdzekļi nepietiek. Lielākās raizes intervētajām personām ir par bērnu veselības aprūpi, īpaši tajos gadījumos, kad ir hroniskas vai sarežģītas saslimšanas, kuru ārstēšana prasa regulāru uzraudzību, izmeklējumus un terapiju.</w:t>
      </w:r>
    </w:p>
    <w:p w:rsidR="005E3DB5" w:rsidRPr="00E0052E" w:rsidRDefault="005E3DB5" w:rsidP="005E3DB5">
      <w:pPr>
        <w:pStyle w:val="Heading2"/>
      </w:pPr>
      <w:bookmarkStart w:id="517" w:name="_Toc6841604"/>
      <w:r w:rsidRPr="00E0052E">
        <w:t>Secinājumi par nevienlīdzību veselības jomā</w:t>
      </w:r>
      <w:bookmarkEnd w:id="517"/>
    </w:p>
    <w:p w:rsidR="00323B56" w:rsidRPr="00E0052E" w:rsidRDefault="00323B56" w:rsidP="00F23726">
      <w:pPr>
        <w:pStyle w:val="Heading3"/>
      </w:pPr>
      <w:bookmarkStart w:id="518" w:name="_Toc6841605"/>
      <w:r w:rsidRPr="00E0052E">
        <w:t xml:space="preserve">Nevienlīdzība veselības </w:t>
      </w:r>
      <w:r w:rsidR="0006259C">
        <w:t>jomā</w:t>
      </w:r>
      <w:r w:rsidRPr="00E0052E">
        <w:t xml:space="preserve"> mērķa grupu griezumā</w:t>
      </w:r>
      <w:bookmarkEnd w:id="518"/>
    </w:p>
    <w:p w:rsidR="00FA1ED8" w:rsidRDefault="006235C6" w:rsidP="00323B56">
      <w:r w:rsidRPr="00E0052E">
        <w:t xml:space="preserve">Aplūkojot nevienlīdzību raksturojošos rādītājus veselības aprūpes jomā, redzams, ka pastāv nozīmīgas atšķirības starp iedzīvotājiem ar dažādiem ienākumiem, </w:t>
      </w:r>
      <w:r w:rsidR="00966814">
        <w:t>t.i., nevienlīdzību primār</w:t>
      </w:r>
      <w:r w:rsidR="00840D3F">
        <w:t>i</w:t>
      </w:r>
      <w:r w:rsidR="00966814">
        <w:t xml:space="preserve"> rada ienākumu atšķirības; </w:t>
      </w:r>
      <w:r w:rsidRPr="00E0052E">
        <w:t xml:space="preserve">un izjusto slogu var pastiprināt dažādi papildu faktori – mājsaimniecības </w:t>
      </w:r>
      <w:r w:rsidR="00E0052E" w:rsidRPr="00E0052E">
        <w:t>kompozīcija un vecuma struktūra (pieaugušo un bērnu skaita attiecība) un mājsaimniecības locekļu individuālās veselības aprūpes vajadzības, kā arī citi sociāli un kultūras faktori, kas veicina sociālo atstumtību un līdz ar to – informācijas pieejamību, attieksmi, motivāciju un spēju risināt savas problēmas, t.sk., saistībā ar veselības aprūpi.</w:t>
      </w:r>
      <w:r w:rsidR="005D64F7">
        <w:t xml:space="preserve"> </w:t>
      </w:r>
    </w:p>
    <w:p w:rsidR="00451D67" w:rsidRPr="00E0052E" w:rsidRDefault="00451D67" w:rsidP="00451D67"/>
    <w:p w:rsidR="00451D67" w:rsidRPr="00FA1ED8" w:rsidRDefault="00451D67" w:rsidP="00451D67">
      <w:r w:rsidRPr="00FA1ED8">
        <w:t>Augstais tiešmaksājumu īpatsvars Latvijā veselības aprūpes jomā rada risku, ka nozīmīgus finansiālus šķēr</w:t>
      </w:r>
      <w:r w:rsidR="00C548CE">
        <w:t>š</w:t>
      </w:r>
      <w:r w:rsidRPr="00FA1ED8">
        <w:t>ļus segt savas veselības aprūpes izmaksas var sastapt arī darbspējīgi iedzīvotāji ar vidējiem un salīdzinoši augstiem ienākumiem, ko atklāj arī ekspertu intervijās iegūtā informācija.</w:t>
      </w:r>
    </w:p>
    <w:p w:rsidR="00FA1ED8" w:rsidRDefault="00FA1ED8" w:rsidP="00323B56"/>
    <w:p w:rsidR="007A588F" w:rsidRDefault="007A588F" w:rsidP="007A588F">
      <w:r w:rsidRPr="00374A7E">
        <w:t xml:space="preserve">Kaut arī finanšu trūkums veselības aprūpes jomā ir problēma, kas atzīta vairākos starptautiskajos izvērtējumos un daudzos Latvijas politikas plānošanas dokumentos, </w:t>
      </w:r>
      <w:r>
        <w:t>un, saņemot papildu finansējumu, ir novērojams progress rindu garuma samazināšanā, pacientu gaidīšanas rindu ilgums uz sekundārajiem ambulatorajiem pakalpojumiem 2019. gadā arī ir vērā ņemams, it sevišķi attiecībā uz ambulatoro rehabilitāciju. Tā kā pēdējo gadu informatīvajos ziņojumos iztrūkst datu par rindu garumu dalījumā pēc ārstu specialitātēm, no informatīvajos ziņojumos sniegtās informācijas netiek iegūta skaidrība, vai finansējums tiek novirzīts visiem pakalpojumiem vienādi vai nosakot dažādu to ampēru attiecībā uz jomām, kurā rindas ir visgarākās un pakalpojumi – visnozīmīgākie Latvijas iedzīvotāju veselības saglabāšanai. Tāpat informatīvajos ziņojumos analizētā informācija neļauj pārliecināties, kā mainās gaidīšanas rindu garums dažādos Latvijas reģionos. Daudzas no veselības aprūpes pakalpojumu kvalitāti paaugstinošām aktivitātēm 2019. gada sākumā bija tikai uzsākšanas stadijā, tādējādi tās nevar pieņemt par notikušajām. Analizējot rindu garumu pie dažādiem speciālistiem, informatīvajos ziņojumos iztrūkst informācijas par to, vai ir apzināts reālais pacientu skaits, kuriem nepieciešams pakalpojums (t.i., iekļaujot tos, kas savlaicīgi netiek pie ārsta) un cik lielā mērā tiek izvērtēta finanšu atdeve no veiktajiem papildu ieguldījumiem, kas izpaustos kā ne tikai nosaukts papildu sniegto pakalpojumu skaits, tā palielinājums procentos u.tml., bet arī kā ir mainījusies pacientu saslimšanu smaguma pakāpe un slimošanas ilgums, vai arī kādi citi parametri, kas rāda veikto pasākumu efektivitāti.</w:t>
      </w:r>
    </w:p>
    <w:p w:rsidR="007A588F" w:rsidRDefault="007A588F" w:rsidP="007A588F"/>
    <w:p w:rsidR="000C3638" w:rsidRPr="00E0052E" w:rsidRDefault="005D64F7" w:rsidP="00323B56">
      <w:r>
        <w:t>Visnozīmīgāko slogu izjūt tās mājsaimniecības un iedzīvotāju grupas, kurām vienlaikus rakst</w:t>
      </w:r>
      <w:r w:rsidR="003976C0">
        <w:t>ur</w:t>
      </w:r>
      <w:r>
        <w:t>īgi zemi ienākumi un intensīva vajadzība pēc veselības aprūpes (hroniskas saslimšanas, invaliditāte vai funkcionālie traucējumi). Šajā grup</w:t>
      </w:r>
      <w:r w:rsidR="00840D3F">
        <w:t>ā</w:t>
      </w:r>
      <w:r>
        <w:t xml:space="preserve"> ietilpst pirmspensijas un pensijas vecuma cilvēki, personas ar </w:t>
      </w:r>
      <w:r>
        <w:lastRenderedPageBreak/>
        <w:t>invaliditāti, nepilnās ģimenes, ģimenes ar</w:t>
      </w:r>
      <w:r w:rsidR="00D81223" w:rsidRPr="00D81223">
        <w:t xml:space="preserve"> bērniem invaliditātes un f</w:t>
      </w:r>
      <w:r w:rsidR="00544F61">
        <w:t>unkcionālo</w:t>
      </w:r>
      <w:r w:rsidR="00D81223" w:rsidRPr="00D81223">
        <w:t xml:space="preserve"> traucējumu gadījumos</w:t>
      </w:r>
      <w:r>
        <w:t>.</w:t>
      </w:r>
      <w:r w:rsidR="00FA1ED8">
        <w:t xml:space="preserve"> Vairākas citas Izvērtējumā identificētās mērķa grupas, lai gan var sastapties ar nozīmīgiem šķēršļiem veselības aprūpes pieejamībā un viņām var būt specifiskas vajadzības, vienlaikus ir mazskaitlīgas vai arī nav iespējams noteikt iedzīvotāju skaitu, kas tām būtu pieskatāmas (piemēram, bezpajumtnieki, cilvēktirdzniecības upuri, bēgļi un patvēruma meklētāji, personas ar alternatīvo statusu).</w:t>
      </w:r>
    </w:p>
    <w:p w:rsidR="00FA1ED8" w:rsidRPr="00FA1ED8" w:rsidRDefault="00FA1ED8" w:rsidP="00323B56"/>
    <w:p w:rsidR="00451D67" w:rsidRDefault="00451D67" w:rsidP="00451D67">
      <w:r>
        <w:t>Ja personas ienākumi ir tik zemi, ka tai pienākas trūcīgas personas statuss, tad pirmspensijas vai pensijas vecuma persona, bezdarbnieki un citas personu grupas ir atbrīvotas no pacienta līdzmaksājuma. Tomēr gadījumā, ja persona nevar iegūt šo statusu, tad finansiālais slogs ir nozīmīgi jūtams.</w:t>
      </w:r>
      <w:r w:rsidRPr="00451D67">
        <w:t xml:space="preserve"> </w:t>
      </w:r>
      <w:r>
        <w:t>Tādējādi trūcīgu un maznodrošinātu personu situāciju attiecībā uz veselības aprūpi nevar apskatīt vienoti. Ja trūcīgajām personām daudzos gadījumos pacientu līdzmaksājumu sedz valsts, tad maznodrošinātām personām valsts līmenī veselības aprūpei atvieglojumi netiek piešķirti. Maznodrošināto personu atbalstu nodrošina tikai pašvaldības, tādējādi šis atbalsts valsts teritorijā tiek sniegts atšķirīgi. Ņemot vērā, ka plaisa starp trūcīgo un maznodrošināto personu iespējām saņemt atvieglojumus attiecībā uz veselības aprūpi ir nozīmīga, jāpievērš uzmanība tam, vai personas, kuras pēc būtības ir trūcīgas, saņem šo statusu.</w:t>
      </w:r>
    </w:p>
    <w:p w:rsidR="00451D67" w:rsidRDefault="00451D67" w:rsidP="00451D67"/>
    <w:p w:rsidR="00451D67" w:rsidRDefault="00451D67" w:rsidP="00451D67">
      <w:r w:rsidRPr="00AA32A2">
        <w:t>Lai gan tiesību akti nosaka bērnu tiesības uz valsts apmaksātu veselības aprūpi, praksē šī principa darbība ir ierobežota</w:t>
      </w:r>
      <w:r w:rsidR="001552DC" w:rsidRPr="00AA32A2">
        <w:t>, jo</w:t>
      </w:r>
      <w:r w:rsidRPr="00AA32A2">
        <w:t xml:space="preserve"> </w:t>
      </w:r>
      <w:r w:rsidR="001552DC" w:rsidRPr="00AA32A2">
        <w:t>g</w:t>
      </w:r>
      <w:r w:rsidRPr="00AA32A2">
        <w:t>rūtības rada savlaicīga veselības aprūpes pieejamība, kas izriet no speciālistu un valsts apmaksāto</w:t>
      </w:r>
      <w:r>
        <w:t xml:space="preserve"> pakalpojumu trūkuma. Kā viena no visbiežāk sastopamajām situācijām ir tāda, ka, lai saņemtu noteikta speciālista pakalpojumu, jāgaida ir rindā vairākus mēnešus.</w:t>
      </w:r>
    </w:p>
    <w:p w:rsidR="00451D67" w:rsidRDefault="00451D67" w:rsidP="00451D67"/>
    <w:p w:rsidR="00451D67" w:rsidRPr="00D71A98" w:rsidRDefault="00451D67" w:rsidP="00451D67">
      <w:r w:rsidRPr="00D71A98">
        <w:t>Personām ar funkcion</w:t>
      </w:r>
      <w:r w:rsidR="00D46268">
        <w:t>āliem traucējumiem</w:t>
      </w:r>
      <w:r w:rsidRPr="00D71A98">
        <w:t>, tai skaitā personu ar invaliditāti, pieejamība veselības aprūpes pakalpojumiem ir aplūkojama kā kompleksa problēma, kas izriet no mērķa grupas specifiskajām vajadzībām, regulāras vajadzības pēc pakalpojumiem un personu zemajiem ienākumiem. Attiecībā uz pakalpojumiem īpaši zema ir uzturošās rehabilitācijas pakalpojumu pieejamība.</w:t>
      </w:r>
    </w:p>
    <w:p w:rsidR="001552DC" w:rsidRPr="00D71A98" w:rsidRDefault="001552DC" w:rsidP="00451D67"/>
    <w:p w:rsidR="00451D67" w:rsidRPr="000F598F" w:rsidRDefault="000F598F" w:rsidP="00451D67">
      <w:r w:rsidRPr="000F598F">
        <w:t xml:space="preserve">Vardarbībā cietušo personu gadījumā </w:t>
      </w:r>
      <w:r w:rsidR="00451D67" w:rsidRPr="000F598F">
        <w:t>galvenā šī mērķa grupas vajadzība, kas ietekmē arī iespējas saņemt nepieciešamos veselības aprūpes pakalpojumus, ir savlaicīga vardarbības fakta identificēšana</w:t>
      </w:r>
      <w:r w:rsidRPr="000F598F">
        <w:t xml:space="preserve"> (ieskaitot tiesu medicīnas ekspertīzes vajadzībām nepieciešamo analīžu savlaicīga paņemšana), no kā lielā mērā ir atkarīga arī</w:t>
      </w:r>
      <w:r w:rsidR="00451D67" w:rsidRPr="000F598F">
        <w:t xml:space="preserve"> atbilstošu veselības un sociālās rehabilitācijas pakalpojumu pieejamība. </w:t>
      </w:r>
      <w:r w:rsidRPr="000F598F">
        <w:t>Izvērtējumā intervētie eksperti uzskata, ka pakalpojumos jāietver</w:t>
      </w:r>
      <w:r w:rsidR="00451D67" w:rsidRPr="000F598F">
        <w:t xml:space="preserve"> ne tikai ar psihoterapeit</w:t>
      </w:r>
      <w:r w:rsidRPr="000F598F">
        <w:t xml:space="preserve">a, bet arī citu ārstu </w:t>
      </w:r>
      <w:r w:rsidR="00451D67" w:rsidRPr="000F598F">
        <w:t>pakalpojumi</w:t>
      </w:r>
      <w:r w:rsidRPr="000F598F">
        <w:t>, ja tādi personai ir nepieciešami</w:t>
      </w:r>
      <w:r w:rsidR="00451D67" w:rsidRPr="000F598F">
        <w:t>.</w:t>
      </w:r>
    </w:p>
    <w:p w:rsidR="00D71A98" w:rsidRPr="000F598F" w:rsidRDefault="00D71A98" w:rsidP="00451D67"/>
    <w:p w:rsidR="00FA1ED8" w:rsidRPr="00FA1ED8" w:rsidRDefault="00612F7A" w:rsidP="00451D67">
      <w:r w:rsidRPr="00612F7A">
        <w:t>Bijušie ieslodzītie Izvērtējumā ir identificēta kā viena no grupām, par kuru ir pieejams maz informācijas, tiklīdz persona ir atbrīvota no ieslodzījuma vietas. Tā kā atbrīvošana no ieslodzījuma paredz nozīmīgas ikdienas rutīnas izmaiņas, tad personām</w:t>
      </w:r>
      <w:r w:rsidR="00451D67" w:rsidRPr="00612F7A">
        <w:t xml:space="preserve">, kuras pēc atbrīvojuma nonāk vispārējā veselības aprūpes sistēmā, </w:t>
      </w:r>
      <w:r w:rsidRPr="00612F7A">
        <w:t>ir īpašas vajadzības attiecībā uz veselības aprūpes pieejamību</w:t>
      </w:r>
      <w:r w:rsidR="00451D67" w:rsidRPr="00612F7A">
        <w:t xml:space="preserve">. </w:t>
      </w:r>
      <w:r>
        <w:t>Pirmkārt, ir svarīgi pārliecināties, vai bijušajiem ieslodzītajiem ir savs ģimenes ārsts, savlaicīgi risināt Izvērtējumā identificēto problēmu attiecībā uz bijušā ieslodzītā statusa izmaiņām NVD administrētajās datu bāzēs</w:t>
      </w:r>
      <w:r w:rsidR="00757FC9">
        <w:t xml:space="preserve">. Otrkārt, tā kā ieslodzījuma vietās ir augstāks risks inficēties ar HIV, </w:t>
      </w:r>
      <w:r w:rsidR="00757FC9" w:rsidRPr="00757FC9">
        <w:lastRenderedPageBreak/>
        <w:t xml:space="preserve">hepatītu B un hepatītu C, kā arī esošie un bijušie ieslodzītie cieš no dažādām citām hroniskām saslimšanām, </w:t>
      </w:r>
      <w:r w:rsidR="00451D67" w:rsidRPr="00757FC9">
        <w:t xml:space="preserve">lai sekmīgi iekļautos sabiedrībā un darba tirgū, </w:t>
      </w:r>
      <w:r w:rsidR="00757FC9" w:rsidRPr="00757FC9">
        <w:t>šai mērķa grupai</w:t>
      </w:r>
      <w:r w:rsidR="00451D67" w:rsidRPr="00757FC9">
        <w:t xml:space="preserve"> ir nepieciešama papildu uzmanība un, iespējams, arī kompleksāka veselības aprūpe.</w:t>
      </w:r>
      <w:r w:rsidR="00757FC9">
        <w:t xml:space="preserve"> Vienlaikus šai mērķa grupai, līdzīgi kā bezpajumtniekiem, lielākā mērā sastopama zemāka motivācija rūpēties par savu veselību, tādējādi šos mērķa grupu situācijas uzlabošanā būtu nepieciešama cieša veselības aprūpes speciālistu un pašvaldību sociālo darbinieku sadarbība.</w:t>
      </w:r>
    </w:p>
    <w:p w:rsidR="00323B56" w:rsidRPr="007675BA" w:rsidRDefault="00323B56" w:rsidP="00F23726">
      <w:pPr>
        <w:pStyle w:val="Heading3"/>
      </w:pPr>
      <w:bookmarkStart w:id="519" w:name="_Toc6841606"/>
      <w:r w:rsidRPr="007675BA">
        <w:t>Galvenās problēmas, nepieciešamie risinājumi un ieteikumi</w:t>
      </w:r>
      <w:bookmarkEnd w:id="519"/>
      <w:r w:rsidRPr="007675BA">
        <w:t xml:space="preserve"> </w:t>
      </w:r>
    </w:p>
    <w:tbl>
      <w:tblPr>
        <w:tblStyle w:val="TableGrid"/>
        <w:tblW w:w="0" w:type="auto"/>
        <w:tblLook w:val="04A0"/>
      </w:tblPr>
      <w:tblGrid>
        <w:gridCol w:w="1809"/>
        <w:gridCol w:w="7873"/>
      </w:tblGrid>
      <w:tr w:rsidR="00950526" w:rsidRPr="006106B3" w:rsidTr="006106B3">
        <w:tc>
          <w:tcPr>
            <w:tcW w:w="1809" w:type="dxa"/>
            <w:shd w:val="clear" w:color="auto" w:fill="B8CCE4" w:themeFill="accent1" w:themeFillTint="66"/>
          </w:tcPr>
          <w:p w:rsidR="00323B56" w:rsidRPr="006106B3" w:rsidRDefault="006106B3" w:rsidP="006106B3">
            <w:pPr>
              <w:keepNext/>
              <w:spacing w:before="160" w:after="160"/>
              <w:jc w:val="left"/>
              <w:rPr>
                <w:b/>
                <w:color w:val="002060"/>
              </w:rPr>
            </w:pPr>
            <w:r>
              <w:rPr>
                <w:b/>
                <w:color w:val="002060"/>
              </w:rPr>
              <w:t>Problēma</w:t>
            </w:r>
          </w:p>
        </w:tc>
        <w:tc>
          <w:tcPr>
            <w:tcW w:w="7873" w:type="dxa"/>
            <w:shd w:val="clear" w:color="auto" w:fill="B8CCE4" w:themeFill="accent1" w:themeFillTint="66"/>
          </w:tcPr>
          <w:p w:rsidR="00323B56" w:rsidRPr="006106B3" w:rsidRDefault="0078344A" w:rsidP="006106B3">
            <w:pPr>
              <w:keepNext/>
              <w:spacing w:before="160" w:after="160"/>
              <w:jc w:val="left"/>
              <w:rPr>
                <w:b/>
                <w:color w:val="002060"/>
              </w:rPr>
            </w:pPr>
            <w:r w:rsidRPr="006106B3">
              <w:rPr>
                <w:b/>
                <w:color w:val="002060"/>
              </w:rPr>
              <w:t>Reālā sekundāro ambulatoro u.c. pakalpojumu pieprasījuma prognozēšanas grūtības</w:t>
            </w:r>
          </w:p>
        </w:tc>
      </w:tr>
      <w:tr w:rsidR="00950526" w:rsidTr="00950B38">
        <w:tc>
          <w:tcPr>
            <w:tcW w:w="1809" w:type="dxa"/>
          </w:tcPr>
          <w:p w:rsidR="00950526" w:rsidRDefault="00950526" w:rsidP="00950526">
            <w:pPr>
              <w:jc w:val="left"/>
            </w:pPr>
            <w:r>
              <w:t>Ieteikumi problēmas risinājumam</w:t>
            </w:r>
          </w:p>
        </w:tc>
        <w:tc>
          <w:tcPr>
            <w:tcW w:w="7873" w:type="dxa"/>
          </w:tcPr>
          <w:p w:rsidR="00950526" w:rsidRDefault="0078344A" w:rsidP="00C548CE">
            <w:r>
              <w:t>Info</w:t>
            </w:r>
            <w:r w:rsidR="007A588F">
              <w:t>rmatīvajos</w:t>
            </w:r>
            <w:r>
              <w:t xml:space="preserve"> ziņojumos ietvertās informācijas analīze rāda, ka </w:t>
            </w:r>
            <w:r w:rsidR="00C46AA6">
              <w:t>prognozēto rindu samazināšanu kavē jaunu pacientu ieplūšana, pārslēdzoties no pakalpojumu izmantošanas privātajā sektorā uz valsts apmaksātajiem pakalpojumiem. Rezultātā, plānojot budžetu nākamajiem rindu samazināšanas pasākumiem, tiek dotas atsauces uz to, cik daudz papildu konsultācijas sekundārajā ambulatorajā jomā iespējams veikt, taču nav skaidrs mērķis, proti, kāds ir patiesais pakalpojuma pieprasījums. Tas ļautu prognozēt, cik daudz valsts budžeta līdzekļu būtu nepieciešams patiesi efektīvam rindu samazinājumam un parādīt budžeta plānošanas procesā reālo plaisu (atšķirību) starp piešķīrumu un sabiedrības vajadzībām. Izvērtējot informatīvajos ziņojumos ietverto informāciju, rodas priekšstats, ka šobrīd politikas veidotāju rīcībā esošie informācijas avoti nav pietiekami, lai noteiktu reālās sabiedrības vajadzības, tāpēc šādu datu apkopošanai nepieciešams izmantot gan primāros datus, ko būtu jāsniedz e-veselības sistēmai, gan sekundāros datus – ārvalstu datus par noteiktu saslimšanu izplatību sabiedrībā un iedzīvotāju vajadzībām. Iegūstot šāda veida datus par pakalpojumu potenciālo pieprasījumu dažādās saslimšanu grupās, iespējams arī efektīvāk plānot reāli piešķirtos budžeta līdzekļus, reaģējot nevis tikai uz rindu garumu, bet arī uz prognozi, cik lielā mērā not</w:t>
            </w:r>
            <w:r w:rsidR="00C548CE">
              <w:t>ei</w:t>
            </w:r>
            <w:r w:rsidR="00C46AA6">
              <w:t>kta veida pakalpojums būtu nepieciešams sabiedrībai.</w:t>
            </w:r>
          </w:p>
        </w:tc>
      </w:tr>
      <w:tr w:rsidR="0078344A" w:rsidRPr="006106B3" w:rsidTr="006106B3">
        <w:tc>
          <w:tcPr>
            <w:tcW w:w="1809" w:type="dxa"/>
            <w:shd w:val="clear" w:color="auto" w:fill="B8CCE4" w:themeFill="accent1" w:themeFillTint="66"/>
          </w:tcPr>
          <w:p w:rsidR="006106B3" w:rsidRDefault="006106B3" w:rsidP="00F92562">
            <w:pPr>
              <w:keepNext/>
              <w:spacing w:before="160" w:after="160"/>
              <w:jc w:val="left"/>
              <w:rPr>
                <w:b/>
                <w:color w:val="002060"/>
              </w:rPr>
            </w:pPr>
          </w:p>
          <w:p w:rsidR="006106B3" w:rsidRDefault="006106B3" w:rsidP="00F92562">
            <w:pPr>
              <w:keepNext/>
              <w:spacing w:before="160" w:after="160"/>
              <w:jc w:val="left"/>
              <w:rPr>
                <w:b/>
                <w:color w:val="002060"/>
              </w:rPr>
            </w:pPr>
          </w:p>
          <w:p w:rsidR="0078344A" w:rsidRPr="006106B3" w:rsidRDefault="0078344A" w:rsidP="00F92562">
            <w:pPr>
              <w:keepNext/>
              <w:spacing w:before="160" w:after="160"/>
              <w:jc w:val="left"/>
              <w:rPr>
                <w:b/>
                <w:color w:val="002060"/>
              </w:rPr>
            </w:pPr>
            <w:r w:rsidRPr="006106B3">
              <w:rPr>
                <w:b/>
                <w:color w:val="002060"/>
              </w:rPr>
              <w:t>Problēma</w:t>
            </w:r>
          </w:p>
        </w:tc>
        <w:tc>
          <w:tcPr>
            <w:tcW w:w="7873" w:type="dxa"/>
            <w:shd w:val="clear" w:color="auto" w:fill="B8CCE4" w:themeFill="accent1" w:themeFillTint="66"/>
          </w:tcPr>
          <w:p w:rsidR="0078344A" w:rsidRPr="006106B3" w:rsidRDefault="0078344A" w:rsidP="00F92562">
            <w:pPr>
              <w:keepNext/>
              <w:spacing w:before="160" w:after="160"/>
              <w:rPr>
                <w:b/>
                <w:color w:val="002060"/>
              </w:rPr>
            </w:pPr>
            <w:r w:rsidRPr="006106B3">
              <w:rPr>
                <w:b/>
                <w:color w:val="002060"/>
              </w:rPr>
              <w:t>Lai gan 2018. gada 28. augusta Ministru kabineta noteikumi Nr.555 „Veselības aprūpes pakalpojumu organizēšanas un samaksas kārtība” paredz, ka bērniem līdz 18 gadu vecumam zobārstniecības pakalpojumi tiek apmaksāti no valsts budžeta līdzekļiem, ārstniecības iestāžu skaits, kam šajā jomā ir noslēgts līgums ar NVD, nav pietiekams, lai pakalpojums atbilstoši mērķa grupas vajadzībām būtu pieejams</w:t>
            </w:r>
            <w:r w:rsidR="00C548CE" w:rsidRPr="006106B3">
              <w:rPr>
                <w:b/>
                <w:color w:val="002060"/>
              </w:rPr>
              <w:t xml:space="preserve"> </w:t>
            </w:r>
            <w:r w:rsidR="00D05C1C" w:rsidRPr="006106B3">
              <w:rPr>
                <w:b/>
                <w:color w:val="002060"/>
              </w:rPr>
              <w:t>visos reģionos</w:t>
            </w:r>
            <w:r w:rsidRPr="006106B3">
              <w:rPr>
                <w:b/>
                <w:color w:val="002060"/>
              </w:rPr>
              <w:t xml:space="preserve"> saprātīgā laika posmā.</w:t>
            </w:r>
          </w:p>
        </w:tc>
      </w:tr>
      <w:tr w:rsidR="0078344A" w:rsidRPr="00950526" w:rsidTr="0078344A">
        <w:tc>
          <w:tcPr>
            <w:tcW w:w="1809" w:type="dxa"/>
            <w:shd w:val="clear" w:color="auto" w:fill="auto"/>
          </w:tcPr>
          <w:p w:rsidR="0078344A" w:rsidRPr="00950526" w:rsidRDefault="0078344A" w:rsidP="008E7F4C">
            <w:pPr>
              <w:spacing w:before="160" w:after="160"/>
              <w:jc w:val="left"/>
              <w:rPr>
                <w:b/>
                <w:color w:val="FFFFFF" w:themeColor="background1"/>
              </w:rPr>
            </w:pPr>
            <w:r>
              <w:t>Ieteikumi problēmas risinājumam</w:t>
            </w:r>
          </w:p>
        </w:tc>
        <w:tc>
          <w:tcPr>
            <w:tcW w:w="7873" w:type="dxa"/>
            <w:shd w:val="clear" w:color="auto" w:fill="auto"/>
          </w:tcPr>
          <w:p w:rsidR="000F1524" w:rsidRPr="00A20DF6" w:rsidRDefault="00D05C1C" w:rsidP="00D05C1C">
            <w:pPr>
              <w:spacing w:before="160" w:after="160"/>
            </w:pPr>
            <w:r>
              <w:t>Šī problēma ir i</w:t>
            </w:r>
            <w:r w:rsidR="00C46AA6" w:rsidRPr="00A20DF6">
              <w:t>dentificēt</w:t>
            </w:r>
            <w:r>
              <w:t>a politikas plānošanas dokumentos, tās attīstību</w:t>
            </w:r>
            <w:r w:rsidR="00C46AA6" w:rsidRPr="00A20DF6">
              <w:t xml:space="preserve"> plaši raksturo informatīvajos ziņojumos iekļautā informācija par līgumiestāžu skaita samazinājumu laika posmā kopš 2014. </w:t>
            </w:r>
            <w:r w:rsidR="00DA252E">
              <w:t>g</w:t>
            </w:r>
            <w:r w:rsidR="00C46AA6" w:rsidRPr="00A20DF6">
              <w:t xml:space="preserve">ada, un redzams, ka tā atjaunošana notiek krietni lēnākos tempos, nekā iepriekš ir notikusi līgumiestāžu skaita samazināšanās. </w:t>
            </w:r>
            <w:r>
              <w:t xml:space="preserve">Informatīvajos ziņojumos ir secināts, ka </w:t>
            </w:r>
            <w:r w:rsidR="00C46AA6" w:rsidRPr="00A20DF6">
              <w:t>nozīmīg</w:t>
            </w:r>
            <w:r>
              <w:t>s</w:t>
            </w:r>
            <w:r w:rsidR="00C46AA6" w:rsidRPr="00A20DF6">
              <w:t xml:space="preserve"> problēma</w:t>
            </w:r>
            <w:r>
              <w:t xml:space="preserve">s </w:t>
            </w:r>
            <w:r>
              <w:lastRenderedPageBreak/>
              <w:t>cēlonis ir</w:t>
            </w:r>
            <w:r w:rsidR="00C46AA6" w:rsidRPr="00A20DF6">
              <w:t xml:space="preserve"> valsts piedāvātais zobārstniecības pakalpojumu tarifs, kura pārskatīšana </w:t>
            </w:r>
            <w:r>
              <w:t>nākotnē tiek uzskatīta par</w:t>
            </w:r>
            <w:r w:rsidR="00C46AA6" w:rsidRPr="00A20DF6">
              <w:t xml:space="preserve"> galven</w:t>
            </w:r>
            <w:r>
              <w:t>o</w:t>
            </w:r>
            <w:r w:rsidR="00C46AA6" w:rsidRPr="00A20DF6">
              <w:t xml:space="preserve"> instrument</w:t>
            </w:r>
            <w:r>
              <w:t>u</w:t>
            </w:r>
            <w:r w:rsidR="00C46AA6" w:rsidRPr="00A20DF6">
              <w:t xml:space="preserve"> pakalpojuma pieejamības paaugstināšanai bērniem.</w:t>
            </w:r>
            <w:r w:rsidR="00A20DF6">
              <w:t xml:space="preserve"> Tādējādi</w:t>
            </w:r>
            <w:r>
              <w:t>, īstenojot šo iniciatīvu,</w:t>
            </w:r>
            <w:r w:rsidR="00A20DF6">
              <w:t xml:space="preserve"> NVD kopā ar politikas veidotāju VM ir jāstrā</w:t>
            </w:r>
            <w:r w:rsidR="00C548CE">
              <w:t>dā ne tikai pie jaunu tarifu ap</w:t>
            </w:r>
            <w:r w:rsidR="00A20DF6">
              <w:t xml:space="preserve">rēķināšanas, bet arī būtu jānosaka pakalpojuma sniegšanas termiņi (saprātīgs laika posms) vai vismaz „zelta standarts”, ko varētu izmantot pakalpojumu sniedzēju slodzes noteikšanai (piemēram, ja iestādē ir pārāk gara rinda, tā ir indikācija, ka attiecīgā reģionā nepieciešams līgumiestāžu skaita palielinājums). Kā saprātīgs laika posms plānveida pakalpojumiem bērniem būtu jānosaka vismaz vidējā rindas garuma līmenī, kāds tas ir noteikumu izstrādes laikā. Uzlabojoties situācijai, iespējama šī garuma pārskatīšana, lai padarītu zobārstniecības pakalpojumus maksimāli pieejamus mērķa grupai. Būtiski atzīmēt, ka akūtos gadījumos ir jāsaglabā/ jānodrošina pietiekamas iespējas katra reģiona ietvaros saņemt zobārstniecības pakalpojumus bērniem tajā pašā dienā, kad situācija radusies. Cits pakalpojuma pieprasījuma atbilstības vērtējums ir NVD kā līgmslēdzējiestādes veikta uzraudzība, </w:t>
            </w:r>
            <w:r w:rsidR="0078344A">
              <w:t>vai noteikta lieluma apdzīvoto vietu līmenī ir noslēgts pietiekams sadarbības līgumu skaits, ņemot vērā pašvaldībā deklarēto/ dzīvojošo bērnu (potenciālo pacientu) skaitu.</w:t>
            </w:r>
          </w:p>
        </w:tc>
      </w:tr>
      <w:tr w:rsidR="0078344A" w:rsidRPr="006106B3" w:rsidTr="006106B3">
        <w:tc>
          <w:tcPr>
            <w:tcW w:w="1809" w:type="dxa"/>
            <w:shd w:val="clear" w:color="auto" w:fill="B8CCE4" w:themeFill="accent1" w:themeFillTint="66"/>
          </w:tcPr>
          <w:p w:rsidR="0078344A" w:rsidRPr="006106B3" w:rsidRDefault="0078344A" w:rsidP="008E7F4C">
            <w:pPr>
              <w:spacing w:before="160" w:after="160"/>
              <w:jc w:val="left"/>
              <w:rPr>
                <w:b/>
                <w:color w:val="002060"/>
              </w:rPr>
            </w:pPr>
            <w:r w:rsidRPr="006106B3">
              <w:rPr>
                <w:b/>
                <w:color w:val="002060"/>
              </w:rPr>
              <w:lastRenderedPageBreak/>
              <w:t>Problēma</w:t>
            </w:r>
          </w:p>
        </w:tc>
        <w:tc>
          <w:tcPr>
            <w:tcW w:w="7873" w:type="dxa"/>
            <w:shd w:val="clear" w:color="auto" w:fill="B8CCE4" w:themeFill="accent1" w:themeFillTint="66"/>
          </w:tcPr>
          <w:p w:rsidR="0078344A" w:rsidRPr="006106B3" w:rsidRDefault="0078344A" w:rsidP="008011BB">
            <w:pPr>
              <w:spacing w:before="160" w:after="160"/>
              <w:rPr>
                <w:b/>
                <w:color w:val="002060"/>
              </w:rPr>
            </w:pPr>
            <w:r w:rsidRPr="006106B3">
              <w:rPr>
                <w:b/>
                <w:color w:val="002060"/>
              </w:rPr>
              <w:t>Pastāv šķēršļi</w:t>
            </w:r>
            <w:r w:rsidR="007A63EA" w:rsidRPr="006106B3">
              <w:rPr>
                <w:color w:val="002060"/>
              </w:rPr>
              <w:t xml:space="preserve"> </w:t>
            </w:r>
            <w:r w:rsidR="007A63EA" w:rsidRPr="006106B3">
              <w:rPr>
                <w:b/>
                <w:color w:val="002060"/>
              </w:rPr>
              <w:t xml:space="preserve">bērniem </w:t>
            </w:r>
            <w:r w:rsidR="008011BB" w:rsidRPr="006106B3">
              <w:rPr>
                <w:b/>
                <w:color w:val="002060"/>
              </w:rPr>
              <w:t xml:space="preserve">ar </w:t>
            </w:r>
            <w:r w:rsidR="007A63EA" w:rsidRPr="006106B3">
              <w:rPr>
                <w:b/>
                <w:color w:val="002060"/>
              </w:rPr>
              <w:t>noteikt</w:t>
            </w:r>
            <w:r w:rsidR="008011BB" w:rsidRPr="006106B3">
              <w:rPr>
                <w:b/>
                <w:color w:val="002060"/>
              </w:rPr>
              <w:t>ām</w:t>
            </w:r>
            <w:r w:rsidR="007A63EA" w:rsidRPr="006106B3">
              <w:rPr>
                <w:b/>
                <w:color w:val="002060"/>
              </w:rPr>
              <w:t xml:space="preserve"> slimīb</w:t>
            </w:r>
            <w:r w:rsidR="008011BB" w:rsidRPr="006106B3">
              <w:rPr>
                <w:b/>
                <w:color w:val="002060"/>
              </w:rPr>
              <w:t>ām</w:t>
            </w:r>
            <w:r w:rsidR="007A63EA" w:rsidRPr="006106B3">
              <w:rPr>
                <w:b/>
                <w:color w:val="002060"/>
              </w:rPr>
              <w:t xml:space="preserve"> un </w:t>
            </w:r>
            <w:r w:rsidR="008011BB" w:rsidRPr="006106B3">
              <w:rPr>
                <w:b/>
                <w:color w:val="002060"/>
              </w:rPr>
              <w:t>funkcionāliem</w:t>
            </w:r>
            <w:r w:rsidR="007A63EA" w:rsidRPr="006106B3">
              <w:rPr>
                <w:b/>
                <w:color w:val="002060"/>
              </w:rPr>
              <w:t xml:space="preserve"> traucējum</w:t>
            </w:r>
            <w:r w:rsidR="008011BB" w:rsidRPr="006106B3">
              <w:rPr>
                <w:b/>
                <w:color w:val="002060"/>
              </w:rPr>
              <w:t>iem</w:t>
            </w:r>
            <w:r w:rsidRPr="006106B3">
              <w:rPr>
                <w:b/>
                <w:color w:val="002060"/>
              </w:rPr>
              <w:t xml:space="preserve"> savlaicīgai ārstu speciālistu konsultācijām, fizioterapijas un rehabili</w:t>
            </w:r>
            <w:r w:rsidR="007A63EA" w:rsidRPr="006106B3">
              <w:rPr>
                <w:b/>
                <w:color w:val="002060"/>
              </w:rPr>
              <w:t>tācijas pakalpojumu pieejamībai</w:t>
            </w:r>
          </w:p>
        </w:tc>
      </w:tr>
      <w:tr w:rsidR="0078344A" w:rsidTr="00950B38">
        <w:tc>
          <w:tcPr>
            <w:tcW w:w="1809" w:type="dxa"/>
          </w:tcPr>
          <w:p w:rsidR="0078344A" w:rsidRDefault="0078344A" w:rsidP="00950526">
            <w:pPr>
              <w:jc w:val="left"/>
            </w:pPr>
            <w:r>
              <w:t>Ieteikumi problēmas risinājumam</w:t>
            </w:r>
          </w:p>
        </w:tc>
        <w:tc>
          <w:tcPr>
            <w:tcW w:w="7873" w:type="dxa"/>
          </w:tcPr>
          <w:p w:rsidR="0078344A" w:rsidRDefault="0078344A" w:rsidP="00544F61">
            <w:r>
              <w:t xml:space="preserve">Izvērtēt iespēju noteiktām prioritārām mērķa grupām noteikt īpašus pieejamības nosacījumus valsts apmaksāto pakalpojumu savlaicīgai saņemšanai (piemēram, līdzīgi kā šobrīd onkoloģijā darbojas „zaļais koridors”). Prioritāro grupu sarakstā pirmām kārtām iekļaujami </w:t>
            </w:r>
            <w:r w:rsidR="007A63EA" w:rsidRPr="007A63EA">
              <w:t xml:space="preserve">bērni noteiktu slimību un </w:t>
            </w:r>
            <w:r w:rsidR="00544F61" w:rsidRPr="00544F61">
              <w:t>funkcionālo</w:t>
            </w:r>
            <w:r w:rsidR="007A63EA" w:rsidRPr="007A63EA">
              <w:t xml:space="preserve"> traucējumu gadījumos</w:t>
            </w:r>
            <w:r>
              <w:t>, kā arī izvērtējama ir personu ar invaliditāti un hroniskām saslimšanām iekļaušana šādā sistēmā. Sistēmas ieviešana, vienlaikus sistēmiski paaugstinot ārstniecības iestāžu skaitu, kurām noslēgts līgums ar NVD par nepieciešamo pakalpojumu sniegšanu.</w:t>
            </w:r>
            <w:r w:rsidR="00A20DF6">
              <w:t xml:space="preserve"> Tā kā šī Izvērtējuma ietvaros aplūkotajos politikas dokumentos bērnu rehabilitācijas jautājumi </w:t>
            </w:r>
            <w:r w:rsidR="00CF7DEE">
              <w:t>tika iztirzāti nepietiekami (piemēram, galvenajā politikas nozares dokumentā „</w:t>
            </w:r>
            <w:r w:rsidR="00CF7DEE" w:rsidRPr="00CF7DEE">
              <w:t xml:space="preserve">Mātes un bērna veselības uzlabošanas plāns 2018.-2020. </w:t>
            </w:r>
            <w:r w:rsidR="00CF7DEE">
              <w:t>g</w:t>
            </w:r>
            <w:r w:rsidR="00CF7DEE" w:rsidRPr="00CF7DEE">
              <w:t>adam</w:t>
            </w:r>
            <w:r w:rsidR="00CF7DEE">
              <w:t>” a</w:t>
            </w:r>
            <w:r w:rsidR="00544F61">
              <w:t>ttiecīgie jautājumi ir aplūkoti</w:t>
            </w:r>
            <w:r w:rsidR="00CF7DEE">
              <w:t>, neidentificējot nozīmīgākās problēmas pēc būtības</w:t>
            </w:r>
            <w:r w:rsidR="00A20DF6">
              <w:t>, taču medicīniskā rehabilitācija kopumā ir raksturota kā joma, kurā vismaz pieaugušo pacientu gadījumā gaidīšanas rindas ilgums pirms reformas uzsākšanas bija aptuveni 1,5 gads,</w:t>
            </w:r>
            <w:r w:rsidR="00CF7DEE">
              <w:t xml:space="preserve"> bērnu rehabilitācijas pakalpojumu reālā pieprasījuma noteikšana ir jāveic VM kā politikas veidotājai, prezentējot pakalpojuma pieprasījumu, kas ļautu aktualizēt šo jautājumu visos politikas plānošanas līmeņos.</w:t>
            </w:r>
          </w:p>
        </w:tc>
      </w:tr>
    </w:tbl>
    <w:p w:rsidR="006106B3" w:rsidRDefault="006106B3">
      <w:r>
        <w:br w:type="page"/>
      </w:r>
    </w:p>
    <w:tbl>
      <w:tblPr>
        <w:tblStyle w:val="TableGrid"/>
        <w:tblW w:w="0" w:type="auto"/>
        <w:tblLook w:val="04A0"/>
      </w:tblPr>
      <w:tblGrid>
        <w:gridCol w:w="1809"/>
        <w:gridCol w:w="7873"/>
      </w:tblGrid>
      <w:tr w:rsidR="0078344A" w:rsidRPr="006106B3" w:rsidTr="006106B3">
        <w:tc>
          <w:tcPr>
            <w:tcW w:w="1809" w:type="dxa"/>
            <w:shd w:val="clear" w:color="auto" w:fill="B8CCE4" w:themeFill="accent1" w:themeFillTint="66"/>
          </w:tcPr>
          <w:p w:rsidR="0078344A" w:rsidRPr="006106B3" w:rsidRDefault="0078344A" w:rsidP="00950526">
            <w:pPr>
              <w:spacing w:before="160" w:after="160"/>
              <w:jc w:val="left"/>
              <w:rPr>
                <w:b/>
                <w:color w:val="002060"/>
              </w:rPr>
            </w:pPr>
            <w:r w:rsidRPr="006106B3">
              <w:rPr>
                <w:b/>
                <w:color w:val="002060"/>
              </w:rPr>
              <w:lastRenderedPageBreak/>
              <w:t>Problēma</w:t>
            </w:r>
          </w:p>
        </w:tc>
        <w:tc>
          <w:tcPr>
            <w:tcW w:w="7873" w:type="dxa"/>
            <w:shd w:val="clear" w:color="auto" w:fill="B8CCE4" w:themeFill="accent1" w:themeFillTint="66"/>
          </w:tcPr>
          <w:p w:rsidR="0078344A" w:rsidRPr="006106B3" w:rsidRDefault="0078344A" w:rsidP="00950526">
            <w:pPr>
              <w:spacing w:before="160" w:after="160"/>
              <w:rPr>
                <w:b/>
                <w:color w:val="002060"/>
              </w:rPr>
            </w:pPr>
            <w:r w:rsidRPr="006106B3">
              <w:rPr>
                <w:b/>
                <w:color w:val="002060"/>
              </w:rPr>
              <w:t>Valsts apmaksāto veselības aprūpes pakalpojumu zemā pieejamība, kā rezultātā personai jāgaida rindā vairāki mēneši pakalpojuma saņemšanai</w:t>
            </w:r>
          </w:p>
        </w:tc>
      </w:tr>
      <w:tr w:rsidR="0078344A" w:rsidTr="00950B38">
        <w:tc>
          <w:tcPr>
            <w:tcW w:w="1809" w:type="dxa"/>
          </w:tcPr>
          <w:p w:rsidR="0078344A" w:rsidRDefault="0078344A" w:rsidP="00950526">
            <w:pPr>
              <w:jc w:val="left"/>
            </w:pPr>
            <w:r>
              <w:t>Ieteikumi problēmas risinājumam</w:t>
            </w:r>
          </w:p>
        </w:tc>
        <w:tc>
          <w:tcPr>
            <w:tcW w:w="7873" w:type="dxa"/>
          </w:tcPr>
          <w:p w:rsidR="0078344A" w:rsidRDefault="00CF7DEE" w:rsidP="00BD13B3">
            <w:r>
              <w:t>Izvērtējumā aplūkotajos politikas dokumentos ir identificēta gaidīšanas rindu problemātika uz sekundārajiem ambulatorajiem veselības aprūpes pakalpojumie</w:t>
            </w:r>
            <w:r w:rsidR="00C548CE">
              <w:t>m, un sistemātiska darbība un pā</w:t>
            </w:r>
            <w:r>
              <w:t xml:space="preserve">rskatu iesniegšana MK ir notikusi kopš 2016. gada. Kopš šī laika jautājumam ir piešķirta pastiprināta vērība, novirzot noteiktu finansējuma daudzumu rindu samazināšanai. Saņemot papildu finansējumu, ir novērojams progress rindu garuma samazināšanā, </w:t>
            </w:r>
            <w:r w:rsidR="00BD13B3">
              <w:t xml:space="preserve">tomēr </w:t>
            </w:r>
            <w:r>
              <w:t>pacientu gaidīšanas rindu ilgums uz sekundārajiem ambulatorajiem pakalpojumiem 2019. gadā arī ir vērā ņemams, it sevišķi attiecībā uz ambulatoro rehabilitāciju.</w:t>
            </w:r>
            <w:r w:rsidR="00BD13B3">
              <w:t xml:space="preserve"> Ņemot vērā, ka veselības aprūpes pakalpojumu pieejamības problemātika varētu saglabāties aktuāla vēl nākamos gadus (atkarībā no piešķirtā budžeta apmērā veselības nozarei), i</w:t>
            </w:r>
            <w:r w:rsidR="0078344A">
              <w:t>zvērtēt iespēju noteikt pakalpojuma saprātīgas saņemšanas/ pieejamības kritēriju (iespējams, noteiktām veselības aprūpes pakalpojumu grupām, iedzīvotāju grupām, kurām prioritāri nodrošināt pakalpojumu pieejamību) un VM uzraudzīt šī kritērija īstenošanu praksē.</w:t>
            </w:r>
          </w:p>
        </w:tc>
      </w:tr>
      <w:tr w:rsidR="0078344A" w:rsidRPr="006106B3" w:rsidTr="006106B3">
        <w:tc>
          <w:tcPr>
            <w:tcW w:w="1809" w:type="dxa"/>
            <w:shd w:val="clear" w:color="auto" w:fill="B8CCE4" w:themeFill="accent1" w:themeFillTint="66"/>
          </w:tcPr>
          <w:p w:rsidR="0078344A" w:rsidRPr="006106B3" w:rsidRDefault="0078344A" w:rsidP="0057300F">
            <w:pPr>
              <w:spacing w:before="160" w:after="160"/>
              <w:jc w:val="left"/>
              <w:rPr>
                <w:b/>
                <w:color w:val="002060"/>
              </w:rPr>
            </w:pPr>
            <w:r w:rsidRPr="006106B3">
              <w:rPr>
                <w:b/>
                <w:color w:val="002060"/>
              </w:rPr>
              <w:t>Problēma</w:t>
            </w:r>
          </w:p>
        </w:tc>
        <w:tc>
          <w:tcPr>
            <w:tcW w:w="7873" w:type="dxa"/>
            <w:shd w:val="clear" w:color="auto" w:fill="B8CCE4" w:themeFill="accent1" w:themeFillTint="66"/>
          </w:tcPr>
          <w:p w:rsidR="0078344A" w:rsidRPr="006106B3" w:rsidRDefault="0078344A" w:rsidP="007A63EA">
            <w:pPr>
              <w:spacing w:before="160" w:after="160"/>
              <w:rPr>
                <w:b/>
                <w:color w:val="002060"/>
              </w:rPr>
            </w:pPr>
            <w:r w:rsidRPr="006106B3">
              <w:rPr>
                <w:b/>
                <w:color w:val="002060"/>
              </w:rPr>
              <w:t xml:space="preserve">Medikamentu </w:t>
            </w:r>
            <w:r w:rsidR="007A63EA" w:rsidRPr="006106B3">
              <w:rPr>
                <w:b/>
                <w:color w:val="002060"/>
              </w:rPr>
              <w:t>dārdzība</w:t>
            </w:r>
            <w:r w:rsidRPr="006106B3">
              <w:rPr>
                <w:b/>
                <w:color w:val="002060"/>
              </w:rPr>
              <w:t xml:space="preserve"> rada vienu no nozīmīgākajiem slogiem mājsaimniecībām ar zemiem ienākumiem, it īpaši, iedzīvotājiem, kuriem ir diagnosticētas hroniskas saslimšanas</w:t>
            </w:r>
          </w:p>
        </w:tc>
      </w:tr>
      <w:tr w:rsidR="0078344A" w:rsidTr="00950B38">
        <w:tc>
          <w:tcPr>
            <w:tcW w:w="1809" w:type="dxa"/>
          </w:tcPr>
          <w:p w:rsidR="0078344A" w:rsidRDefault="0078344A" w:rsidP="0057300F">
            <w:pPr>
              <w:jc w:val="left"/>
            </w:pPr>
            <w:r>
              <w:t>Ieteikumi problēmas risinājumam</w:t>
            </w:r>
          </w:p>
        </w:tc>
        <w:tc>
          <w:tcPr>
            <w:tcW w:w="7873" w:type="dxa"/>
          </w:tcPr>
          <w:p w:rsidR="0078344A" w:rsidRDefault="0078344A" w:rsidP="0057300F">
            <w:r>
              <w:t xml:space="preserve"> Izvērtēt iespējas paplašināt diagnožu sarakstu vai personu grupas (pensijas vecuma iedzīvotājiem), kuriem tiek piešķirti atvieglojumi, iegādājoties zāles.</w:t>
            </w:r>
          </w:p>
          <w:p w:rsidR="00D5112D" w:rsidRDefault="00D5112D" w:rsidP="00BD13B3">
            <w:r>
              <w:t>Tā kā šī brīža informatīvie ziņojumi par veselības aprūpes sistēmas reformu progresu neietver datu analīzi, cik maksā medikament</w:t>
            </w:r>
            <w:r w:rsidR="00BD13B3">
              <w:t>u</w:t>
            </w:r>
            <w:r>
              <w:t xml:space="preserve"> iegāde un vai ir iedzīvotāju grupas, kuru mēneša zāļu iegādes maksa ir liela, ņemo</w:t>
            </w:r>
            <w:r w:rsidR="00BD13B3">
              <w:t>t vērā vidējos ienākumus valstī, nepieciešams</w:t>
            </w:r>
            <w:r>
              <w:t xml:space="preserve"> </w:t>
            </w:r>
            <w:r w:rsidR="00BD13B3">
              <w:t>i</w:t>
            </w:r>
            <w:r>
              <w:t>zmantot administratīvos datus no e-receptes, un analizēt, kādas ir neatprečotās zāles (gan kompensējamo, gan nekompensējamo medikamentu grupā) – t.i., izrakstītas un neizņemtas, lai noteiktu iespējamos virzienus, kur nepieciešams atbalsts; analizēt, cik naudas tiek tērēts tām recepšu zālēm, kuras nav kompensētas</w:t>
            </w:r>
            <w:r w:rsidR="00BD13B3">
              <w:t>, ar pacientu</w:t>
            </w:r>
            <w:r>
              <w:t xml:space="preserve"> vecuma grupām</w:t>
            </w:r>
            <w:r w:rsidR="00BD13B3">
              <w:t>, lai noteiktu potenciālās zāles, kuras rada mājsaimniecībām vislielāko tiešmaksājumu slogu. Izvērtējot iegūtos rezultātus, plānot dažādu zāļu iekļaušanu kompensējamo zāļu sarakstā.</w:t>
            </w:r>
          </w:p>
        </w:tc>
      </w:tr>
      <w:tr w:rsidR="0078344A" w:rsidRPr="006106B3" w:rsidTr="006106B3">
        <w:tc>
          <w:tcPr>
            <w:tcW w:w="1809" w:type="dxa"/>
            <w:shd w:val="clear" w:color="auto" w:fill="B8CCE4" w:themeFill="accent1" w:themeFillTint="66"/>
          </w:tcPr>
          <w:p w:rsidR="006106B3" w:rsidRPr="006106B3" w:rsidRDefault="006106B3" w:rsidP="0057300F">
            <w:pPr>
              <w:spacing w:before="160" w:after="160"/>
              <w:jc w:val="left"/>
              <w:rPr>
                <w:b/>
                <w:color w:val="002060"/>
              </w:rPr>
            </w:pPr>
          </w:p>
          <w:p w:rsidR="0078344A" w:rsidRPr="006106B3" w:rsidRDefault="0078344A" w:rsidP="0057300F">
            <w:pPr>
              <w:spacing w:before="160" w:after="160"/>
              <w:jc w:val="left"/>
              <w:rPr>
                <w:b/>
                <w:color w:val="002060"/>
              </w:rPr>
            </w:pPr>
            <w:r w:rsidRPr="006106B3">
              <w:rPr>
                <w:b/>
                <w:color w:val="002060"/>
              </w:rPr>
              <w:t>Problēma</w:t>
            </w:r>
          </w:p>
        </w:tc>
        <w:tc>
          <w:tcPr>
            <w:tcW w:w="7873" w:type="dxa"/>
            <w:shd w:val="clear" w:color="auto" w:fill="B8CCE4" w:themeFill="accent1" w:themeFillTint="66"/>
          </w:tcPr>
          <w:p w:rsidR="0078344A" w:rsidRPr="006106B3" w:rsidRDefault="0078344A" w:rsidP="0057300F">
            <w:pPr>
              <w:spacing w:before="160" w:after="160"/>
              <w:rPr>
                <w:b/>
                <w:color w:val="002060"/>
              </w:rPr>
            </w:pPr>
            <w:r w:rsidRPr="006106B3">
              <w:rPr>
                <w:b/>
                <w:color w:val="002060"/>
              </w:rPr>
              <w:t>Personām, kuras pēc būtības atbilst trūcīgā statusam, var pastāvēt šķēršļi iegūt šo statusu, kas tālāk ļautu izmantot veselības aprūpes jomā paredzētos atvieglojumus veselības aprūpes pakalpojumu saņemšanai. Šādi šķēršļi var būt par iemeslu, ka persona ilgstoši neārstējas no hroniskām saslimšanām, pasliktinās viņas dzīves kvalitāte un dzīvildze</w:t>
            </w:r>
          </w:p>
        </w:tc>
      </w:tr>
      <w:tr w:rsidR="0078344A" w:rsidTr="00950B38">
        <w:tc>
          <w:tcPr>
            <w:tcW w:w="1809" w:type="dxa"/>
          </w:tcPr>
          <w:p w:rsidR="0078344A" w:rsidRDefault="0078344A" w:rsidP="0057300F">
            <w:pPr>
              <w:jc w:val="left"/>
            </w:pPr>
            <w:r>
              <w:t xml:space="preserve">Ieteikumi problēmas </w:t>
            </w:r>
            <w:r>
              <w:lastRenderedPageBreak/>
              <w:t>risinājumam</w:t>
            </w:r>
          </w:p>
        </w:tc>
        <w:tc>
          <w:tcPr>
            <w:tcW w:w="7873" w:type="dxa"/>
          </w:tcPr>
          <w:p w:rsidR="0078344A" w:rsidRDefault="0078344A" w:rsidP="00BD13B3">
            <w:r>
              <w:lastRenderedPageBreak/>
              <w:t xml:space="preserve">Šīs problēmas mazināšanai ieteicams īstenot vismaz divus uzdevumus. Pirmkārt, izvērtēt iespēju veikt grozījumus </w:t>
            </w:r>
            <w:r w:rsidRPr="00245E75">
              <w:t>2010.</w:t>
            </w:r>
            <w:r>
              <w:t xml:space="preserve"> </w:t>
            </w:r>
            <w:r w:rsidRPr="00245E75">
              <w:t>gada 30.</w:t>
            </w:r>
            <w:r>
              <w:t xml:space="preserve"> </w:t>
            </w:r>
            <w:r w:rsidRPr="00245E75">
              <w:t>martā</w:t>
            </w:r>
            <w:r>
              <w:t xml:space="preserve"> </w:t>
            </w:r>
            <w:r w:rsidRPr="00245E75">
              <w:t xml:space="preserve">Ministru </w:t>
            </w:r>
            <w:r w:rsidRPr="00245E75">
              <w:lastRenderedPageBreak/>
              <w:t>kabineta noteikum</w:t>
            </w:r>
            <w:r>
              <w:t>os</w:t>
            </w:r>
            <w:r w:rsidRPr="00245E75">
              <w:t xml:space="preserve"> Nr.299</w:t>
            </w:r>
            <w:r>
              <w:t xml:space="preserve"> „</w:t>
            </w:r>
            <w:r w:rsidRPr="00245E75">
              <w:t>Noteikumi par ģimenes vai atsevišķi dzīvojošas personas atzīšanu par trūcīgu</w:t>
            </w:r>
            <w:r>
              <w:t>”, nosacījumos grozīt punktu, ka, izvērtējot statusa atbilstību, tiek ņemti vērā visu mājsaimniecībā deklarēto personu ienākumi, neskatoties uz to, vai šīs personas dalās ar ienākumiem vai nē.</w:t>
            </w:r>
            <w:r w:rsidR="00BD13B3">
              <w:t xml:space="preserve"> </w:t>
            </w:r>
            <w:r>
              <w:t>Otrkārt, izvērtēt iespējas piešķirt pacienta līdzmaksājuma atvieglojumus visiem pensijas vecumu sasniegušajiem iedzīvotājiem noteiktās pakalpojumu grupās, ņemot vērā viņu augstākās vajadzības pēc veselības aprūpes pakalpojumiem.</w:t>
            </w:r>
          </w:p>
        </w:tc>
      </w:tr>
      <w:tr w:rsidR="0078344A" w:rsidRPr="006106B3" w:rsidTr="006106B3">
        <w:tc>
          <w:tcPr>
            <w:tcW w:w="1809" w:type="dxa"/>
            <w:shd w:val="clear" w:color="auto" w:fill="B8CCE4" w:themeFill="accent1" w:themeFillTint="66"/>
          </w:tcPr>
          <w:p w:rsidR="0078344A" w:rsidRPr="006106B3" w:rsidRDefault="0078344A" w:rsidP="0057300F">
            <w:pPr>
              <w:spacing w:before="160" w:after="160"/>
              <w:jc w:val="left"/>
              <w:rPr>
                <w:b/>
                <w:color w:val="002060"/>
              </w:rPr>
            </w:pPr>
            <w:r w:rsidRPr="006106B3">
              <w:rPr>
                <w:b/>
                <w:color w:val="002060"/>
              </w:rPr>
              <w:lastRenderedPageBreak/>
              <w:t>Problēma</w:t>
            </w:r>
          </w:p>
        </w:tc>
        <w:tc>
          <w:tcPr>
            <w:tcW w:w="7873" w:type="dxa"/>
            <w:shd w:val="clear" w:color="auto" w:fill="B8CCE4" w:themeFill="accent1" w:themeFillTint="66"/>
          </w:tcPr>
          <w:p w:rsidR="0078344A" w:rsidRPr="006106B3" w:rsidRDefault="0078344A" w:rsidP="0057300F">
            <w:pPr>
              <w:spacing w:before="160" w:after="160"/>
              <w:rPr>
                <w:b/>
                <w:color w:val="002060"/>
              </w:rPr>
            </w:pPr>
            <w:r w:rsidRPr="006106B3">
              <w:rPr>
                <w:b/>
                <w:color w:val="002060"/>
              </w:rPr>
              <w:t xml:space="preserve">Tiesību aktos noteiktie atvieglojumi no pacientu līdzmaksājuma un kompensējamie medikamenti ir grūti izsekojami, jo atvieglojumu mērķa grupas parasti ir noteiktas hierarhiski augstākā tiesību aktā (likumā), savukārt atvieglojuma apmērs – MK noteikumos. Dažādu atvieglojumu saņemšanai kompensējamo zāļu un medicīnisko ierīču jomā ir noteikti izņēmumi vai papildus nosacījumi, kas padara tiesību aktu grūti uztveramu ikdienas lietotājam. Tādējādi persona, kura saskaņā ar tiesību aktiem varētu saņemt atvieglojumus, </w:t>
            </w:r>
            <w:r w:rsidR="005D4BA6" w:rsidRPr="006106B3">
              <w:rPr>
                <w:b/>
                <w:color w:val="002060"/>
              </w:rPr>
              <w:t>ir atkarīga no ārstniecības personas zināšanām un gatavības izrakstīt attiecīgās zāles vai medicīniskās ierīces</w:t>
            </w:r>
            <w:r w:rsidRPr="006106B3">
              <w:rPr>
                <w:b/>
                <w:color w:val="002060"/>
              </w:rPr>
              <w:t>.</w:t>
            </w:r>
          </w:p>
        </w:tc>
      </w:tr>
      <w:tr w:rsidR="0078344A" w:rsidTr="00950B38">
        <w:tc>
          <w:tcPr>
            <w:tcW w:w="1809" w:type="dxa"/>
          </w:tcPr>
          <w:p w:rsidR="0078344A" w:rsidRDefault="0078344A" w:rsidP="0057300F">
            <w:pPr>
              <w:jc w:val="left"/>
            </w:pPr>
            <w:r>
              <w:t>Ieteikumi problēmas risinājumam</w:t>
            </w:r>
          </w:p>
        </w:tc>
        <w:tc>
          <w:tcPr>
            <w:tcW w:w="7873" w:type="dxa"/>
          </w:tcPr>
          <w:p w:rsidR="0078344A" w:rsidRDefault="00BD13B3" w:rsidP="00C548CE">
            <w:r>
              <w:t>Problēmas mazināšanai iespējams īstenot divus risinājumus. Pirmkārt, veicot veselības nozares reformu, iespējams lemt par sabiedrībai draudzīgāku tiesību aktu versiju izstrādi. Otrkārt, ņemot vērā dažādu e-vides risinājumu aktīvu izstrādi un lietošanu veselības jomā, iespējams izstrādāt vienkāršus e-meklētājus par kompensējamām zālēm dažādu saslimšanu gadījumos, kas darbotos līdzīgi kā šobrīd portāls gaidīšanas rindu pie speciālistiem not</w:t>
            </w:r>
            <w:r w:rsidR="00C548CE">
              <w:t>ei</w:t>
            </w:r>
            <w:r>
              <w:t>kšanai.</w:t>
            </w:r>
          </w:p>
        </w:tc>
      </w:tr>
    </w:tbl>
    <w:p w:rsidR="00323B56" w:rsidRPr="00323B56" w:rsidRDefault="00323B56" w:rsidP="00323B56"/>
    <w:p w:rsidR="009D6ABD" w:rsidRPr="003826E1" w:rsidRDefault="009D6ABD" w:rsidP="00F23726">
      <w:pPr>
        <w:pStyle w:val="Heading1"/>
      </w:pPr>
      <w:bookmarkStart w:id="520" w:name="_Toc6841607"/>
      <w:r w:rsidRPr="003826E1">
        <w:lastRenderedPageBreak/>
        <w:t xml:space="preserve">Nevienlīdzības mājokļa </w:t>
      </w:r>
      <w:r w:rsidR="006F6D42" w:rsidRPr="003826E1">
        <w:t xml:space="preserve">pieejamības </w:t>
      </w:r>
      <w:r w:rsidRPr="003826E1">
        <w:t>jomā izvērtējums</w:t>
      </w:r>
      <w:bookmarkEnd w:id="520"/>
    </w:p>
    <w:p w:rsidR="00A277B2" w:rsidRDefault="00A277B2" w:rsidP="003945E0">
      <w:pPr>
        <w:pStyle w:val="Heading2"/>
      </w:pPr>
      <w:bookmarkStart w:id="521" w:name="_Toc6841608"/>
      <w:r>
        <w:t xml:space="preserve">Nevienlīdzības mājokļa </w:t>
      </w:r>
      <w:r w:rsidR="006F6D42">
        <w:t xml:space="preserve">pieejamības </w:t>
      </w:r>
      <w:r>
        <w:t xml:space="preserve">jomā </w:t>
      </w:r>
      <w:r w:rsidR="006F6D42">
        <w:t>definēšana</w:t>
      </w:r>
      <w:bookmarkEnd w:id="521"/>
    </w:p>
    <w:p w:rsidR="00A277B2" w:rsidRDefault="00A277B2" w:rsidP="003945E0">
      <w:pPr>
        <w:pStyle w:val="Heading3"/>
      </w:pPr>
      <w:bookmarkStart w:id="522" w:name="_Toc6841609"/>
      <w:r>
        <w:t>Mājokļa definējums nacionālajos un starptautiskajos dokumentos</w:t>
      </w:r>
      <w:bookmarkEnd w:id="522"/>
    </w:p>
    <w:p w:rsidR="007453EF" w:rsidRDefault="007453EF" w:rsidP="00064C1E">
      <w:r w:rsidRPr="00042656">
        <w:t>Pirms nevienlīdzības mājokļa jomā definēšanas</w:t>
      </w:r>
      <w:r>
        <w:t xml:space="preserve"> ir aplūkots pats termins </w:t>
      </w:r>
      <w:r>
        <w:rPr>
          <w:i/>
        </w:rPr>
        <w:t>mājoklis</w:t>
      </w:r>
      <w:r>
        <w:t>, tā skaidrojumi un definīcijas dažādos informācijas avotos – politikas plānošanas dokumentos, tiesību aktos, statistikas apsekojumos un pētījumos.</w:t>
      </w:r>
    </w:p>
    <w:p w:rsidR="007453EF" w:rsidRDefault="007453EF" w:rsidP="00064C1E"/>
    <w:p w:rsidR="00137BA0" w:rsidRPr="00C22247" w:rsidRDefault="00C456E7" w:rsidP="00064C1E">
      <w:r>
        <w:t>Latvijas</w:t>
      </w:r>
      <w:r w:rsidRPr="00042656">
        <w:t xml:space="preserve"> politikas plānošanas dokumentos </w:t>
      </w:r>
      <w:r>
        <w:t xml:space="preserve">termins </w:t>
      </w:r>
      <w:r>
        <w:rPr>
          <w:i/>
        </w:rPr>
        <w:t xml:space="preserve">mājoklis </w:t>
      </w:r>
      <w:r w:rsidRPr="00042656">
        <w:t>tiek lietots no 1995. gada</w:t>
      </w:r>
      <w:r w:rsidRPr="00042656">
        <w:rPr>
          <w:rStyle w:val="FootnoteReference"/>
        </w:rPr>
        <w:footnoteReference w:id="199"/>
      </w:r>
      <w:r w:rsidRPr="00042656">
        <w:t>. Tiek uzskatīts, ka</w:t>
      </w:r>
      <w:r>
        <w:rPr>
          <w:color w:val="FF0000"/>
        </w:rPr>
        <w:t xml:space="preserve"> </w:t>
      </w:r>
      <w:r w:rsidRPr="00F01078">
        <w:t>“</w:t>
      </w:r>
      <w:r>
        <w:t xml:space="preserve">valsts politiku mājokļu jomā uzsāka veidot 1996. gadā, kad, nodrošinot Latvijas Nacionālā </w:t>
      </w:r>
      <w:r w:rsidRPr="00C22247">
        <w:t xml:space="preserve">ziņojuma Apvienoto Nāciju Pasaules konferencei par cilvēkapmetnēm Habitat II 1996 Nacionālā Rīcības plāna izpildi, 1996. gada 30. jūlijā Ministru kabinetā tika apstiprināta Vides aizsardzības un reģionālās </w:t>
      </w:r>
      <w:r w:rsidR="00FC7D35" w:rsidRPr="00C22247">
        <w:t xml:space="preserve">attīstības </w:t>
      </w:r>
      <w:r w:rsidRPr="00C22247">
        <w:t>ministrijas (VARAM) izstrādātā “Mājokļu politikas koncepcija””</w:t>
      </w:r>
      <w:r w:rsidRPr="00C22247">
        <w:rPr>
          <w:rStyle w:val="FootnoteReference"/>
        </w:rPr>
        <w:footnoteReference w:id="200"/>
      </w:r>
      <w:r w:rsidRPr="00C22247">
        <w:t xml:space="preserve">. </w:t>
      </w:r>
    </w:p>
    <w:p w:rsidR="00137BA0" w:rsidRPr="00C22247" w:rsidRDefault="00137BA0" w:rsidP="00064C1E"/>
    <w:p w:rsidR="00C456E7" w:rsidRPr="00C22247" w:rsidRDefault="00C456E7" w:rsidP="00064C1E">
      <w:r w:rsidRPr="00C22247">
        <w:t xml:space="preserve">Termins </w:t>
      </w:r>
      <w:r w:rsidRPr="00C22247">
        <w:rPr>
          <w:i/>
        </w:rPr>
        <w:t xml:space="preserve">mājoklis </w:t>
      </w:r>
      <w:r w:rsidRPr="00C22247">
        <w:t xml:space="preserve">līdz šim izstrādātajos un pieņemtajos politikas plānošanas dokumentos mājokļu nozarē nav definēts, ir skaidroti mājokļu politikas pamatprincipi, mērķis un uzdevumi. Vienīgais dokuments, kurā atrodams termina </w:t>
      </w:r>
      <w:r w:rsidRPr="00C22247">
        <w:rPr>
          <w:i/>
        </w:rPr>
        <w:t xml:space="preserve">mājoklis </w:t>
      </w:r>
      <w:r w:rsidRPr="00C22247">
        <w:t>skaidrojums, ir “Mājokļu kreditēšanas programma. Pirmais etaps” (2000), kurā zemsvītras piezīmē norādīts, ka mājoklis ir “</w:t>
      </w:r>
      <w:r w:rsidRPr="00C22247">
        <w:rPr>
          <w:rStyle w:val="FootnoteReference"/>
          <w:vertAlign w:val="baseline"/>
        </w:rPr>
        <w:t>pastāvīgai dzīvošanai piemērots telpu komplekss vai atsevišķa telpa, miteklis, dzīvoklis, savrupmāja</w:t>
      </w:r>
      <w:r w:rsidRPr="00C22247">
        <w:t>”</w:t>
      </w:r>
      <w:r w:rsidRPr="00C22247">
        <w:rPr>
          <w:rStyle w:val="FootnoteReference"/>
        </w:rPr>
        <w:footnoteReference w:id="201"/>
      </w:r>
      <w:r w:rsidRPr="00C22247">
        <w:t>. Plašāk</w:t>
      </w:r>
      <w:r w:rsidR="00172814" w:rsidRPr="00C22247">
        <w:t>, kā norāda I. Henilāne, pētot mājokļa jēdzienu,</w:t>
      </w:r>
      <w:r w:rsidRPr="00C22247">
        <w:t xml:space="preserve"> termins tika skaidrots 2005.</w:t>
      </w:r>
      <w:r w:rsidR="00DE1C08" w:rsidRPr="00C22247">
        <w:t xml:space="preserve"> </w:t>
      </w:r>
      <w:r w:rsidRPr="00C22247">
        <w:t>gadā izstrādātajās “Mājokļa politikas pamatnostādnēs”, kas netika pieņemtas</w:t>
      </w:r>
      <w:r w:rsidR="00172814" w:rsidRPr="00C22247">
        <w:t xml:space="preserve"> (tā kā dokumenta pirmavots nav atrodams, tika izmantots I.Henilānes rakstā norādītais)</w:t>
      </w:r>
      <w:r w:rsidRPr="00C22247">
        <w:t xml:space="preserve">. Tajās </w:t>
      </w:r>
      <w:r w:rsidRPr="00C22247">
        <w:rPr>
          <w:i/>
        </w:rPr>
        <w:t xml:space="preserve">mājoklis </w:t>
      </w:r>
      <w:r w:rsidRPr="00C22247">
        <w:t>ir definēts šādi: “gan individuāla ģimenes māja, gan dzīvoklis, dzīvojamās telpas kopmītnēs, sociālās aprūpes centros utt. Mājoklis sastāv no vienas vai vairākām istabām un palīgtelpām. Mājoklis ir paredzēts dzīvošanai visa gada garumā, tam ir jābūt tiešai pieejai uz ielu vai citām koplietošanas telpām (kāpņu telpām, kopīgiem koridoriem, gaiteņiem u.tml.). Palīgtelpas ir virtuves, koridori, sanitārās telpas, vannas istabas, noliktavas, iekštelpu tualetes”</w:t>
      </w:r>
      <w:r w:rsidRPr="00C22247">
        <w:rPr>
          <w:rStyle w:val="FootnoteReference"/>
        </w:rPr>
        <w:footnoteReference w:id="202"/>
      </w:r>
      <w:r w:rsidRPr="00C22247">
        <w:t xml:space="preserve">. </w:t>
      </w:r>
    </w:p>
    <w:p w:rsidR="00C456E7" w:rsidRPr="00C22247" w:rsidRDefault="00C456E7" w:rsidP="00064C1E"/>
    <w:p w:rsidR="00C456E7" w:rsidRPr="004B0551" w:rsidRDefault="00C456E7" w:rsidP="00064C1E">
      <w:r w:rsidRPr="00042656">
        <w:lastRenderedPageBreak/>
        <w:t>Latvijas tiesību aktos</w:t>
      </w:r>
      <w:r>
        <w:t xml:space="preserve"> – likumos</w:t>
      </w:r>
      <w:r w:rsidR="00C34285">
        <w:rPr>
          <w:rStyle w:val="FootnoteReference"/>
        </w:rPr>
        <w:footnoteReference w:id="203"/>
      </w:r>
      <w:r>
        <w:t xml:space="preserve"> un </w:t>
      </w:r>
      <w:r w:rsidR="00C34285">
        <w:t>MK</w:t>
      </w:r>
      <w:r>
        <w:t xml:space="preserve"> noteikumos -</w:t>
      </w:r>
      <w:r w:rsidRPr="00042656">
        <w:t xml:space="preserve"> termins </w:t>
      </w:r>
      <w:r>
        <w:rPr>
          <w:i/>
        </w:rPr>
        <w:t xml:space="preserve">mājoklis </w:t>
      </w:r>
      <w:r>
        <w:t xml:space="preserve">nav atrodams, tiek lietoti šādi termini: </w:t>
      </w:r>
      <w:r>
        <w:rPr>
          <w:i/>
        </w:rPr>
        <w:t xml:space="preserve">ēka, dzīvojamā ēka, viendzīvokļa mājas, dzīvoklis, dzīvojamais fonds, sociālā māja, sociālais dzīvoklis </w:t>
      </w:r>
      <w:r>
        <w:t xml:space="preserve">u.c. </w:t>
      </w:r>
      <w:r w:rsidR="004B0551">
        <w:t xml:space="preserve">Termins </w:t>
      </w:r>
      <w:r w:rsidR="004B0551">
        <w:rPr>
          <w:i/>
        </w:rPr>
        <w:t xml:space="preserve">mājoklis </w:t>
      </w:r>
      <w:r w:rsidR="004B0551">
        <w:t>gan tiek izmantots pašvaldību saistošajos noteikumos</w:t>
      </w:r>
      <w:r w:rsidR="004B0551">
        <w:rPr>
          <w:rStyle w:val="FootnoteReference"/>
        </w:rPr>
        <w:footnoteReference w:id="204"/>
      </w:r>
      <w:r w:rsidR="004B0551">
        <w:t xml:space="preserve"> par palīdzību mājokļa jomā</w:t>
      </w:r>
      <w:r w:rsidR="00EE3A73">
        <w:t xml:space="preserve"> un pašvaldības pabalstiem (piemēram, mājokļa pabalsts)</w:t>
      </w:r>
      <w:r w:rsidR="004B0551">
        <w:t xml:space="preserve">, taču tajos netiek sniegtas šī termina definīcijas. </w:t>
      </w:r>
    </w:p>
    <w:p w:rsidR="00517B29" w:rsidRDefault="00517B29" w:rsidP="00064C1E"/>
    <w:p w:rsidR="00C456E7" w:rsidRPr="00C456E7" w:rsidRDefault="00C456E7" w:rsidP="00064C1E">
      <w:pPr>
        <w:rPr>
          <w:rStyle w:val="Strong"/>
          <w:color w:val="000000"/>
          <w:shd w:val="clear" w:color="auto" w:fill="FFFFFF"/>
        </w:rPr>
      </w:pPr>
      <w:r w:rsidRPr="0003486B">
        <w:t xml:space="preserve">Vairākas termina </w:t>
      </w:r>
      <w:r w:rsidRPr="0003486B">
        <w:rPr>
          <w:i/>
        </w:rPr>
        <w:t xml:space="preserve">mājoklis </w:t>
      </w:r>
      <w:r w:rsidRPr="0003486B">
        <w:t>definīcijas ir atrodamas CSP datu bāzēs. Piemēram, “(t)</w:t>
      </w:r>
      <w:r w:rsidRPr="0003486B">
        <w:rPr>
          <w:color w:val="000000"/>
          <w:shd w:val="clear" w:color="auto" w:fill="FFFFFF"/>
        </w:rPr>
        <w:t>radicionālais mājoklis ir istaba vai vairākas istabas un to palīgtelpas (piemēram, vestibili un gaiteņi) pastāvīgā ēkā vai tās strukturāli nodalītā daļā, kas pēc sava būvniecības vai pārbūves veida ir paredzēta vienas mājsaimniecības dzīvošanai visā gada garumā (piemēram, māja vai dzīvoklis). Tajā nav noteikti jābūt atsevišķai vannas istabai un tualetei, kas būtu pieejama tikai tā iemītniekiem.</w:t>
      </w:r>
      <w:r w:rsidRPr="0003486B">
        <w:rPr>
          <w:rStyle w:val="FootnoteReference"/>
          <w:color w:val="000000"/>
          <w:shd w:val="clear" w:color="auto" w:fill="FFFFFF"/>
        </w:rPr>
        <w:footnoteReference w:id="205"/>
      </w:r>
      <w:r w:rsidRPr="0003486B">
        <w:rPr>
          <w:color w:val="000000"/>
          <w:shd w:val="clear" w:color="auto" w:fill="FFFFFF"/>
        </w:rPr>
        <w:t xml:space="preserve"> EU-SILC apsekojumā </w:t>
      </w:r>
      <w:r w:rsidRPr="0003486B">
        <w:rPr>
          <w:i/>
          <w:color w:val="000000"/>
          <w:shd w:val="clear" w:color="auto" w:fill="FFFFFF"/>
        </w:rPr>
        <w:t xml:space="preserve">mājoklis </w:t>
      </w:r>
      <w:r w:rsidRPr="0003486B">
        <w:rPr>
          <w:color w:val="000000"/>
          <w:shd w:val="clear" w:color="auto" w:fill="FFFFFF"/>
        </w:rPr>
        <w:t>ir “(p)</w:t>
      </w:r>
      <w:r w:rsidRPr="0003486B">
        <w:rPr>
          <w:color w:val="000000"/>
        </w:rPr>
        <w:t xml:space="preserve">astāvīgai dzīvošanai paredzēta viena vai vairākas dzīvojamās istabas (dzīvojamā māja, dzīvoklis daudzdzīvokļu mājā, istaba komunālajā dzīvoklī u. c.)”. </w:t>
      </w:r>
      <w:r>
        <w:rPr>
          <w:color w:val="000000"/>
        </w:rPr>
        <w:t xml:space="preserve">Savukārt, </w:t>
      </w:r>
      <w:r w:rsidRPr="00C456E7">
        <w:rPr>
          <w:color w:val="000000"/>
        </w:rPr>
        <w:t>Tautas skaitīšanā 2000.</w:t>
      </w:r>
      <w:r w:rsidR="00DE1C08">
        <w:rPr>
          <w:color w:val="000000"/>
        </w:rPr>
        <w:t xml:space="preserve"> </w:t>
      </w:r>
      <w:r w:rsidRPr="00C456E7">
        <w:rPr>
          <w:color w:val="000000"/>
        </w:rPr>
        <w:t xml:space="preserve">gadā tika izmantots šāda </w:t>
      </w:r>
      <w:r w:rsidRPr="00C456E7">
        <w:rPr>
          <w:i/>
          <w:color w:val="000000"/>
        </w:rPr>
        <w:t xml:space="preserve">mājokļa </w:t>
      </w:r>
      <w:r w:rsidRPr="00C456E7">
        <w:rPr>
          <w:color w:val="000000"/>
        </w:rPr>
        <w:t>termina definīcija: “</w:t>
      </w:r>
      <w:r w:rsidRPr="00C456E7">
        <w:rPr>
          <w:rStyle w:val="Strong"/>
          <w:b w:val="0"/>
          <w:color w:val="000000"/>
          <w:shd w:val="clear" w:color="auto" w:fill="FFFFFF"/>
        </w:rPr>
        <w:t>Mājoklis (dzīvojamā vienība)</w:t>
      </w:r>
      <w:r w:rsidRPr="00C456E7">
        <w:rPr>
          <w:rStyle w:val="Strong"/>
          <w:color w:val="000000"/>
          <w:shd w:val="clear" w:color="auto" w:fill="FFFFFF"/>
        </w:rPr>
        <w:t> </w:t>
      </w:r>
      <w:r w:rsidR="007453EF">
        <w:rPr>
          <w:color w:val="000000"/>
          <w:shd w:val="clear" w:color="auto" w:fill="FFFFFF"/>
        </w:rPr>
        <w:t>(..)</w:t>
      </w:r>
      <w:r w:rsidRPr="00C456E7">
        <w:rPr>
          <w:color w:val="000000"/>
          <w:shd w:val="clear" w:color="auto" w:fill="FFFFFF"/>
        </w:rPr>
        <w:t xml:space="preserve"> ir telpas vai telpa ar atsevišķu ieeju, norobežota no citām dzīvojamajām vienībām un piemērota vienas mājsaimniecības apdzīvošanai. Tā var būt ģimenes māja, dzīvoklis u. tml. </w:t>
      </w:r>
      <w:r w:rsidRPr="00C456E7">
        <w:rPr>
          <w:rStyle w:val="Strong"/>
          <w:b w:val="0"/>
          <w:color w:val="000000"/>
          <w:shd w:val="clear" w:color="auto" w:fill="FFFFFF"/>
        </w:rPr>
        <w:t>Mājoklim (dzīvojamajai vienībai) ir noteikta adrese.”</w:t>
      </w:r>
      <w:r w:rsidRPr="00C456E7">
        <w:rPr>
          <w:rStyle w:val="FootnoteReference"/>
          <w:bCs/>
          <w:color w:val="000000"/>
          <w:shd w:val="clear" w:color="auto" w:fill="FFFFFF"/>
        </w:rPr>
        <w:footnoteReference w:id="206"/>
      </w:r>
    </w:p>
    <w:p w:rsidR="00C456E7" w:rsidRDefault="00C456E7" w:rsidP="00064C1E">
      <w:pPr>
        <w:rPr>
          <w:rStyle w:val="Strong"/>
          <w:b w:val="0"/>
          <w:color w:val="000000"/>
          <w:shd w:val="clear" w:color="auto" w:fill="FFFFFF"/>
        </w:rPr>
      </w:pPr>
    </w:p>
    <w:p w:rsidR="00C456E7" w:rsidRDefault="00C456E7" w:rsidP="00064C1E">
      <w:pPr>
        <w:rPr>
          <w:color w:val="000000"/>
          <w:shd w:val="clear" w:color="auto" w:fill="FFFFFF"/>
        </w:rPr>
      </w:pPr>
      <w:r w:rsidRPr="00C456E7">
        <w:rPr>
          <w:rStyle w:val="Strong"/>
          <w:b w:val="0"/>
          <w:color w:val="000000"/>
          <w:shd w:val="clear" w:color="auto" w:fill="FFFFFF"/>
        </w:rPr>
        <w:t xml:space="preserve">Mājokļa jomas pētījumos to autori arī piedāvā termina </w:t>
      </w:r>
      <w:r w:rsidRPr="00C456E7">
        <w:rPr>
          <w:rStyle w:val="Strong"/>
          <w:b w:val="0"/>
          <w:i/>
          <w:color w:val="000000"/>
          <w:shd w:val="clear" w:color="auto" w:fill="FFFFFF"/>
        </w:rPr>
        <w:t xml:space="preserve">mājoklis </w:t>
      </w:r>
      <w:r w:rsidRPr="00C456E7">
        <w:rPr>
          <w:rStyle w:val="Strong"/>
          <w:b w:val="0"/>
          <w:color w:val="000000"/>
          <w:shd w:val="clear" w:color="auto" w:fill="FFFFFF"/>
        </w:rPr>
        <w:t>definīcijas. Piemēram, Anita Sideļska promocijas darbā</w:t>
      </w:r>
      <w:r w:rsidRPr="00EB2D3D">
        <w:rPr>
          <w:rStyle w:val="Strong"/>
          <w:color w:val="000000"/>
          <w:shd w:val="clear" w:color="auto" w:fill="FFFFFF"/>
        </w:rPr>
        <w:t xml:space="preserve"> </w:t>
      </w:r>
      <w:r w:rsidR="007453EF" w:rsidRPr="007453EF">
        <w:rPr>
          <w:rStyle w:val="Strong"/>
          <w:b w:val="0"/>
          <w:color w:val="000000"/>
          <w:shd w:val="clear" w:color="auto" w:fill="FFFFFF"/>
        </w:rPr>
        <w:t>„</w:t>
      </w:r>
      <w:r w:rsidRPr="00EB2D3D">
        <w:t>Dzīvojamais fonds kā reģionu sociālekonomiskās attīstības elements</w:t>
      </w:r>
      <w:r>
        <w:t>”</w:t>
      </w:r>
      <w:r>
        <w:rPr>
          <w:bCs/>
          <w:color w:val="000000"/>
          <w:shd w:val="clear" w:color="auto" w:fill="FFFFFF"/>
        </w:rPr>
        <w:t xml:space="preserve"> </w:t>
      </w:r>
      <w:r w:rsidRPr="00EB2D3D">
        <w:rPr>
          <w:bCs/>
          <w:color w:val="000000"/>
          <w:shd w:val="clear" w:color="auto" w:fill="FFFFFF"/>
        </w:rPr>
        <w:t>izmanto šādu definīciju: “</w:t>
      </w:r>
      <w:r w:rsidRPr="00EB2D3D">
        <w:rPr>
          <w:color w:val="000000"/>
          <w:shd w:val="clear" w:color="auto" w:fill="FFFFFF"/>
        </w:rPr>
        <w:t>Mājoklis ir nekustamais īpašums vai tā daļa ēkā, ko izmanto dzīvošanai visu gadu”</w:t>
      </w:r>
      <w:r w:rsidRPr="00EB2D3D">
        <w:rPr>
          <w:rStyle w:val="FootnoteReference"/>
          <w:bCs/>
          <w:color w:val="000000"/>
          <w:shd w:val="clear" w:color="auto" w:fill="FFFFFF"/>
        </w:rPr>
        <w:footnoteReference w:id="207"/>
      </w:r>
      <w:r w:rsidRPr="00EB2D3D">
        <w:rPr>
          <w:color w:val="000000"/>
          <w:sz w:val="20"/>
          <w:szCs w:val="20"/>
          <w:shd w:val="clear" w:color="auto" w:fill="FFFFFF"/>
        </w:rPr>
        <w:t xml:space="preserve">. </w:t>
      </w:r>
      <w:r w:rsidRPr="00EB2D3D">
        <w:rPr>
          <w:color w:val="000000"/>
          <w:shd w:val="clear" w:color="auto" w:fill="FFFFFF"/>
        </w:rPr>
        <w:t xml:space="preserve">Savukārt, Inita Henilāne, pētot Latvijas mājokļu politiku, piedāvā terminu </w:t>
      </w:r>
      <w:r w:rsidRPr="00EB2D3D">
        <w:rPr>
          <w:i/>
          <w:color w:val="000000"/>
          <w:shd w:val="clear" w:color="auto" w:fill="FFFFFF"/>
        </w:rPr>
        <w:t xml:space="preserve">mājoklis </w:t>
      </w:r>
      <w:r w:rsidRPr="00EB2D3D">
        <w:rPr>
          <w:color w:val="000000"/>
          <w:shd w:val="clear" w:color="auto" w:fill="FFFFFF"/>
        </w:rPr>
        <w:t>definēt šādi: “Mājoklis ir ēka vai ēkas daļa, kurā mājsaimniecība dzīvo visa gada garumā un kas atbilst likumā noteiktajām prasībām, t.sk. tam ir adrese”</w:t>
      </w:r>
      <w:r w:rsidRPr="00EB2D3D">
        <w:rPr>
          <w:rStyle w:val="FootnoteReference"/>
          <w:color w:val="000000"/>
          <w:sz w:val="20"/>
          <w:szCs w:val="20"/>
          <w:shd w:val="clear" w:color="auto" w:fill="FFFFFF"/>
        </w:rPr>
        <w:footnoteReference w:id="208"/>
      </w:r>
      <w:r w:rsidRPr="00EB2D3D">
        <w:rPr>
          <w:color w:val="000000"/>
          <w:sz w:val="20"/>
          <w:szCs w:val="20"/>
          <w:shd w:val="clear" w:color="auto" w:fill="FFFFFF"/>
        </w:rPr>
        <w:t>.</w:t>
      </w:r>
      <w:r w:rsidR="007453EF">
        <w:rPr>
          <w:color w:val="000000"/>
          <w:shd w:val="clear" w:color="auto" w:fill="FFFFFF"/>
        </w:rPr>
        <w:t xml:space="preserve"> </w:t>
      </w:r>
    </w:p>
    <w:p w:rsidR="00A277B2" w:rsidRDefault="00A277B2" w:rsidP="003945E0">
      <w:pPr>
        <w:pStyle w:val="Heading3"/>
      </w:pPr>
      <w:bookmarkStart w:id="523" w:name="_Toc6841610"/>
      <w:r>
        <w:t>Tiesību uz mājokli analīze</w:t>
      </w:r>
      <w:bookmarkEnd w:id="523"/>
    </w:p>
    <w:p w:rsidR="000B2863" w:rsidRPr="002651A1" w:rsidRDefault="000B2863" w:rsidP="00064C1E">
      <w:r>
        <w:t>Nevienlīdzības mājokļa jomā</w:t>
      </w:r>
      <w:r w:rsidRPr="001812AD">
        <w:rPr>
          <w:i/>
        </w:rPr>
        <w:t xml:space="preserve"> </w:t>
      </w:r>
      <w:r w:rsidRPr="001812AD">
        <w:t>definēšan</w:t>
      </w:r>
      <w:r>
        <w:t>ai</w:t>
      </w:r>
      <w:r w:rsidRPr="001812AD">
        <w:t xml:space="preserve"> </w:t>
      </w:r>
      <w:r>
        <w:t>būtisks ir</w:t>
      </w:r>
      <w:r w:rsidRPr="001812AD">
        <w:t xml:space="preserve"> </w:t>
      </w:r>
      <w:r w:rsidRPr="001812AD">
        <w:rPr>
          <w:b/>
        </w:rPr>
        <w:t>tiesību uz mājokli</w:t>
      </w:r>
      <w:r w:rsidRPr="001812AD">
        <w:t xml:space="preserve"> aspekts, kas ir saistīts ar vienlīdzī</w:t>
      </w:r>
      <w:r>
        <w:t>b</w:t>
      </w:r>
      <w:r w:rsidRPr="001812AD">
        <w:t xml:space="preserve">u </w:t>
      </w:r>
      <w:r>
        <w:t xml:space="preserve">mājokļa jomā tādā nozīmē, ka </w:t>
      </w:r>
      <w:r w:rsidRPr="001812AD">
        <w:t>vienlīdzīb</w:t>
      </w:r>
      <w:r>
        <w:t>a</w:t>
      </w:r>
      <w:r w:rsidRPr="001812AD">
        <w:t xml:space="preserve"> </w:t>
      </w:r>
      <w:r>
        <w:t xml:space="preserve">balstās uz ikvienas personas tiesību uz mājokli ievērošanu. Šādas pieejas pamatojums izriet arī no 28.08.2018. LR Tiesībsarga ziņojumā teiktā, </w:t>
      </w:r>
      <w:r>
        <w:lastRenderedPageBreak/>
        <w:t>proti: „</w:t>
      </w:r>
      <w:r w:rsidRPr="001832DE">
        <w:t>2017.</w:t>
      </w:r>
      <w:r w:rsidR="00D54545">
        <w:t xml:space="preserve"> </w:t>
      </w:r>
      <w:r w:rsidRPr="001832DE">
        <w:t>gada septembrī OECD ģenerālsekretārs Angels Gurijs savā ziņojumā par tautsaimniecības stāvokli Latvijā uzsvēr</w:t>
      </w:r>
      <w:r w:rsidR="001D7C6E">
        <w:t>a, ka Latvijai ir nepieciešama „</w:t>
      </w:r>
      <w:r w:rsidRPr="001832DE">
        <w:t>iekļaujoša izaugsme</w:t>
      </w:r>
      <w:r w:rsidR="001D7C6E">
        <w:t>”</w:t>
      </w:r>
      <w:r w:rsidRPr="001832DE">
        <w:t xml:space="preserve"> un mājokļi par pieņemamu cenu, kā arī mājokļu pieejamība ir jāuzlabo</w:t>
      </w:r>
      <w:r>
        <w:rPr>
          <w:rStyle w:val="FootnoteReference"/>
        </w:rPr>
        <w:footnoteReference w:id="209"/>
      </w:r>
      <w:r w:rsidRPr="001832DE">
        <w:t>. Tādējādi secināms, lai netiktu pieļauts personas tiesību uz mājokli ierobežojums, valstij ir jānodrošina, ka atbalsta sistēma mazāk aizsargātajām personu kategorijām tiek sniegta savlaicīgi un ne tikai atbilstoši nacionālajos tiesību aktos noteiktajām prasībām, bet arī starptautiskajos tiesību aktos paredzētajam.</w:t>
      </w:r>
      <w:r>
        <w:t>”</w:t>
      </w:r>
      <w:r>
        <w:rPr>
          <w:rStyle w:val="FootnoteReference"/>
        </w:rPr>
        <w:footnoteReference w:id="210"/>
      </w:r>
      <w:r>
        <w:t xml:space="preserve"> Izvērtējuma kontekstā tas nozīmē, ka, definējot nevienlīdzību mājokļa jomā, ir jāņem vērā kā nacionālās tiesību normas, tā arī starptautiskās prasības tiesību uz mājokli īstenošanā. </w:t>
      </w:r>
    </w:p>
    <w:p w:rsidR="000B2863" w:rsidRDefault="000B2863" w:rsidP="00064C1E"/>
    <w:p w:rsidR="000B2863" w:rsidRDefault="000B2863" w:rsidP="00064C1E">
      <w:r w:rsidRPr="006F0DA1">
        <w:t>Mājoklis ir viena no Sociālo pakalpojumu un sociālās palīdzības likuma 1.panta 11.punktā</w:t>
      </w:r>
      <w:r w:rsidRPr="007B0C68">
        <w:t xml:space="preserve"> noteiktajām </w:t>
      </w:r>
      <w:r w:rsidRPr="007B0C68">
        <w:rPr>
          <w:b/>
        </w:rPr>
        <w:t>pamatvajadzībām</w:t>
      </w:r>
      <w:r>
        <w:t>. Latvijas Republikas Satversmes 96.pants nosaka, ka “(i)kvienam ir tiesības uz privātās dzīves, mājokļa un korespondences neaizskaramību”</w:t>
      </w:r>
      <w:r>
        <w:rPr>
          <w:rStyle w:val="FootnoteReference"/>
        </w:rPr>
        <w:footnoteReference w:id="211"/>
      </w:r>
      <w:r>
        <w:t xml:space="preserve">, ar to netieši nosakot tiesības uz mājokli kā vienas no cilvēka </w:t>
      </w:r>
      <w:r w:rsidRPr="00C03693">
        <w:rPr>
          <w:b/>
        </w:rPr>
        <w:t>pamattiesībām</w:t>
      </w:r>
      <w:r>
        <w:t xml:space="preserve">. </w:t>
      </w:r>
      <w:r w:rsidRPr="001812AD">
        <w:t>Tiesības uz mājokli</w:t>
      </w:r>
      <w:r w:rsidRPr="00614784">
        <w:t xml:space="preserve"> ir ietvertas</w:t>
      </w:r>
      <w:r>
        <w:t xml:space="preserve"> </w:t>
      </w:r>
      <w:r w:rsidRPr="00614784">
        <w:t>vairākos starptautisk</w:t>
      </w:r>
      <w:r w:rsidR="001D7C6E">
        <w:t>aj</w:t>
      </w:r>
      <w:r w:rsidRPr="00614784">
        <w:t>os un nacionālajos tiesību aktos</w:t>
      </w:r>
      <w:r>
        <w:t xml:space="preserve">, t.sk.: </w:t>
      </w:r>
      <w:r w:rsidRPr="00614784">
        <w:t>ANO Starptautiskajā paktā par ekonomiskajām, sociālajām un kultūras tiesībām</w:t>
      </w:r>
      <w:r>
        <w:t xml:space="preserve"> (</w:t>
      </w:r>
      <w:r w:rsidRPr="00614784">
        <w:t>11. pant</w:t>
      </w:r>
      <w:r>
        <w:t xml:space="preserve">s); </w:t>
      </w:r>
      <w:r w:rsidRPr="00614784">
        <w:t>Pārskatīt</w:t>
      </w:r>
      <w:r w:rsidR="001D7C6E">
        <w:t>aj</w:t>
      </w:r>
      <w:r w:rsidRPr="00614784">
        <w:t>ā Eiropas Sociāl</w:t>
      </w:r>
      <w:r w:rsidR="001D7C6E">
        <w:t>aj</w:t>
      </w:r>
      <w:r w:rsidRPr="00614784">
        <w:t>ā Hart</w:t>
      </w:r>
      <w:r w:rsidR="001D7C6E">
        <w:t>ā</w:t>
      </w:r>
      <w:r w:rsidRPr="00614784">
        <w:t xml:space="preserve"> </w:t>
      </w:r>
      <w:r>
        <w:t>(</w:t>
      </w:r>
      <w:r w:rsidRPr="00614784">
        <w:t>16. un 31.</w:t>
      </w:r>
      <w:r w:rsidR="00D54545">
        <w:t xml:space="preserve"> </w:t>
      </w:r>
      <w:r w:rsidRPr="00614784">
        <w:t>pant</w:t>
      </w:r>
      <w:r>
        <w:t>s); l</w:t>
      </w:r>
      <w:r w:rsidRPr="00614784">
        <w:t>ikum</w:t>
      </w:r>
      <w:r w:rsidR="001D7C6E">
        <w:t>ā</w:t>
      </w:r>
      <w:r w:rsidRPr="00614784">
        <w:t xml:space="preserve"> „Par sociālo drošību”</w:t>
      </w:r>
      <w:r w:rsidRPr="00614784">
        <w:rPr>
          <w:rStyle w:val="FootnoteReference"/>
          <w:sz w:val="20"/>
          <w:szCs w:val="20"/>
        </w:rPr>
        <w:footnoteReference w:id="212"/>
      </w:r>
      <w:r>
        <w:t>; likum</w:t>
      </w:r>
      <w:r w:rsidR="001D7C6E">
        <w:t>ā</w:t>
      </w:r>
      <w:r>
        <w:t xml:space="preserve"> </w:t>
      </w:r>
      <w:r w:rsidRPr="00614784">
        <w:t>„Par pašvaldībām”</w:t>
      </w:r>
      <w:r>
        <w:rPr>
          <w:rStyle w:val="FootnoteReference"/>
        </w:rPr>
        <w:footnoteReference w:id="213"/>
      </w:r>
      <w:r>
        <w:t xml:space="preserve">; </w:t>
      </w:r>
      <w:r w:rsidRPr="00614784">
        <w:t>likum</w:t>
      </w:r>
      <w:r w:rsidR="001D7C6E">
        <w:t>ā</w:t>
      </w:r>
      <w:r w:rsidRPr="00614784">
        <w:t xml:space="preserve"> „Par palīdzību dzīvokļa jautājumu risināšanā”</w:t>
      </w:r>
      <w:r>
        <w:t xml:space="preserve">; </w:t>
      </w:r>
      <w:r w:rsidRPr="00614784">
        <w:t>likum</w:t>
      </w:r>
      <w:r w:rsidR="001D7C6E">
        <w:t>ā</w:t>
      </w:r>
      <w:r w:rsidRPr="00614784">
        <w:t xml:space="preserve"> „Par sociālajiem dzīvokļiem un sociālajām dzīvojamām mājām”</w:t>
      </w:r>
      <w:r>
        <w:t xml:space="preserve">; </w:t>
      </w:r>
      <w:r w:rsidRPr="00614784">
        <w:t>likum</w:t>
      </w:r>
      <w:r w:rsidR="001D7C6E">
        <w:t>ā</w:t>
      </w:r>
      <w:r>
        <w:t xml:space="preserve"> „Par dzīvojamo telpu īri”; B</w:t>
      </w:r>
      <w:r w:rsidRPr="00614784">
        <w:t>ērnu tiesību aizsardzības likum</w:t>
      </w:r>
      <w:r w:rsidR="001D7C6E">
        <w:t>ā</w:t>
      </w:r>
      <w:r w:rsidRPr="00614784">
        <w:t xml:space="preserve"> </w:t>
      </w:r>
      <w:r>
        <w:t>(</w:t>
      </w:r>
      <w:r w:rsidRPr="00614784">
        <w:t>10. panta trešā daļ</w:t>
      </w:r>
      <w:r>
        <w:t>a, 66. panta otrās</w:t>
      </w:r>
      <w:r w:rsidRPr="00614784">
        <w:t xml:space="preserve"> daļas 1.</w:t>
      </w:r>
      <w:r w:rsidR="00D54545">
        <w:t xml:space="preserve"> </w:t>
      </w:r>
      <w:r w:rsidRPr="00614784">
        <w:t>punkt</w:t>
      </w:r>
      <w:r w:rsidR="001D7C6E">
        <w:t xml:space="preserve">s). </w:t>
      </w:r>
      <w:r>
        <w:t xml:space="preserve"> </w:t>
      </w:r>
    </w:p>
    <w:p w:rsidR="000B2863" w:rsidRDefault="000B2863" w:rsidP="00064C1E">
      <w:pPr>
        <w:pStyle w:val="ListParagraph"/>
        <w:spacing w:line="276" w:lineRule="auto"/>
      </w:pPr>
    </w:p>
    <w:p w:rsidR="000B2863" w:rsidRDefault="000B2863" w:rsidP="00064C1E">
      <w:r>
        <w:t xml:space="preserve">Kā norādīts 2018. gada 28. augusta LR </w:t>
      </w:r>
      <w:r w:rsidR="00F379DD">
        <w:t>T</w:t>
      </w:r>
      <w:r>
        <w:t>iesībsarga ziņojumā, „</w:t>
      </w:r>
      <w:r w:rsidRPr="00614784">
        <w:t xml:space="preserve">(..) tiesības uz mājokli nozīmē </w:t>
      </w:r>
      <w:r w:rsidRPr="00F63B34">
        <w:t>tiesības dzīvot drošībā, mierā un cieņā.</w:t>
      </w:r>
      <w:r w:rsidRPr="00614784">
        <w:t xml:space="preserve"> Starptautiskajos cilvēktiesību dokumentos ir noteikts šo tiesību minimālais standarts, kas valstij ir jānodrošina tai pieejamo resursu ietvaros.”</w:t>
      </w:r>
      <w:r w:rsidRPr="00614784">
        <w:rPr>
          <w:rStyle w:val="FootnoteReference"/>
          <w:sz w:val="20"/>
          <w:szCs w:val="20"/>
        </w:rPr>
        <w:footnoteReference w:id="214"/>
      </w:r>
      <w:r>
        <w:t xml:space="preserve"> Eiropas PretNabadzības tīkla (EPAN) ziņojumā par mājokļu un veselības aprūpes pakalpojumu pieejamību norādīts, ka “(t)iesības uz mājokli ir ekonomiskas, sociālas un kultūras tiesības uz pienācīgu mājokli un patvērumu”</w:t>
      </w:r>
      <w:r>
        <w:rPr>
          <w:rStyle w:val="FootnoteReference"/>
        </w:rPr>
        <w:footnoteReference w:id="215"/>
      </w:r>
      <w:r>
        <w:t>.</w:t>
      </w:r>
      <w:r w:rsidR="003E5F80">
        <w:t xml:space="preserve"> </w:t>
      </w:r>
      <w:r w:rsidRPr="00146A89">
        <w:t>ANO Starptautiskā pakta par ekonomiskajām, sociālajām un kultūras tiesībām Vispārēj</w:t>
      </w:r>
      <w:r>
        <w:t>ā</w:t>
      </w:r>
      <w:r w:rsidRPr="00146A89">
        <w:t xml:space="preserve"> komentār</w:t>
      </w:r>
      <w:r>
        <w:t>ā</w:t>
      </w:r>
      <w:r w:rsidRPr="00146A89">
        <w:t xml:space="preserve"> Nr.4</w:t>
      </w:r>
      <w:r>
        <w:t xml:space="preserve"> norādīts, ka tiesību uz mājokli minimālo standartu veido septiņi pamatelementi: </w:t>
      </w:r>
      <w:r w:rsidRPr="00731F9C">
        <w:t>1) valdījuma</w:t>
      </w:r>
      <w:r>
        <w:t xml:space="preserve"> tiesiskā nodrošināšana, 2) pakalpojumu, materiālu un infrastruktūras </w:t>
      </w:r>
      <w:r>
        <w:lastRenderedPageBreak/>
        <w:t>pieejamība, 3) mājokļa finansiālā pieejamība, 4) mājokļa derīgums dzīvošanai, 5) mājokļa fiziska pieejamība, 6) mājokļa novietojums, 7) mājokļa atbilstība kultūrai.</w:t>
      </w:r>
      <w:r>
        <w:rPr>
          <w:rStyle w:val="FootnoteReference"/>
        </w:rPr>
        <w:footnoteReference w:id="216"/>
      </w:r>
      <w:r>
        <w:t xml:space="preserve"> </w:t>
      </w:r>
    </w:p>
    <w:p w:rsidR="000B2863" w:rsidRDefault="000B2863" w:rsidP="00064C1E"/>
    <w:p w:rsidR="000B2863" w:rsidRDefault="000B2863" w:rsidP="00064C1E">
      <w:r>
        <w:t>Turpinājumā, balstoties uz augstāk minēto dokumentu</w:t>
      </w:r>
      <w:r>
        <w:rPr>
          <w:rStyle w:val="FootnoteReference"/>
        </w:rPr>
        <w:footnoteReference w:id="217"/>
      </w:r>
      <w:r>
        <w:t>, ir skaidrots katrs no mājokļa tiesību kopumu veidojošajiem elementiem. Mājokļa valdījuma tiesiskā nodrošināšana attiecas uz mājokļa īpašumtiesību s</w:t>
      </w:r>
      <w:r w:rsidR="00DD10B2">
        <w:t>tatusu, kas var būt daudzveidīgi</w:t>
      </w:r>
      <w:r>
        <w:t xml:space="preserve"> (īres mājokļi, </w:t>
      </w:r>
      <w:r w:rsidR="00C0783A">
        <w:t xml:space="preserve">īpašumā </w:t>
      </w:r>
      <w:r w:rsidR="00C548CE">
        <w:t>eso</w:t>
      </w:r>
      <w:r w:rsidR="00C0783A">
        <w:t xml:space="preserve">ši mājokļi, </w:t>
      </w:r>
      <w:r>
        <w:t>hipotekārā kredīta mājokļi, sociālie mājokļi</w:t>
      </w:r>
      <w:r w:rsidR="001B3172">
        <w:t>)</w:t>
      </w:r>
      <w:r>
        <w:t xml:space="preserve">. Īpašumtiesību statuss ir cieši saistīts gan ar mājokļa kā personas privātās telpas drošību un neaizskaramību, gan ar personas finansiālajām saistībām par mājokli. </w:t>
      </w:r>
    </w:p>
    <w:p w:rsidR="000B2863" w:rsidRDefault="000B2863" w:rsidP="00064C1E"/>
    <w:p w:rsidR="000B2863" w:rsidRDefault="000B2863" w:rsidP="00064C1E">
      <w:r w:rsidRPr="00FF415D">
        <w:t>Mājokļa pakalpojumu, materiālu un infrastruktūras pieejamība</w:t>
      </w:r>
      <w:r w:rsidRPr="00FF415D">
        <w:rPr>
          <w:b/>
        </w:rPr>
        <w:t xml:space="preserve"> </w:t>
      </w:r>
      <w:r w:rsidRPr="00FF415D">
        <w:t xml:space="preserve">nozīmē, ka pienācīgā mājoklī ir jābūt telpām un </w:t>
      </w:r>
      <w:r>
        <w:t>aprīkojumam</w:t>
      </w:r>
      <w:r w:rsidRPr="00FF415D">
        <w:t xml:space="preserve">, kas ir būtiskas personas veselībai, drošībai, komfortam un uzturam. Mājoklim ir jābūt pastāvīgai pieejai dabas un </w:t>
      </w:r>
      <w:r>
        <w:t>koplietošanas</w:t>
      </w:r>
      <w:r w:rsidRPr="00FF415D">
        <w:t xml:space="preserve"> resursiem, </w:t>
      </w:r>
      <w:r>
        <w:t xml:space="preserve">t.sk. </w:t>
      </w:r>
      <w:r w:rsidRPr="00FF415D">
        <w:t xml:space="preserve">ūdensapgādes sistēmām, enerģijai ēdiena pagatavošanai, apkurei, apgaismojumam, sanitārajām, higiēnas, pārtikas produktu glabāšanas </w:t>
      </w:r>
      <w:r>
        <w:t xml:space="preserve">telpām </w:t>
      </w:r>
      <w:r w:rsidRPr="00FF415D">
        <w:t>un atkritumu izvešanas sistēm</w:t>
      </w:r>
      <w:r>
        <w:t>ai</w:t>
      </w:r>
      <w:r w:rsidRPr="00FF415D">
        <w:t>.</w:t>
      </w:r>
    </w:p>
    <w:p w:rsidR="00391201" w:rsidRPr="00FF415D" w:rsidRDefault="00391201" w:rsidP="00064C1E">
      <w:pPr>
        <w:rPr>
          <w:sz w:val="20"/>
          <w:szCs w:val="20"/>
        </w:rPr>
      </w:pPr>
    </w:p>
    <w:p w:rsidR="000B2863" w:rsidRPr="00020165" w:rsidRDefault="000B2863" w:rsidP="00064C1E">
      <w:r w:rsidRPr="005250C3">
        <w:t xml:space="preserve">Mājokļa </w:t>
      </w:r>
      <w:r>
        <w:t xml:space="preserve">finansiālā </w:t>
      </w:r>
      <w:r w:rsidRPr="005250C3">
        <w:t xml:space="preserve">pieejamība </w:t>
      </w:r>
      <w:r w:rsidRPr="00020165">
        <w:t xml:space="preserve">(tādu, kuru </w:t>
      </w:r>
      <w:r>
        <w:t xml:space="preserve">persona </w:t>
      </w:r>
      <w:r w:rsidRPr="00020165">
        <w:t xml:space="preserve">var atļauties, no angļu val. </w:t>
      </w:r>
      <w:r w:rsidR="00F870E0">
        <w:t>–</w:t>
      </w:r>
      <w:r>
        <w:t xml:space="preserve"> </w:t>
      </w:r>
      <w:r w:rsidRPr="00020165">
        <w:rPr>
          <w:i/>
        </w:rPr>
        <w:t>affordab</w:t>
      </w:r>
      <w:r>
        <w:rPr>
          <w:i/>
        </w:rPr>
        <w:t>ility</w:t>
      </w:r>
      <w:r w:rsidRPr="00020165">
        <w:t>)</w:t>
      </w:r>
      <w:r>
        <w:t xml:space="preserve"> </w:t>
      </w:r>
      <w:r w:rsidRPr="00020165">
        <w:t>paredz, ka izdevumiem par mājokli ir jābūt samērīgiem tādā nozīmē, ka tie neliedz apmierināt personas citas pamatvajadzības, tātad tiem</w:t>
      </w:r>
      <w:r>
        <w:t xml:space="preserve"> ir</w:t>
      </w:r>
      <w:r w:rsidRPr="00020165">
        <w:t xml:space="preserve"> jābūt samērīgiem ar personas ienākumiem. Valsts uzdevums ir sniegt atbalstu tām iedzīvotāju grupām, kuras nespēj pašas nodrošināt sev izdevumu ziņā pieejamu mājokli, kā arī piedāvāt mājokļa vajadzībām atbilstošus finansēšanas pasākumus un pasargā</w:t>
      </w:r>
      <w:r>
        <w:t>t</w:t>
      </w:r>
      <w:r w:rsidRPr="00020165">
        <w:t xml:space="preserve"> iedzīvotāj</w:t>
      </w:r>
      <w:r>
        <w:t>us</w:t>
      </w:r>
      <w:r w:rsidRPr="00020165">
        <w:t xml:space="preserve"> no nepamatoti augstām īres cenām vai to pieauguma. </w:t>
      </w:r>
    </w:p>
    <w:p w:rsidR="000B2863" w:rsidRPr="00020165" w:rsidRDefault="000B2863" w:rsidP="00064C1E"/>
    <w:p w:rsidR="000B2863" w:rsidRDefault="000B2863" w:rsidP="00064C1E">
      <w:r w:rsidRPr="007A339B">
        <w:t xml:space="preserve">Nākamais mājokļu tiesības veidojošais elements ir mājokļa derīgums dzīvošanai, proti, tam ir jābūt ar pietiekamu dzīvojamo platību, </w:t>
      </w:r>
      <w:r w:rsidR="004C2526">
        <w:t xml:space="preserve">tādā tehniskā stāvoklī, kas </w:t>
      </w:r>
      <w:r w:rsidRPr="007A339B">
        <w:t>pasargā</w:t>
      </w:r>
      <w:r w:rsidR="004C2526">
        <w:t xml:space="preserve"> tā iemītniekus</w:t>
      </w:r>
      <w:r w:rsidRPr="007A339B">
        <w:t xml:space="preserve"> </w:t>
      </w:r>
      <w:r w:rsidR="004C2526">
        <w:t>no veselībai nelabvēlīgiem ārējā</w:t>
      </w:r>
      <w:r w:rsidRPr="007A339B">
        <w:t>s vides apstākļiem</w:t>
      </w:r>
      <w:r w:rsidR="004C2526">
        <w:t xml:space="preserve"> (aukstuma, mitruma, karstuma, vēja u.tml.)</w:t>
      </w:r>
      <w:r w:rsidRPr="007A339B">
        <w:t>. Tāpat ir jābūt nodrošinātai mājokļa iemītnieku fiziskajai drošībai. Dokumentā skaidrots, ka</w:t>
      </w:r>
      <w:r>
        <w:t xml:space="preserve"> </w:t>
      </w:r>
      <w:r w:rsidR="001D7C6E">
        <w:t>m</w:t>
      </w:r>
      <w:r>
        <w:t xml:space="preserve">ājoklim ir jābūt pieejamam visām personām, t.sk. mazaizsargātajām iedzīvotāju grupām, kurām uz to tiesības. Mājokļu politika ir jāveido tā, lai piedāvātie atbalsta mehānismi būtu atbilstoši mērķa grupu īpašajām vajadzībām mājokļa jomā. Sniedzot atbalstu mājokļa jomā, valsts nodrošina personas tiesību dzīvot </w:t>
      </w:r>
      <w:r w:rsidRPr="00F63B34">
        <w:t>drošībā, mierā un cieņā</w:t>
      </w:r>
      <w:r>
        <w:t xml:space="preserve"> ievērošanu.</w:t>
      </w:r>
    </w:p>
    <w:p w:rsidR="00D54545" w:rsidRDefault="00D54545" w:rsidP="00064C1E"/>
    <w:p w:rsidR="000B2863" w:rsidRDefault="000B2863" w:rsidP="00064C1E">
      <w:r>
        <w:t xml:space="preserve">Mājokļa atrašanās vietai ir jābūt tādai, kas nodrošina pieeju darba vietai, veselības aprūpes un izglītības pakalpojumiem, kā arī citu iestāžu sniegtajiem pamata pakalpojumiem. Būtiska nozīme šī elementa ievērošanā ir transporta infrastruktūrai. Šī elementa ietvaros tiek atkāroti uzsvērta vides faktoru ietekme – pienācīgs mājoklis atrodas vietā, kas nav tiešā tuvumā visa veida piesārņojuma avotiem, kas apdraud cilvēka veselību. </w:t>
      </w:r>
    </w:p>
    <w:p w:rsidR="000B2863" w:rsidRDefault="000B2863" w:rsidP="00064C1E"/>
    <w:p w:rsidR="000B2863" w:rsidRDefault="000B2863" w:rsidP="00064C1E">
      <w:r>
        <w:t xml:space="preserve">Visbeidzot, mājokļa atbilstība sabiedrības kultūrai, ko raksturo mājokļa celtniecībā izmantotie </w:t>
      </w:r>
      <w:r w:rsidRPr="0056212C">
        <w:t xml:space="preserve">materiāli un pieejas. Tiem ir jāatspoguļo personas kultūras identitāte un mājokļu daudzveidība. Tas </w:t>
      </w:r>
      <w:r w:rsidRPr="0056212C">
        <w:lastRenderedPageBreak/>
        <w:t xml:space="preserve">nozīmē, ka mājokļu celtniecības </w:t>
      </w:r>
      <w:r>
        <w:t xml:space="preserve">jomas attīstības un </w:t>
      </w:r>
      <w:r w:rsidRPr="0056212C">
        <w:t>modernizācijas</w:t>
      </w:r>
      <w:r>
        <w:t xml:space="preserve"> ietekmē nedrīkst tikt apdraudētas mājokļa kā noteiktas sabiedrības kultūras un dzīvesveida izpausmes.</w:t>
      </w:r>
    </w:p>
    <w:p w:rsidR="000B2863" w:rsidRDefault="000B2863" w:rsidP="00064C1E"/>
    <w:p w:rsidR="000B2863" w:rsidRPr="00E863DD" w:rsidRDefault="000B2863" w:rsidP="00064C1E">
      <w:pPr>
        <w:pStyle w:val="NormalWeb"/>
        <w:shd w:val="clear" w:color="auto" w:fill="FFFFFF"/>
      </w:pPr>
      <w:r w:rsidRPr="002556CF">
        <w:rPr>
          <w:bCs/>
        </w:rPr>
        <w:t>Eiropas Padomes Pārskatītās Sociālās Hartas (turpmāk – Hartas) 31. pantā „Tiesības uz dzīvesvietu” ir noteikts: „</w:t>
      </w:r>
      <w:r w:rsidRPr="002556CF">
        <w:t xml:space="preserve">Lai nodrošinātu efektīvu tiesību uz dzīvesvietu izmantošanu, Līgumslēdzējas puses apņemas veikt sekojošus pasākumus: 1. nodrošinot vienlīdzīgus nosacījumus, lai iegūtu dzīvesvietu [angļu valodā: </w:t>
      </w:r>
      <w:r w:rsidRPr="002556CF">
        <w:rPr>
          <w:i/>
        </w:rPr>
        <w:t>to promote acces</w:t>
      </w:r>
      <w:r w:rsidR="00295217">
        <w:rPr>
          <w:i/>
        </w:rPr>
        <w:t>s</w:t>
      </w:r>
      <w:r w:rsidRPr="002556CF">
        <w:rPr>
          <w:i/>
        </w:rPr>
        <w:t xml:space="preserve"> to housing of an adequate standar</w:t>
      </w:r>
      <w:r w:rsidR="00295217">
        <w:rPr>
          <w:i/>
        </w:rPr>
        <w:t>d</w:t>
      </w:r>
      <w:r w:rsidRPr="002556CF">
        <w:t>]; 2. veicinot bezpajumtnieku skaita samazināšanos, lai nodrošinātu pakāpenisku bezpajumtnieku izzušanu; 3. padarot dzīvesvietas maksu pieejamu tiem, kam nav pietiekamu līdzekļu”</w:t>
      </w:r>
      <w:r w:rsidRPr="002556CF">
        <w:rPr>
          <w:rStyle w:val="FootnoteReference"/>
        </w:rPr>
        <w:t xml:space="preserve"> </w:t>
      </w:r>
      <w:r w:rsidRPr="002556CF">
        <w:rPr>
          <w:rStyle w:val="FootnoteReference"/>
        </w:rPr>
        <w:footnoteReference w:id="218"/>
      </w:r>
      <w:r w:rsidRPr="002556CF">
        <w:rPr>
          <w:rFonts w:ascii="Arial" w:hAnsi="Arial" w:cs="Arial"/>
          <w:sz w:val="18"/>
          <w:szCs w:val="18"/>
        </w:rPr>
        <w:t xml:space="preserve">. </w:t>
      </w:r>
      <w:r w:rsidRPr="002556CF">
        <w:t>No Hartas 31. panta Latvija apņemas par saistošu uzskatīt tikai 1.punktu – tiesības uz dzīvesvietu, minētā panta 2. un 3. punkts nav saistoši Latvijai, proti, bezpajumtniecības novēršana un samazināšana un mājokļu cenu pieejamība.</w:t>
      </w:r>
      <w:r w:rsidRPr="002556CF">
        <w:rPr>
          <w:rStyle w:val="FootnoteReference"/>
        </w:rPr>
        <w:footnoteReference w:id="219"/>
      </w:r>
      <w:r w:rsidR="002556CF" w:rsidRPr="002556CF">
        <w:t xml:space="preserve"> Papildus jānorāda, ka Tiesībsarga ziņojumā iekļautais Hartas tulkojums</w:t>
      </w:r>
      <w:r w:rsidR="00763463">
        <w:t>, kā arī likumā „Par Pārskatīto Eiropas Sociālo hartu”</w:t>
      </w:r>
      <w:r w:rsidR="00763463">
        <w:rPr>
          <w:rStyle w:val="FootnoteReference"/>
        </w:rPr>
        <w:footnoteReference w:id="220"/>
      </w:r>
      <w:r w:rsidR="002556CF" w:rsidRPr="002556CF">
        <w:t xml:space="preserve"> attiecībā uz 1.punktu - nodrošinot vienlīdzīgus nosacījumus, lai iegūtu dzīvesvietu [angļu valodā: </w:t>
      </w:r>
      <w:r w:rsidR="002556CF" w:rsidRPr="002556CF">
        <w:rPr>
          <w:i/>
        </w:rPr>
        <w:t>to promote acces</w:t>
      </w:r>
      <w:r w:rsidR="00295217">
        <w:rPr>
          <w:i/>
        </w:rPr>
        <w:t>s</w:t>
      </w:r>
      <w:r w:rsidR="002556CF" w:rsidRPr="002556CF">
        <w:rPr>
          <w:i/>
        </w:rPr>
        <w:t xml:space="preserve"> to housing of an adequate standar</w:t>
      </w:r>
      <w:r w:rsidR="00295217">
        <w:rPr>
          <w:i/>
        </w:rPr>
        <w:t>d</w:t>
      </w:r>
      <w:r w:rsidR="002556CF" w:rsidRPr="002556CF">
        <w:t xml:space="preserve">] – ir neprecīzs. Izvērtējuma autoru skatījumā tas būtu tulkojams šādi – veicināt atbilstošas kvalitātes (pienācīga) mājokļa pieejamību. </w:t>
      </w:r>
      <w:r w:rsidR="00E863DD">
        <w:t>Eiropas Sociālo tiesību komitejas sniegtajā skaidrojumā par Hartas 31.pantu norādīts, ka pienācīgs mājoklis (</w:t>
      </w:r>
      <w:r w:rsidR="00E863DD">
        <w:rPr>
          <w:i/>
        </w:rPr>
        <w:t>adequate housing</w:t>
      </w:r>
      <w:r w:rsidR="00E863DD">
        <w:t xml:space="preserve">) ir mājoklis, </w:t>
      </w:r>
      <w:r w:rsidR="00307213">
        <w:t>kurš ir drošā tehniskā stāvoklī</w:t>
      </w:r>
      <w:r w:rsidR="00E863DD">
        <w:t>, drošs no sanitārā un veselības viedokļa un nav pārapdzīvots.</w:t>
      </w:r>
      <w:r w:rsidR="00E863DD">
        <w:rPr>
          <w:rStyle w:val="FootnoteReference"/>
        </w:rPr>
        <w:footnoteReference w:id="221"/>
      </w:r>
    </w:p>
    <w:p w:rsidR="000B2863" w:rsidRPr="001812AD" w:rsidRDefault="000B2863" w:rsidP="00064C1E"/>
    <w:p w:rsidR="000B2863" w:rsidRDefault="000B2863" w:rsidP="00064C1E">
      <w:r>
        <w:t>Atbilstoši starptautiskajām prasībām</w:t>
      </w:r>
      <w:r>
        <w:rPr>
          <w:rStyle w:val="FootnoteReference"/>
        </w:rPr>
        <w:footnoteReference w:id="222"/>
      </w:r>
      <w:r>
        <w:t xml:space="preserve"> j</w:t>
      </w:r>
      <w:r w:rsidRPr="001812AD">
        <w:t>ēdziens “</w:t>
      </w:r>
      <w:r>
        <w:t>pienācīgs</w:t>
      </w:r>
      <w:r w:rsidRPr="001812AD">
        <w:t xml:space="preserve"> mājoklis”</w:t>
      </w:r>
      <w:r>
        <w:t xml:space="preserve"> [no </w:t>
      </w:r>
      <w:r w:rsidRPr="001812AD">
        <w:t>angļu valod</w:t>
      </w:r>
      <w:r>
        <w:t>as</w:t>
      </w:r>
      <w:r w:rsidRPr="001812AD">
        <w:t xml:space="preserve">: </w:t>
      </w:r>
      <w:r w:rsidRPr="001812AD">
        <w:rPr>
          <w:i/>
        </w:rPr>
        <w:t>housing of an adequate standar</w:t>
      </w:r>
      <w:r w:rsidR="00295217">
        <w:rPr>
          <w:i/>
        </w:rPr>
        <w:t>d</w:t>
      </w:r>
      <w:r>
        <w:t>]</w:t>
      </w:r>
      <w:r w:rsidRPr="001812AD">
        <w:t xml:space="preserve"> ir jādefinē tiesību aktos. Latvijā tas ir noteikts likumā “Par palīdzību dzīvokļa jautājumu risināšanā” 16. panta trešajā daļā, definējot dzīvošanai derīgas telpas kritērijus: „Dzīvošanai derīga dzīvojamā telpa ir apgaismojama, apkurināma telpa, kas piemērota cilvēka ilglaicīgam patvērumam un sadzīves priekšmetu izvietošanai un atbilst Ministru kabineta noteikumos paredzētajām būvniecības un higiēnas prasībām”</w:t>
      </w:r>
      <w:r w:rsidRPr="001812AD">
        <w:rPr>
          <w:rStyle w:val="FootnoteReference"/>
        </w:rPr>
        <w:footnoteReference w:id="223"/>
      </w:r>
      <w:r w:rsidRPr="001812AD">
        <w:t xml:space="preserve">. </w:t>
      </w:r>
      <w:r>
        <w:t xml:space="preserve">Tas nozīmē, ka </w:t>
      </w:r>
      <w:r w:rsidR="001D7C6E">
        <w:t>Hartas izpratnē „</w:t>
      </w:r>
      <w:r w:rsidRPr="002A6215">
        <w:t>pienācīgs mājoklis</w:t>
      </w:r>
      <w:r w:rsidR="001D7C6E">
        <w:t>”</w:t>
      </w:r>
      <w:r w:rsidRPr="002A6215">
        <w:t xml:space="preserve"> ir mājoklis, </w:t>
      </w:r>
      <w:r>
        <w:t>“</w:t>
      </w:r>
      <w:r w:rsidRPr="002A6215">
        <w:t>kas ir drošs no sanitārās un veselības aizsardzības viedokļa, t.i., tajā ir jābūt nodrošinātiem pamatpakalpojumiem, piemēram, ūdenim, apkurei, atkritumu izvešanai, kanalizācijas sistēmai un elektrībai, turklāt mājoklim ir jābūt arī drošam no tehniskā un ekspluatācijas viedokļa, ierobežojot mājokļa pārapdzīvotību, kā arī jābūt tiesiski aizsargātam</w:t>
      </w:r>
      <w:r>
        <w:t>”</w:t>
      </w:r>
      <w:r>
        <w:rPr>
          <w:rStyle w:val="FootnoteReference"/>
        </w:rPr>
        <w:footnoteReference w:id="224"/>
      </w:r>
      <w:r w:rsidRPr="002A6215">
        <w:t>.</w:t>
      </w:r>
    </w:p>
    <w:p w:rsidR="00F24445" w:rsidRDefault="00F24445" w:rsidP="00064C1E"/>
    <w:p w:rsidR="00F24445" w:rsidRDefault="00F24445" w:rsidP="00064C1E">
      <w:r w:rsidRPr="001941BD">
        <w:t xml:space="preserve">A. Sideļska savā pētījumā izdala četrus mājokļa standarta (mājokļa kvalitātes) elementus: energoefektivitāte, labiekārtojums (ūdensvads, kanalizācijas sistēma ar attīrīšanas iekārtām, </w:t>
      </w:r>
      <w:r w:rsidRPr="001941BD">
        <w:lastRenderedPageBreak/>
        <w:t>interneta pieslēgums), istabu skaits (tas pārsniedz par vienu vienību mājsaimniecībā dzīvojošo personu skaitu), apkārtējā vide (negatīvo faktoru ietekmes līmenis nepārsniedz normatīvajos aktos noteiktās normas).</w:t>
      </w:r>
      <w:r w:rsidRPr="001941BD">
        <w:rPr>
          <w:rStyle w:val="FootnoteReference"/>
        </w:rPr>
        <w:footnoteReference w:id="225"/>
      </w:r>
    </w:p>
    <w:p w:rsidR="000B2863" w:rsidRDefault="000B2863" w:rsidP="00064C1E"/>
    <w:p w:rsidR="000B2863" w:rsidRPr="00C22247" w:rsidRDefault="000B2863" w:rsidP="00064C1E">
      <w:r w:rsidRPr="00080A4B">
        <w:t>Eiropas Nacionālo organizāciju federācija</w:t>
      </w:r>
      <w:r>
        <w:t xml:space="preserve"> </w:t>
      </w:r>
      <w:r w:rsidR="001B3172">
        <w:t xml:space="preserve">darbā ar bezpajumtniekiem </w:t>
      </w:r>
      <w:r>
        <w:t>(</w:t>
      </w:r>
      <w:r w:rsidRPr="00080A4B">
        <w:t>FEANTSA</w:t>
      </w:r>
      <w:r>
        <w:t xml:space="preserve">) </w:t>
      </w:r>
      <w:r w:rsidRPr="00080A4B">
        <w:t>“Ar mājokli saistī</w:t>
      </w:r>
      <w:r>
        <w:t>tajos</w:t>
      </w:r>
      <w:r w:rsidRPr="00080A4B">
        <w:t xml:space="preserve"> noteikum</w:t>
      </w:r>
      <w:r>
        <w:t>os</w:t>
      </w:r>
      <w:r w:rsidRPr="00080A4B">
        <w:t xml:space="preserve"> valstīm” norādījusi, ka </w:t>
      </w:r>
      <w:r>
        <w:t>“</w:t>
      </w:r>
      <w:r w:rsidRPr="00080A4B">
        <w:t xml:space="preserve">valstij ir nepieciešams nodrošināt tādus pasākumus, lai samazinātu mājokļu ilgos </w:t>
      </w:r>
      <w:r w:rsidRPr="00C22247">
        <w:t>gaidīšanas termiņus. Latvijas gadījumā tie ir pieci, desmit un pat 25 ga</w:t>
      </w:r>
      <w:r w:rsidR="00B35DA0" w:rsidRPr="00C22247">
        <w:t>di, kā norādīts 28.08.2018. LR T</w:t>
      </w:r>
      <w:r w:rsidRPr="00C22247">
        <w:t>iesībsarga ziņojumā”</w:t>
      </w:r>
      <w:r w:rsidRPr="00C22247">
        <w:rPr>
          <w:rStyle w:val="FootnoteReference"/>
        </w:rPr>
        <w:t xml:space="preserve"> </w:t>
      </w:r>
      <w:r w:rsidRPr="00C22247">
        <w:rPr>
          <w:rStyle w:val="FootnoteReference"/>
        </w:rPr>
        <w:footnoteReference w:id="226"/>
      </w:r>
      <w:r w:rsidRPr="00C22247">
        <w:t xml:space="preserve">. Tātad </w:t>
      </w:r>
      <w:r w:rsidR="00F24445" w:rsidRPr="00C22247">
        <w:t xml:space="preserve">līdzās mājokļa kvalitātei </w:t>
      </w:r>
      <w:r w:rsidRPr="00C22247">
        <w:t xml:space="preserve">būtisks rādītājs, analizējot nevienlīdzību mājokļu jomā, ir arī rindas uz mājokli – laika periods, kurā cilvēkam pēc būtības nav pieejams mājoklis. </w:t>
      </w:r>
    </w:p>
    <w:p w:rsidR="000B2863" w:rsidRPr="00C22247" w:rsidRDefault="000B2863" w:rsidP="00064C1E"/>
    <w:p w:rsidR="000B2863" w:rsidRDefault="000B2863" w:rsidP="00064C1E">
      <w:pPr>
        <w:pStyle w:val="HTMLPreformatted"/>
        <w:shd w:val="clear" w:color="auto" w:fill="FFFFFF"/>
        <w:jc w:val="both"/>
        <w:rPr>
          <w:rFonts w:ascii="Times New Roman" w:hAnsi="Times New Roman" w:cs="Times New Roman"/>
          <w:sz w:val="24"/>
          <w:szCs w:val="24"/>
        </w:rPr>
      </w:pPr>
      <w:r w:rsidRPr="007438CC">
        <w:rPr>
          <w:rFonts w:ascii="Times New Roman" w:hAnsi="Times New Roman" w:cs="Times New Roman"/>
          <w:sz w:val="24"/>
          <w:szCs w:val="24"/>
        </w:rPr>
        <w:t xml:space="preserve">Eiropas publisko, kooperatīvo un sociālo mājokļu federācijas </w:t>
      </w:r>
      <w:r w:rsidR="00E60C79">
        <w:rPr>
          <w:rFonts w:ascii="Times New Roman" w:hAnsi="Times New Roman" w:cs="Times New Roman"/>
          <w:sz w:val="24"/>
          <w:szCs w:val="24"/>
        </w:rPr>
        <w:t xml:space="preserve">(CECODHAS </w:t>
      </w:r>
      <w:r w:rsidR="00E60C79">
        <w:rPr>
          <w:rFonts w:ascii="Times New Roman" w:hAnsi="Times New Roman" w:cs="Times New Roman"/>
          <w:i/>
          <w:sz w:val="24"/>
          <w:szCs w:val="24"/>
        </w:rPr>
        <w:t xml:space="preserve">Housing </w:t>
      </w:r>
      <w:r w:rsidR="007230A3">
        <w:rPr>
          <w:rFonts w:ascii="Times New Roman" w:hAnsi="Times New Roman" w:cs="Times New Roman"/>
          <w:i/>
          <w:sz w:val="24"/>
          <w:szCs w:val="24"/>
        </w:rPr>
        <w:t>E</w:t>
      </w:r>
      <w:r w:rsidR="00295217">
        <w:rPr>
          <w:rFonts w:ascii="Times New Roman" w:hAnsi="Times New Roman" w:cs="Times New Roman"/>
          <w:i/>
          <w:sz w:val="24"/>
          <w:szCs w:val="24"/>
        </w:rPr>
        <w:t>u</w:t>
      </w:r>
      <w:r w:rsidR="007230A3">
        <w:rPr>
          <w:rFonts w:ascii="Times New Roman" w:hAnsi="Times New Roman" w:cs="Times New Roman"/>
          <w:i/>
          <w:sz w:val="24"/>
          <w:szCs w:val="24"/>
        </w:rPr>
        <w:t>ro</w:t>
      </w:r>
      <w:r w:rsidR="00E60C79">
        <w:rPr>
          <w:rFonts w:ascii="Times New Roman" w:hAnsi="Times New Roman" w:cs="Times New Roman"/>
          <w:i/>
          <w:sz w:val="24"/>
          <w:szCs w:val="24"/>
        </w:rPr>
        <w:t>pe</w:t>
      </w:r>
      <w:r w:rsidR="00E60C79">
        <w:rPr>
          <w:rFonts w:ascii="Times New Roman" w:hAnsi="Times New Roman" w:cs="Times New Roman"/>
          <w:sz w:val="24"/>
          <w:szCs w:val="24"/>
        </w:rPr>
        <w:t xml:space="preserve">) </w:t>
      </w:r>
      <w:r w:rsidRPr="007438CC">
        <w:rPr>
          <w:rFonts w:ascii="Times New Roman" w:hAnsi="Times New Roman" w:cs="Times New Roman"/>
          <w:sz w:val="24"/>
          <w:szCs w:val="24"/>
        </w:rPr>
        <w:t>2017. gada ziņojumā par situāciju mājokļa jomā Eiropas Savienībā secināts, ka nevienlīdzība mājokļu</w:t>
      </w:r>
      <w:r w:rsidRPr="002D668D">
        <w:rPr>
          <w:rFonts w:ascii="Times New Roman" w:hAnsi="Times New Roman" w:cs="Times New Roman"/>
          <w:sz w:val="24"/>
          <w:szCs w:val="24"/>
        </w:rPr>
        <w:t xml:space="preserve"> jomā ir tieši saistīta ar ienākumu nevienlīdzību</w:t>
      </w:r>
      <w:r>
        <w:rPr>
          <w:rFonts w:ascii="Times New Roman" w:hAnsi="Times New Roman" w:cs="Times New Roman"/>
          <w:sz w:val="24"/>
          <w:szCs w:val="24"/>
        </w:rPr>
        <w:t>, tās viena otru pastiprina</w:t>
      </w:r>
      <w:r w:rsidRPr="002D668D">
        <w:rPr>
          <w:rFonts w:ascii="Times New Roman" w:hAnsi="Times New Roman" w:cs="Times New Roman"/>
          <w:sz w:val="24"/>
          <w:szCs w:val="24"/>
        </w:rPr>
        <w:t>. Mājokļa cenu pieaugums palielina plaisu starp turīgajiem un nabadzīgajiem iedzīvotājiem</w:t>
      </w:r>
      <w:r>
        <w:rPr>
          <w:rFonts w:ascii="Times New Roman" w:hAnsi="Times New Roman" w:cs="Times New Roman"/>
          <w:sz w:val="24"/>
          <w:szCs w:val="24"/>
        </w:rPr>
        <w:t>.</w:t>
      </w:r>
      <w:r w:rsidRPr="00E60C79">
        <w:rPr>
          <w:rStyle w:val="FootnoteReference"/>
          <w:rFonts w:ascii="Times New Roman" w:hAnsi="Times New Roman" w:cs="Times New Roman"/>
          <w:sz w:val="24"/>
          <w:szCs w:val="24"/>
        </w:rPr>
        <w:footnoteReference w:id="227"/>
      </w:r>
      <w:r>
        <w:rPr>
          <w:rFonts w:ascii="Times New Roman" w:hAnsi="Times New Roman" w:cs="Times New Roman"/>
          <w:sz w:val="24"/>
          <w:szCs w:val="24"/>
        </w:rPr>
        <w:t xml:space="preserve"> Eiropas Padomes Attīstības bankas pasūtītā izpētē par nevienlīdzību mājokļu jomā norādīts, ka nevienlīdzība mājokļu jomā ir reizē ienākumu nevienlīdzības simptoms un cēlonis. Nevienlīdzība mājokļu jomā ir saistīta ar tādiem rādītajiem kā ienākumu nevienlīdzība, mājokļa kvalitāte, mājokļa atrašanās vieta kā telpiskās segregācijas izpausme, kas, savukārt, nosaka citu pakalpojumu pieejamības ierobežojumus.</w:t>
      </w:r>
      <w:r w:rsidRPr="00E60C79">
        <w:rPr>
          <w:rStyle w:val="FootnoteReference"/>
          <w:rFonts w:ascii="Times New Roman" w:hAnsi="Times New Roman" w:cs="Times New Roman"/>
          <w:sz w:val="24"/>
          <w:szCs w:val="24"/>
        </w:rPr>
        <w:footnoteReference w:id="228"/>
      </w:r>
      <w:r>
        <w:rPr>
          <w:rFonts w:ascii="Times New Roman" w:hAnsi="Times New Roman" w:cs="Times New Roman"/>
          <w:sz w:val="24"/>
          <w:szCs w:val="24"/>
        </w:rPr>
        <w:t xml:space="preserve"> </w:t>
      </w:r>
    </w:p>
    <w:p w:rsidR="00E60C79" w:rsidRDefault="00E60C79" w:rsidP="00064C1E">
      <w:pPr>
        <w:pStyle w:val="HTMLPreformatted"/>
        <w:shd w:val="clear" w:color="auto" w:fill="FFFFFF"/>
        <w:jc w:val="both"/>
        <w:rPr>
          <w:rFonts w:ascii="Times New Roman" w:hAnsi="Times New Roman" w:cs="Times New Roman"/>
          <w:sz w:val="24"/>
          <w:szCs w:val="24"/>
        </w:rPr>
      </w:pPr>
    </w:p>
    <w:p w:rsidR="00FA67C5" w:rsidRPr="00AE6D3A" w:rsidRDefault="00E60C79" w:rsidP="00064C1E">
      <w:pPr>
        <w:pStyle w:val="HTMLPreformatted"/>
        <w:shd w:val="clear" w:color="auto" w:fill="FFFFFF"/>
        <w:jc w:val="both"/>
        <w:rPr>
          <w:rFonts w:ascii="Times New Roman" w:hAnsi="Times New Roman" w:cs="Times New Roman"/>
          <w:sz w:val="24"/>
          <w:szCs w:val="24"/>
        </w:rPr>
      </w:pPr>
      <w:r w:rsidRPr="004A41A9">
        <w:rPr>
          <w:rFonts w:ascii="Times New Roman" w:hAnsi="Times New Roman" w:cs="Times New Roman"/>
          <w:sz w:val="24"/>
          <w:szCs w:val="24"/>
        </w:rPr>
        <w:t xml:space="preserve">CECODHAS </w:t>
      </w:r>
      <w:r w:rsidRPr="004A41A9">
        <w:rPr>
          <w:rFonts w:ascii="Times New Roman" w:hAnsi="Times New Roman" w:cs="Times New Roman"/>
          <w:i/>
          <w:sz w:val="24"/>
          <w:szCs w:val="24"/>
        </w:rPr>
        <w:t xml:space="preserve">Housing </w:t>
      </w:r>
      <w:r w:rsidR="007230A3">
        <w:rPr>
          <w:rFonts w:ascii="Times New Roman" w:hAnsi="Times New Roman" w:cs="Times New Roman"/>
          <w:i/>
          <w:sz w:val="24"/>
          <w:szCs w:val="24"/>
        </w:rPr>
        <w:t>E</w:t>
      </w:r>
      <w:r w:rsidR="00295217">
        <w:rPr>
          <w:rFonts w:ascii="Times New Roman" w:hAnsi="Times New Roman" w:cs="Times New Roman"/>
          <w:i/>
          <w:sz w:val="24"/>
          <w:szCs w:val="24"/>
        </w:rPr>
        <w:t>u</w:t>
      </w:r>
      <w:r w:rsidR="007230A3">
        <w:rPr>
          <w:rFonts w:ascii="Times New Roman" w:hAnsi="Times New Roman" w:cs="Times New Roman"/>
          <w:i/>
          <w:sz w:val="24"/>
          <w:szCs w:val="24"/>
        </w:rPr>
        <w:t>ro</w:t>
      </w:r>
      <w:r w:rsidRPr="004A41A9">
        <w:rPr>
          <w:rFonts w:ascii="Times New Roman" w:hAnsi="Times New Roman" w:cs="Times New Roman"/>
          <w:i/>
          <w:sz w:val="24"/>
          <w:szCs w:val="24"/>
        </w:rPr>
        <w:t>pe</w:t>
      </w:r>
      <w:r w:rsidRPr="004A41A9">
        <w:rPr>
          <w:rFonts w:ascii="Times New Roman" w:hAnsi="Times New Roman" w:cs="Times New Roman"/>
          <w:sz w:val="24"/>
          <w:szCs w:val="24"/>
        </w:rPr>
        <w:t xml:space="preserve">  2012.</w:t>
      </w:r>
      <w:r w:rsidR="00D54545">
        <w:rPr>
          <w:rFonts w:ascii="Times New Roman" w:hAnsi="Times New Roman" w:cs="Times New Roman"/>
          <w:sz w:val="24"/>
          <w:szCs w:val="24"/>
        </w:rPr>
        <w:t xml:space="preserve"> </w:t>
      </w:r>
      <w:r w:rsidRPr="004A41A9">
        <w:rPr>
          <w:rFonts w:ascii="Times New Roman" w:hAnsi="Times New Roman" w:cs="Times New Roman"/>
          <w:sz w:val="24"/>
          <w:szCs w:val="24"/>
        </w:rPr>
        <w:t xml:space="preserve">gada ziņojumā, kas veltīts jautājumam par mājokļa pieejamību atbilstoši iedzīvotāju ienākumiem (angļu val. </w:t>
      </w:r>
      <w:r w:rsidRPr="004A41A9">
        <w:rPr>
          <w:rFonts w:ascii="Times New Roman" w:hAnsi="Times New Roman" w:cs="Times New Roman"/>
          <w:i/>
          <w:sz w:val="24"/>
          <w:szCs w:val="24"/>
        </w:rPr>
        <w:t>affordability</w:t>
      </w:r>
      <w:r w:rsidRPr="004A41A9">
        <w:rPr>
          <w:rFonts w:ascii="Times New Roman" w:hAnsi="Times New Roman" w:cs="Times New Roman"/>
          <w:sz w:val="24"/>
          <w:szCs w:val="24"/>
        </w:rPr>
        <w:t xml:space="preserve">), </w:t>
      </w:r>
      <w:r w:rsidR="00FA67C5" w:rsidRPr="004A41A9">
        <w:rPr>
          <w:rFonts w:ascii="Times New Roman" w:hAnsi="Times New Roman" w:cs="Times New Roman"/>
          <w:sz w:val="24"/>
          <w:szCs w:val="24"/>
        </w:rPr>
        <w:t>skaidrots, ka visizplatītākā pieeja mājokļa finansiālās pieejamības definēšanā ir mājsaimniecības ienākumu daļas (izteikta procentos), ko mājsaimniecība tērē par mājokļa izdevumiem, noteikšana</w:t>
      </w:r>
      <w:r w:rsidR="00FA67C5" w:rsidRPr="004A41A9">
        <w:rPr>
          <w:rStyle w:val="FootnoteReference"/>
          <w:rFonts w:ascii="Times New Roman" w:hAnsi="Times New Roman" w:cs="Times New Roman"/>
          <w:sz w:val="24"/>
          <w:szCs w:val="24"/>
        </w:rPr>
        <w:footnoteReference w:id="229"/>
      </w:r>
      <w:r w:rsidR="00FA67C5" w:rsidRPr="004A41A9">
        <w:rPr>
          <w:rFonts w:ascii="Times New Roman" w:hAnsi="Times New Roman" w:cs="Times New Roman"/>
          <w:sz w:val="24"/>
          <w:szCs w:val="24"/>
        </w:rPr>
        <w:t xml:space="preserve">. Tātad mājsaimniecības mājokļa finansiālo pieejamība raksturo mājsaimniecības mājokļa izdevumu samērīgumu un/vai attiecība pret mājsaimniecības kopējiem ienākumiem. </w:t>
      </w:r>
      <w:r w:rsidR="00280E83" w:rsidRPr="004A41A9">
        <w:rPr>
          <w:rFonts w:ascii="Times New Roman" w:hAnsi="Times New Roman" w:cs="Times New Roman"/>
          <w:sz w:val="24"/>
          <w:szCs w:val="24"/>
        </w:rPr>
        <w:t xml:space="preserve">Kā norāda publikācijas autore, </w:t>
      </w:r>
      <w:r w:rsidR="00280E83" w:rsidRPr="00BC282B">
        <w:rPr>
          <w:rFonts w:ascii="Times New Roman" w:hAnsi="Times New Roman" w:cs="Times New Roman"/>
          <w:b/>
          <w:sz w:val="24"/>
          <w:szCs w:val="24"/>
        </w:rPr>
        <w:t>mājsaimniecības, kuras no saviem kopējiem ienākumiem tērē virs 30% par mājokli, tiek uzskatītas par tādām, kurām ir grūtības saistībā ar mājokļa finansiālo pieejamību</w:t>
      </w:r>
      <w:r w:rsidR="00280E83" w:rsidRPr="004A41A9">
        <w:rPr>
          <w:rFonts w:ascii="Times New Roman" w:hAnsi="Times New Roman" w:cs="Times New Roman"/>
          <w:sz w:val="24"/>
          <w:szCs w:val="24"/>
        </w:rPr>
        <w:t>. Atbilstoši Eiropas Savienības oficiālās statistikas (</w:t>
      </w:r>
      <w:r w:rsidR="007230A3">
        <w:rPr>
          <w:rFonts w:ascii="Times New Roman" w:hAnsi="Times New Roman" w:cs="Times New Roman"/>
          <w:i/>
          <w:sz w:val="24"/>
          <w:szCs w:val="24"/>
        </w:rPr>
        <w:t>E</w:t>
      </w:r>
      <w:r w:rsidR="00295217">
        <w:rPr>
          <w:rFonts w:ascii="Times New Roman" w:hAnsi="Times New Roman" w:cs="Times New Roman"/>
          <w:i/>
          <w:sz w:val="24"/>
          <w:szCs w:val="24"/>
        </w:rPr>
        <w:t>u</w:t>
      </w:r>
      <w:r w:rsidR="007230A3">
        <w:rPr>
          <w:rFonts w:ascii="Times New Roman" w:hAnsi="Times New Roman" w:cs="Times New Roman"/>
          <w:i/>
          <w:sz w:val="24"/>
          <w:szCs w:val="24"/>
        </w:rPr>
        <w:t>ro</w:t>
      </w:r>
      <w:r w:rsidR="00280E83" w:rsidRPr="004A41A9">
        <w:rPr>
          <w:rFonts w:ascii="Times New Roman" w:hAnsi="Times New Roman" w:cs="Times New Roman"/>
          <w:i/>
          <w:sz w:val="24"/>
          <w:szCs w:val="24"/>
        </w:rPr>
        <w:t>stat</w:t>
      </w:r>
      <w:r w:rsidR="00280E83" w:rsidRPr="004A41A9">
        <w:rPr>
          <w:rFonts w:ascii="Times New Roman" w:hAnsi="Times New Roman" w:cs="Times New Roman"/>
          <w:sz w:val="24"/>
          <w:szCs w:val="24"/>
        </w:rPr>
        <w:t xml:space="preserve">) mērījumos izmantotajiem rādītājiem, kā jau iepriekš minēts, mājoklis tiek uzskatīts par finansiāli pieejamu (izdevumi par mājokli ir samērīgi attiecībā pret ienākumiem), ja mājokļa izdevumi nepārsniedz 40% no kopējiem mājsaimniecības ienākumiem. Nākamais jautājums ir par to, kas tiek iekļauts kategorijā „mājokļa izdevumi”. Saskaņā ar </w:t>
      </w:r>
      <w:r w:rsidR="007230A3">
        <w:rPr>
          <w:rFonts w:ascii="Times New Roman" w:hAnsi="Times New Roman" w:cs="Times New Roman"/>
          <w:i/>
          <w:sz w:val="24"/>
          <w:szCs w:val="24"/>
        </w:rPr>
        <w:t>E</w:t>
      </w:r>
      <w:r w:rsidR="00295217">
        <w:rPr>
          <w:rFonts w:ascii="Times New Roman" w:hAnsi="Times New Roman" w:cs="Times New Roman"/>
          <w:i/>
          <w:sz w:val="24"/>
          <w:szCs w:val="24"/>
        </w:rPr>
        <w:t>u</w:t>
      </w:r>
      <w:r w:rsidR="007230A3">
        <w:rPr>
          <w:rFonts w:ascii="Times New Roman" w:hAnsi="Times New Roman" w:cs="Times New Roman"/>
          <w:i/>
          <w:sz w:val="24"/>
          <w:szCs w:val="24"/>
        </w:rPr>
        <w:t>ro</w:t>
      </w:r>
      <w:r w:rsidR="00280E83" w:rsidRPr="004A41A9">
        <w:rPr>
          <w:rFonts w:ascii="Times New Roman" w:hAnsi="Times New Roman" w:cs="Times New Roman"/>
          <w:i/>
          <w:sz w:val="24"/>
          <w:szCs w:val="24"/>
        </w:rPr>
        <w:t>stat</w:t>
      </w:r>
      <w:r w:rsidR="00280E83" w:rsidRPr="004A41A9">
        <w:rPr>
          <w:rFonts w:ascii="Times New Roman" w:hAnsi="Times New Roman" w:cs="Times New Roman"/>
          <w:sz w:val="24"/>
          <w:szCs w:val="24"/>
        </w:rPr>
        <w:t xml:space="preserve"> pielietoto metodoloģiju mājokļa izdevumus veido īres vai hipotekārā kredīta (t.sk. aizdevuma procentu) </w:t>
      </w:r>
      <w:r w:rsidR="00280E83" w:rsidRPr="004A41A9">
        <w:rPr>
          <w:rFonts w:ascii="Times New Roman" w:hAnsi="Times New Roman" w:cs="Times New Roman"/>
          <w:sz w:val="24"/>
          <w:szCs w:val="24"/>
        </w:rPr>
        <w:lastRenderedPageBreak/>
        <w:t>izdevumi, izdevumi par ūdeni, elektrību, gāzi un siltumu, kā arī visi citi ar mājokļa apsaimniekošanu saistītie izdevumi</w:t>
      </w:r>
      <w:r w:rsidR="00280E83" w:rsidRPr="004A41A9">
        <w:rPr>
          <w:rStyle w:val="FootnoteReference"/>
          <w:rFonts w:ascii="Times New Roman" w:hAnsi="Times New Roman" w:cs="Times New Roman"/>
          <w:sz w:val="24"/>
          <w:szCs w:val="24"/>
        </w:rPr>
        <w:footnoteReference w:id="230"/>
      </w:r>
      <w:r w:rsidR="00280E83" w:rsidRPr="004A41A9">
        <w:rPr>
          <w:rFonts w:ascii="Times New Roman" w:hAnsi="Times New Roman" w:cs="Times New Roman"/>
          <w:sz w:val="24"/>
          <w:szCs w:val="24"/>
        </w:rPr>
        <w:t>.</w:t>
      </w:r>
      <w:r w:rsidR="00BC282B">
        <w:rPr>
          <w:rFonts w:ascii="Times New Roman" w:hAnsi="Times New Roman" w:cs="Times New Roman"/>
          <w:sz w:val="24"/>
          <w:szCs w:val="24"/>
        </w:rPr>
        <w:t xml:space="preserve"> N</w:t>
      </w:r>
      <w:r w:rsidR="00B35DA0">
        <w:rPr>
          <w:rFonts w:ascii="Times New Roman" w:hAnsi="Times New Roman" w:cs="Times New Roman"/>
          <w:sz w:val="24"/>
          <w:szCs w:val="24"/>
        </w:rPr>
        <w:t>osakot izdevumu daļas par mājokl</w:t>
      </w:r>
      <w:r w:rsidR="00BC282B">
        <w:rPr>
          <w:rFonts w:ascii="Times New Roman" w:hAnsi="Times New Roman" w:cs="Times New Roman"/>
          <w:sz w:val="24"/>
          <w:szCs w:val="24"/>
        </w:rPr>
        <w:t>i apmēru, mājsaimniecībai nerada grūtības saistībā ar finansiālo mājokļa pieejamību, svarīg</w:t>
      </w:r>
      <w:r w:rsidR="00295217">
        <w:rPr>
          <w:rFonts w:ascii="Times New Roman" w:hAnsi="Times New Roman" w:cs="Times New Roman"/>
          <w:sz w:val="24"/>
          <w:szCs w:val="24"/>
        </w:rPr>
        <w:t>i</w:t>
      </w:r>
      <w:r w:rsidR="00BC282B">
        <w:rPr>
          <w:rFonts w:ascii="Times New Roman" w:hAnsi="Times New Roman" w:cs="Times New Roman"/>
          <w:sz w:val="24"/>
          <w:szCs w:val="24"/>
        </w:rPr>
        <w:t xml:space="preserve"> ir ņemt vērā konkrētās valsts iedzīvotāju vidējos ienākumus. Kā skaidroja Izvērtējumā intervētie eksperti, </w:t>
      </w:r>
      <w:r w:rsidR="00BC282B" w:rsidRPr="00AE6D3A">
        <w:rPr>
          <w:rFonts w:ascii="Times New Roman" w:hAnsi="Times New Roman" w:cs="Times New Roman"/>
          <w:b/>
          <w:sz w:val="24"/>
          <w:szCs w:val="24"/>
        </w:rPr>
        <w:t>Latvijas gadījumā grūtības var sākt rasties no brīža, kad par mājokli ir jāizdod</w:t>
      </w:r>
      <w:r w:rsidR="00295217">
        <w:rPr>
          <w:rFonts w:ascii="Times New Roman" w:hAnsi="Times New Roman" w:cs="Times New Roman"/>
          <w:b/>
          <w:sz w:val="24"/>
          <w:szCs w:val="24"/>
        </w:rPr>
        <w:t xml:space="preserve"> </w:t>
      </w:r>
      <w:r w:rsidR="00BC282B" w:rsidRPr="00AE6D3A">
        <w:rPr>
          <w:rFonts w:ascii="Times New Roman" w:hAnsi="Times New Roman" w:cs="Times New Roman"/>
          <w:b/>
          <w:sz w:val="24"/>
          <w:szCs w:val="24"/>
        </w:rPr>
        <w:t>jau 20% no māj</w:t>
      </w:r>
      <w:r w:rsidR="00AE6D3A">
        <w:rPr>
          <w:rFonts w:ascii="Times New Roman" w:hAnsi="Times New Roman" w:cs="Times New Roman"/>
          <w:b/>
          <w:sz w:val="24"/>
          <w:szCs w:val="24"/>
        </w:rPr>
        <w:t>saimniecības kopējiem ienākumiem</w:t>
      </w:r>
      <w:r w:rsidR="00AE6D3A">
        <w:rPr>
          <w:rFonts w:ascii="Times New Roman" w:hAnsi="Times New Roman" w:cs="Times New Roman"/>
          <w:sz w:val="24"/>
          <w:szCs w:val="24"/>
        </w:rPr>
        <w:t xml:space="preserve">, kas pamatots ar atlikušās ienākumu daļas apmēru. </w:t>
      </w:r>
    </w:p>
    <w:p w:rsidR="00FA67C5" w:rsidRPr="00246B0E" w:rsidRDefault="00FA67C5" w:rsidP="00064C1E">
      <w:pPr>
        <w:pStyle w:val="HTMLPreformatted"/>
        <w:shd w:val="clear" w:color="auto" w:fill="FFFFFF"/>
        <w:jc w:val="both"/>
        <w:rPr>
          <w:rFonts w:ascii="Times New Roman" w:hAnsi="Times New Roman" w:cs="Times New Roman"/>
          <w:sz w:val="24"/>
          <w:szCs w:val="24"/>
        </w:rPr>
      </w:pPr>
    </w:p>
    <w:p w:rsidR="000B2863" w:rsidRPr="00F870E0" w:rsidRDefault="000B2863" w:rsidP="00064C1E">
      <w:pPr>
        <w:pStyle w:val="HTMLPreformatted"/>
        <w:shd w:val="clear" w:color="auto" w:fill="FFFFFF"/>
        <w:jc w:val="both"/>
        <w:rPr>
          <w:rFonts w:ascii="Times New Roman" w:hAnsi="Times New Roman" w:cs="Times New Roman"/>
          <w:sz w:val="24"/>
          <w:szCs w:val="24"/>
        </w:rPr>
      </w:pPr>
      <w:r w:rsidRPr="00F870E0">
        <w:rPr>
          <w:rFonts w:ascii="Times New Roman" w:hAnsi="Times New Roman" w:cs="Times New Roman"/>
          <w:sz w:val="24"/>
          <w:szCs w:val="24"/>
        </w:rPr>
        <w:t>Eiropas PretNabadzības tīkla 2016. gada decembra publikācijā</w:t>
      </w:r>
      <w:r w:rsidRPr="00F870E0">
        <w:rPr>
          <w:rStyle w:val="FootnoteReference"/>
          <w:rFonts w:ascii="Times New Roman" w:hAnsi="Times New Roman" w:cs="Times New Roman"/>
          <w:sz w:val="24"/>
          <w:szCs w:val="24"/>
        </w:rPr>
        <w:footnoteReference w:id="231"/>
      </w:r>
      <w:r w:rsidRPr="00F870E0">
        <w:rPr>
          <w:rFonts w:ascii="Times New Roman" w:hAnsi="Times New Roman" w:cs="Times New Roman"/>
          <w:sz w:val="24"/>
          <w:szCs w:val="24"/>
        </w:rPr>
        <w:t xml:space="preserve"> norādīts, ka kvalitatīva mājokļa</w:t>
      </w:r>
      <w:r w:rsidRPr="007438CC">
        <w:rPr>
          <w:rFonts w:ascii="Times New Roman" w:hAnsi="Times New Roman" w:cs="Times New Roman"/>
          <w:sz w:val="24"/>
          <w:szCs w:val="24"/>
        </w:rPr>
        <w:t xml:space="preserve"> pieejamība par pieņemamu cenu (tādu, kuru cilvēks var atļauties</w:t>
      </w:r>
      <w:r>
        <w:rPr>
          <w:rFonts w:ascii="Times New Roman" w:hAnsi="Times New Roman" w:cs="Times New Roman"/>
          <w:sz w:val="24"/>
          <w:szCs w:val="24"/>
        </w:rPr>
        <w:t xml:space="preserve"> atbilstoši saviem</w:t>
      </w:r>
      <w:r w:rsidRPr="007438CC">
        <w:rPr>
          <w:rFonts w:ascii="Times New Roman" w:hAnsi="Times New Roman" w:cs="Times New Roman"/>
          <w:sz w:val="24"/>
          <w:szCs w:val="24"/>
        </w:rPr>
        <w:t xml:space="preserve"> ienākum</w:t>
      </w:r>
      <w:r>
        <w:rPr>
          <w:rFonts w:ascii="Times New Roman" w:hAnsi="Times New Roman" w:cs="Times New Roman"/>
          <w:sz w:val="24"/>
          <w:szCs w:val="24"/>
        </w:rPr>
        <w:t>iem</w:t>
      </w:r>
      <w:r w:rsidRPr="007438CC">
        <w:rPr>
          <w:rFonts w:ascii="Times New Roman" w:hAnsi="Times New Roman" w:cs="Times New Roman"/>
          <w:sz w:val="24"/>
          <w:szCs w:val="24"/>
        </w:rPr>
        <w:t xml:space="preserve">) ir viena no galvenajām problēmām, ar kuru saskaras iedzīvotāji, jo īpaši tie, kas ir pakļauti nabadzības un sociālās atstumtības riskam. Ziņojumā uzsvērts, ka kvalitatīvu un izdevumu ziņā pieejamu mājokļu pieejamība ir būtisks priekšnoteikums, lai mazinātu sociālo atstumtību un veicinātu ienākumu vienlīdzību. Investīcijas mājokļu pieejamības tiesību ievērošanā ir uzskatāmas par prioritāru intervences politiku, lai novērstu bezpajumtniecību, samazinātu nabadzību un sociālo atstumtību. Tam jābūt tiesību uz cilvēka cienīgu dzīvi pamatam. </w:t>
      </w:r>
      <w:r>
        <w:rPr>
          <w:rFonts w:ascii="Times New Roman" w:hAnsi="Times New Roman" w:cs="Times New Roman"/>
          <w:sz w:val="24"/>
          <w:szCs w:val="24"/>
        </w:rPr>
        <w:t xml:space="preserve">Viena no ES līmeņa politikas rekomendācijām šajā dokumentā vēsta, ka ES mājokļa minimālie kvalitātes standarti būtu jānosaka un jāuzrauga, izmantojot </w:t>
      </w:r>
      <w:r w:rsidRPr="000C0D1E">
        <w:rPr>
          <w:rFonts w:ascii="Times New Roman" w:hAnsi="Times New Roman" w:cs="Times New Roman"/>
          <w:color w:val="000000"/>
          <w:sz w:val="24"/>
          <w:szCs w:val="24"/>
        </w:rPr>
        <w:t>apsekojum</w:t>
      </w:r>
      <w:r>
        <w:rPr>
          <w:rFonts w:ascii="Times New Roman" w:hAnsi="Times New Roman" w:cs="Times New Roman"/>
          <w:color w:val="000000"/>
          <w:sz w:val="24"/>
          <w:szCs w:val="24"/>
        </w:rPr>
        <w:t>ā</w:t>
      </w:r>
      <w:r w:rsidRPr="000C0D1E">
        <w:rPr>
          <w:rFonts w:ascii="Times New Roman" w:hAnsi="Times New Roman" w:cs="Times New Roman"/>
          <w:color w:val="000000"/>
          <w:sz w:val="24"/>
          <w:szCs w:val="24"/>
        </w:rPr>
        <w:t xml:space="preserve"> </w:t>
      </w:r>
      <w:r w:rsidR="00F870E0">
        <w:rPr>
          <w:rFonts w:ascii="Times New Roman" w:hAnsi="Times New Roman" w:cs="Times New Roman"/>
          <w:color w:val="000000"/>
          <w:sz w:val="24"/>
          <w:szCs w:val="24"/>
        </w:rPr>
        <w:t>„</w:t>
      </w:r>
      <w:r w:rsidRPr="000C0D1E">
        <w:rPr>
          <w:rFonts w:ascii="Times New Roman" w:hAnsi="Times New Roman" w:cs="Times New Roman"/>
          <w:color w:val="000000"/>
          <w:sz w:val="24"/>
          <w:szCs w:val="24"/>
        </w:rPr>
        <w:t xml:space="preserve">Eiropas Savienības statistika par ienākumiem un dzīves </w:t>
      </w:r>
      <w:r w:rsidRPr="00F870E0">
        <w:rPr>
          <w:rFonts w:ascii="Times New Roman" w:hAnsi="Times New Roman" w:cs="Times New Roman"/>
          <w:color w:val="000000"/>
          <w:sz w:val="24"/>
          <w:szCs w:val="24"/>
        </w:rPr>
        <w:t>apstākļiem</w:t>
      </w:r>
      <w:r w:rsidR="00F870E0">
        <w:rPr>
          <w:rFonts w:ascii="Times New Roman" w:hAnsi="Times New Roman" w:cs="Times New Roman"/>
          <w:color w:val="000000"/>
          <w:sz w:val="24"/>
          <w:szCs w:val="24"/>
        </w:rPr>
        <w:t>”</w:t>
      </w:r>
      <w:r w:rsidRPr="00F870E0">
        <w:rPr>
          <w:rFonts w:ascii="Times New Roman" w:hAnsi="Times New Roman" w:cs="Times New Roman"/>
          <w:color w:val="000000"/>
          <w:sz w:val="23"/>
          <w:szCs w:val="23"/>
        </w:rPr>
        <w:t xml:space="preserve"> </w:t>
      </w:r>
      <w:r w:rsidR="00D54545">
        <w:rPr>
          <w:rFonts w:ascii="Times New Roman" w:hAnsi="Times New Roman" w:cs="Times New Roman"/>
          <w:sz w:val="24"/>
          <w:szCs w:val="24"/>
        </w:rPr>
        <w:t>(EU-</w:t>
      </w:r>
      <w:r w:rsidRPr="00F870E0">
        <w:rPr>
          <w:rFonts w:ascii="Times New Roman" w:hAnsi="Times New Roman" w:cs="Times New Roman"/>
          <w:sz w:val="24"/>
          <w:szCs w:val="24"/>
        </w:rPr>
        <w:t>SILC) iekļautos rādītājus</w:t>
      </w:r>
      <w:r w:rsidRPr="00F870E0">
        <w:rPr>
          <w:rStyle w:val="FootnoteReference"/>
          <w:rFonts w:ascii="Times New Roman" w:hAnsi="Times New Roman" w:cs="Times New Roman"/>
          <w:sz w:val="24"/>
          <w:szCs w:val="24"/>
        </w:rPr>
        <w:footnoteReference w:id="232"/>
      </w:r>
      <w:r w:rsidRPr="00F870E0">
        <w:rPr>
          <w:rFonts w:ascii="Times New Roman" w:hAnsi="Times New Roman" w:cs="Times New Roman"/>
          <w:sz w:val="24"/>
          <w:szCs w:val="24"/>
        </w:rPr>
        <w:t xml:space="preserve">. </w:t>
      </w:r>
    </w:p>
    <w:p w:rsidR="000B2863" w:rsidRDefault="000B2863" w:rsidP="00064C1E">
      <w:pPr>
        <w:pStyle w:val="HTMLPreformatted"/>
        <w:shd w:val="clear" w:color="auto" w:fill="FFFFFF"/>
        <w:rPr>
          <w:rFonts w:ascii="Times New Roman" w:hAnsi="Times New Roman" w:cs="Times New Roman"/>
          <w:sz w:val="24"/>
          <w:szCs w:val="24"/>
        </w:rPr>
      </w:pPr>
    </w:p>
    <w:p w:rsidR="000B2863" w:rsidRDefault="000B2863" w:rsidP="00064C1E">
      <w:pPr>
        <w:shd w:val="clear" w:color="auto" w:fill="FFFFFF"/>
        <w:rPr>
          <w:color w:val="000000"/>
        </w:rPr>
      </w:pPr>
      <w:r w:rsidRPr="008C37F0">
        <w:rPr>
          <w:color w:val="000000"/>
        </w:rPr>
        <w:t xml:space="preserve">EU-SILC apsekojums sniedz informāciju par mājokļa vispārējo raksturojumu, mājokļa veidu, atsevišķām problēmām saistībā ar mājokli un ar mājokļa uzturēšanu saistītajiem izdevumiem un to ietekmi uz mājsaimniecības finansiālo situāciju (kopumā 14 indikatori, </w:t>
      </w:r>
      <w:r>
        <w:rPr>
          <w:color w:val="000000"/>
        </w:rPr>
        <w:t xml:space="preserve">izvērstu indikatoru raksturojumu </w:t>
      </w:r>
      <w:r w:rsidRPr="008C37F0">
        <w:rPr>
          <w:color w:val="000000"/>
        </w:rPr>
        <w:t xml:space="preserve">skat. Metodoloģiju). </w:t>
      </w:r>
      <w:r>
        <w:rPr>
          <w:color w:val="000000"/>
        </w:rPr>
        <w:t xml:space="preserve">ES statistikas pārvalde </w:t>
      </w:r>
      <w:r w:rsidR="007230A3">
        <w:rPr>
          <w:i/>
          <w:color w:val="000000"/>
        </w:rPr>
        <w:t>E</w:t>
      </w:r>
      <w:r w:rsidR="00295217">
        <w:rPr>
          <w:i/>
          <w:color w:val="000000"/>
        </w:rPr>
        <w:t>u</w:t>
      </w:r>
      <w:r w:rsidR="007230A3">
        <w:rPr>
          <w:i/>
          <w:color w:val="000000"/>
        </w:rPr>
        <w:t>ro</w:t>
      </w:r>
      <w:r w:rsidRPr="00C35FE9">
        <w:rPr>
          <w:i/>
          <w:color w:val="000000"/>
        </w:rPr>
        <w:t>stat</w:t>
      </w:r>
      <w:r w:rsidRPr="00F969A7">
        <w:rPr>
          <w:rStyle w:val="FootnoteReference"/>
          <w:color w:val="000000"/>
        </w:rPr>
        <w:footnoteReference w:id="233"/>
      </w:r>
      <w:r>
        <w:rPr>
          <w:color w:val="000000"/>
        </w:rPr>
        <w:t xml:space="preserve"> definē pienācīgu mājokli [angļu val.: </w:t>
      </w:r>
      <w:r w:rsidRPr="00D47CFD">
        <w:rPr>
          <w:i/>
        </w:rPr>
        <w:t>decent housing</w:t>
      </w:r>
      <w:r>
        <w:rPr>
          <w:color w:val="000000"/>
        </w:rPr>
        <w:t>], balstoties uz šādiem rādītājiem: mājokļa izdevumi (tiek noteikts iedzīvotāju īpatsvars, kas dzīvo mājsaimniecībās, kuru mājokļa izdevumi ir lielāki nekā 40% no visiem mājsaimniecības ienākumiem); mājokļa lielums (pārapdzīvotības līmenis</w:t>
      </w:r>
      <w:r>
        <w:rPr>
          <w:rStyle w:val="FootnoteReference"/>
          <w:color w:val="000000"/>
        </w:rPr>
        <w:footnoteReference w:id="234"/>
      </w:r>
      <w:r>
        <w:rPr>
          <w:color w:val="000000"/>
        </w:rPr>
        <w:t>); mājokļa labiekārtojums (sanitāro telpu – vannas istabas, dušas, iekštelpu tualetes pieejamība); mājokļa problēmas (tekošs jumts, dienasgaismas trūkums); problēmas, kas saistītas ar mājokļa atrašanās vietu (troksnis, noziedzība, piesārņojums, citu pakalpojumu pieejamība). Nevienlīdzības mājokļa jomā definēšanas kontekstā būtiskas ir statistikas rādītāju kategorijas – tie ir rādītāji, kas raksturo mājokļa izdevumus, mājokļa kvalitāti un mājokļa atrašanās vietu.</w:t>
      </w:r>
    </w:p>
    <w:p w:rsidR="00DF288F" w:rsidRDefault="005201C2" w:rsidP="003945E0">
      <w:pPr>
        <w:pStyle w:val="Heading3"/>
      </w:pPr>
      <w:bookmarkStart w:id="524" w:name="_Toc6841611"/>
      <w:r>
        <w:lastRenderedPageBreak/>
        <w:t>N</w:t>
      </w:r>
      <w:r w:rsidR="00A277B2">
        <w:t>evienlīdzība</w:t>
      </w:r>
      <w:r w:rsidR="00E60C79">
        <w:t>s</w:t>
      </w:r>
      <w:r w:rsidR="00A277B2">
        <w:t xml:space="preserve"> mājokļa </w:t>
      </w:r>
      <w:r w:rsidR="00F24445">
        <w:t xml:space="preserve">pieejamības </w:t>
      </w:r>
      <w:r w:rsidR="00A277B2">
        <w:t xml:space="preserve">jomā </w:t>
      </w:r>
      <w:r w:rsidR="00DF288F">
        <w:t>definīcija</w:t>
      </w:r>
      <w:bookmarkEnd w:id="524"/>
    </w:p>
    <w:p w:rsidR="00DF288F" w:rsidRDefault="00DF288F" w:rsidP="00064C1E">
      <w:r>
        <w:t>Balstoties uz veikto dokumentu analīzi</w:t>
      </w:r>
      <w:r w:rsidR="00F068A0">
        <w:t xml:space="preserve"> un statistiskas datu apsekojumos iekļautajiem un definētajiem rādītājiem</w:t>
      </w:r>
      <w:r>
        <w:t>, Izvērtējuma autori piedāvā mājokļa</w:t>
      </w:r>
      <w:r w:rsidR="00F24445">
        <w:t xml:space="preserve"> un nevienlīdzība mājokļa</w:t>
      </w:r>
      <w:r>
        <w:t xml:space="preserve"> </w:t>
      </w:r>
      <w:r w:rsidR="00F24445">
        <w:t>pieejamības</w:t>
      </w:r>
      <w:r>
        <w:t xml:space="preserve"> jomā definīcijas</w:t>
      </w:r>
      <w:r w:rsidR="000B2863">
        <w:t>/ skaidrojumus</w:t>
      </w:r>
      <w:r>
        <w:t xml:space="preserve">. </w:t>
      </w:r>
    </w:p>
    <w:p w:rsidR="00DF288F" w:rsidRDefault="00DF288F" w:rsidP="00064C1E"/>
    <w:p w:rsidR="00BC0B88" w:rsidRDefault="00DF288F" w:rsidP="00064C1E">
      <w:r>
        <w:t xml:space="preserve">Mājoklis ir </w:t>
      </w:r>
      <w:r w:rsidRPr="00EB2D3D">
        <w:rPr>
          <w:color w:val="000000"/>
          <w:shd w:val="clear" w:color="auto" w:fill="FFFFFF"/>
        </w:rPr>
        <w:t xml:space="preserve">ēka vai ēkas daļa, kurā mājsaimniecība </w:t>
      </w:r>
      <w:r w:rsidR="005B29DC">
        <w:rPr>
          <w:color w:val="000000"/>
          <w:shd w:val="clear" w:color="auto" w:fill="FFFFFF"/>
        </w:rPr>
        <w:t xml:space="preserve">var </w:t>
      </w:r>
      <w:r w:rsidRPr="00EB2D3D">
        <w:rPr>
          <w:color w:val="000000"/>
          <w:shd w:val="clear" w:color="auto" w:fill="FFFFFF"/>
        </w:rPr>
        <w:t>dzīvo</w:t>
      </w:r>
      <w:r w:rsidR="005B29DC">
        <w:rPr>
          <w:color w:val="000000"/>
          <w:shd w:val="clear" w:color="auto" w:fill="FFFFFF"/>
        </w:rPr>
        <w:t>t</w:t>
      </w:r>
      <w:r w:rsidRPr="00EB2D3D">
        <w:rPr>
          <w:color w:val="000000"/>
          <w:shd w:val="clear" w:color="auto" w:fill="FFFFFF"/>
        </w:rPr>
        <w:t xml:space="preserve"> visa gada garumā un kas atbilst </w:t>
      </w:r>
      <w:r>
        <w:rPr>
          <w:color w:val="000000"/>
          <w:shd w:val="clear" w:color="auto" w:fill="FFFFFF"/>
        </w:rPr>
        <w:t>nacionālajos tiesību aktos noteiktajiem mājokļa standartiem un starptautiskajām mājokļa kvalitātes prasībām.</w:t>
      </w:r>
      <w:r w:rsidR="003826E1">
        <w:rPr>
          <w:color w:val="000000"/>
          <w:shd w:val="clear" w:color="auto" w:fill="FFFFFF"/>
        </w:rPr>
        <w:t xml:space="preserve"> </w:t>
      </w:r>
      <w:r w:rsidR="00BC0B88">
        <w:t>Mājokļa pieejamība ietver divus galvenos elementus: pirmkārt, dzīvojamā fonda atbilstība mājokļu pieprasījumam un mājokļa kvalitātes standartiem, otrkārt, mājokļa izdevumu samērīgums ar mājsaimniecības ienākumiem.</w:t>
      </w:r>
    </w:p>
    <w:p w:rsidR="00BC0B88" w:rsidRDefault="00BC0B88" w:rsidP="00064C1E"/>
    <w:p w:rsidR="00DF288F" w:rsidRPr="00DF288F" w:rsidRDefault="00DF288F" w:rsidP="00064C1E">
      <w:r>
        <w:t xml:space="preserve">Nevienlīdzība mājokļu </w:t>
      </w:r>
      <w:r w:rsidR="00BC0B88">
        <w:t xml:space="preserve">pieejamības </w:t>
      </w:r>
      <w:r>
        <w:t xml:space="preserve">jomā nozīmē </w:t>
      </w:r>
      <w:r w:rsidRPr="00B532F7">
        <w:t>tiesību uz pienācīgu mājokli ierobežošanu vai neievērošanu.</w:t>
      </w:r>
      <w:r>
        <w:t xml:space="preserve"> </w:t>
      </w:r>
      <w:r>
        <w:rPr>
          <w:color w:val="000000"/>
          <w:shd w:val="clear" w:color="auto" w:fill="FFFFFF"/>
        </w:rPr>
        <w:t xml:space="preserve">Tiesības uz pienācīgu mājokli aptver šādus pamata jeb primāros elementus - </w:t>
      </w:r>
      <w:r>
        <w:t>mājokļa fiziska pieejamība, mājokļa izdevumi attiecībā pret personas/ mājsaimniecības ienākumiem, mājokļa kvalitāte un labiekārtotība, mājokļa platība un lielums, kā arī papildu jeb sekundāros elementus - mājokļa telpiskā</w:t>
      </w:r>
      <w:r w:rsidR="008D4165">
        <w:t>/ ģeogrāfiskā</w:t>
      </w:r>
      <w:r>
        <w:t xml:space="preserve"> segregācija, mājokļa atrašanās vietas vides faktori, mājokļa sociālā pieejamība.</w:t>
      </w:r>
    </w:p>
    <w:p w:rsidR="00F24445" w:rsidRDefault="00F24445" w:rsidP="00064C1E">
      <w:pPr>
        <w:jc w:val="left"/>
      </w:pPr>
    </w:p>
    <w:p w:rsidR="00B532F7" w:rsidRPr="00703B06" w:rsidRDefault="00B532F7" w:rsidP="00922A20">
      <w:r>
        <w:t xml:space="preserve">Rādītāji, kas raksturo personas tiesību uz mājokli ievērošanu un attiecīgi </w:t>
      </w:r>
      <w:r w:rsidRPr="00D411A2">
        <w:rPr>
          <w:b/>
        </w:rPr>
        <w:t>vienlīdzīgas iespējas mājokļu jomā</w:t>
      </w:r>
      <w:r>
        <w:t xml:space="preserve">, ir šādi: </w:t>
      </w:r>
    </w:p>
    <w:p w:rsidR="00B532F7" w:rsidRDefault="00B532F7" w:rsidP="00586F05">
      <w:pPr>
        <w:pStyle w:val="ListParagraph"/>
        <w:numPr>
          <w:ilvl w:val="0"/>
          <w:numId w:val="48"/>
        </w:numPr>
        <w:spacing w:line="276" w:lineRule="auto"/>
        <w:jc w:val="both"/>
      </w:pPr>
      <w:r>
        <w:t>mājokļa infrastruktūras (dzīvojamā fonda) pieejamība;</w:t>
      </w:r>
    </w:p>
    <w:p w:rsidR="00B532F7" w:rsidRDefault="00B532F7" w:rsidP="00586F05">
      <w:pPr>
        <w:pStyle w:val="ListParagraph"/>
        <w:numPr>
          <w:ilvl w:val="0"/>
          <w:numId w:val="48"/>
        </w:numPr>
        <w:spacing w:line="276" w:lineRule="auto"/>
        <w:jc w:val="both"/>
      </w:pPr>
      <w:r>
        <w:t>mājokļa stāvoklis/kvalitāte (sienas, jumts u.tml.);</w:t>
      </w:r>
    </w:p>
    <w:p w:rsidR="00B532F7" w:rsidRDefault="00B532F7" w:rsidP="00586F05">
      <w:pPr>
        <w:pStyle w:val="ListParagraph"/>
        <w:numPr>
          <w:ilvl w:val="0"/>
          <w:numId w:val="48"/>
        </w:numPr>
        <w:spacing w:line="276" w:lineRule="auto"/>
        <w:jc w:val="both"/>
      </w:pPr>
      <w:r>
        <w:t>mājokļa labiekārtotība (ūdensvads, karstais ūdens, kanalizācija, siltumapgāde, elektrība);</w:t>
      </w:r>
    </w:p>
    <w:p w:rsidR="00B532F7" w:rsidRDefault="00B532F7" w:rsidP="00586F05">
      <w:pPr>
        <w:pStyle w:val="ListParagraph"/>
        <w:numPr>
          <w:ilvl w:val="0"/>
          <w:numId w:val="48"/>
        </w:numPr>
        <w:spacing w:line="276" w:lineRule="auto"/>
        <w:jc w:val="both"/>
      </w:pPr>
      <w:r>
        <w:t xml:space="preserve">mājokļa izdevumi (īres izdevumi, hipotekārā kredīta izdevumi, izdevumi par siltumu, elektrību, ūdeni u.tml.); </w:t>
      </w:r>
    </w:p>
    <w:p w:rsidR="00B532F7" w:rsidRDefault="00B532F7" w:rsidP="00586F05">
      <w:pPr>
        <w:pStyle w:val="ListParagraph"/>
        <w:numPr>
          <w:ilvl w:val="0"/>
          <w:numId w:val="48"/>
        </w:numPr>
        <w:spacing w:line="276" w:lineRule="auto"/>
        <w:jc w:val="both"/>
      </w:pPr>
      <w:r>
        <w:t>mājokļa telpiskā</w:t>
      </w:r>
      <w:r w:rsidR="008D4165">
        <w:t>/ ģeogrāfiskā</w:t>
      </w:r>
      <w:r>
        <w:t xml:space="preserve"> segregācija – ierobežota citu pamata pakalpojumu (veselības aprūpe, izglītība, sabiedriskais transports) pieejamība;</w:t>
      </w:r>
    </w:p>
    <w:p w:rsidR="00B532F7" w:rsidRDefault="00B532F7" w:rsidP="00586F05">
      <w:pPr>
        <w:pStyle w:val="ListParagraph"/>
        <w:numPr>
          <w:ilvl w:val="0"/>
          <w:numId w:val="48"/>
        </w:numPr>
        <w:spacing w:line="276" w:lineRule="auto"/>
        <w:jc w:val="both"/>
      </w:pPr>
      <w:r>
        <w:t>mājokļa atrašanās vietas apkārtējās vides faktori (gaisa kvalitāte, trokšņa līmenis, dienas gaismas trūkums);</w:t>
      </w:r>
    </w:p>
    <w:p w:rsidR="00B532F7" w:rsidRDefault="00B532F7" w:rsidP="00586F05">
      <w:pPr>
        <w:pStyle w:val="ListParagraph"/>
        <w:numPr>
          <w:ilvl w:val="0"/>
          <w:numId w:val="48"/>
        </w:numPr>
        <w:spacing w:line="276" w:lineRule="auto"/>
        <w:jc w:val="both"/>
      </w:pPr>
      <w:r>
        <w:t>mājokļa platība un lielums (dzīvojamās telpas platība uz vienu personu</w:t>
      </w:r>
      <w:r>
        <w:rPr>
          <w:rStyle w:val="FootnoteReference"/>
        </w:rPr>
        <w:footnoteReference w:id="235"/>
      </w:r>
      <w:r>
        <w:t>, istabu skaits uz vienu personu mājoklī</w:t>
      </w:r>
      <w:r>
        <w:rPr>
          <w:rStyle w:val="FootnoteReference"/>
        </w:rPr>
        <w:footnoteReference w:id="236"/>
      </w:r>
      <w:r>
        <w:t>);</w:t>
      </w:r>
    </w:p>
    <w:p w:rsidR="00B532F7" w:rsidRDefault="00B532F7" w:rsidP="00586F05">
      <w:pPr>
        <w:pStyle w:val="ListParagraph"/>
        <w:numPr>
          <w:ilvl w:val="0"/>
          <w:numId w:val="48"/>
        </w:numPr>
        <w:spacing w:line="276" w:lineRule="auto"/>
        <w:jc w:val="both"/>
      </w:pPr>
      <w:r>
        <w:lastRenderedPageBreak/>
        <w:t>mājokļu pieejamības sociālie faktori (mājokļu īpašnieku un kaimiņu diskriminējoša attieksme pret noteiktām sociālām grupām, kā arī pazeminātas sociālās prasmes noteiktām sociālajām grupām).</w:t>
      </w:r>
    </w:p>
    <w:p w:rsidR="00B532F7" w:rsidRDefault="00B532F7" w:rsidP="00064C1E">
      <w:pPr>
        <w:jc w:val="left"/>
      </w:pPr>
    </w:p>
    <w:p w:rsidR="00C34AC5" w:rsidRDefault="00C34AC5" w:rsidP="00064C1E">
      <w:r>
        <w:t>Izvērtējumā mājokļu jomas ekspertiem tika lūgts sniegt savu vērtējumu un viedokli par augstāk minētajiem nevienlīdzības mājokļa pieejamības jomā rādītājiem, kā arī papildināt tos ar citiem, ja nepieciešams. Kopumā eksperti novērtējuši šos rādītājus kā atbilstošus. Ekspertu skatījumā galvenie rādītāji ir  mājokļu infrastruktūras pieejamība</w:t>
      </w:r>
      <w:r w:rsidR="00D6196C">
        <w:t xml:space="preserve"> (t</w:t>
      </w:r>
      <w:r w:rsidR="00337DF1">
        <w:t>.</w:t>
      </w:r>
      <w:r w:rsidR="00D6196C">
        <w:t>sk</w:t>
      </w:r>
      <w:r w:rsidR="00337DF1">
        <w:t>.</w:t>
      </w:r>
      <w:r w:rsidR="00D6196C">
        <w:t xml:space="preserve"> pielāgotu mājokļu pieejamība personām ar funkcionāliem traucējumiem)</w:t>
      </w:r>
      <w:r>
        <w:t xml:space="preserve">, mājokļa izdevumi attiecībā pret personas ienākumiem un  mājokļa tehniskais stāvoklis un labiekārtotība. </w:t>
      </w:r>
    </w:p>
    <w:p w:rsidR="00C34AC5" w:rsidRDefault="00C34AC5" w:rsidP="00064C1E"/>
    <w:p w:rsidR="00C34AC5" w:rsidRDefault="00C34AC5" w:rsidP="00064C1E">
      <w:r w:rsidRPr="005615D3">
        <w:t xml:space="preserve">Attiecībā uz mājokļu tehnisko stāvokli, viens no ekspertiem, uzsvēra, ka, raugoties uz esošo situāciju no šī rādītāja perspektīvas, mājokļa pieejamība ir apdraudēta </w:t>
      </w:r>
      <w:r w:rsidR="005615D3" w:rsidRPr="005615D3">
        <w:t>lielāk</w:t>
      </w:r>
      <w:r w:rsidR="0055735B">
        <w:t xml:space="preserve">ajai </w:t>
      </w:r>
      <w:r w:rsidR="005615D3" w:rsidRPr="005615D3">
        <w:t>daļa</w:t>
      </w:r>
      <w:r w:rsidR="0055735B">
        <w:t>i</w:t>
      </w:r>
      <w:r w:rsidRPr="005615D3">
        <w:t xml:space="preserve"> Latvijas iedzīvotāju, ņemot vērā Latvijas dzīvojamā fonda neapmierinošo tehnisko stāvokli. </w:t>
      </w:r>
      <w:r>
        <w:t xml:space="preserve">Situācijā, ja iedzīvotājiem ēkas tehniskā stāvokļa dēļ ir jāatbrīvo savs dzīvoklis, ienākumu līmenim nav nozīmes. Tas nozīmē, ka dzīvojamā fonda tehniskais stāvoklis rada mājokļa pieejamības risku visiem šo māju iedzīvotājiem. </w:t>
      </w:r>
      <w:r w:rsidR="0055735B">
        <w:t>Saskaņā ar eksperta intervijā pausto nostāju, p</w:t>
      </w:r>
      <w:r>
        <w:t xml:space="preserve">roblēmas risināšanu apgrūtina situācija, </w:t>
      </w:r>
      <w:r w:rsidRPr="00361DE3">
        <w:t>ka Latvijā kopumā mājokļa joma ir pamatā piekrītoša privātajam sektoram</w:t>
      </w:r>
      <w:r w:rsidR="00361DE3" w:rsidRPr="00361DE3">
        <w:t xml:space="preserve"> tādā nozīmē, ka lielākā daļa mājokļu ir privātais īpašums (pēc CSP datiem 2017.</w:t>
      </w:r>
      <w:r w:rsidR="00D54545">
        <w:t xml:space="preserve"> </w:t>
      </w:r>
      <w:r w:rsidR="00361DE3" w:rsidRPr="00361DE3">
        <w:t>gadā 73,3% mājokļu pieder</w:t>
      </w:r>
      <w:r w:rsidR="00361DE3">
        <w:t>ē</w:t>
      </w:r>
      <w:r w:rsidR="00361DE3" w:rsidRPr="00361DE3">
        <w:t>ja kādam no mājsaimniecības locekļiem bez hipotekārā kredīta)</w:t>
      </w:r>
      <w:r w:rsidRPr="00361DE3">
        <w:t xml:space="preserve">. Taču </w:t>
      </w:r>
      <w:r w:rsidR="00361DE3" w:rsidRPr="00361DE3">
        <w:t>mājokļu īpašnieki, pamatā tas attiecas uz daudzdzīvokļu namu iemītniekiem,</w:t>
      </w:r>
      <w:r w:rsidRPr="00361DE3">
        <w:t xml:space="preserve"> nav spējīg</w:t>
      </w:r>
      <w:r w:rsidR="00361DE3" w:rsidRPr="00361DE3">
        <w:t>i patstāvīgi un</w:t>
      </w:r>
      <w:r w:rsidRPr="00361DE3">
        <w:t xml:space="preserve"> sistēmiski risināt dzīvojamā fonda tehniskā stāvokļa problēmu bez </w:t>
      </w:r>
      <w:r w:rsidR="00361DE3" w:rsidRPr="00361DE3">
        <w:t>ārēja</w:t>
      </w:r>
      <w:r w:rsidRPr="00361DE3">
        <w:t xml:space="preserve"> atbalsta. Proti, daudzdzīvokļu nama dzīvokļu īpašniekiem nav kapacitātes risināt nama tehniskā stāvokļa problēmas.</w:t>
      </w:r>
    </w:p>
    <w:p w:rsidR="00C34AC5" w:rsidRDefault="00C34AC5" w:rsidP="00064C1E"/>
    <w:p w:rsidR="00C34AC5" w:rsidRDefault="00C34AC5" w:rsidP="00064C1E">
      <w:r>
        <w:t xml:space="preserve">Intervēto ekspertu viedoklis dalās jautājumā par mājokļa labiekārtotības rādītāju. Tā piemēram, no vienas puses, ir viedoklis, ka pienācīgā mājoklī tualetei ir jāatrodas pašā mājoklī (dzīvoklī), no otras puses, ir viedoklis, ka par pienācīgu var uzskatīt arī mājokli, ja tā tehniskais stāvoklis neapdraud cilvēka veselību un dzīvību, neraugoties uz to, ja tualete atrodas ārpus paša mājokļa vai arī ir koplietošanā ar citu mājokļu iemītniekiem. Līdzīgi viedokļi daļās par ūdens pieejamību mājoklī. Mājoklī būtu jābūt pieejamam aukstajam ūdenim, taču siltais ūdens varētu arī nebūt obligāta prasība, lai mājoklis tiktu uzskatīts par pienācīgu mājokli. </w:t>
      </w:r>
    </w:p>
    <w:p w:rsidR="00D6196C" w:rsidRDefault="00D6196C" w:rsidP="00064C1E"/>
    <w:p w:rsidR="00C34AC5" w:rsidRDefault="00C34AC5" w:rsidP="00064C1E">
      <w:r>
        <w:t xml:space="preserve">Tāpat, pēc atsevišķu ekspertu domām, diskutējams varētu būt rādītājs par mājokļa platību. No vienas puses, šī rādītāja uzdevums ir novērst mājokļa pārapdzīvotību, bet, no otras puses, to vienlīdz piemērojot visām mājsaimniecībām, var veidoties situācija, ka daļa mājsaimniecību ar lielāku cilvēku skaitu dzīvo mājoklī (attiecīgi mazāku dzīvojamo platību un/vai istabu skaitu uz vienu cilvēku), kuru nevar uzskatīt par pienācīgu tā kvadratūras dēļ. </w:t>
      </w:r>
    </w:p>
    <w:p w:rsidR="00C34AC5" w:rsidRDefault="00C34AC5" w:rsidP="00064C1E"/>
    <w:p w:rsidR="00D6196C" w:rsidRDefault="00C34AC5" w:rsidP="00064C1E">
      <w:r>
        <w:t xml:space="preserve">Ekspertu viedoklis nav viennozīmīgs arī par sociālo faktoru nozīmi Latvijā attiecībā uz vienlīdzību mājokļa pieejamības jomā. Jāpiebilst, ka šī faktora iekļaušana ir balstīta uz dažādu sociālās atstumtības riskam pakļauto iedzīvotāju grupu situācijas analīzi un sociālās distances mērījumiem attiecībā pret dažādām sabiedrības grupām, t.sk. starptautiskās aizsardzības personām, bijušajiem ieslodzītajiem, romiem, ģimenēm ar bērniem. Šo grupu pārstāvji saskaras ar situācijām, kad privātie mājokļu īpašnieki viņiem atsaka izīrēt savus īpašumus. Vienlaikus jāņem vērā, ka sociālā faktora </w:t>
      </w:r>
      <w:r>
        <w:lastRenderedPageBreak/>
        <w:t xml:space="preserve">negatīvā ietekme var izpausties tieši privātajā mājokļu tirgū, (mājokļu īpašniekiem ir brīva izvēle, kam īrēt/ pārdot savu īpašumu neatkarīgi no iemesliem), pašvaldības gadījumā šim faktoram nevajadzētu būt ietekmei, kaut arī pilnībā izslēgt to nevar. </w:t>
      </w:r>
    </w:p>
    <w:p w:rsidR="00D6196C" w:rsidRDefault="00D6196C" w:rsidP="00064C1E"/>
    <w:p w:rsidR="00D6196C" w:rsidRDefault="00C34AC5" w:rsidP="00064C1E">
      <w:r>
        <w:t xml:space="preserve">Augstāk minētie mājokli raksturojošie rādītāji ir izmantojami, lai noteiktu, vai iedzīvotājiem pastāv objektīvi tiesību uz pienācīgu mājokli ierobežojumi, kas attiecīgi paredzētu ārējo (valsts vai </w:t>
      </w:r>
      <w:r w:rsidRPr="00A175B3">
        <w:t xml:space="preserve">pašvaldības) atbalsta pasākumu nepieciešamību šiem iedzīvotājiem. </w:t>
      </w:r>
      <w:r w:rsidR="002264CD" w:rsidRPr="00A175B3">
        <w:t xml:space="preserve">Ekspertu interviju </w:t>
      </w:r>
      <w:r w:rsidRPr="00A175B3">
        <w:t>rezultāt</w:t>
      </w:r>
      <w:r w:rsidR="002264CD" w:rsidRPr="00A175B3">
        <w:t>ā tika</w:t>
      </w:r>
      <w:r w:rsidRPr="00A175B3">
        <w:t xml:space="preserve"> </w:t>
      </w:r>
      <w:r w:rsidR="002264CD" w:rsidRPr="00A175B3">
        <w:t>secināts</w:t>
      </w:r>
      <w:r w:rsidRPr="00A175B3">
        <w:t xml:space="preserve">, ka ir nepieciešams </w:t>
      </w:r>
      <w:r w:rsidR="002264CD" w:rsidRPr="00A175B3">
        <w:t>papildus</w:t>
      </w:r>
      <w:r w:rsidRPr="00A175B3">
        <w:t xml:space="preserve"> izvērtēt, kuriem no šiem rādītājiem ir primāra nozīme (t.s. obligātais minimums) un kuriem – sekundāra, kas paliek katra mājokļa lietotāja paša brīva izvēle (piemēram, centrālā vai malkas apkure). Daļai rādītāju, iespējams, var noteikt tā minimālās robežas, piemēram, attiecībā uz dzīvojamo platību noteikt minimālo kvadratūru uz vienu cilvēku. Tāpat iespējams noteikt minimālos mājokļa labiekārtotības standartus. </w:t>
      </w:r>
    </w:p>
    <w:p w:rsidR="00D6196C" w:rsidRDefault="00D6196C" w:rsidP="00064C1E"/>
    <w:p w:rsidR="00C34AC5" w:rsidRDefault="00D6196C" w:rsidP="00064C1E">
      <w:r>
        <w:t>Izvērtējumā veiktā</w:t>
      </w:r>
      <w:r w:rsidR="00C34AC5" w:rsidRPr="00A175B3">
        <w:t xml:space="preserve"> analīze liecina, ka primārā nozīme ir tādiem rādītājiem kā mājokļa pieejamība, izdevumi par mājokli un mājokļa</w:t>
      </w:r>
      <w:r w:rsidR="00AC344C">
        <w:t xml:space="preserve"> tehniskais stāvoklis. Savukārt</w:t>
      </w:r>
      <w:r w:rsidR="00C34AC5" w:rsidRPr="00A175B3">
        <w:t xml:space="preserve"> mājokļa telpiskā</w:t>
      </w:r>
      <w:r w:rsidR="008D4165">
        <w:t>/ ģeogrāfiskā</w:t>
      </w:r>
      <w:r w:rsidR="00C34AC5" w:rsidRPr="00A175B3">
        <w:t xml:space="preserve"> segregācija, vides un sociālie faktori kaut arī tiek atzīti par tiesības uz mājokli raksturojošiem, attiecībā uz nevienlīdzību mājokļa pieejamības jomā </w:t>
      </w:r>
      <w:r>
        <w:t xml:space="preserve">Latvijas situācijā </w:t>
      </w:r>
      <w:r w:rsidR="00C34AC5" w:rsidRPr="00A175B3">
        <w:t>tiek vērtēti kā sekundāras nozīmes rādītāji.</w:t>
      </w:r>
    </w:p>
    <w:p w:rsidR="00A277B2" w:rsidRDefault="00A277B2" w:rsidP="003945E0">
      <w:pPr>
        <w:pStyle w:val="Heading2"/>
      </w:pPr>
      <w:bookmarkStart w:id="525" w:name="_Toc6841612"/>
      <w:r>
        <w:t>Politikas plānošanas dokumentu un tiesību aktu analīze mājokļu jomā</w:t>
      </w:r>
      <w:bookmarkEnd w:id="525"/>
      <w:r>
        <w:t xml:space="preserve"> </w:t>
      </w:r>
    </w:p>
    <w:p w:rsidR="009B0D76" w:rsidRDefault="009B0D76" w:rsidP="003945E0">
      <w:pPr>
        <w:pStyle w:val="Heading3"/>
      </w:pPr>
      <w:bookmarkStart w:id="526" w:name="_Toc531860061"/>
      <w:bookmarkStart w:id="527" w:name="_Toc6841613"/>
      <w:r>
        <w:t>P</w:t>
      </w:r>
      <w:r w:rsidRPr="00B905B7">
        <w:t>olitikas plānošanas dokument</w:t>
      </w:r>
      <w:r>
        <w:t>u</w:t>
      </w:r>
      <w:r w:rsidRPr="00B905B7">
        <w:t xml:space="preserve"> </w:t>
      </w:r>
      <w:r>
        <w:t xml:space="preserve">saistībā ar atbalstu </w:t>
      </w:r>
      <w:r w:rsidRPr="00B905B7">
        <w:t>mājokļa jomā</w:t>
      </w:r>
      <w:r>
        <w:t xml:space="preserve"> analīzes starprezultāti</w:t>
      </w:r>
      <w:bookmarkEnd w:id="526"/>
      <w:bookmarkEnd w:id="527"/>
    </w:p>
    <w:p w:rsidR="009B0D76" w:rsidRDefault="009B0D76" w:rsidP="00064C1E">
      <w:r>
        <w:t xml:space="preserve">Latvijā šobrīd nav spēkā mājokļa politikas plānošanas dokumenta, kas noteiktu politikas mērķus, pasākumus un rezultātus. </w:t>
      </w:r>
      <w:r w:rsidRPr="00320BA2">
        <w:rPr>
          <w:rStyle w:val="Strong"/>
          <w:b w:val="0"/>
          <w:color w:val="000000"/>
          <w:bdr w:val="none" w:sz="0" w:space="0" w:color="auto" w:frame="1"/>
          <w:shd w:val="clear" w:color="auto" w:fill="FFFFFF"/>
        </w:rPr>
        <w:t>Kā norādīts Ekonomikas ministrijas, kura šobrīd ir atbildīgā ministrija par mājokļu nozari, mājas lapā, „mājokļu politikas</w:t>
      </w:r>
      <w:r w:rsidRPr="00320BA2">
        <w:rPr>
          <w:rStyle w:val="apple-converted-space"/>
          <w:b/>
          <w:bCs/>
          <w:color w:val="000000"/>
          <w:bdr w:val="none" w:sz="0" w:space="0" w:color="auto" w:frame="1"/>
          <w:shd w:val="clear" w:color="auto" w:fill="FFFFFF"/>
        </w:rPr>
        <w:t> </w:t>
      </w:r>
      <w:r w:rsidRPr="00320BA2">
        <w:rPr>
          <w:b/>
          <w:shd w:val="clear" w:color="auto" w:fill="FFFFFF"/>
        </w:rPr>
        <w:t>mērķis</w:t>
      </w:r>
      <w:r w:rsidRPr="00974C97">
        <w:rPr>
          <w:shd w:val="clear" w:color="auto" w:fill="FFFFFF"/>
        </w:rPr>
        <w:t xml:space="preserve"> ir veicināt mājokļa kvalitāti un pieejamību, nodrošinot normatīvo bāzi efektīvai dzīvojamo māju pārvaldīšanai, sekmējot īres dzīvojamā fonda izveidi pašvaldību teritorijās un atbalstot enerģiju taupošus pasākumus dzīvojamās mājās.”</w:t>
      </w:r>
      <w:r w:rsidRPr="00C82EDC">
        <w:t xml:space="preserve"> </w:t>
      </w:r>
    </w:p>
    <w:p w:rsidR="009B0D76" w:rsidRDefault="009B0D76" w:rsidP="00064C1E"/>
    <w:p w:rsidR="009B0D76" w:rsidRPr="00246B0E" w:rsidRDefault="009B0D76" w:rsidP="00064C1E">
      <w:r w:rsidRPr="00D311D5">
        <w:t xml:space="preserve">NAP 2014-2020 īstenošanas uzraudzības ziņojumā (2017) norādīts, ka </w:t>
      </w:r>
      <w:r>
        <w:t>„EM mājokļu politikas pamatnostādnes plāno izstrādāt jau 2018. gada otrajā pusē”</w:t>
      </w:r>
      <w:r>
        <w:rPr>
          <w:rStyle w:val="FootnoteReference"/>
        </w:rPr>
        <w:footnoteReference w:id="237"/>
      </w:r>
      <w:r>
        <w:t xml:space="preserve">. </w:t>
      </w:r>
      <w:r w:rsidRPr="00A1364C">
        <w:t xml:space="preserve">Saskaņā </w:t>
      </w:r>
      <w:r w:rsidR="00320BA2">
        <w:t xml:space="preserve">ar </w:t>
      </w:r>
      <w:r w:rsidRPr="00A1364C">
        <w:t xml:space="preserve">EM pārstāvju sniegto informāciju ekspertu intervijās (01.11.2018.), izvērtējot politikas plānošanas dokumenta izstrādei nepieciešamos laika un cilvēkresursus, darbs pie šāda politikas plānošanas dokumenta šobrīd ir apturēts, pievēršoties jau apzināto problēmu risināšanai. Eksperti atzina, ka mājokļa politikas </w:t>
      </w:r>
      <w:r w:rsidRPr="00246B0E">
        <w:t xml:space="preserve">jautājumi, t.sk. stratēģiskā līmenī, tiek pakāpeniski risināti atbilstoši pieejamajiem resursiem un politiskajai dienas kārtībai kopumā. </w:t>
      </w:r>
    </w:p>
    <w:p w:rsidR="009B0D76" w:rsidRPr="00246B0E" w:rsidRDefault="009B0D76" w:rsidP="00064C1E"/>
    <w:p w:rsidR="009B0D76" w:rsidRDefault="009B0D76" w:rsidP="00064C1E">
      <w:r w:rsidRPr="00246B0E">
        <w:rPr>
          <w:shd w:val="clear" w:color="auto" w:fill="FFFFFF"/>
        </w:rPr>
        <w:t>Līdz šim izstrādātie EM politikas plānošanas dokumenti mājokļa jomā ir saistīti ar energoefektivitātes, siltumapgādes un citām ar mājokļu (dzīvojamo māju) pārvaldīšanas problēmām.</w:t>
      </w:r>
      <w:r>
        <w:rPr>
          <w:color w:val="000000"/>
          <w:shd w:val="clear" w:color="auto" w:fill="FFFFFF"/>
        </w:rPr>
        <w:t xml:space="preserve"> Dokumenti par mājokļa pieejamības veicināšanu, īpaši sociālās atstumtības un nabadzības riskam </w:t>
      </w:r>
      <w:r>
        <w:rPr>
          <w:color w:val="000000"/>
          <w:shd w:val="clear" w:color="auto" w:fill="FFFFFF"/>
        </w:rPr>
        <w:lastRenderedPageBreak/>
        <w:t>pakļautajām iedzīvotāju grupām, ir fragmentāri – trūkst vienota konceptuāla redzējuma. Hierarhiski augstākos politikas plānošanas dokumentos ir formulēti vispārējie mērķi mājokļu jomā (biežāk saistībā ar noteiktu mērķa grupu situāciju), kam seko informatīvi ziņojumi</w:t>
      </w:r>
      <w:r w:rsidR="004C2526">
        <w:rPr>
          <w:color w:val="000000"/>
          <w:shd w:val="clear" w:color="auto" w:fill="FFFFFF"/>
        </w:rPr>
        <w:t>, kas kaut arī netiek klasificēti kā politikas plānošanas dokumenti, tomēr sniedz būtisku informāciju par rīcībpolitikas plānošanas procesu,</w:t>
      </w:r>
      <w:r>
        <w:rPr>
          <w:color w:val="000000"/>
          <w:shd w:val="clear" w:color="auto" w:fill="FFFFFF"/>
        </w:rPr>
        <w:t xml:space="preserve"> piemēram, par atbalstu mājokļa jomā </w:t>
      </w:r>
      <w:r w:rsidRPr="008D7723">
        <w:t>bēgļiem un personām, kuras ir ieguvušas alternatīvo statusu</w:t>
      </w:r>
      <w:r>
        <w:t xml:space="preserve">, mājokļu energoefektivitātes uzlabošanu, siltumapgādi, </w:t>
      </w:r>
      <w:r w:rsidRPr="00C817FA">
        <w:t>pasākumiem ar dzīvokļa īpašuma lietošanu saistīto parādu problēmas risināšanai</w:t>
      </w:r>
      <w:r>
        <w:t xml:space="preserve"> u.c. </w:t>
      </w:r>
    </w:p>
    <w:p w:rsidR="009B0D76" w:rsidRDefault="009B0D76" w:rsidP="00064C1E"/>
    <w:p w:rsidR="009B0D76" w:rsidRDefault="009B0D76" w:rsidP="00922A20">
      <w:r>
        <w:t>POLSIS datu bāzē ir atrodami šādi politikas plānošanas dokumenti (ar statusu „aktuāls”) mājokļu jomā</w:t>
      </w:r>
      <w:r>
        <w:rPr>
          <w:rStyle w:val="FootnoteReference"/>
        </w:rPr>
        <w:footnoteReference w:id="238"/>
      </w:r>
      <w:r>
        <w:t xml:space="preserve"> (veicot atlasi, ir pievērsta uzmanība politikas nozarei, uz kuru dokuments attiecināts; dokumenti, kas attiecas uz vides politiku nav iekļauti sarakstā):</w:t>
      </w:r>
    </w:p>
    <w:p w:rsidR="009B0D76" w:rsidRPr="00F67734" w:rsidRDefault="009B0D76" w:rsidP="003F469F">
      <w:pPr>
        <w:pStyle w:val="ListParagraph"/>
        <w:numPr>
          <w:ilvl w:val="0"/>
          <w:numId w:val="63"/>
        </w:numPr>
        <w:spacing w:line="276" w:lineRule="auto"/>
        <w:jc w:val="both"/>
      </w:pPr>
      <w:r>
        <w:t xml:space="preserve">27.02.2018. </w:t>
      </w:r>
      <w:r w:rsidRPr="00F67734">
        <w:rPr>
          <w:rStyle w:val="spelle"/>
        </w:rPr>
        <w:t xml:space="preserve">Informatīvais ziņojums “Par </w:t>
      </w:r>
      <w:r w:rsidRPr="00F67734">
        <w:rPr>
          <w:shd w:val="clear" w:color="auto" w:fill="FFFFFF"/>
        </w:rPr>
        <w:t>pilotprojekta mājokļa nodrošināšanai ģimenēm, kurām piešķirts bēgļa vai alternatīvais statuss, turpināšanu”</w:t>
      </w:r>
      <w:r>
        <w:rPr>
          <w:shd w:val="clear" w:color="auto" w:fill="FFFFFF"/>
        </w:rPr>
        <w:t xml:space="preserve"> (LM, Nodarbinātības un sociālā politika)</w:t>
      </w:r>
      <w:r>
        <w:rPr>
          <w:rStyle w:val="FootnoteReference"/>
          <w:rFonts w:eastAsiaTheme="majorEastAsia"/>
          <w:shd w:val="clear" w:color="auto" w:fill="FFFFFF"/>
        </w:rPr>
        <w:footnoteReference w:id="239"/>
      </w:r>
      <w:r w:rsidR="00AC344C">
        <w:rPr>
          <w:shd w:val="clear" w:color="auto" w:fill="FFFFFF"/>
        </w:rPr>
        <w:t>;</w:t>
      </w:r>
    </w:p>
    <w:p w:rsidR="009B0D76" w:rsidRDefault="009B0D76" w:rsidP="003F469F">
      <w:pPr>
        <w:pStyle w:val="ListParagraph"/>
        <w:numPr>
          <w:ilvl w:val="0"/>
          <w:numId w:val="63"/>
        </w:numPr>
        <w:spacing w:line="276" w:lineRule="auto"/>
        <w:jc w:val="both"/>
      </w:pPr>
      <w:r>
        <w:t xml:space="preserve">16.10.2018. </w:t>
      </w:r>
      <w:r w:rsidRPr="00BD61C9">
        <w:t>Informatīvais ziņojums "Par Ministru kabineta 2018.</w:t>
      </w:r>
      <w:r w:rsidR="00DE1C08">
        <w:t xml:space="preserve"> </w:t>
      </w:r>
      <w:r w:rsidRPr="00BD61C9">
        <w:t>gada 2.</w:t>
      </w:r>
      <w:r w:rsidR="00DE1C08">
        <w:t xml:space="preserve"> </w:t>
      </w:r>
      <w:r w:rsidRPr="00BD61C9">
        <w:t>oktobra sēdes protokola Nr.45 44.§ (Informatīvais ziņojums "Par atbalstu īres mājokļu būvniecībai reģionos") 2.un 3.punkta izpildi"</w:t>
      </w:r>
      <w:r>
        <w:t xml:space="preserve"> (EM, Industrijas un pakalpojumu politika)</w:t>
      </w:r>
      <w:r w:rsidR="00AC344C">
        <w:t>;</w:t>
      </w:r>
    </w:p>
    <w:p w:rsidR="009B0D76" w:rsidRDefault="009B0D76" w:rsidP="003F469F">
      <w:pPr>
        <w:pStyle w:val="ListParagraph"/>
        <w:numPr>
          <w:ilvl w:val="0"/>
          <w:numId w:val="63"/>
        </w:numPr>
        <w:spacing w:line="276" w:lineRule="auto"/>
        <w:jc w:val="both"/>
      </w:pPr>
      <w:r>
        <w:t xml:space="preserve">02.10.2018. (izskatīts) </w:t>
      </w:r>
      <w:r w:rsidRPr="00BD61C9">
        <w:t>Informatīvais ziņojums "Par atbalstu īres mājokļu būvniecībai reģionos"</w:t>
      </w:r>
      <w:r>
        <w:t xml:space="preserve"> (EM, Industrijas un pakalpojumu politika)</w:t>
      </w:r>
      <w:r>
        <w:rPr>
          <w:rStyle w:val="FootnoteReference"/>
          <w:rFonts w:eastAsiaTheme="majorEastAsia"/>
        </w:rPr>
        <w:footnoteReference w:id="240"/>
      </w:r>
      <w:r w:rsidR="00AC344C">
        <w:t>;</w:t>
      </w:r>
    </w:p>
    <w:p w:rsidR="009B0D76" w:rsidRDefault="009B0D76" w:rsidP="003F469F">
      <w:pPr>
        <w:pStyle w:val="ListParagraph"/>
        <w:numPr>
          <w:ilvl w:val="0"/>
          <w:numId w:val="63"/>
        </w:numPr>
        <w:spacing w:line="276" w:lineRule="auto"/>
        <w:jc w:val="both"/>
      </w:pPr>
      <w:r>
        <w:t xml:space="preserve">08.08.2017. </w:t>
      </w:r>
      <w:r w:rsidRPr="008D7723">
        <w:rPr>
          <w:lang w:eastAsia="zh-CN"/>
        </w:rPr>
        <w:t xml:space="preserve">Informatīvais ziņojums par </w:t>
      </w:r>
      <w:r w:rsidRPr="008D7723">
        <w:t>iespējamiem mājokļa pieejamības risinājumiem bēgļiem un personām, kuras ir ieguvušas alternatīvo statusu</w:t>
      </w:r>
      <w:r>
        <w:t xml:space="preserve"> (EM, </w:t>
      </w:r>
      <w:r>
        <w:rPr>
          <w:shd w:val="clear" w:color="auto" w:fill="FFFFFF"/>
        </w:rPr>
        <w:t>Nodarbinātības un sociālā politika</w:t>
      </w:r>
      <w:r>
        <w:t>)</w:t>
      </w:r>
      <w:r>
        <w:rPr>
          <w:rStyle w:val="FootnoteReference"/>
          <w:rFonts w:eastAsiaTheme="majorEastAsia"/>
        </w:rPr>
        <w:footnoteReference w:id="241"/>
      </w:r>
      <w:r w:rsidR="00AC344C">
        <w:t>;</w:t>
      </w:r>
    </w:p>
    <w:p w:rsidR="009B0D76" w:rsidRPr="00D32BA6" w:rsidRDefault="009B0D76" w:rsidP="003F469F">
      <w:pPr>
        <w:pStyle w:val="ListParagraph"/>
        <w:numPr>
          <w:ilvl w:val="0"/>
          <w:numId w:val="63"/>
        </w:numPr>
        <w:spacing w:line="276" w:lineRule="auto"/>
        <w:jc w:val="both"/>
      </w:pPr>
      <w:r w:rsidRPr="00D32BA6">
        <w:t>24.10.2017. Informatīvais ziņojums „Ēku atjaunošanas ilgtermiņa stratēģija” (EM, Industrijas un pakalpojumu politika)</w:t>
      </w:r>
      <w:r w:rsidR="00AC344C">
        <w:t>;</w:t>
      </w:r>
    </w:p>
    <w:p w:rsidR="009B0D76" w:rsidRDefault="009B0D76" w:rsidP="003F469F">
      <w:pPr>
        <w:pStyle w:val="ListParagraph"/>
        <w:numPr>
          <w:ilvl w:val="0"/>
          <w:numId w:val="63"/>
        </w:numPr>
        <w:spacing w:line="276" w:lineRule="auto"/>
        <w:jc w:val="both"/>
      </w:pPr>
      <w:r>
        <w:t xml:space="preserve">28.06.2016. </w:t>
      </w:r>
      <w:r w:rsidRPr="008D7723">
        <w:t>Informatīvais ziņojums par mājokļu atbalsta programmas turpmāko darbību</w:t>
      </w:r>
      <w:r>
        <w:t xml:space="preserve"> (EM, Industrijas un pakalpojumu politika)</w:t>
      </w:r>
      <w:r w:rsidR="00AC344C">
        <w:t>;</w:t>
      </w:r>
    </w:p>
    <w:p w:rsidR="009B0D76" w:rsidRPr="00B6064B" w:rsidRDefault="009B0D76" w:rsidP="003F469F">
      <w:pPr>
        <w:pStyle w:val="ListParagraph"/>
        <w:numPr>
          <w:ilvl w:val="0"/>
          <w:numId w:val="63"/>
        </w:numPr>
        <w:spacing w:line="276" w:lineRule="auto"/>
        <w:jc w:val="both"/>
      </w:pPr>
      <w:r w:rsidRPr="00B6064B">
        <w:t>20.03.2012. Informatīvais ziņojums par pasākumiem ar dzīvokļa īpašuma lietošanu saistīto parādu problēmas risināšanai (EM, Industrijas un pakalpojumu politika)</w:t>
      </w:r>
      <w:r w:rsidR="00AC344C">
        <w:t>;</w:t>
      </w:r>
    </w:p>
    <w:p w:rsidR="009B0D76" w:rsidRDefault="009B0D76" w:rsidP="003F469F">
      <w:pPr>
        <w:pStyle w:val="ListParagraph"/>
        <w:numPr>
          <w:ilvl w:val="0"/>
          <w:numId w:val="63"/>
        </w:numPr>
        <w:spacing w:line="276" w:lineRule="auto"/>
        <w:jc w:val="both"/>
      </w:pPr>
      <w:r>
        <w:t xml:space="preserve">22.07.2008. </w:t>
      </w:r>
      <w:r w:rsidRPr="00757DC0">
        <w:t xml:space="preserve">Informatīvais </w:t>
      </w:r>
      <w:smartTag w:uri="schemas-tilde-lv/tildestengine" w:element="veidnes">
        <w:smartTagPr>
          <w:attr w:name="id" w:val="-1"/>
          <w:attr w:name="baseform" w:val="ziņojums"/>
          <w:attr w:name="text" w:val="ziņojums"/>
        </w:smartTagPr>
        <w:r w:rsidRPr="00757DC0">
          <w:t>ziņojums</w:t>
        </w:r>
      </w:smartTag>
      <w:r w:rsidRPr="00757DC0">
        <w:t xml:space="preserve"> par nepieciešamajiem grozījumiem tiesību aktos, lai nodrošinātu īrnieku tiesības uz mājokli un mājokļa neaizskaramību</w:t>
      </w:r>
      <w:r>
        <w:t xml:space="preserve"> (EM, Tieslietu politika)</w:t>
      </w:r>
      <w:r w:rsidR="00AC344C">
        <w:t>.</w:t>
      </w:r>
    </w:p>
    <w:p w:rsidR="009B0D76" w:rsidRDefault="009B0D76" w:rsidP="00922A20"/>
    <w:p w:rsidR="009B0D76" w:rsidRDefault="009B0D76" w:rsidP="00922A20">
      <w:r>
        <w:t>Papildus šiem informatīvajiem ziņojumiem aktuālu dokumentu statuss ir vairākiem informatīvajiem ziņojumiem par situāciju saistībā ar siltumapgādes pakalpojumiem</w:t>
      </w:r>
      <w:r>
        <w:rPr>
          <w:rStyle w:val="FootnoteReference"/>
        </w:rPr>
        <w:footnoteReference w:id="242"/>
      </w:r>
      <w:r>
        <w:t xml:space="preserve"> un energoefektivitātes</w:t>
      </w:r>
      <w:r>
        <w:rPr>
          <w:rStyle w:val="FootnoteReference"/>
        </w:rPr>
        <w:footnoteReference w:id="243"/>
      </w:r>
      <w:r>
        <w:t xml:space="preserve"> veicināšanu:</w:t>
      </w:r>
    </w:p>
    <w:p w:rsidR="009B0D76" w:rsidRPr="00B6064B" w:rsidRDefault="009B0D76" w:rsidP="003F469F">
      <w:pPr>
        <w:pStyle w:val="ListParagraph"/>
        <w:numPr>
          <w:ilvl w:val="0"/>
          <w:numId w:val="63"/>
        </w:numPr>
        <w:spacing w:line="276" w:lineRule="auto"/>
        <w:jc w:val="both"/>
      </w:pPr>
      <w:r w:rsidRPr="004B6A29">
        <w:lastRenderedPageBreak/>
        <w:t xml:space="preserve">14.10.2015. </w:t>
      </w:r>
      <w:r w:rsidRPr="00B6064B">
        <w:t>Informatīvais ziņojums par situāciju saistībā ar siltumapgādes pakalpojumiem 2015. gadā (EM, Industrijas un pakalpojumu politika)</w:t>
      </w:r>
      <w:r w:rsidR="00AC344C">
        <w:t>;</w:t>
      </w:r>
    </w:p>
    <w:p w:rsidR="009B0D76" w:rsidRPr="00B6064B" w:rsidRDefault="009B0D76" w:rsidP="003F469F">
      <w:pPr>
        <w:pStyle w:val="ListParagraph"/>
        <w:numPr>
          <w:ilvl w:val="0"/>
          <w:numId w:val="63"/>
        </w:numPr>
        <w:spacing w:line="276" w:lineRule="auto"/>
        <w:jc w:val="both"/>
      </w:pPr>
      <w:r w:rsidRPr="00B6064B">
        <w:t>08.11.2011. Informatīvais ziņojums par situāciju saistībā ar siltumapgādes pakalpojumiem 2011.</w:t>
      </w:r>
      <w:r w:rsidR="00DE1C08">
        <w:t xml:space="preserve"> </w:t>
      </w:r>
      <w:r w:rsidRPr="00B6064B">
        <w:t>gadā (EM, Industrijas un pakalpojumu politika)</w:t>
      </w:r>
      <w:r w:rsidR="00AC344C">
        <w:t>;</w:t>
      </w:r>
    </w:p>
    <w:p w:rsidR="009B0D76" w:rsidRPr="00B6064B" w:rsidRDefault="009B0D76" w:rsidP="003F469F">
      <w:pPr>
        <w:pStyle w:val="ListParagraph"/>
        <w:numPr>
          <w:ilvl w:val="0"/>
          <w:numId w:val="63"/>
        </w:numPr>
        <w:spacing w:line="276" w:lineRule="auto"/>
        <w:jc w:val="both"/>
      </w:pPr>
      <w:r w:rsidRPr="00B6064B">
        <w:t>09.11.2010. Informatīvais ziņojums par situāciju saistībā ar siltumapgādes pakalpojumiem (EM, Industrijas un pakalpojumu politika)</w:t>
      </w:r>
      <w:r w:rsidR="00AC344C">
        <w:t>;</w:t>
      </w:r>
    </w:p>
    <w:p w:rsidR="009B0D76" w:rsidRPr="00B6064B" w:rsidRDefault="009B0D76" w:rsidP="003F469F">
      <w:pPr>
        <w:pStyle w:val="ListParagraph"/>
        <w:numPr>
          <w:ilvl w:val="0"/>
          <w:numId w:val="63"/>
        </w:numPr>
        <w:spacing w:line="276" w:lineRule="auto"/>
        <w:jc w:val="both"/>
      </w:pPr>
      <w:r w:rsidRPr="00B6064B">
        <w:t>07.09.2010. Informatīvais ziņojums par situāciju saistībā ar siltumapgādes pakalpojumiem (EM, Industrijas un pakalpojumu politika)</w:t>
      </w:r>
      <w:r w:rsidR="00AC344C">
        <w:t>;</w:t>
      </w:r>
    </w:p>
    <w:p w:rsidR="009B0D76" w:rsidRPr="00B6064B" w:rsidRDefault="009B0D76" w:rsidP="003F469F">
      <w:pPr>
        <w:pStyle w:val="ListParagraph"/>
        <w:numPr>
          <w:ilvl w:val="0"/>
          <w:numId w:val="63"/>
        </w:numPr>
        <w:spacing w:line="276" w:lineRule="auto"/>
        <w:jc w:val="both"/>
      </w:pPr>
      <w:r w:rsidRPr="00B6064B">
        <w:t>04.06.2013. Informatīvais ziņojums par ēku renovācijas finansēšanas risinājumiem (EM, Industrijas un pakalpojumu politika)</w:t>
      </w:r>
      <w:r w:rsidR="00AC344C">
        <w:t>;</w:t>
      </w:r>
      <w:r w:rsidRPr="00B6064B">
        <w:t xml:space="preserve"> </w:t>
      </w:r>
    </w:p>
    <w:p w:rsidR="009B0D76" w:rsidRPr="00B6064B" w:rsidRDefault="009B0D76" w:rsidP="003F469F">
      <w:pPr>
        <w:pStyle w:val="ListParagraph"/>
        <w:numPr>
          <w:ilvl w:val="0"/>
          <w:numId w:val="63"/>
        </w:numPr>
        <w:spacing w:line="276" w:lineRule="auto"/>
        <w:jc w:val="both"/>
      </w:pPr>
      <w:r w:rsidRPr="00B6064B">
        <w:t>18.09.2013. Informatīvais ziņojums par ES fondu finanšu resursu izmantošanu un standarta risinājumiem sērijveida daudzdzīvokļu dzīvojamo māju energoefektivitātes uzlabošanā (EM, Industrijas un pakalpojumu politika)</w:t>
      </w:r>
      <w:r w:rsidR="00AC344C">
        <w:t>.</w:t>
      </w:r>
    </w:p>
    <w:p w:rsidR="00316778" w:rsidRDefault="00316778" w:rsidP="00922A20"/>
    <w:p w:rsidR="009B0D76" w:rsidRDefault="009B0D76" w:rsidP="00922A20">
      <w:r>
        <w:t xml:space="preserve">Mājokļa jomas jautājumi ir ietverti arī </w:t>
      </w:r>
      <w:r w:rsidRPr="004B3A91">
        <w:t>citu politikas nozaru politikas plānošanas dokumentos</w:t>
      </w:r>
      <w:r>
        <w:t xml:space="preserve"> - pamatnostādnēs, t.sk.:</w:t>
      </w:r>
    </w:p>
    <w:p w:rsidR="009B0D76" w:rsidRPr="006014FE" w:rsidRDefault="009B0D76" w:rsidP="003F469F">
      <w:pPr>
        <w:pStyle w:val="ListParagraph"/>
        <w:numPr>
          <w:ilvl w:val="0"/>
          <w:numId w:val="66"/>
        </w:numPr>
        <w:spacing w:line="276" w:lineRule="auto"/>
        <w:ind w:left="709" w:hanging="425"/>
        <w:jc w:val="both"/>
      </w:pPr>
      <w:r w:rsidRPr="006014FE">
        <w:t>Reģionālās politikas pamatnostādnes 2013.-2019.</w:t>
      </w:r>
      <w:r w:rsidR="00DE1C08">
        <w:t xml:space="preserve"> </w:t>
      </w:r>
      <w:r w:rsidRPr="006014FE">
        <w:t>gadam</w:t>
      </w:r>
      <w:r w:rsidR="00AC344C">
        <w:t>;</w:t>
      </w:r>
    </w:p>
    <w:p w:rsidR="009B0D76" w:rsidRPr="006014FE" w:rsidRDefault="009B0D76" w:rsidP="003F469F">
      <w:pPr>
        <w:pStyle w:val="ListParagraph"/>
        <w:numPr>
          <w:ilvl w:val="0"/>
          <w:numId w:val="66"/>
        </w:numPr>
        <w:spacing w:line="276" w:lineRule="auto"/>
        <w:ind w:left="709" w:hanging="425"/>
        <w:jc w:val="both"/>
      </w:pPr>
      <w:r w:rsidRPr="005A1B08">
        <w:rPr>
          <w:szCs w:val="28"/>
        </w:rPr>
        <w:t>Ģimenes valsts politikas pamatnostādnes 2011.–2017. gadam</w:t>
      </w:r>
      <w:r w:rsidR="00AC344C">
        <w:rPr>
          <w:szCs w:val="28"/>
        </w:rPr>
        <w:t>;</w:t>
      </w:r>
    </w:p>
    <w:p w:rsidR="009B0D76" w:rsidRPr="00A67D8F" w:rsidRDefault="009B0D76" w:rsidP="003F469F">
      <w:pPr>
        <w:pStyle w:val="ListParagraph"/>
        <w:numPr>
          <w:ilvl w:val="0"/>
          <w:numId w:val="66"/>
        </w:numPr>
        <w:spacing w:line="276" w:lineRule="auto"/>
        <w:ind w:left="709" w:hanging="425"/>
        <w:jc w:val="both"/>
      </w:pPr>
      <w:r w:rsidRPr="00B87233">
        <w:t>Pamatnostādnes sociālo pakalpojumu attīstībai 2014.- 2020.</w:t>
      </w:r>
      <w:r w:rsidR="00DE1C08">
        <w:t xml:space="preserve"> </w:t>
      </w:r>
      <w:r w:rsidRPr="00B87233">
        <w:t>gadam</w:t>
      </w:r>
      <w:r w:rsidR="00AC344C">
        <w:t>;</w:t>
      </w:r>
    </w:p>
    <w:p w:rsidR="009B0D76" w:rsidRPr="00F56323" w:rsidRDefault="009B0D76" w:rsidP="003F469F">
      <w:pPr>
        <w:pStyle w:val="ListParagraph"/>
        <w:numPr>
          <w:ilvl w:val="0"/>
          <w:numId w:val="66"/>
        </w:numPr>
        <w:spacing w:line="276" w:lineRule="auto"/>
        <w:ind w:left="709" w:hanging="425"/>
        <w:jc w:val="both"/>
        <w:rPr>
          <w:szCs w:val="28"/>
        </w:rPr>
      </w:pPr>
      <w:r w:rsidRPr="00F56323">
        <w:rPr>
          <w:szCs w:val="28"/>
        </w:rPr>
        <w:t>Enerģētikas attīstības pamatnostādnes 2016.–2020.</w:t>
      </w:r>
      <w:r w:rsidR="00DE1C08">
        <w:rPr>
          <w:szCs w:val="28"/>
        </w:rPr>
        <w:t xml:space="preserve"> </w:t>
      </w:r>
      <w:r w:rsidRPr="00F56323">
        <w:rPr>
          <w:szCs w:val="28"/>
        </w:rPr>
        <w:t>gadam</w:t>
      </w:r>
      <w:r w:rsidR="00AC344C">
        <w:rPr>
          <w:szCs w:val="28"/>
        </w:rPr>
        <w:t>;</w:t>
      </w:r>
    </w:p>
    <w:p w:rsidR="009B0D76" w:rsidRPr="00F56323" w:rsidRDefault="009B0D76" w:rsidP="003F469F">
      <w:pPr>
        <w:pStyle w:val="ListParagraph"/>
        <w:numPr>
          <w:ilvl w:val="0"/>
          <w:numId w:val="66"/>
        </w:numPr>
        <w:spacing w:line="276" w:lineRule="auto"/>
        <w:ind w:left="709" w:hanging="425"/>
        <w:jc w:val="both"/>
        <w:rPr>
          <w:szCs w:val="28"/>
        </w:rPr>
      </w:pPr>
      <w:r w:rsidRPr="00F56323">
        <w:rPr>
          <w:szCs w:val="28"/>
        </w:rPr>
        <w:t>Cilvēku tirdzniecības novēršanas pamatnostādnes 2014.–2020.</w:t>
      </w:r>
      <w:r w:rsidR="00DE1C08">
        <w:rPr>
          <w:szCs w:val="28"/>
        </w:rPr>
        <w:t xml:space="preserve"> </w:t>
      </w:r>
      <w:r w:rsidRPr="00F56323">
        <w:rPr>
          <w:szCs w:val="28"/>
        </w:rPr>
        <w:t>gadam</w:t>
      </w:r>
      <w:r w:rsidR="00AC344C">
        <w:rPr>
          <w:szCs w:val="28"/>
        </w:rPr>
        <w:t>;</w:t>
      </w:r>
    </w:p>
    <w:p w:rsidR="009B0D76" w:rsidRPr="00930A19" w:rsidRDefault="009B0D76" w:rsidP="003F469F">
      <w:pPr>
        <w:pStyle w:val="ListParagraph"/>
        <w:numPr>
          <w:ilvl w:val="0"/>
          <w:numId w:val="66"/>
        </w:numPr>
        <w:spacing w:line="276" w:lineRule="auto"/>
        <w:ind w:left="709" w:hanging="425"/>
        <w:jc w:val="both"/>
        <w:rPr>
          <w:szCs w:val="28"/>
        </w:rPr>
      </w:pPr>
      <w:r w:rsidRPr="00930A19">
        <w:rPr>
          <w:szCs w:val="28"/>
        </w:rPr>
        <w:t>Apvienoto Nāciju Organizācijas Konvencijas par personu ar invaliditāti tiesībām īstenošanas pamatnostādnes 2014.-2020.</w:t>
      </w:r>
      <w:r w:rsidR="00DE1C08">
        <w:rPr>
          <w:szCs w:val="28"/>
        </w:rPr>
        <w:t xml:space="preserve"> </w:t>
      </w:r>
      <w:r w:rsidRPr="00930A19">
        <w:rPr>
          <w:szCs w:val="28"/>
        </w:rPr>
        <w:t>gadam</w:t>
      </w:r>
      <w:r w:rsidR="00AC344C">
        <w:rPr>
          <w:szCs w:val="28"/>
        </w:rPr>
        <w:t>;</w:t>
      </w:r>
    </w:p>
    <w:p w:rsidR="009B0D76" w:rsidRPr="004B09CE" w:rsidRDefault="009B0D76" w:rsidP="003F469F">
      <w:pPr>
        <w:pStyle w:val="ListParagraph"/>
        <w:numPr>
          <w:ilvl w:val="0"/>
          <w:numId w:val="66"/>
        </w:numPr>
        <w:spacing w:line="276" w:lineRule="auto"/>
        <w:ind w:left="709" w:hanging="425"/>
        <w:jc w:val="both"/>
        <w:rPr>
          <w:szCs w:val="28"/>
        </w:rPr>
      </w:pPr>
      <w:r w:rsidRPr="004B09CE">
        <w:rPr>
          <w:szCs w:val="28"/>
        </w:rPr>
        <w:t>Jaunatnes</w:t>
      </w:r>
      <w:r w:rsidR="00D54545">
        <w:rPr>
          <w:szCs w:val="28"/>
        </w:rPr>
        <w:t xml:space="preserve"> politikas pamatnostādnes 2009.</w:t>
      </w:r>
      <w:r w:rsidRPr="004B09CE">
        <w:rPr>
          <w:szCs w:val="28"/>
        </w:rPr>
        <w:t>– 2018.</w:t>
      </w:r>
      <w:r w:rsidR="00DE1C08">
        <w:rPr>
          <w:szCs w:val="28"/>
        </w:rPr>
        <w:t xml:space="preserve"> </w:t>
      </w:r>
      <w:r w:rsidRPr="004B09CE">
        <w:rPr>
          <w:szCs w:val="28"/>
        </w:rPr>
        <w:t>gadam</w:t>
      </w:r>
      <w:r w:rsidR="00AC344C">
        <w:rPr>
          <w:szCs w:val="28"/>
        </w:rPr>
        <w:t>;</w:t>
      </w:r>
    </w:p>
    <w:p w:rsidR="009B0D76" w:rsidRPr="00B8312D" w:rsidRDefault="009B0D76" w:rsidP="003F469F">
      <w:pPr>
        <w:pStyle w:val="ListParagraph"/>
        <w:numPr>
          <w:ilvl w:val="0"/>
          <w:numId w:val="66"/>
        </w:numPr>
        <w:spacing w:line="276" w:lineRule="auto"/>
        <w:ind w:left="709" w:hanging="425"/>
        <w:jc w:val="both"/>
        <w:rPr>
          <w:szCs w:val="28"/>
        </w:rPr>
      </w:pPr>
      <w:r w:rsidRPr="00B8312D">
        <w:rPr>
          <w:szCs w:val="28"/>
        </w:rPr>
        <w:t>Pamatnostādnes “Bērniem piemērota Latvija”</w:t>
      </w:r>
      <w:r w:rsidR="00AC344C">
        <w:rPr>
          <w:szCs w:val="28"/>
        </w:rPr>
        <w:t>;</w:t>
      </w:r>
    </w:p>
    <w:p w:rsidR="009B0D76" w:rsidRPr="00375E04" w:rsidRDefault="009B0D76" w:rsidP="003F469F">
      <w:pPr>
        <w:pStyle w:val="ListParagraph"/>
        <w:numPr>
          <w:ilvl w:val="0"/>
          <w:numId w:val="66"/>
        </w:numPr>
        <w:spacing w:line="276" w:lineRule="auto"/>
        <w:ind w:left="709" w:hanging="425"/>
        <w:jc w:val="both"/>
        <w:rPr>
          <w:szCs w:val="28"/>
        </w:rPr>
      </w:pPr>
      <w:r w:rsidRPr="00375E04">
        <w:rPr>
          <w:szCs w:val="28"/>
        </w:rPr>
        <w:t>Valsts nodokļu politikas pamatnostādnēm 2018.-2021. gadam</w:t>
      </w:r>
      <w:r w:rsidR="00AC344C">
        <w:rPr>
          <w:szCs w:val="28"/>
        </w:rPr>
        <w:t>;</w:t>
      </w:r>
    </w:p>
    <w:p w:rsidR="009B0D76" w:rsidRPr="00375E04" w:rsidRDefault="009B0D76" w:rsidP="003F469F">
      <w:pPr>
        <w:pStyle w:val="ListParagraph"/>
        <w:numPr>
          <w:ilvl w:val="0"/>
          <w:numId w:val="66"/>
        </w:numPr>
        <w:spacing w:line="276" w:lineRule="auto"/>
        <w:ind w:left="709" w:hanging="425"/>
        <w:jc w:val="both"/>
        <w:rPr>
          <w:szCs w:val="28"/>
        </w:rPr>
      </w:pPr>
      <w:r w:rsidRPr="00375E04">
        <w:rPr>
          <w:szCs w:val="28"/>
        </w:rPr>
        <w:t>Pamatnostādnes nodokļu un nodevu sistēmas attīstībā</w:t>
      </w:r>
      <w:r w:rsidR="00AC344C">
        <w:rPr>
          <w:szCs w:val="28"/>
        </w:rPr>
        <w:t>;</w:t>
      </w:r>
    </w:p>
    <w:p w:rsidR="009B0D76" w:rsidRDefault="009B0D76" w:rsidP="003F469F">
      <w:pPr>
        <w:pStyle w:val="ListParagraph"/>
        <w:numPr>
          <w:ilvl w:val="0"/>
          <w:numId w:val="66"/>
        </w:numPr>
        <w:spacing w:line="276" w:lineRule="auto"/>
        <w:ind w:left="709" w:hanging="425"/>
        <w:jc w:val="both"/>
        <w:rPr>
          <w:szCs w:val="28"/>
        </w:rPr>
      </w:pPr>
      <w:r w:rsidRPr="005D477D">
        <w:rPr>
          <w:szCs w:val="28"/>
        </w:rPr>
        <w:t>N</w:t>
      </w:r>
      <w:bookmarkStart w:id="528" w:name="OLE_LINK1"/>
      <w:bookmarkStart w:id="529" w:name="OLE_LINK2"/>
      <w:r w:rsidRPr="005D477D">
        <w:rPr>
          <w:szCs w:val="28"/>
        </w:rPr>
        <w:t>acionālās identitātes, pilsoniskās sabiedrības un integrācijas politikas pamatnostādnes 2012.–2018</w:t>
      </w:r>
      <w:bookmarkEnd w:id="528"/>
      <w:bookmarkEnd w:id="529"/>
      <w:r w:rsidRPr="005D477D">
        <w:rPr>
          <w:szCs w:val="28"/>
        </w:rPr>
        <w:t>.</w:t>
      </w:r>
      <w:r w:rsidR="00DE1C08">
        <w:rPr>
          <w:szCs w:val="28"/>
        </w:rPr>
        <w:t xml:space="preserve"> </w:t>
      </w:r>
      <w:r w:rsidRPr="005D477D">
        <w:rPr>
          <w:szCs w:val="28"/>
        </w:rPr>
        <w:t>gadam</w:t>
      </w:r>
      <w:r w:rsidR="00AC344C">
        <w:rPr>
          <w:szCs w:val="28"/>
        </w:rPr>
        <w:t>.</w:t>
      </w:r>
    </w:p>
    <w:p w:rsidR="00FE2A6C" w:rsidRDefault="00FE2A6C" w:rsidP="00922A20"/>
    <w:p w:rsidR="00111044" w:rsidRDefault="009B0D76" w:rsidP="00922A20">
      <w:r w:rsidRPr="00D01A60">
        <w:t>Šajā Izvērtējuma sadaļā ir apkopotas politikas plānošanas dokumentos identificētās problēmas un to</w:t>
      </w:r>
      <w:r>
        <w:t xml:space="preserve"> risināšanai piedāvātie/ piemērotie risinājumi mājokļa jomā. Vispirms ir sniegts šīs informācijas apkopojums, kas izriet no visām analīzē iekļautajām aktuālajām pamatnostādnēm</w:t>
      </w:r>
      <w:r w:rsidR="00316778">
        <w:t xml:space="preserve"> (sk. 3.1. tabulu)</w:t>
      </w:r>
      <w:r>
        <w:t xml:space="preserve">. </w:t>
      </w:r>
      <w:r w:rsidRPr="00320BA2">
        <w:t>Turpinājumā ir sniegts problēmu un risinājumu apkopojums, kas izriet no aktuālajiem informatīvajiem ziņojumiem.</w:t>
      </w:r>
      <w:r w:rsidR="00320BA2">
        <w:t xml:space="preserve"> </w:t>
      </w:r>
    </w:p>
    <w:p w:rsidR="00316778" w:rsidRDefault="00316778">
      <w:pPr>
        <w:spacing w:line="240" w:lineRule="auto"/>
        <w:jc w:val="left"/>
        <w:rPr>
          <w:b/>
          <w:bCs/>
          <w:noProof/>
          <w:color w:val="244061" w:themeColor="accent1" w:themeShade="80"/>
          <w:szCs w:val="18"/>
        </w:rPr>
      </w:pPr>
      <w:r>
        <w:rPr>
          <w:noProof/>
        </w:rPr>
        <w:br w:type="page"/>
      </w:r>
    </w:p>
    <w:bookmarkStart w:id="530" w:name="_Ref6496861"/>
    <w:p w:rsidR="009B0D76" w:rsidRPr="00922A20" w:rsidRDefault="00AD3EDD" w:rsidP="00C33A64">
      <w:pPr>
        <w:pStyle w:val="Caption"/>
      </w:pPr>
      <w:r>
        <w:lastRenderedPageBreak/>
        <w:fldChar w:fldCharType="begin"/>
      </w:r>
      <w:r w:rsidR="00A46B54">
        <w:instrText xml:space="preserve"> STYLEREF 1 \s </w:instrText>
      </w:r>
      <w:r>
        <w:fldChar w:fldCharType="separate"/>
      </w:r>
      <w:bookmarkStart w:id="531" w:name="_Toc6857679"/>
      <w:r w:rsidR="00224B50">
        <w:rPr>
          <w:noProof/>
        </w:rPr>
        <w:t>3</w:t>
      </w:r>
      <w:r>
        <w:fldChar w:fldCharType="end"/>
      </w:r>
      <w:r w:rsidR="00A46B54">
        <w:t>.</w:t>
      </w:r>
      <w:r>
        <w:fldChar w:fldCharType="begin"/>
      </w:r>
      <w:r w:rsidR="000F1524">
        <w:instrText xml:space="preserve"> SEQ Tabula \* ARABIC \s 1 </w:instrText>
      </w:r>
      <w:r>
        <w:fldChar w:fldCharType="separate"/>
      </w:r>
      <w:r w:rsidR="00224B50">
        <w:rPr>
          <w:noProof/>
        </w:rPr>
        <w:t>1</w:t>
      </w:r>
      <w:r>
        <w:rPr>
          <w:noProof/>
        </w:rPr>
        <w:fldChar w:fldCharType="end"/>
      </w:r>
      <w:bookmarkEnd w:id="530"/>
      <w:r w:rsidR="00E44507">
        <w:t xml:space="preserve">. </w:t>
      </w:r>
      <w:r w:rsidR="009B0D76">
        <w:t>tabula. Pamatnostādņu dokumentos identificētās problēmas un risinājumi mājokļa jomā</w:t>
      </w:r>
      <w:bookmarkEnd w:id="531"/>
    </w:p>
    <w:tbl>
      <w:tblPr>
        <w:tblStyle w:val="TableGrid"/>
        <w:tblW w:w="0" w:type="auto"/>
        <w:tblLook w:val="04A0"/>
      </w:tblPr>
      <w:tblGrid>
        <w:gridCol w:w="2352"/>
        <w:gridCol w:w="7384"/>
      </w:tblGrid>
      <w:tr w:rsidR="00266C8E" w:rsidRPr="00266C8E" w:rsidTr="006106B3">
        <w:tc>
          <w:tcPr>
            <w:tcW w:w="2352" w:type="dxa"/>
            <w:shd w:val="clear" w:color="auto" w:fill="B8CCE4" w:themeFill="accent1" w:themeFillTint="66"/>
            <w:vAlign w:val="center"/>
          </w:tcPr>
          <w:p w:rsidR="00266C8E" w:rsidRPr="00266C8E" w:rsidRDefault="00266C8E" w:rsidP="00266C8E">
            <w:pPr>
              <w:jc w:val="center"/>
              <w:rPr>
                <w:b/>
                <w:sz w:val="22"/>
                <w:szCs w:val="22"/>
              </w:rPr>
            </w:pPr>
            <w:r w:rsidRPr="00266C8E">
              <w:rPr>
                <w:b/>
                <w:sz w:val="22"/>
                <w:szCs w:val="22"/>
              </w:rPr>
              <w:t>Dokumenta nosaukums</w:t>
            </w:r>
          </w:p>
        </w:tc>
        <w:tc>
          <w:tcPr>
            <w:tcW w:w="7384" w:type="dxa"/>
            <w:shd w:val="clear" w:color="auto" w:fill="B8CCE4" w:themeFill="accent1" w:themeFillTint="66"/>
            <w:vAlign w:val="center"/>
          </w:tcPr>
          <w:p w:rsidR="00266C8E" w:rsidRPr="00266C8E" w:rsidRDefault="00266C8E" w:rsidP="00D54545">
            <w:pPr>
              <w:jc w:val="center"/>
              <w:rPr>
                <w:b/>
                <w:sz w:val="22"/>
                <w:szCs w:val="22"/>
              </w:rPr>
            </w:pPr>
            <w:r w:rsidRPr="00266C8E">
              <w:rPr>
                <w:b/>
                <w:sz w:val="22"/>
                <w:szCs w:val="22"/>
              </w:rPr>
              <w:t>Identificētās problēmas un risinājumi mājokļa jomā</w:t>
            </w:r>
          </w:p>
        </w:tc>
      </w:tr>
      <w:tr w:rsidR="009B0D76" w:rsidRPr="00266C8E" w:rsidTr="000278DA">
        <w:tc>
          <w:tcPr>
            <w:tcW w:w="2352" w:type="dxa"/>
          </w:tcPr>
          <w:p w:rsidR="009B0D76" w:rsidRPr="00266C8E" w:rsidRDefault="009B0D76" w:rsidP="00064C1E">
            <w:pPr>
              <w:rPr>
                <w:sz w:val="22"/>
                <w:szCs w:val="22"/>
              </w:rPr>
            </w:pPr>
            <w:r w:rsidRPr="00266C8E">
              <w:rPr>
                <w:sz w:val="22"/>
                <w:szCs w:val="22"/>
              </w:rPr>
              <w:t>Reģionālās politikas pamatnostādnes 2013.-2019.</w:t>
            </w:r>
            <w:r w:rsidR="00DE1C08">
              <w:rPr>
                <w:sz w:val="22"/>
                <w:szCs w:val="22"/>
              </w:rPr>
              <w:t xml:space="preserve"> </w:t>
            </w:r>
            <w:r w:rsidRPr="00266C8E">
              <w:rPr>
                <w:sz w:val="22"/>
                <w:szCs w:val="22"/>
              </w:rPr>
              <w:t>gadam</w:t>
            </w:r>
            <w:r w:rsidRPr="00266C8E">
              <w:rPr>
                <w:rStyle w:val="FootnoteReference"/>
                <w:sz w:val="22"/>
                <w:szCs w:val="22"/>
              </w:rPr>
              <w:footnoteReference w:id="244"/>
            </w:r>
          </w:p>
        </w:tc>
        <w:tc>
          <w:tcPr>
            <w:tcW w:w="7384" w:type="dxa"/>
          </w:tcPr>
          <w:p w:rsidR="009B0D76" w:rsidRPr="00266C8E" w:rsidRDefault="009B0D76" w:rsidP="00D54545">
            <w:pPr>
              <w:rPr>
                <w:sz w:val="22"/>
                <w:szCs w:val="22"/>
              </w:rPr>
            </w:pPr>
            <w:r w:rsidRPr="00266C8E">
              <w:rPr>
                <w:sz w:val="22"/>
                <w:szCs w:val="22"/>
                <w:u w:val="single"/>
              </w:rPr>
              <w:t>Identificētās problēmas un ierobežojumi</w:t>
            </w:r>
            <w:r w:rsidRPr="00266C8E">
              <w:rPr>
                <w:sz w:val="22"/>
                <w:szCs w:val="22"/>
              </w:rPr>
              <w:t xml:space="preserve">: </w:t>
            </w:r>
          </w:p>
          <w:p w:rsidR="009B0D76" w:rsidRPr="00266C8E" w:rsidRDefault="009B0D76" w:rsidP="003F469F">
            <w:pPr>
              <w:pStyle w:val="ListParagraph"/>
              <w:numPr>
                <w:ilvl w:val="0"/>
                <w:numId w:val="92"/>
              </w:numPr>
              <w:spacing w:line="276" w:lineRule="auto"/>
              <w:jc w:val="both"/>
              <w:rPr>
                <w:sz w:val="22"/>
                <w:szCs w:val="22"/>
              </w:rPr>
            </w:pPr>
            <w:r w:rsidRPr="00266C8E">
              <w:rPr>
                <w:sz w:val="22"/>
                <w:szCs w:val="22"/>
              </w:rPr>
              <w:t>balstoties uz pētījumiem ģimenes politikas jomā, identificēta nepieciešamība pēc pašvaldību atbalsta mājokļa jomā ģimenēm ar bērniem (ģimenēm piemērota mājokļa pieejamība);</w:t>
            </w:r>
          </w:p>
          <w:p w:rsidR="009B0D76" w:rsidRPr="00266C8E" w:rsidRDefault="009B0D76" w:rsidP="003F469F">
            <w:pPr>
              <w:pStyle w:val="ListParagraph"/>
              <w:numPr>
                <w:ilvl w:val="0"/>
                <w:numId w:val="92"/>
              </w:numPr>
              <w:spacing w:line="276" w:lineRule="auto"/>
              <w:jc w:val="both"/>
              <w:rPr>
                <w:sz w:val="22"/>
                <w:szCs w:val="22"/>
              </w:rPr>
            </w:pPr>
            <w:r w:rsidRPr="00266C8E">
              <w:rPr>
                <w:sz w:val="22"/>
                <w:szCs w:val="22"/>
              </w:rPr>
              <w:t>atsevišķi izceltas ģimenes ar bērniem līdz pirmsskolas vecumam, daudzbērnu ģimenes un ģimenes, kurās bērnus aprūpē viens vecāks;</w:t>
            </w:r>
          </w:p>
          <w:p w:rsidR="009B0D76" w:rsidRPr="00266C8E" w:rsidRDefault="009B0D76" w:rsidP="003F469F">
            <w:pPr>
              <w:pStyle w:val="ListParagraph"/>
              <w:numPr>
                <w:ilvl w:val="0"/>
                <w:numId w:val="92"/>
              </w:numPr>
              <w:spacing w:line="276" w:lineRule="auto"/>
              <w:jc w:val="both"/>
              <w:rPr>
                <w:sz w:val="22"/>
                <w:szCs w:val="22"/>
              </w:rPr>
            </w:pPr>
            <w:r w:rsidRPr="00266C8E">
              <w:rPr>
                <w:sz w:val="22"/>
                <w:szCs w:val="22"/>
              </w:rPr>
              <w:t xml:space="preserve">pašvaldībām ir nepietiekams dzīvojamais fonds. </w:t>
            </w:r>
          </w:p>
          <w:p w:rsidR="009B0D76" w:rsidRPr="00266C8E" w:rsidRDefault="009B0D76" w:rsidP="00D54545">
            <w:pPr>
              <w:rPr>
                <w:sz w:val="22"/>
                <w:szCs w:val="22"/>
                <w:u w:val="single"/>
              </w:rPr>
            </w:pPr>
          </w:p>
          <w:p w:rsidR="009B0D76" w:rsidRPr="00266C8E" w:rsidRDefault="009B0D76" w:rsidP="00D54545">
            <w:pPr>
              <w:rPr>
                <w:sz w:val="22"/>
                <w:szCs w:val="22"/>
              </w:rPr>
            </w:pPr>
            <w:r w:rsidRPr="00266C8E">
              <w:rPr>
                <w:sz w:val="22"/>
                <w:szCs w:val="22"/>
                <w:u w:val="single"/>
              </w:rPr>
              <w:t>Plānotie pasākumi un rezultatīvie rādītāji</w:t>
            </w:r>
            <w:r w:rsidRPr="00266C8E">
              <w:rPr>
                <w:sz w:val="22"/>
                <w:szCs w:val="22"/>
              </w:rPr>
              <w:t xml:space="preserve"> (dokumenta sagatavošanas laikā, 2013.</w:t>
            </w:r>
            <w:r w:rsidR="00DE1C08">
              <w:rPr>
                <w:sz w:val="22"/>
                <w:szCs w:val="22"/>
              </w:rPr>
              <w:t xml:space="preserve"> </w:t>
            </w:r>
            <w:r w:rsidRPr="00266C8E">
              <w:rPr>
                <w:sz w:val="22"/>
                <w:szCs w:val="22"/>
              </w:rPr>
              <w:t>gadā, tika plānots):</w:t>
            </w:r>
          </w:p>
          <w:p w:rsidR="009B0D76" w:rsidRPr="00266C8E" w:rsidRDefault="009B0D76" w:rsidP="003F469F">
            <w:pPr>
              <w:pStyle w:val="ListParagraph"/>
              <w:numPr>
                <w:ilvl w:val="0"/>
                <w:numId w:val="93"/>
              </w:numPr>
              <w:spacing w:line="276" w:lineRule="auto"/>
              <w:jc w:val="both"/>
              <w:rPr>
                <w:sz w:val="22"/>
                <w:szCs w:val="22"/>
              </w:rPr>
            </w:pPr>
            <w:r w:rsidRPr="00266C8E">
              <w:rPr>
                <w:sz w:val="22"/>
                <w:szCs w:val="22"/>
              </w:rPr>
              <w:t>mudināt pašvaldības sava budžeta iespēju robežās un, ņemot vērā specifisko situāciju un brīvos resursus pašvaldībā (brīvs pašvaldības dzīvojamais fonds u.tml.), paredzēt atbalsta pasākumus mājokļa pieejamības veicināšanai (piemēram, pašvaldības īpašumā esošo mājokļu noma);</w:t>
            </w:r>
          </w:p>
          <w:p w:rsidR="009B0D76" w:rsidRPr="00266C8E" w:rsidRDefault="009B0D76" w:rsidP="003F469F">
            <w:pPr>
              <w:pStyle w:val="ListParagraph"/>
              <w:numPr>
                <w:ilvl w:val="0"/>
                <w:numId w:val="93"/>
              </w:numPr>
              <w:spacing w:line="276" w:lineRule="auto"/>
              <w:jc w:val="both"/>
              <w:rPr>
                <w:sz w:val="22"/>
                <w:szCs w:val="22"/>
              </w:rPr>
            </w:pPr>
            <w:r w:rsidRPr="00266C8E">
              <w:rPr>
                <w:sz w:val="22"/>
                <w:szCs w:val="22"/>
              </w:rPr>
              <w:t>sniegt priekšlikumus pašvaldībām saistošo noteikumu izdošanai saskaņā ar likuma „Par nekustamā īpašuma nodokli” 5.panta 3.daļu, paredzot ģimenes ar bērniem līdz pirmsskolas vecumam un ģimenes, kurās bērnus aprūpē viens vecāks kā NĪN maksātāju grupas, kas tiesīgas saņemt nodokļa atvieglojumus (t.sk. attiecībā uz īrētiem mājokļiem);</w:t>
            </w:r>
          </w:p>
          <w:p w:rsidR="009B0D76" w:rsidRPr="00266C8E" w:rsidRDefault="009B0D76" w:rsidP="003F469F">
            <w:pPr>
              <w:pStyle w:val="ListParagraph"/>
              <w:numPr>
                <w:ilvl w:val="0"/>
                <w:numId w:val="93"/>
              </w:numPr>
              <w:spacing w:line="276" w:lineRule="auto"/>
              <w:jc w:val="both"/>
              <w:rPr>
                <w:sz w:val="22"/>
                <w:szCs w:val="22"/>
              </w:rPr>
            </w:pPr>
            <w:r w:rsidRPr="00266C8E">
              <w:rPr>
                <w:sz w:val="22"/>
                <w:szCs w:val="22"/>
              </w:rPr>
              <w:t>pašvaldību īpatsvars, kas piešķir NĪN atvieglojumus ģimenēm ar bērniem līdz pirmsskolas vecumam un ģimenēm, kurās bērnus aprūpē viens vecāks (%) (2016.</w:t>
            </w:r>
            <w:r w:rsidR="00DE1C08">
              <w:rPr>
                <w:sz w:val="22"/>
                <w:szCs w:val="22"/>
              </w:rPr>
              <w:t xml:space="preserve"> </w:t>
            </w:r>
            <w:r w:rsidRPr="00266C8E">
              <w:rPr>
                <w:sz w:val="22"/>
                <w:szCs w:val="22"/>
              </w:rPr>
              <w:t>gadā – 25%, 2019.</w:t>
            </w:r>
            <w:r w:rsidR="00DE1C08">
              <w:rPr>
                <w:sz w:val="22"/>
                <w:szCs w:val="22"/>
              </w:rPr>
              <w:t xml:space="preserve"> </w:t>
            </w:r>
            <w:r w:rsidRPr="00266C8E">
              <w:rPr>
                <w:sz w:val="22"/>
                <w:szCs w:val="22"/>
              </w:rPr>
              <w:t xml:space="preserve">gadā – 50%). </w:t>
            </w:r>
          </w:p>
        </w:tc>
      </w:tr>
      <w:tr w:rsidR="009B0D76" w:rsidRPr="00266C8E" w:rsidTr="000278DA">
        <w:tc>
          <w:tcPr>
            <w:tcW w:w="2352" w:type="dxa"/>
          </w:tcPr>
          <w:p w:rsidR="009B0D76" w:rsidRPr="00266C8E" w:rsidRDefault="009B0D76" w:rsidP="00064C1E">
            <w:pPr>
              <w:rPr>
                <w:sz w:val="22"/>
                <w:szCs w:val="22"/>
              </w:rPr>
            </w:pPr>
            <w:r w:rsidRPr="00266C8E">
              <w:rPr>
                <w:sz w:val="22"/>
                <w:szCs w:val="22"/>
              </w:rPr>
              <w:t>Ģimenes valsts politikas pamatnostādnes 2011.–2017. gadam</w:t>
            </w:r>
            <w:r w:rsidRPr="00266C8E">
              <w:rPr>
                <w:rStyle w:val="FootnoteReference"/>
                <w:sz w:val="22"/>
                <w:szCs w:val="22"/>
              </w:rPr>
              <w:footnoteReference w:id="245"/>
            </w:r>
          </w:p>
        </w:tc>
        <w:tc>
          <w:tcPr>
            <w:tcW w:w="7384" w:type="dxa"/>
          </w:tcPr>
          <w:p w:rsidR="009B0D76" w:rsidRPr="00266C8E" w:rsidRDefault="009B0D76" w:rsidP="00D54545">
            <w:pPr>
              <w:rPr>
                <w:sz w:val="22"/>
                <w:szCs w:val="22"/>
              </w:rPr>
            </w:pPr>
            <w:r w:rsidRPr="00266C8E">
              <w:rPr>
                <w:sz w:val="22"/>
                <w:szCs w:val="22"/>
              </w:rPr>
              <w:t xml:space="preserve">Dokumentā noteikts, ka „nepieciešamība pēc mājokļa ir viena no cilvēku pamatvajadzībām”. Situācijas raksturojumā par ģimenes mājokli ir analizēta vajadzība pēc mājokļa atbilstoši četriem mājsaimniecības dzīves cikliem, kuri ir saistīti ar cilvēka/ mājsaimniecības dzīves cikliem un raksturo mājokļa pieprasījumu – pirmais mājoklis, pirmais iegādātais mājoklis, pārmaiņas, tukšie mājokļi. Šī tipoloģija tiek izmantota mājokļa pieprasījuma prognozēšanai.  </w:t>
            </w:r>
          </w:p>
          <w:p w:rsidR="009B0D76" w:rsidRPr="00266C8E" w:rsidRDefault="009B0D76" w:rsidP="00D54545">
            <w:pPr>
              <w:rPr>
                <w:sz w:val="22"/>
                <w:szCs w:val="22"/>
              </w:rPr>
            </w:pPr>
          </w:p>
          <w:p w:rsidR="009B0D76" w:rsidRPr="00266C8E" w:rsidRDefault="009B0D76" w:rsidP="00D54545">
            <w:pPr>
              <w:rPr>
                <w:sz w:val="22"/>
                <w:szCs w:val="22"/>
              </w:rPr>
            </w:pPr>
            <w:r w:rsidRPr="00266C8E">
              <w:rPr>
                <w:sz w:val="22"/>
                <w:szCs w:val="22"/>
                <w:u w:val="single"/>
              </w:rPr>
              <w:t>Identificētās vajadzības</w:t>
            </w:r>
            <w:r w:rsidRPr="00266C8E">
              <w:rPr>
                <w:sz w:val="22"/>
                <w:szCs w:val="22"/>
              </w:rPr>
              <w:t xml:space="preserve">: ņemot vērā augstās hipotekāro kredītu procentu likmes, „ģimenēm ar bērniem Latvijā būtu aktuālas ilgtermiņa īres iespējas, lai justu zināmā mērā stabilitāti, kā arī samērīgi īres maksājumi”.  </w:t>
            </w:r>
          </w:p>
          <w:p w:rsidR="009B0D76" w:rsidRPr="00266C8E" w:rsidRDefault="009B0D76" w:rsidP="00D54545">
            <w:pPr>
              <w:rPr>
                <w:sz w:val="22"/>
                <w:szCs w:val="22"/>
              </w:rPr>
            </w:pPr>
          </w:p>
          <w:p w:rsidR="009B0D76" w:rsidRPr="00266C8E" w:rsidRDefault="009B0D76" w:rsidP="00D54545">
            <w:pPr>
              <w:rPr>
                <w:sz w:val="22"/>
                <w:szCs w:val="22"/>
              </w:rPr>
            </w:pPr>
            <w:r w:rsidRPr="00266C8E">
              <w:rPr>
                <w:sz w:val="22"/>
                <w:szCs w:val="22"/>
                <w:u w:val="single"/>
              </w:rPr>
              <w:t>Identificētie ierobežojumi un problēmas</w:t>
            </w:r>
            <w:r w:rsidRPr="00266C8E">
              <w:rPr>
                <w:sz w:val="22"/>
                <w:szCs w:val="22"/>
              </w:rPr>
              <w:t xml:space="preserve">: </w:t>
            </w:r>
          </w:p>
          <w:p w:rsidR="009B0D76" w:rsidRPr="00266C8E" w:rsidRDefault="009B0D76" w:rsidP="003F469F">
            <w:pPr>
              <w:pStyle w:val="ListParagraph"/>
              <w:numPr>
                <w:ilvl w:val="0"/>
                <w:numId w:val="94"/>
              </w:numPr>
              <w:spacing w:line="276" w:lineRule="auto"/>
              <w:jc w:val="both"/>
              <w:rPr>
                <w:sz w:val="22"/>
                <w:szCs w:val="22"/>
              </w:rPr>
            </w:pPr>
            <w:r w:rsidRPr="00266C8E">
              <w:rPr>
                <w:sz w:val="22"/>
                <w:szCs w:val="22"/>
              </w:rPr>
              <w:t>pašvaldību rīcībā esošais dzīvojamais fonds nav pietiekams, lai pašvaldības varētu nodrošināt palīdzību dzīvokļa jautājumu risināšanā personām, kurām tā ir nepieciešama;</w:t>
            </w:r>
          </w:p>
          <w:p w:rsidR="009B0D76" w:rsidRPr="00266C8E" w:rsidRDefault="009B0D76" w:rsidP="003F469F">
            <w:pPr>
              <w:pStyle w:val="ListParagraph"/>
              <w:numPr>
                <w:ilvl w:val="0"/>
                <w:numId w:val="94"/>
              </w:numPr>
              <w:spacing w:line="276" w:lineRule="auto"/>
              <w:jc w:val="both"/>
              <w:rPr>
                <w:sz w:val="22"/>
                <w:szCs w:val="22"/>
              </w:rPr>
            </w:pPr>
            <w:r w:rsidRPr="00266C8E">
              <w:rPr>
                <w:sz w:val="22"/>
                <w:szCs w:val="22"/>
              </w:rPr>
              <w:t xml:space="preserve">nav pietiekams uz ģimenēm ar bērniem tieši orientētu atbalsta pasākumu apjoms, jo galvenokārt atbalsts ir paredzēts maznodrošinātām vai </w:t>
            </w:r>
            <w:r w:rsidRPr="00266C8E">
              <w:rPr>
                <w:sz w:val="22"/>
                <w:szCs w:val="22"/>
              </w:rPr>
              <w:lastRenderedPageBreak/>
              <w:t>trūcīgām personām, lai gan Latvijā ir daudz ģimeņu ar bērniem, kurām ir samērā zemi vai vidēji ienākumi un kuras nespēj uzlabot savus mājokļa apstākļus;</w:t>
            </w:r>
          </w:p>
          <w:p w:rsidR="009B0D76" w:rsidRPr="00266C8E" w:rsidRDefault="009B0D76" w:rsidP="003F469F">
            <w:pPr>
              <w:pStyle w:val="ListParagraph"/>
              <w:numPr>
                <w:ilvl w:val="0"/>
                <w:numId w:val="94"/>
              </w:numPr>
              <w:spacing w:line="276" w:lineRule="auto"/>
              <w:jc w:val="both"/>
              <w:rPr>
                <w:sz w:val="22"/>
                <w:szCs w:val="22"/>
              </w:rPr>
            </w:pPr>
            <w:r w:rsidRPr="00266C8E">
              <w:rPr>
                <w:sz w:val="22"/>
                <w:szCs w:val="22"/>
              </w:rPr>
              <w:t>nav veicināta ilgtermiņa īres dzīvojamā fonda attīstība par samērīgu īres maksu;</w:t>
            </w:r>
          </w:p>
          <w:p w:rsidR="009B0D76" w:rsidRPr="00266C8E" w:rsidRDefault="009B0D76" w:rsidP="003F469F">
            <w:pPr>
              <w:pStyle w:val="ListParagraph"/>
              <w:numPr>
                <w:ilvl w:val="0"/>
                <w:numId w:val="94"/>
              </w:numPr>
              <w:spacing w:line="276" w:lineRule="auto"/>
              <w:jc w:val="both"/>
              <w:rPr>
                <w:sz w:val="22"/>
                <w:szCs w:val="22"/>
              </w:rPr>
            </w:pPr>
            <w:r w:rsidRPr="00266C8E">
              <w:rPr>
                <w:sz w:val="22"/>
                <w:szCs w:val="22"/>
              </w:rPr>
              <w:t xml:space="preserve">nepietiekams atbalsts mājokļa iegādei vai būvniecībai; </w:t>
            </w:r>
          </w:p>
          <w:p w:rsidR="009B0D76" w:rsidRPr="00266C8E" w:rsidRDefault="009B0D76" w:rsidP="003F469F">
            <w:pPr>
              <w:pStyle w:val="ListParagraph"/>
              <w:numPr>
                <w:ilvl w:val="0"/>
                <w:numId w:val="95"/>
              </w:numPr>
              <w:spacing w:line="276" w:lineRule="auto"/>
              <w:jc w:val="both"/>
              <w:rPr>
                <w:sz w:val="22"/>
                <w:szCs w:val="22"/>
              </w:rPr>
            </w:pPr>
            <w:r w:rsidRPr="00266C8E">
              <w:rPr>
                <w:sz w:val="22"/>
                <w:szCs w:val="22"/>
              </w:rPr>
              <w:t>ierobežots atbalsts dzīvojamās vides pielāgošanai ģimenēm, kurās kādam no ģimenes locekļiem ir kustību traucējumi;</w:t>
            </w:r>
          </w:p>
          <w:p w:rsidR="009B0D76" w:rsidRPr="00266C8E" w:rsidRDefault="009B0D76" w:rsidP="003F469F">
            <w:pPr>
              <w:pStyle w:val="ListParagraph"/>
              <w:numPr>
                <w:ilvl w:val="0"/>
                <w:numId w:val="95"/>
              </w:numPr>
              <w:spacing w:line="276" w:lineRule="auto"/>
              <w:jc w:val="both"/>
              <w:rPr>
                <w:sz w:val="22"/>
                <w:szCs w:val="22"/>
              </w:rPr>
            </w:pPr>
            <w:r w:rsidRPr="00266C8E">
              <w:rPr>
                <w:sz w:val="22"/>
                <w:szCs w:val="22"/>
              </w:rPr>
              <w:t>salīdzinot ar ES valstīm, Latvijā ir zemāka mājokļu kvalitāte, dzīvojamās ēkas ir salīdzinoši vecas un ar zemu siltumnoturību;</w:t>
            </w:r>
          </w:p>
          <w:p w:rsidR="009B0D76" w:rsidRPr="00266C8E" w:rsidRDefault="009B0D76" w:rsidP="003F469F">
            <w:pPr>
              <w:pStyle w:val="ListParagraph"/>
              <w:numPr>
                <w:ilvl w:val="0"/>
                <w:numId w:val="95"/>
              </w:numPr>
              <w:spacing w:line="276" w:lineRule="auto"/>
              <w:jc w:val="both"/>
              <w:rPr>
                <w:sz w:val="22"/>
                <w:szCs w:val="22"/>
              </w:rPr>
            </w:pPr>
            <w:r w:rsidRPr="00266C8E">
              <w:rPr>
                <w:sz w:val="22"/>
                <w:szCs w:val="22"/>
              </w:rPr>
              <w:t>mājokļiem, kuros dzīvo ģimenes ar bērniem, ir zema kvalitāte un siltumnoturība, kas rada lielus maksājumus par siltumenerģijas pakalpojumiem;</w:t>
            </w:r>
          </w:p>
          <w:p w:rsidR="009B0D76" w:rsidRPr="00266C8E" w:rsidRDefault="009B0D76" w:rsidP="003F469F">
            <w:pPr>
              <w:pStyle w:val="ListParagraph"/>
              <w:numPr>
                <w:ilvl w:val="0"/>
                <w:numId w:val="95"/>
              </w:numPr>
              <w:spacing w:line="276" w:lineRule="auto"/>
              <w:jc w:val="both"/>
              <w:rPr>
                <w:sz w:val="22"/>
                <w:szCs w:val="22"/>
              </w:rPr>
            </w:pPr>
            <w:r w:rsidRPr="00266C8E">
              <w:rPr>
                <w:sz w:val="22"/>
                <w:szCs w:val="22"/>
              </w:rPr>
              <w:t>mājokļa kvalitātes un drošības problēmas veicina traumatisma risku un citu hronisku veselības problēmu attīstību.</w:t>
            </w:r>
          </w:p>
          <w:p w:rsidR="009B0D76" w:rsidRPr="00266C8E" w:rsidRDefault="009B0D76" w:rsidP="00D54545">
            <w:pPr>
              <w:pStyle w:val="ListParagraph"/>
              <w:spacing w:line="276" w:lineRule="auto"/>
              <w:jc w:val="both"/>
              <w:rPr>
                <w:sz w:val="22"/>
                <w:szCs w:val="22"/>
              </w:rPr>
            </w:pPr>
          </w:p>
          <w:p w:rsidR="009B0D76" w:rsidRPr="00266C8E" w:rsidRDefault="009B0D76" w:rsidP="00D54545">
            <w:pPr>
              <w:rPr>
                <w:sz w:val="22"/>
                <w:szCs w:val="22"/>
              </w:rPr>
            </w:pPr>
            <w:r w:rsidRPr="00266C8E">
              <w:rPr>
                <w:sz w:val="22"/>
                <w:szCs w:val="22"/>
                <w:u w:val="single"/>
              </w:rPr>
              <w:t>Plānotie pasākumi problēmu risināšanai</w:t>
            </w:r>
            <w:r w:rsidRPr="00266C8E">
              <w:rPr>
                <w:sz w:val="22"/>
                <w:szCs w:val="22"/>
              </w:rPr>
              <w:t xml:space="preserve">: </w:t>
            </w:r>
          </w:p>
          <w:p w:rsidR="009B0D76" w:rsidRPr="00266C8E" w:rsidRDefault="009B0D76" w:rsidP="003F469F">
            <w:pPr>
              <w:pStyle w:val="ListParagraph"/>
              <w:numPr>
                <w:ilvl w:val="0"/>
                <w:numId w:val="91"/>
              </w:numPr>
              <w:spacing w:line="276" w:lineRule="auto"/>
              <w:jc w:val="both"/>
              <w:rPr>
                <w:sz w:val="22"/>
                <w:szCs w:val="22"/>
              </w:rPr>
            </w:pPr>
            <w:r w:rsidRPr="00266C8E">
              <w:rPr>
                <w:sz w:val="22"/>
                <w:szCs w:val="22"/>
              </w:rPr>
              <w:t xml:space="preserve">sniegt valsts atbalstu pašvaldības īres namu un sociālo dzīvojamo māju būvniecībai; </w:t>
            </w:r>
          </w:p>
          <w:p w:rsidR="009B0D76" w:rsidRPr="00266C8E" w:rsidRDefault="009B0D76" w:rsidP="003F469F">
            <w:pPr>
              <w:pStyle w:val="ListParagraph"/>
              <w:numPr>
                <w:ilvl w:val="0"/>
                <w:numId w:val="91"/>
              </w:numPr>
              <w:spacing w:line="276" w:lineRule="auto"/>
              <w:jc w:val="both"/>
              <w:rPr>
                <w:sz w:val="22"/>
                <w:szCs w:val="22"/>
              </w:rPr>
            </w:pPr>
            <w:r w:rsidRPr="00266C8E">
              <w:rPr>
                <w:sz w:val="22"/>
                <w:szCs w:val="22"/>
              </w:rPr>
              <w:t>pašvaldības īpašumā esošo būvju pārbūvei (rekonstrukcijai) par dzīvojamām mājām;</w:t>
            </w:r>
          </w:p>
          <w:p w:rsidR="009B0D76" w:rsidRPr="00266C8E" w:rsidRDefault="009B0D76" w:rsidP="003F469F">
            <w:pPr>
              <w:pStyle w:val="ListParagraph"/>
              <w:numPr>
                <w:ilvl w:val="0"/>
                <w:numId w:val="91"/>
              </w:numPr>
              <w:spacing w:line="276" w:lineRule="auto"/>
              <w:jc w:val="both"/>
              <w:rPr>
                <w:sz w:val="22"/>
                <w:szCs w:val="22"/>
              </w:rPr>
            </w:pPr>
            <w:r w:rsidRPr="00266C8E">
              <w:rPr>
                <w:sz w:val="22"/>
                <w:szCs w:val="22"/>
              </w:rPr>
              <w:t xml:space="preserve">jaunbūvējamo daudzdzīvokļu namu (kuru būvdarbi pārtraukti) pabeigšanai; </w:t>
            </w:r>
          </w:p>
          <w:p w:rsidR="009B0D76" w:rsidRPr="00266C8E" w:rsidRDefault="009B0D76" w:rsidP="003F469F">
            <w:pPr>
              <w:pStyle w:val="ListParagraph"/>
              <w:numPr>
                <w:ilvl w:val="0"/>
                <w:numId w:val="91"/>
              </w:numPr>
              <w:spacing w:line="276" w:lineRule="auto"/>
              <w:jc w:val="both"/>
              <w:rPr>
                <w:sz w:val="22"/>
                <w:szCs w:val="22"/>
              </w:rPr>
            </w:pPr>
            <w:r w:rsidRPr="00266C8E">
              <w:rPr>
                <w:sz w:val="22"/>
                <w:szCs w:val="22"/>
              </w:rPr>
              <w:t xml:space="preserve">neizīrētu dzīvojamo māju vai neizīrēto daļu renovācijai; </w:t>
            </w:r>
          </w:p>
          <w:p w:rsidR="009B0D76" w:rsidRPr="00266C8E" w:rsidRDefault="009B0D76" w:rsidP="003F469F">
            <w:pPr>
              <w:pStyle w:val="ListParagraph"/>
              <w:numPr>
                <w:ilvl w:val="0"/>
                <w:numId w:val="91"/>
              </w:numPr>
              <w:spacing w:line="276" w:lineRule="auto"/>
              <w:jc w:val="both"/>
              <w:rPr>
                <w:sz w:val="22"/>
                <w:szCs w:val="22"/>
              </w:rPr>
            </w:pPr>
            <w:r w:rsidRPr="00266C8E">
              <w:rPr>
                <w:sz w:val="22"/>
                <w:szCs w:val="22"/>
              </w:rPr>
              <w:t>atsevišķu dzīvokļa īpašumu iegādei;</w:t>
            </w:r>
          </w:p>
          <w:p w:rsidR="009B0D76" w:rsidRPr="00266C8E" w:rsidRDefault="009B0D76" w:rsidP="003F469F">
            <w:pPr>
              <w:pStyle w:val="ListParagraph"/>
              <w:numPr>
                <w:ilvl w:val="0"/>
                <w:numId w:val="91"/>
              </w:numPr>
              <w:spacing w:line="276" w:lineRule="auto"/>
              <w:jc w:val="both"/>
              <w:rPr>
                <w:sz w:val="22"/>
                <w:szCs w:val="22"/>
              </w:rPr>
            </w:pPr>
            <w:r w:rsidRPr="00266C8E">
              <w:rPr>
                <w:sz w:val="22"/>
                <w:szCs w:val="22"/>
              </w:rPr>
              <w:t>valsts atbalsts mājokļa iegādei ģimenei ar bērniem, kas paredz valsts sniegtu galvojumus personām, ar kurām kopā dzīvo un kuru apgādībā ir vismaz viens nepilngadīgs bērns, hipotekārajiem kredītiem dzīvojamās telpas iegādei vai būvniecībai;</w:t>
            </w:r>
          </w:p>
          <w:p w:rsidR="009B0D76" w:rsidRPr="00266C8E" w:rsidRDefault="009B0D76" w:rsidP="003F469F">
            <w:pPr>
              <w:pStyle w:val="ListParagraph"/>
              <w:numPr>
                <w:ilvl w:val="0"/>
                <w:numId w:val="91"/>
              </w:numPr>
              <w:spacing w:line="276" w:lineRule="auto"/>
              <w:jc w:val="both"/>
              <w:rPr>
                <w:sz w:val="22"/>
                <w:szCs w:val="22"/>
              </w:rPr>
            </w:pPr>
            <w:r w:rsidRPr="00266C8E">
              <w:rPr>
                <w:sz w:val="22"/>
                <w:szCs w:val="22"/>
              </w:rPr>
              <w:t xml:space="preserve">pašvaldības ģimenēm ar bērniem dzīvojamās telpas iegādes vai būvniecības gadījumā var sniegt palīdzību saistošajos noteikumos paredzētajā kārtībā un apmērā, pilnībā vai daļēji sedzot kredītprocentu maksājumus. </w:t>
            </w:r>
          </w:p>
          <w:p w:rsidR="009B0D76" w:rsidRPr="00266C8E" w:rsidRDefault="009B0D76" w:rsidP="00D54545">
            <w:pPr>
              <w:rPr>
                <w:sz w:val="22"/>
                <w:szCs w:val="22"/>
                <w:u w:val="single"/>
              </w:rPr>
            </w:pPr>
          </w:p>
          <w:p w:rsidR="009B0D76" w:rsidRPr="00266C8E" w:rsidRDefault="009B0D76" w:rsidP="00D54545">
            <w:pPr>
              <w:rPr>
                <w:sz w:val="22"/>
                <w:szCs w:val="22"/>
              </w:rPr>
            </w:pPr>
            <w:r w:rsidRPr="00266C8E">
              <w:rPr>
                <w:sz w:val="22"/>
                <w:szCs w:val="22"/>
              </w:rPr>
              <w:t>Rīcības virziena „Ģimenes dzīves plānošana un bērna ienākšana ģimenē” ietvaros noteikts viens uzdevums saistībā ar mājokļa pieejamību: „Noteikt un īstenot risinājumus, lai sekmētu mājokļa pieejamību vai atbalstu mājokļa renovācijai ekonomiski aktīvām ģimenēm”. Rīcības plānā pamatnostādņu izpildei 2012.-2014.</w:t>
            </w:r>
            <w:r w:rsidR="00DE1C08">
              <w:rPr>
                <w:sz w:val="22"/>
                <w:szCs w:val="22"/>
              </w:rPr>
              <w:t xml:space="preserve"> </w:t>
            </w:r>
            <w:r w:rsidRPr="00266C8E">
              <w:rPr>
                <w:sz w:val="22"/>
                <w:szCs w:val="22"/>
              </w:rPr>
              <w:t>gadam</w:t>
            </w:r>
            <w:r w:rsidRPr="00266C8E">
              <w:rPr>
                <w:sz w:val="22"/>
                <w:szCs w:val="22"/>
                <w:vertAlign w:val="superscript"/>
              </w:rPr>
              <w:footnoteReference w:id="246"/>
            </w:r>
            <w:r w:rsidRPr="00266C8E">
              <w:rPr>
                <w:sz w:val="22"/>
                <w:szCs w:val="22"/>
              </w:rPr>
              <w:t xml:space="preserve"> tika definēti divi pasākumi šī uzdevuma izpildei: </w:t>
            </w:r>
          </w:p>
          <w:p w:rsidR="009B0D76" w:rsidRPr="00266C8E" w:rsidRDefault="009B0D76" w:rsidP="003F469F">
            <w:pPr>
              <w:pStyle w:val="paragraph"/>
              <w:numPr>
                <w:ilvl w:val="0"/>
                <w:numId w:val="110"/>
              </w:numPr>
              <w:spacing w:before="0" w:beforeAutospacing="0" w:after="0" w:afterAutospacing="0"/>
              <w:rPr>
                <w:rFonts w:eastAsia="Calibri"/>
                <w:color w:val="auto"/>
                <w:sz w:val="22"/>
                <w:szCs w:val="22"/>
              </w:rPr>
            </w:pPr>
            <w:r w:rsidRPr="00266C8E">
              <w:rPr>
                <w:rFonts w:eastAsia="Calibri"/>
                <w:color w:val="auto"/>
                <w:sz w:val="22"/>
                <w:szCs w:val="22"/>
              </w:rPr>
              <w:t>„Izstrādāt priekšlikumus par iespējamiem atbalsta risinājumiem ģimenēm mājokļu jomā, ietverot citu valstu praksi ģimenes mājokļu problēmas risināšanā (2.1.2.1.)”;</w:t>
            </w:r>
          </w:p>
          <w:p w:rsidR="009B0D76" w:rsidRPr="00266C8E" w:rsidRDefault="009B0D76" w:rsidP="003F469F">
            <w:pPr>
              <w:pStyle w:val="ListParagraph"/>
              <w:numPr>
                <w:ilvl w:val="0"/>
                <w:numId w:val="110"/>
              </w:numPr>
              <w:spacing w:line="276" w:lineRule="auto"/>
              <w:jc w:val="both"/>
              <w:rPr>
                <w:sz w:val="22"/>
                <w:szCs w:val="22"/>
              </w:rPr>
            </w:pPr>
            <w:r w:rsidRPr="00266C8E">
              <w:rPr>
                <w:sz w:val="22"/>
                <w:szCs w:val="22"/>
              </w:rPr>
              <w:lastRenderedPageBreak/>
              <w:t>„Sniegt atbalstu dzīvokļu īpašniekiem daudzdzīvokļu māju renovācijai darbības programmas „Infrastruktūra un pakalpojumi” aktivitātes „Daudzdzīvokļu māju siltumnoturības uzlabošanas pasākumi” ietvaros (2.1.2.2.)”.</w:t>
            </w:r>
          </w:p>
          <w:p w:rsidR="009B0D76" w:rsidRPr="00266C8E" w:rsidRDefault="009B0D76" w:rsidP="00D54545">
            <w:pPr>
              <w:rPr>
                <w:sz w:val="22"/>
                <w:szCs w:val="22"/>
              </w:rPr>
            </w:pPr>
            <w:r w:rsidRPr="00266C8E">
              <w:rPr>
                <w:sz w:val="22"/>
                <w:szCs w:val="22"/>
              </w:rPr>
              <w:t>Rīcības plānā pamatnostādņu izpildei 2015.-2017.</w:t>
            </w:r>
            <w:r w:rsidR="00D54545">
              <w:rPr>
                <w:sz w:val="22"/>
                <w:szCs w:val="22"/>
              </w:rPr>
              <w:t xml:space="preserve"> </w:t>
            </w:r>
            <w:r w:rsidRPr="00266C8E">
              <w:rPr>
                <w:sz w:val="22"/>
                <w:szCs w:val="22"/>
              </w:rPr>
              <w:t>gadam</w:t>
            </w:r>
            <w:r w:rsidRPr="00266C8E">
              <w:rPr>
                <w:rStyle w:val="FootnoteReference"/>
                <w:sz w:val="22"/>
                <w:szCs w:val="22"/>
              </w:rPr>
              <w:footnoteReference w:id="247"/>
            </w:r>
            <w:r w:rsidRPr="00266C8E">
              <w:rPr>
                <w:sz w:val="22"/>
                <w:szCs w:val="22"/>
              </w:rPr>
              <w:t xml:space="preserve"> augstāk minētā uzdevuma izpildei pasākumi tika precizēti, nosakot:</w:t>
            </w:r>
          </w:p>
          <w:p w:rsidR="009B0D76" w:rsidRPr="00266C8E" w:rsidRDefault="009B0D76" w:rsidP="003F469F">
            <w:pPr>
              <w:pStyle w:val="ListParagraph"/>
              <w:numPr>
                <w:ilvl w:val="0"/>
                <w:numId w:val="111"/>
              </w:numPr>
              <w:spacing w:line="276" w:lineRule="auto"/>
              <w:jc w:val="both"/>
              <w:rPr>
                <w:sz w:val="22"/>
                <w:szCs w:val="22"/>
              </w:rPr>
            </w:pPr>
            <w:r w:rsidRPr="00266C8E">
              <w:rPr>
                <w:sz w:val="22"/>
                <w:szCs w:val="22"/>
              </w:rPr>
              <w:t>„Izvērtēt nepieciešamās tiesiskā regulējuma izmaiņas, lai uzsāktu mājokļu atbalsta programmas īstenošanu (2.1.2.1.)”;</w:t>
            </w:r>
          </w:p>
          <w:p w:rsidR="009B0D76" w:rsidRPr="00266C8E" w:rsidRDefault="009B0D76" w:rsidP="003F469F">
            <w:pPr>
              <w:pStyle w:val="ListParagraph"/>
              <w:numPr>
                <w:ilvl w:val="0"/>
                <w:numId w:val="111"/>
              </w:numPr>
              <w:spacing w:line="276" w:lineRule="auto"/>
              <w:jc w:val="both"/>
              <w:rPr>
                <w:sz w:val="22"/>
                <w:szCs w:val="22"/>
              </w:rPr>
            </w:pPr>
            <w:r w:rsidRPr="00266C8E">
              <w:rPr>
                <w:sz w:val="22"/>
                <w:szCs w:val="22"/>
              </w:rPr>
              <w:t xml:space="preserve">„Izvērtēt iespējas pilnveidot mājokļa atbalsta sistēmu ģimenēm” (2.1.2.2.)”. </w:t>
            </w:r>
          </w:p>
          <w:p w:rsidR="009B0D76" w:rsidRPr="00266C8E" w:rsidRDefault="009B0D76" w:rsidP="00D54545">
            <w:pPr>
              <w:rPr>
                <w:sz w:val="22"/>
                <w:szCs w:val="22"/>
              </w:rPr>
            </w:pPr>
            <w:r w:rsidRPr="00266C8E">
              <w:rPr>
                <w:sz w:val="22"/>
                <w:szCs w:val="22"/>
              </w:rPr>
              <w:t>Rīcības plānā pamatnostādņu izpildei 2016.-2017.</w:t>
            </w:r>
            <w:r w:rsidR="00D54545">
              <w:rPr>
                <w:sz w:val="22"/>
                <w:szCs w:val="22"/>
              </w:rPr>
              <w:t xml:space="preserve"> </w:t>
            </w:r>
            <w:r w:rsidRPr="00266C8E">
              <w:rPr>
                <w:sz w:val="22"/>
                <w:szCs w:val="22"/>
              </w:rPr>
              <w:t>gadam</w:t>
            </w:r>
            <w:r w:rsidRPr="00266C8E">
              <w:rPr>
                <w:rStyle w:val="FootnoteReference"/>
                <w:sz w:val="22"/>
                <w:szCs w:val="22"/>
              </w:rPr>
              <w:footnoteReference w:id="248"/>
            </w:r>
            <w:r w:rsidRPr="00266C8E">
              <w:rPr>
                <w:sz w:val="22"/>
                <w:szCs w:val="22"/>
              </w:rPr>
              <w:t xml:space="preserve"> nepieciešamie pasākumi tika konsolidēti vienā:</w:t>
            </w:r>
          </w:p>
          <w:p w:rsidR="009B0D76" w:rsidRPr="00266C8E" w:rsidRDefault="009B0D76" w:rsidP="003F469F">
            <w:pPr>
              <w:pStyle w:val="ListParagraph"/>
              <w:numPr>
                <w:ilvl w:val="0"/>
                <w:numId w:val="112"/>
              </w:numPr>
              <w:spacing w:line="276" w:lineRule="auto"/>
              <w:jc w:val="both"/>
              <w:rPr>
                <w:sz w:val="22"/>
                <w:szCs w:val="22"/>
              </w:rPr>
            </w:pPr>
            <w:r w:rsidRPr="00266C8E">
              <w:rPr>
                <w:rFonts w:eastAsia="Calibri"/>
                <w:sz w:val="22"/>
                <w:szCs w:val="22"/>
              </w:rPr>
              <w:t>„Pilnveidot mājokļa atbalsta sistēmu ģimenēm, balstoties ne tikai uz īpašumtiesībām, bet arī īres dzīvokļu pieejamību”(2.1.2.1.)</w:t>
            </w:r>
            <w:r w:rsidRPr="00266C8E">
              <w:rPr>
                <w:rStyle w:val="FootnoteReference"/>
                <w:rFonts w:eastAsiaTheme="majorEastAsia"/>
                <w:sz w:val="22"/>
                <w:szCs w:val="22"/>
              </w:rPr>
              <w:footnoteReference w:id="249"/>
            </w:r>
          </w:p>
          <w:p w:rsidR="009B0D76" w:rsidRPr="00266C8E" w:rsidRDefault="009B0D76" w:rsidP="00D54545">
            <w:pPr>
              <w:rPr>
                <w:sz w:val="22"/>
                <w:szCs w:val="22"/>
              </w:rPr>
            </w:pPr>
          </w:p>
          <w:p w:rsidR="009B0D76" w:rsidRPr="00266C8E" w:rsidRDefault="009B0D76" w:rsidP="00D54545">
            <w:pPr>
              <w:rPr>
                <w:sz w:val="22"/>
                <w:szCs w:val="22"/>
              </w:rPr>
            </w:pPr>
            <w:r w:rsidRPr="00266C8E">
              <w:rPr>
                <w:sz w:val="22"/>
                <w:szCs w:val="22"/>
              </w:rPr>
              <w:t xml:space="preserve">Kā norādīts Pamatnostādņu </w:t>
            </w:r>
            <w:r w:rsidRPr="00266C8E">
              <w:rPr>
                <w:i/>
                <w:sz w:val="22"/>
                <w:szCs w:val="22"/>
              </w:rPr>
              <w:t>ex-post</w:t>
            </w:r>
            <w:r w:rsidRPr="00266C8E">
              <w:rPr>
                <w:sz w:val="22"/>
                <w:szCs w:val="22"/>
              </w:rPr>
              <w:t xml:space="preserve"> izvērtējumā</w:t>
            </w:r>
            <w:r w:rsidRPr="00266C8E">
              <w:rPr>
                <w:rStyle w:val="FootnoteReference"/>
                <w:sz w:val="22"/>
                <w:szCs w:val="22"/>
              </w:rPr>
              <w:footnoteReference w:id="250"/>
            </w:r>
            <w:r w:rsidRPr="00266C8E">
              <w:rPr>
                <w:sz w:val="22"/>
                <w:szCs w:val="22"/>
              </w:rPr>
              <w:t xml:space="preserve">, pasākuma – „Izstrādāt priekšlikumus par iespējamiem atbalsta risinājumiem ģimenēm mājokļu jomā, ietverot citu valstu praksi ģimenes mājokļu problēmas risināšanā” – īstenošanas rezultāts ir 05.08.2014. MK noteikumi Nr.443 „Noteikumi par valsts palīdzību dzīvojamās telpas iegādei vai būvniecībai”, kas paredz galvojumu izsniegšanu ģimenēm ar bērniem. Izvērtējuma autori secina, ka „izstrādātais normatīvais regulējums ir saistīts ar atbalstu ģimenēm tikai vienā no mājokļu jomām – mājokļa iegādei. Līdz ar to nerisina problēmas mājokļu jomā visaptveroši un no šī aspekta pasākums vērtējams kā izpildīts vien daļēji.” Šobrīd spēkā ir 20.02.2018. gada MK noteikumi Nr.95 „Noteikumi par valsts palīdzību dzīvojamās telpas iegādei vai būvniecībai”, kas aplūkoti 3.2.2. sadaļā. </w:t>
            </w:r>
          </w:p>
        </w:tc>
      </w:tr>
      <w:tr w:rsidR="009B0D76" w:rsidRPr="00266C8E" w:rsidTr="000278DA">
        <w:tc>
          <w:tcPr>
            <w:tcW w:w="2352" w:type="dxa"/>
          </w:tcPr>
          <w:p w:rsidR="009B0D76" w:rsidRPr="00266C8E" w:rsidRDefault="009B0D76" w:rsidP="00064C1E">
            <w:pPr>
              <w:rPr>
                <w:sz w:val="22"/>
                <w:szCs w:val="22"/>
              </w:rPr>
            </w:pPr>
            <w:r w:rsidRPr="00266C8E">
              <w:rPr>
                <w:sz w:val="22"/>
                <w:szCs w:val="22"/>
              </w:rPr>
              <w:lastRenderedPageBreak/>
              <w:t>Pamatnostādnes sociālo pakalpojumu attīstībai 2014.- 2020.</w:t>
            </w:r>
            <w:r w:rsidR="00D54545">
              <w:rPr>
                <w:sz w:val="22"/>
                <w:szCs w:val="22"/>
              </w:rPr>
              <w:t xml:space="preserve"> </w:t>
            </w:r>
            <w:r w:rsidRPr="00266C8E">
              <w:rPr>
                <w:sz w:val="22"/>
                <w:szCs w:val="22"/>
              </w:rPr>
              <w:t>gadam</w:t>
            </w:r>
            <w:r w:rsidRPr="00266C8E">
              <w:rPr>
                <w:sz w:val="22"/>
                <w:szCs w:val="22"/>
                <w:vertAlign w:val="superscript"/>
              </w:rPr>
              <w:footnoteReference w:id="251"/>
            </w:r>
          </w:p>
        </w:tc>
        <w:tc>
          <w:tcPr>
            <w:tcW w:w="7384" w:type="dxa"/>
          </w:tcPr>
          <w:p w:rsidR="009B0D76" w:rsidRPr="00266C8E" w:rsidRDefault="009B0D76" w:rsidP="00D54545">
            <w:pPr>
              <w:rPr>
                <w:sz w:val="22"/>
                <w:szCs w:val="22"/>
              </w:rPr>
            </w:pPr>
            <w:r w:rsidRPr="00266C8E">
              <w:rPr>
                <w:sz w:val="22"/>
                <w:szCs w:val="22"/>
                <w:u w:val="single"/>
              </w:rPr>
              <w:t>Identificētās problēmas, kas tieši vai netieši saistītas ar mājokļa jomu</w:t>
            </w:r>
            <w:r w:rsidRPr="00266C8E">
              <w:rPr>
                <w:sz w:val="22"/>
                <w:szCs w:val="22"/>
              </w:rPr>
              <w:t>:</w:t>
            </w:r>
          </w:p>
          <w:p w:rsidR="009B0D76" w:rsidRPr="00266C8E" w:rsidRDefault="009B0D76" w:rsidP="003F469F">
            <w:pPr>
              <w:pStyle w:val="ListParagraph"/>
              <w:numPr>
                <w:ilvl w:val="0"/>
                <w:numId w:val="90"/>
              </w:numPr>
              <w:spacing w:line="276" w:lineRule="auto"/>
              <w:jc w:val="both"/>
              <w:rPr>
                <w:sz w:val="22"/>
                <w:szCs w:val="22"/>
              </w:rPr>
            </w:pPr>
            <w:r w:rsidRPr="00266C8E">
              <w:rPr>
                <w:sz w:val="22"/>
                <w:szCs w:val="22"/>
              </w:rPr>
              <w:t>sociālo pakalpojumu klāsts būtiski atšķiras starp pašvaldībām - to pārklājums pat viena reģiona ietvaros ir nevienmērīgs, un sociālo pakalpojumu attīstība nenotiek pietiekami efektīvi (mājokļu jomas kontekstā tas primāri attiecas uz palīdzību dzīvokļa jautājuma risināšanā, īpaši uz dzīvokļa pabalstu);</w:t>
            </w:r>
          </w:p>
          <w:p w:rsidR="009B0D76" w:rsidRPr="00266C8E" w:rsidRDefault="009B0D76" w:rsidP="003F469F">
            <w:pPr>
              <w:pStyle w:val="ListParagraph"/>
              <w:numPr>
                <w:ilvl w:val="0"/>
                <w:numId w:val="90"/>
              </w:numPr>
              <w:spacing w:line="276" w:lineRule="auto"/>
              <w:jc w:val="both"/>
              <w:rPr>
                <w:sz w:val="22"/>
                <w:szCs w:val="22"/>
              </w:rPr>
            </w:pPr>
            <w:r w:rsidRPr="00266C8E">
              <w:rPr>
                <w:sz w:val="22"/>
                <w:szCs w:val="22"/>
              </w:rPr>
              <w:t>pilngadību sasniegušajiem bērniem pēc ārpusģimenes aprūpes beigšanās trūkst nepieciešamā atbalsta un nepieciešamo zināšanu un prasmju sekmīgai patstāvīgās dzīves uzsākšanai;</w:t>
            </w:r>
          </w:p>
          <w:p w:rsidR="009B0D76" w:rsidRPr="00266C8E" w:rsidRDefault="009B0D76" w:rsidP="003F469F">
            <w:pPr>
              <w:pStyle w:val="ListParagraph"/>
              <w:numPr>
                <w:ilvl w:val="0"/>
                <w:numId w:val="90"/>
              </w:numPr>
              <w:spacing w:line="276" w:lineRule="auto"/>
              <w:jc w:val="both"/>
              <w:rPr>
                <w:sz w:val="22"/>
                <w:szCs w:val="22"/>
              </w:rPr>
            </w:pPr>
            <w:r w:rsidRPr="00266C8E">
              <w:rPr>
                <w:sz w:val="22"/>
                <w:szCs w:val="22"/>
              </w:rPr>
              <w:t>pašvaldībām trūkst dzīvojamā fonda aprūpes institūcijām alternatīvu pakalpojumu attīstībai tajos gadījumos, kad klientam nav iespēju dzīvot bez atbalsta un nepieciešama izmitināšana;</w:t>
            </w:r>
          </w:p>
          <w:p w:rsidR="009B0D76" w:rsidRPr="00266C8E" w:rsidRDefault="009B0D76" w:rsidP="003F469F">
            <w:pPr>
              <w:pStyle w:val="ListParagraph"/>
              <w:numPr>
                <w:ilvl w:val="0"/>
                <w:numId w:val="90"/>
              </w:numPr>
              <w:spacing w:line="276" w:lineRule="auto"/>
              <w:jc w:val="both"/>
              <w:rPr>
                <w:sz w:val="22"/>
                <w:szCs w:val="22"/>
              </w:rPr>
            </w:pPr>
            <w:r w:rsidRPr="00266C8E">
              <w:rPr>
                <w:sz w:val="22"/>
                <w:szCs w:val="22"/>
              </w:rPr>
              <w:lastRenderedPageBreak/>
              <w:t>problēma, kas izriet no dokumentā raksturotās situācijas un plānotās rīcībpolitikas: piemērota mājokļa pieejamība deinstitucionalizācijas klientiem;</w:t>
            </w:r>
          </w:p>
          <w:p w:rsidR="009B0D76" w:rsidRPr="00266C8E" w:rsidRDefault="009B0D76" w:rsidP="003F469F">
            <w:pPr>
              <w:pStyle w:val="ListParagraph"/>
              <w:numPr>
                <w:ilvl w:val="0"/>
                <w:numId w:val="90"/>
              </w:numPr>
              <w:spacing w:line="276" w:lineRule="auto"/>
              <w:jc w:val="both"/>
              <w:rPr>
                <w:sz w:val="22"/>
                <w:szCs w:val="22"/>
              </w:rPr>
            </w:pPr>
            <w:r w:rsidRPr="00266C8E">
              <w:rPr>
                <w:sz w:val="22"/>
                <w:szCs w:val="22"/>
              </w:rPr>
              <w:t xml:space="preserve">mērķa grupas, kurām nepieciešams īpašs atbalsts mājokļa jomā un kas izriet no dokumentā raksturotās situācijas un plānotās rīcībpolitikas: bāreņi un bez vecāku aizgādības palikuši bērni, personas, t.sk. bērni, ar funkcionāliem traucējumiem, deinstitucionalizācijas klienti, pensijas vecuma personas. </w:t>
            </w:r>
          </w:p>
          <w:p w:rsidR="009B0D76" w:rsidRPr="00266C8E" w:rsidRDefault="009B0D76" w:rsidP="00D54545">
            <w:pPr>
              <w:pStyle w:val="ListParagraph"/>
              <w:spacing w:line="276" w:lineRule="auto"/>
              <w:jc w:val="both"/>
              <w:rPr>
                <w:sz w:val="22"/>
                <w:szCs w:val="22"/>
              </w:rPr>
            </w:pPr>
          </w:p>
          <w:p w:rsidR="009B0D76" w:rsidRPr="00266C8E" w:rsidRDefault="009B0D76" w:rsidP="00D54545">
            <w:pPr>
              <w:rPr>
                <w:sz w:val="22"/>
                <w:szCs w:val="22"/>
              </w:rPr>
            </w:pPr>
            <w:r w:rsidRPr="00266C8E">
              <w:rPr>
                <w:sz w:val="22"/>
                <w:szCs w:val="22"/>
                <w:u w:val="single"/>
              </w:rPr>
              <w:t>Pasākumi un to rezultatīvie rādītāji problēmu risināšanai</w:t>
            </w:r>
            <w:r w:rsidRPr="00266C8E">
              <w:rPr>
                <w:sz w:val="22"/>
                <w:szCs w:val="22"/>
              </w:rPr>
              <w:t>:</w:t>
            </w:r>
          </w:p>
          <w:p w:rsidR="009B0D76" w:rsidRPr="00266C8E" w:rsidRDefault="009B0D76" w:rsidP="003F469F">
            <w:pPr>
              <w:pStyle w:val="ListParagraph"/>
              <w:numPr>
                <w:ilvl w:val="0"/>
                <w:numId w:val="89"/>
              </w:numPr>
              <w:spacing w:line="276" w:lineRule="auto"/>
              <w:jc w:val="both"/>
              <w:rPr>
                <w:sz w:val="22"/>
                <w:szCs w:val="22"/>
              </w:rPr>
            </w:pPr>
            <w:r w:rsidRPr="00266C8E">
              <w:rPr>
                <w:sz w:val="22"/>
                <w:szCs w:val="22"/>
              </w:rPr>
              <w:t>izbūvēti/renovēti mājokļi 700 personām ar garīga rakstura traucējumiem, kurām nav dzīvesvietas pašvaldībā, un izveidoti atbilstoši pakalpojumi;</w:t>
            </w:r>
          </w:p>
          <w:p w:rsidR="009B0D76" w:rsidRPr="00266C8E" w:rsidRDefault="009B0D76" w:rsidP="003F469F">
            <w:pPr>
              <w:pStyle w:val="ListParagraph"/>
              <w:numPr>
                <w:ilvl w:val="0"/>
                <w:numId w:val="89"/>
              </w:numPr>
              <w:spacing w:line="276" w:lineRule="auto"/>
              <w:jc w:val="both"/>
              <w:rPr>
                <w:sz w:val="22"/>
                <w:szCs w:val="22"/>
              </w:rPr>
            </w:pPr>
            <w:r w:rsidRPr="00266C8E">
              <w:rPr>
                <w:sz w:val="22"/>
                <w:szCs w:val="22"/>
              </w:rPr>
              <w:t>1400 personām radīta infrastruktūra pakalpojuma saņemšanai dzīvesvietā (tai skaitā mājokļa pielāgošana);</w:t>
            </w:r>
          </w:p>
          <w:p w:rsidR="009B0D76" w:rsidRPr="00266C8E" w:rsidRDefault="009B0D76" w:rsidP="003F469F">
            <w:pPr>
              <w:pStyle w:val="ListParagraph"/>
              <w:numPr>
                <w:ilvl w:val="0"/>
                <w:numId w:val="89"/>
              </w:numPr>
              <w:spacing w:line="276" w:lineRule="auto"/>
              <w:jc w:val="both"/>
              <w:rPr>
                <w:sz w:val="22"/>
                <w:szCs w:val="22"/>
              </w:rPr>
            </w:pPr>
            <w:r w:rsidRPr="00266C8E">
              <w:rPr>
                <w:sz w:val="22"/>
                <w:szCs w:val="22"/>
              </w:rPr>
              <w:t>izveidotas „jauniešu mājas”;</w:t>
            </w:r>
          </w:p>
          <w:p w:rsidR="009B0D76" w:rsidRPr="00266C8E" w:rsidRDefault="009B0D76" w:rsidP="003F469F">
            <w:pPr>
              <w:pStyle w:val="ListParagraph"/>
              <w:numPr>
                <w:ilvl w:val="0"/>
                <w:numId w:val="89"/>
              </w:numPr>
              <w:spacing w:line="276" w:lineRule="auto"/>
              <w:jc w:val="both"/>
              <w:rPr>
                <w:sz w:val="22"/>
                <w:szCs w:val="22"/>
              </w:rPr>
            </w:pPr>
            <w:r w:rsidRPr="00266C8E">
              <w:rPr>
                <w:sz w:val="22"/>
                <w:szCs w:val="22"/>
              </w:rPr>
              <w:t>noteiktas prasības grupu mājas (dzīvokļa) pakalpojumam dažāda smaguma klientiem (MK iesniegti grozījumi MK noteikumos par prasībām sociālo pakalpojumu sniedzējiem);</w:t>
            </w:r>
          </w:p>
          <w:p w:rsidR="009B0D76" w:rsidRPr="00266C8E" w:rsidRDefault="009B0D76" w:rsidP="003F469F">
            <w:pPr>
              <w:pStyle w:val="ListParagraph"/>
              <w:numPr>
                <w:ilvl w:val="0"/>
                <w:numId w:val="89"/>
              </w:numPr>
              <w:spacing w:line="276" w:lineRule="auto"/>
              <w:jc w:val="both"/>
              <w:rPr>
                <w:sz w:val="22"/>
                <w:szCs w:val="22"/>
              </w:rPr>
            </w:pPr>
            <w:r w:rsidRPr="00266C8E">
              <w:rPr>
                <w:sz w:val="22"/>
                <w:szCs w:val="22"/>
              </w:rPr>
              <w:t>mainīts aprēķina mehānisms līdzfinansējuma saņemšanai grupu mājas (dzīvokļa) pakalpojumam (MK iesniegti grozījumi SPSP likumā un MK noteikumos līdzfinansējumu grupu mājas (dzīvokļa) pakalpojuma saņemšanai);</w:t>
            </w:r>
          </w:p>
          <w:p w:rsidR="009B0D76" w:rsidRPr="00266C8E" w:rsidRDefault="009B0D76" w:rsidP="003F469F">
            <w:pPr>
              <w:pStyle w:val="ListParagraph"/>
              <w:numPr>
                <w:ilvl w:val="0"/>
                <w:numId w:val="89"/>
              </w:numPr>
              <w:spacing w:line="276" w:lineRule="auto"/>
              <w:jc w:val="both"/>
              <w:rPr>
                <w:sz w:val="22"/>
                <w:szCs w:val="22"/>
              </w:rPr>
            </w:pPr>
            <w:r w:rsidRPr="00266C8E">
              <w:rPr>
                <w:sz w:val="22"/>
                <w:szCs w:val="22"/>
              </w:rPr>
              <w:t>apzinātas nepieciešamās izmaiņas normatīvajā regulējumā, lai ieviestu atbalsta sistēmu mājokļa atrašanā, iekārtošanā un apsaimniekošanā (personām ar smagiem funkcionāliem traucējumiem);</w:t>
            </w:r>
          </w:p>
          <w:p w:rsidR="009B0D76" w:rsidRPr="00266C8E" w:rsidRDefault="009B0D76" w:rsidP="003F469F">
            <w:pPr>
              <w:pStyle w:val="ListParagraph"/>
              <w:numPr>
                <w:ilvl w:val="0"/>
                <w:numId w:val="89"/>
              </w:numPr>
              <w:spacing w:line="276" w:lineRule="auto"/>
              <w:jc w:val="both"/>
              <w:rPr>
                <w:sz w:val="22"/>
                <w:szCs w:val="22"/>
              </w:rPr>
            </w:pPr>
            <w:r w:rsidRPr="00266C8E">
              <w:rPr>
                <w:sz w:val="22"/>
                <w:szCs w:val="22"/>
              </w:rPr>
              <w:t>noteiktas kompetences personām/institūcijām, kuras sniedz personai ar smagiem funkcionāliem traucējumiem atbalstu mājokļa jautājumos (MK iesniegti grozījumi normatīvajos aktos, atbilstoši iepriekšējam apakšpunktam);</w:t>
            </w:r>
          </w:p>
          <w:p w:rsidR="009B0D76" w:rsidRPr="00266C8E" w:rsidRDefault="009B0D76" w:rsidP="003F469F">
            <w:pPr>
              <w:pStyle w:val="ListParagraph"/>
              <w:numPr>
                <w:ilvl w:val="0"/>
                <w:numId w:val="89"/>
              </w:numPr>
              <w:spacing w:line="276" w:lineRule="auto"/>
              <w:jc w:val="both"/>
              <w:rPr>
                <w:sz w:val="22"/>
                <w:szCs w:val="22"/>
              </w:rPr>
            </w:pPr>
            <w:r w:rsidRPr="00266C8E">
              <w:rPr>
                <w:sz w:val="22"/>
                <w:szCs w:val="22"/>
              </w:rPr>
              <w:t>izveidots normatīvais ietvars servisa dzīvokļu attīstībai pašvaldībās (MK iesniegti grozījumi vai jauni MK noteikumi, kuri regulē servisa dzīvokļu jautājumus);</w:t>
            </w:r>
          </w:p>
          <w:p w:rsidR="009B0D76" w:rsidRPr="00266C8E" w:rsidRDefault="009B0D76" w:rsidP="003F469F">
            <w:pPr>
              <w:pStyle w:val="ListParagraph"/>
              <w:numPr>
                <w:ilvl w:val="0"/>
                <w:numId w:val="72"/>
              </w:numPr>
              <w:spacing w:line="276" w:lineRule="auto"/>
              <w:jc w:val="both"/>
              <w:rPr>
                <w:sz w:val="22"/>
                <w:szCs w:val="22"/>
              </w:rPr>
            </w:pPr>
            <w:r w:rsidRPr="00266C8E">
              <w:rPr>
                <w:sz w:val="22"/>
                <w:szCs w:val="22"/>
              </w:rPr>
              <w:t>aprīkoti dzīvokļi [personām ar funkcionāliem traucējumiem].</w:t>
            </w:r>
          </w:p>
          <w:p w:rsidR="009B0D76" w:rsidRPr="00266C8E" w:rsidRDefault="009B0D76" w:rsidP="00D54545">
            <w:pPr>
              <w:rPr>
                <w:sz w:val="22"/>
                <w:szCs w:val="22"/>
              </w:rPr>
            </w:pPr>
          </w:p>
        </w:tc>
      </w:tr>
      <w:tr w:rsidR="009B0D76" w:rsidRPr="00266C8E" w:rsidTr="000278DA">
        <w:tc>
          <w:tcPr>
            <w:tcW w:w="2352" w:type="dxa"/>
          </w:tcPr>
          <w:p w:rsidR="009B0D76" w:rsidRPr="00266C8E" w:rsidRDefault="009B0D76" w:rsidP="00064C1E">
            <w:pPr>
              <w:rPr>
                <w:sz w:val="22"/>
                <w:szCs w:val="22"/>
              </w:rPr>
            </w:pPr>
            <w:r w:rsidRPr="00266C8E">
              <w:rPr>
                <w:sz w:val="22"/>
                <w:szCs w:val="22"/>
              </w:rPr>
              <w:lastRenderedPageBreak/>
              <w:t>Enerģētikas attīstības pamatnostādnes 2016.–2020.</w:t>
            </w:r>
            <w:r w:rsidR="00D54545">
              <w:rPr>
                <w:sz w:val="22"/>
                <w:szCs w:val="22"/>
              </w:rPr>
              <w:t xml:space="preserve"> </w:t>
            </w:r>
            <w:r w:rsidRPr="00266C8E">
              <w:rPr>
                <w:sz w:val="22"/>
                <w:szCs w:val="22"/>
              </w:rPr>
              <w:t>gadam</w:t>
            </w:r>
            <w:r w:rsidRPr="00266C8E">
              <w:rPr>
                <w:sz w:val="22"/>
                <w:szCs w:val="22"/>
                <w:vertAlign w:val="superscript"/>
              </w:rPr>
              <w:footnoteReference w:id="252"/>
            </w:r>
          </w:p>
        </w:tc>
        <w:tc>
          <w:tcPr>
            <w:tcW w:w="7384" w:type="dxa"/>
          </w:tcPr>
          <w:p w:rsidR="009B0D76" w:rsidRPr="00266C8E" w:rsidRDefault="009B0D76" w:rsidP="00D54545">
            <w:pPr>
              <w:rPr>
                <w:color w:val="000000" w:themeColor="text1"/>
                <w:sz w:val="22"/>
                <w:szCs w:val="22"/>
              </w:rPr>
            </w:pPr>
            <w:r w:rsidRPr="00266C8E">
              <w:rPr>
                <w:color w:val="000000" w:themeColor="text1"/>
                <w:sz w:val="22"/>
                <w:szCs w:val="22"/>
                <w:u w:val="single"/>
              </w:rPr>
              <w:t>Situācija un identificētās problēmas, kas attiecināmas uz mājokļa jomu</w:t>
            </w:r>
            <w:r w:rsidRPr="00266C8E">
              <w:rPr>
                <w:color w:val="000000" w:themeColor="text1"/>
                <w:sz w:val="22"/>
                <w:szCs w:val="22"/>
              </w:rPr>
              <w:t xml:space="preserve"> (pamatā tā ir siltumapgāde un energoefektivitāte, kas attiecas uz mājokļa tehniskā stāvokļa un labiekārtojuma rādītājiem):</w:t>
            </w:r>
          </w:p>
          <w:p w:rsidR="009B0D76" w:rsidRPr="00266C8E" w:rsidRDefault="009B0D76" w:rsidP="003F469F">
            <w:pPr>
              <w:pStyle w:val="ListParagraph"/>
              <w:numPr>
                <w:ilvl w:val="0"/>
                <w:numId w:val="88"/>
              </w:numPr>
              <w:spacing w:line="276" w:lineRule="auto"/>
              <w:jc w:val="both"/>
              <w:rPr>
                <w:color w:val="000000" w:themeColor="text1"/>
                <w:sz w:val="22"/>
                <w:szCs w:val="22"/>
              </w:rPr>
            </w:pPr>
            <w:r w:rsidRPr="00266C8E">
              <w:rPr>
                <w:color w:val="000000" w:themeColor="text1"/>
                <w:sz w:val="22"/>
                <w:szCs w:val="22"/>
              </w:rPr>
              <w:t>Latvijas dzīvojamā fonda novecošanās, nerenovēto daudzdzīvokļu māju pakāpeniska sabrukšana;</w:t>
            </w:r>
          </w:p>
          <w:p w:rsidR="009B0D76" w:rsidRPr="00266C8E" w:rsidRDefault="009B0D76" w:rsidP="003F469F">
            <w:pPr>
              <w:pStyle w:val="ListParagraph"/>
              <w:numPr>
                <w:ilvl w:val="0"/>
                <w:numId w:val="88"/>
              </w:numPr>
              <w:spacing w:line="276" w:lineRule="auto"/>
              <w:jc w:val="both"/>
              <w:rPr>
                <w:color w:val="000000" w:themeColor="text1"/>
                <w:sz w:val="22"/>
                <w:szCs w:val="22"/>
              </w:rPr>
            </w:pPr>
            <w:r w:rsidRPr="00266C8E">
              <w:rPr>
                <w:color w:val="000000" w:themeColor="text1"/>
                <w:sz w:val="22"/>
                <w:szCs w:val="22"/>
              </w:rPr>
              <w:t>lielākais siltumenerģijas patēriņš 2013.</w:t>
            </w:r>
            <w:r w:rsidR="00D54545">
              <w:rPr>
                <w:color w:val="000000" w:themeColor="text1"/>
                <w:sz w:val="22"/>
                <w:szCs w:val="22"/>
              </w:rPr>
              <w:t xml:space="preserve"> </w:t>
            </w:r>
            <w:r w:rsidRPr="00266C8E">
              <w:rPr>
                <w:color w:val="000000" w:themeColor="text1"/>
                <w:sz w:val="22"/>
                <w:szCs w:val="22"/>
              </w:rPr>
              <w:t>gadā bija mājsaimniecībām – 71,1% no kopējā centralizētās siltumenerģijas galapatēriņa;</w:t>
            </w:r>
          </w:p>
          <w:p w:rsidR="009B0D76" w:rsidRPr="00266C8E" w:rsidRDefault="009B0D76" w:rsidP="003F469F">
            <w:pPr>
              <w:pStyle w:val="ListParagraph"/>
              <w:numPr>
                <w:ilvl w:val="0"/>
                <w:numId w:val="88"/>
              </w:numPr>
              <w:spacing w:line="276" w:lineRule="auto"/>
              <w:jc w:val="both"/>
              <w:rPr>
                <w:color w:val="000000" w:themeColor="text1"/>
                <w:sz w:val="22"/>
                <w:szCs w:val="22"/>
              </w:rPr>
            </w:pPr>
            <w:r w:rsidRPr="00266C8E">
              <w:rPr>
                <w:color w:val="000000" w:themeColor="text1"/>
                <w:sz w:val="22"/>
                <w:szCs w:val="22"/>
              </w:rPr>
              <w:t xml:space="preserve">salīdzinoši augstas centralizētās siltumapgādes sistēmas fiksētās izmaksas, kuru īpatsvars siltumenerģijas tarifā pieaug, ja tiek palielināta </w:t>
            </w:r>
            <w:r w:rsidRPr="00266C8E">
              <w:rPr>
                <w:color w:val="000000" w:themeColor="text1"/>
                <w:sz w:val="22"/>
                <w:szCs w:val="22"/>
              </w:rPr>
              <w:lastRenderedPageBreak/>
              <w:t>energoefektivitāte gala patērētāja pusē;</w:t>
            </w:r>
          </w:p>
          <w:p w:rsidR="009B0D76" w:rsidRPr="00266C8E" w:rsidRDefault="009B0D76" w:rsidP="003F469F">
            <w:pPr>
              <w:pStyle w:val="ListParagraph"/>
              <w:numPr>
                <w:ilvl w:val="0"/>
                <w:numId w:val="88"/>
              </w:numPr>
              <w:spacing w:line="276" w:lineRule="auto"/>
              <w:jc w:val="both"/>
              <w:rPr>
                <w:color w:val="000000" w:themeColor="text1"/>
                <w:sz w:val="22"/>
                <w:szCs w:val="22"/>
              </w:rPr>
            </w:pPr>
            <w:r w:rsidRPr="00266C8E">
              <w:rPr>
                <w:color w:val="000000" w:themeColor="text1"/>
                <w:sz w:val="22"/>
                <w:szCs w:val="22"/>
              </w:rPr>
              <w:t>Latvijā dažādās pašvaldībās siltumenerģijas tarifi atšķiras būtiski (likme par vienu MWh ir robežās no 50-65 eiro)</w:t>
            </w:r>
            <w:r w:rsidRPr="00266C8E">
              <w:rPr>
                <w:rStyle w:val="FootnoteReference"/>
                <w:rFonts w:eastAsiaTheme="majorEastAsia"/>
                <w:color w:val="000000" w:themeColor="text1"/>
                <w:sz w:val="22"/>
                <w:szCs w:val="22"/>
              </w:rPr>
              <w:footnoteReference w:id="253"/>
            </w:r>
            <w:r w:rsidRPr="00266C8E">
              <w:rPr>
                <w:color w:val="000000" w:themeColor="text1"/>
                <w:sz w:val="22"/>
                <w:szCs w:val="22"/>
              </w:rPr>
              <w:t>;</w:t>
            </w:r>
          </w:p>
          <w:p w:rsidR="009B0D76" w:rsidRPr="00266C8E" w:rsidRDefault="009B0D76" w:rsidP="003F469F">
            <w:pPr>
              <w:pStyle w:val="ListParagraph"/>
              <w:numPr>
                <w:ilvl w:val="0"/>
                <w:numId w:val="88"/>
              </w:numPr>
              <w:spacing w:line="276" w:lineRule="auto"/>
              <w:jc w:val="both"/>
              <w:rPr>
                <w:color w:val="000000" w:themeColor="text1"/>
                <w:sz w:val="22"/>
                <w:szCs w:val="22"/>
              </w:rPr>
            </w:pPr>
            <w:r w:rsidRPr="00266C8E">
              <w:rPr>
                <w:color w:val="000000" w:themeColor="text1"/>
                <w:sz w:val="22"/>
                <w:szCs w:val="22"/>
              </w:rPr>
              <w:t>zema patērētāju (iedzīvotāju) maksātspēja un augsti iedzīvotāju parādi par siltumenerģiju, kas rada atsevišķu siltumapgādes uzņēmumu maksātnespējas risku;</w:t>
            </w:r>
          </w:p>
          <w:p w:rsidR="009B0D76" w:rsidRPr="00266C8E" w:rsidRDefault="009B0D76" w:rsidP="003F469F">
            <w:pPr>
              <w:pStyle w:val="ListParagraph"/>
              <w:numPr>
                <w:ilvl w:val="0"/>
                <w:numId w:val="87"/>
              </w:numPr>
              <w:spacing w:line="276" w:lineRule="auto"/>
              <w:jc w:val="both"/>
              <w:rPr>
                <w:color w:val="000000" w:themeColor="text1"/>
                <w:sz w:val="22"/>
                <w:szCs w:val="22"/>
              </w:rPr>
            </w:pPr>
            <w:r w:rsidRPr="00266C8E">
              <w:rPr>
                <w:color w:val="000000" w:themeColor="text1"/>
                <w:sz w:val="22"/>
                <w:szCs w:val="22"/>
              </w:rPr>
              <w:t xml:space="preserve">lielākā daļa mājokļu ir uzbūvēti, pirms tika būtiski paaugstinātas siltumtehniskās prasības ēku norobežojošām konstrukcijām un ir ar zemu energoefektivitātes līmeni; </w:t>
            </w:r>
          </w:p>
          <w:p w:rsidR="009B0D76" w:rsidRPr="00266C8E" w:rsidRDefault="009B0D76" w:rsidP="003F469F">
            <w:pPr>
              <w:pStyle w:val="ListParagraph"/>
              <w:numPr>
                <w:ilvl w:val="0"/>
                <w:numId w:val="87"/>
              </w:numPr>
              <w:spacing w:line="276" w:lineRule="auto"/>
              <w:jc w:val="both"/>
              <w:rPr>
                <w:color w:val="000000" w:themeColor="text1"/>
                <w:sz w:val="22"/>
                <w:szCs w:val="22"/>
              </w:rPr>
            </w:pPr>
            <w:r w:rsidRPr="00266C8E">
              <w:rPr>
                <w:color w:val="000000" w:themeColor="text1"/>
                <w:sz w:val="22"/>
                <w:szCs w:val="22"/>
              </w:rPr>
              <w:t>izmaksu efektīvā veidā var renovēt 60 - 70% no Latvijas ēku sektora – dzīvojamo ēku sektorā tie ir ap 25 tūkstoši daudzdzīvokļu māju kopplatībā 38 milj. m</w:t>
            </w:r>
            <w:r w:rsidRPr="00266C8E">
              <w:rPr>
                <w:color w:val="000000" w:themeColor="text1"/>
                <w:sz w:val="22"/>
                <w:szCs w:val="22"/>
                <w:vertAlign w:val="superscript"/>
              </w:rPr>
              <w:t>2</w:t>
            </w:r>
            <w:r w:rsidRPr="00266C8E">
              <w:rPr>
                <w:color w:val="000000" w:themeColor="text1"/>
                <w:sz w:val="22"/>
                <w:szCs w:val="22"/>
              </w:rPr>
              <w:t>;</w:t>
            </w:r>
          </w:p>
          <w:p w:rsidR="009B0D76" w:rsidRPr="00266C8E" w:rsidRDefault="009B0D76" w:rsidP="003F469F">
            <w:pPr>
              <w:pStyle w:val="ListParagraph"/>
              <w:numPr>
                <w:ilvl w:val="0"/>
                <w:numId w:val="87"/>
              </w:numPr>
              <w:spacing w:line="276" w:lineRule="auto"/>
              <w:jc w:val="both"/>
              <w:rPr>
                <w:color w:val="000000" w:themeColor="text1"/>
                <w:sz w:val="22"/>
                <w:szCs w:val="22"/>
              </w:rPr>
            </w:pPr>
            <w:r w:rsidRPr="00266C8E">
              <w:rPr>
                <w:color w:val="000000" w:themeColor="text1"/>
                <w:sz w:val="22"/>
                <w:szCs w:val="22"/>
              </w:rPr>
              <w:t>sabiedrības zemā izpratne par energoefektivitātes jautājumiem un iespējām, iedzīvotāju zemā ieinteresētība energoefektivitātes pasākumos, kas atmaksājas laika periodā ilgākā par pieciem gadiem, galapatērētāju zemā iesaistīšanās energoefektivitātes pasākumu īstenošanā;</w:t>
            </w:r>
          </w:p>
          <w:p w:rsidR="009B0D76" w:rsidRPr="00266C8E" w:rsidRDefault="009B0D76" w:rsidP="003F469F">
            <w:pPr>
              <w:pStyle w:val="ListParagraph"/>
              <w:numPr>
                <w:ilvl w:val="0"/>
                <w:numId w:val="87"/>
              </w:numPr>
              <w:spacing w:line="276" w:lineRule="auto"/>
              <w:jc w:val="both"/>
              <w:rPr>
                <w:color w:val="000000" w:themeColor="text1"/>
                <w:sz w:val="22"/>
                <w:szCs w:val="22"/>
              </w:rPr>
            </w:pPr>
            <w:r w:rsidRPr="00266C8E">
              <w:rPr>
                <w:color w:val="000000" w:themeColor="text1"/>
                <w:sz w:val="22"/>
                <w:szCs w:val="22"/>
              </w:rPr>
              <w:t>daudzdzīvokļu ēkās pastāvošā īpašuma struktūra apgrūtina īpašnieku lēmumu pieņemšanu par ēkas renovāciju.</w:t>
            </w:r>
          </w:p>
          <w:p w:rsidR="003E5F80" w:rsidRDefault="003E5F80" w:rsidP="00D54545">
            <w:pPr>
              <w:rPr>
                <w:color w:val="000000" w:themeColor="text1"/>
                <w:sz w:val="22"/>
                <w:szCs w:val="22"/>
                <w:u w:val="single"/>
              </w:rPr>
            </w:pPr>
          </w:p>
          <w:p w:rsidR="009B0D76" w:rsidRPr="00266C8E" w:rsidRDefault="009B0D76" w:rsidP="00D54545">
            <w:pPr>
              <w:rPr>
                <w:color w:val="000000" w:themeColor="text1"/>
                <w:sz w:val="22"/>
                <w:szCs w:val="22"/>
              </w:rPr>
            </w:pPr>
            <w:r w:rsidRPr="00266C8E">
              <w:rPr>
                <w:color w:val="000000" w:themeColor="text1"/>
                <w:sz w:val="22"/>
                <w:szCs w:val="22"/>
                <w:u w:val="single"/>
              </w:rPr>
              <w:t>Plānotie pasākumi problēmu risināšanai</w:t>
            </w:r>
            <w:r w:rsidRPr="00266C8E">
              <w:rPr>
                <w:color w:val="000000" w:themeColor="text1"/>
                <w:sz w:val="22"/>
                <w:szCs w:val="22"/>
              </w:rPr>
              <w:t>:</w:t>
            </w:r>
          </w:p>
          <w:p w:rsidR="009B0D76" w:rsidRPr="00266C8E" w:rsidRDefault="009B0D76" w:rsidP="003F469F">
            <w:pPr>
              <w:pStyle w:val="ListParagraph"/>
              <w:numPr>
                <w:ilvl w:val="0"/>
                <w:numId w:val="86"/>
              </w:numPr>
              <w:spacing w:line="276" w:lineRule="auto"/>
              <w:jc w:val="both"/>
              <w:rPr>
                <w:sz w:val="22"/>
                <w:szCs w:val="22"/>
              </w:rPr>
            </w:pPr>
            <w:r w:rsidRPr="00266C8E">
              <w:rPr>
                <w:color w:val="000000" w:themeColor="text1"/>
                <w:sz w:val="22"/>
                <w:szCs w:val="22"/>
              </w:rPr>
              <w:t>nepieciešami kompleksi pasākumi, kas uzlabotu sociālās drošības sistēmu, tai skaitā sociālās palīdzības sistēmu saistībā ar atbalsta sniegšanu trūcīgām un maznodrošinātām ģimenēm un personām dzīvokļa jautājuma risināšanā;</w:t>
            </w:r>
          </w:p>
          <w:p w:rsidR="009B0D76" w:rsidRPr="00266C8E" w:rsidRDefault="009B0D76" w:rsidP="003F469F">
            <w:pPr>
              <w:pStyle w:val="ListParagraph"/>
              <w:numPr>
                <w:ilvl w:val="0"/>
                <w:numId w:val="86"/>
              </w:numPr>
              <w:spacing w:line="276" w:lineRule="auto"/>
              <w:jc w:val="both"/>
              <w:rPr>
                <w:sz w:val="22"/>
                <w:szCs w:val="22"/>
              </w:rPr>
            </w:pPr>
            <w:r w:rsidRPr="00266C8E">
              <w:rPr>
                <w:color w:val="000000" w:themeColor="text1"/>
                <w:sz w:val="22"/>
                <w:szCs w:val="22"/>
              </w:rPr>
              <w:t>energoefektivitātes paaugstināšana daudzdzīvokļu dzīvojamās mājās nodrošina dzīvojamā fonda ilgtspēju un energoresursu efektīvu izmantošanu kā arī īpašuma vērtības pieaugumu renovētās ēkās;</w:t>
            </w:r>
          </w:p>
          <w:p w:rsidR="009B0D76" w:rsidRPr="00266C8E" w:rsidRDefault="009B0D76" w:rsidP="003F469F">
            <w:pPr>
              <w:pStyle w:val="ListParagraph"/>
              <w:numPr>
                <w:ilvl w:val="0"/>
                <w:numId w:val="86"/>
              </w:numPr>
              <w:spacing w:line="276" w:lineRule="auto"/>
              <w:jc w:val="both"/>
              <w:rPr>
                <w:sz w:val="22"/>
                <w:szCs w:val="22"/>
              </w:rPr>
            </w:pPr>
            <w:r w:rsidRPr="00266C8E">
              <w:rPr>
                <w:color w:val="000000" w:themeColor="text1"/>
                <w:sz w:val="22"/>
                <w:szCs w:val="22"/>
              </w:rPr>
              <w:t>nepieciešams īstenot energoefektivitātes pasākumus daudzdzīvokļu ēkās;</w:t>
            </w:r>
          </w:p>
          <w:p w:rsidR="009B0D76" w:rsidRPr="00266C8E" w:rsidRDefault="009B0D76" w:rsidP="003F469F">
            <w:pPr>
              <w:pStyle w:val="ListParagraph"/>
              <w:numPr>
                <w:ilvl w:val="0"/>
                <w:numId w:val="86"/>
              </w:numPr>
              <w:spacing w:line="276" w:lineRule="auto"/>
              <w:jc w:val="both"/>
              <w:rPr>
                <w:sz w:val="22"/>
                <w:szCs w:val="22"/>
              </w:rPr>
            </w:pPr>
            <w:r w:rsidRPr="00266C8E">
              <w:rPr>
                <w:color w:val="000000" w:themeColor="text1"/>
                <w:sz w:val="22"/>
                <w:szCs w:val="22"/>
              </w:rPr>
              <w:t xml:space="preserve">informēt un izglītot sabiedrību par dažādām energoefektivitātes palielināšanas iespējām un praksi. </w:t>
            </w:r>
          </w:p>
        </w:tc>
      </w:tr>
      <w:tr w:rsidR="009B0D76" w:rsidRPr="00266C8E" w:rsidTr="000278DA">
        <w:tc>
          <w:tcPr>
            <w:tcW w:w="2352" w:type="dxa"/>
          </w:tcPr>
          <w:p w:rsidR="009B0D76" w:rsidRPr="00266C8E" w:rsidRDefault="009B0D76" w:rsidP="00064C1E">
            <w:pPr>
              <w:rPr>
                <w:sz w:val="22"/>
                <w:szCs w:val="22"/>
              </w:rPr>
            </w:pPr>
            <w:r w:rsidRPr="00266C8E">
              <w:rPr>
                <w:sz w:val="22"/>
                <w:szCs w:val="22"/>
              </w:rPr>
              <w:lastRenderedPageBreak/>
              <w:t>Cilvēku tirdzniecības novēršanas pamatnostādnes 2014.–2020.</w:t>
            </w:r>
            <w:r w:rsidR="00D54545">
              <w:rPr>
                <w:sz w:val="22"/>
                <w:szCs w:val="22"/>
              </w:rPr>
              <w:t xml:space="preserve"> </w:t>
            </w:r>
            <w:r w:rsidRPr="00266C8E">
              <w:rPr>
                <w:sz w:val="22"/>
                <w:szCs w:val="22"/>
              </w:rPr>
              <w:t>gadam</w:t>
            </w:r>
            <w:r w:rsidRPr="00266C8E">
              <w:rPr>
                <w:sz w:val="22"/>
                <w:szCs w:val="22"/>
                <w:vertAlign w:val="superscript"/>
              </w:rPr>
              <w:footnoteReference w:id="254"/>
            </w:r>
          </w:p>
        </w:tc>
        <w:tc>
          <w:tcPr>
            <w:tcW w:w="7384" w:type="dxa"/>
          </w:tcPr>
          <w:p w:rsidR="009B0D76" w:rsidRPr="00266C8E" w:rsidRDefault="009B0D76" w:rsidP="00D54545">
            <w:pPr>
              <w:rPr>
                <w:color w:val="000000" w:themeColor="text1"/>
                <w:sz w:val="22"/>
                <w:szCs w:val="22"/>
              </w:rPr>
            </w:pPr>
            <w:r w:rsidRPr="00266C8E">
              <w:rPr>
                <w:color w:val="000000" w:themeColor="text1"/>
                <w:sz w:val="22"/>
                <w:szCs w:val="22"/>
                <w:u w:val="single"/>
              </w:rPr>
              <w:t>Situācija un identificētās problēmas, kas attiecināmas uz mājokļa jomu</w:t>
            </w:r>
            <w:r w:rsidRPr="00266C8E">
              <w:rPr>
                <w:color w:val="000000" w:themeColor="text1"/>
                <w:sz w:val="22"/>
                <w:szCs w:val="22"/>
              </w:rPr>
              <w:t>:</w:t>
            </w:r>
          </w:p>
          <w:p w:rsidR="009B0D76" w:rsidRPr="00266C8E" w:rsidRDefault="009B0D76" w:rsidP="003F469F">
            <w:pPr>
              <w:pStyle w:val="ListParagraph"/>
              <w:numPr>
                <w:ilvl w:val="0"/>
                <w:numId w:val="85"/>
              </w:numPr>
              <w:spacing w:line="276" w:lineRule="auto"/>
              <w:jc w:val="both"/>
              <w:rPr>
                <w:sz w:val="22"/>
                <w:szCs w:val="22"/>
              </w:rPr>
            </w:pPr>
            <w:r w:rsidRPr="00266C8E">
              <w:rPr>
                <w:sz w:val="22"/>
                <w:szCs w:val="22"/>
              </w:rPr>
              <w:t>publiskā konkursa kārtībā izvēlētais sociālo pakalpojumu cilvēku tirdzniecības upuriem sniedzējs piedāvā drošu mājokli kā rehabilitācijas vietu uz visu pakalpojuma laiku (</w:t>
            </w:r>
            <w:r w:rsidRPr="00266C8E">
              <w:rPr>
                <w:bCs/>
                <w:color w:val="000000"/>
                <w:sz w:val="22"/>
                <w:szCs w:val="22"/>
              </w:rPr>
              <w:t>valsts nodrošinātā cilvēku tirdzniecības upuru rehabilitācijas programma ilgst līdz sešiem mēnešiem)</w:t>
            </w:r>
            <w:r w:rsidRPr="00266C8E">
              <w:rPr>
                <w:sz w:val="22"/>
                <w:szCs w:val="22"/>
              </w:rPr>
              <w:t xml:space="preserve"> vai uz laiku, ko izvēlas klients, ja tas klientam ir nepieciešams;</w:t>
            </w:r>
          </w:p>
          <w:p w:rsidR="009B0D76" w:rsidRPr="00266C8E" w:rsidRDefault="009B0D76" w:rsidP="003F469F">
            <w:pPr>
              <w:pStyle w:val="ListParagraph"/>
              <w:numPr>
                <w:ilvl w:val="0"/>
                <w:numId w:val="85"/>
              </w:numPr>
              <w:spacing w:line="276" w:lineRule="auto"/>
              <w:jc w:val="both"/>
              <w:rPr>
                <w:sz w:val="22"/>
                <w:szCs w:val="22"/>
              </w:rPr>
            </w:pPr>
            <w:r w:rsidRPr="00266C8E">
              <w:rPr>
                <w:sz w:val="22"/>
                <w:szCs w:val="22"/>
              </w:rPr>
              <w:t>cilvēku tirdzniecības upuriem nav izveidota speciāla program</w:t>
            </w:r>
            <w:r w:rsidR="00493794" w:rsidRPr="00266C8E">
              <w:rPr>
                <w:sz w:val="22"/>
                <w:szCs w:val="22"/>
              </w:rPr>
              <w:t>ma, kurā būtu paredzēti papildu</w:t>
            </w:r>
            <w:r w:rsidRPr="00266C8E">
              <w:rPr>
                <w:sz w:val="22"/>
                <w:szCs w:val="22"/>
              </w:rPr>
              <w:t xml:space="preserve"> pakalpojumi, piemēram, valsts apmaksāta ilgtermiņa palīdzība mājokļa nodrošināšanai. </w:t>
            </w:r>
          </w:p>
          <w:p w:rsidR="009B0D76" w:rsidRPr="00266C8E" w:rsidRDefault="009B0D76" w:rsidP="00D54545">
            <w:pPr>
              <w:rPr>
                <w:sz w:val="22"/>
                <w:szCs w:val="22"/>
              </w:rPr>
            </w:pPr>
          </w:p>
          <w:p w:rsidR="009B0D76" w:rsidRPr="00266C8E" w:rsidRDefault="009B0D76" w:rsidP="00D54545">
            <w:pPr>
              <w:rPr>
                <w:sz w:val="22"/>
                <w:szCs w:val="22"/>
                <w:u w:val="single"/>
              </w:rPr>
            </w:pPr>
            <w:r w:rsidRPr="00266C8E">
              <w:rPr>
                <w:sz w:val="22"/>
                <w:szCs w:val="22"/>
              </w:rPr>
              <w:t xml:space="preserve">Palīdzība mājokļa jomā - nepieciešamības gadījumā drošs patvērums un klienta izmitināšana - cilvēku tirdzniecības upuriem iekļaujas kopējā sociālās rehabilitācijas pakalpojumu grozā. </w:t>
            </w:r>
            <w:r w:rsidRPr="00266C8E">
              <w:rPr>
                <w:sz w:val="22"/>
                <w:szCs w:val="22"/>
                <w:u w:val="single"/>
              </w:rPr>
              <w:t>Pasākumu plānā ie</w:t>
            </w:r>
            <w:r w:rsidR="00493794" w:rsidRPr="00266C8E">
              <w:rPr>
                <w:sz w:val="22"/>
                <w:szCs w:val="22"/>
                <w:u w:val="single"/>
              </w:rPr>
              <w:t>k</w:t>
            </w:r>
            <w:r w:rsidRPr="00266C8E">
              <w:rPr>
                <w:sz w:val="22"/>
                <w:szCs w:val="22"/>
                <w:u w:val="single"/>
              </w:rPr>
              <w:t>ļautie pasākumi:</w:t>
            </w:r>
          </w:p>
          <w:p w:rsidR="009B0D76" w:rsidRPr="00266C8E" w:rsidRDefault="009B0D76" w:rsidP="003F469F">
            <w:pPr>
              <w:pStyle w:val="ListParagraph"/>
              <w:numPr>
                <w:ilvl w:val="0"/>
                <w:numId w:val="84"/>
              </w:numPr>
              <w:spacing w:line="276" w:lineRule="auto"/>
              <w:jc w:val="both"/>
              <w:rPr>
                <w:sz w:val="22"/>
                <w:szCs w:val="22"/>
                <w:u w:val="single"/>
              </w:rPr>
            </w:pPr>
            <w:r w:rsidRPr="00266C8E">
              <w:rPr>
                <w:sz w:val="22"/>
                <w:szCs w:val="22"/>
              </w:rPr>
              <w:t>identificētajiem cilvēku tirdzniecības upuriem sadarbībā ar NVO nodrošināt valsts apmaksātus sociālās rehabilitācijas pakalpojumus;</w:t>
            </w:r>
          </w:p>
          <w:p w:rsidR="009B0D76" w:rsidRPr="00266C8E" w:rsidRDefault="009B0D76" w:rsidP="003F469F">
            <w:pPr>
              <w:pStyle w:val="ListParagraph"/>
              <w:numPr>
                <w:ilvl w:val="0"/>
                <w:numId w:val="84"/>
              </w:numPr>
              <w:spacing w:line="276" w:lineRule="auto"/>
              <w:jc w:val="both"/>
              <w:rPr>
                <w:sz w:val="22"/>
                <w:szCs w:val="22"/>
                <w:u w:val="single"/>
              </w:rPr>
            </w:pPr>
            <w:r w:rsidRPr="00266C8E">
              <w:rPr>
                <w:sz w:val="22"/>
                <w:szCs w:val="22"/>
              </w:rPr>
              <w:t>attīstīt pašvaldības sociālo dienestu un sociālo pakalpojumu cilvēku tirdzniecības upuriem sniedzēju sadarbību, nodrošinot veiksmīgu cilvēku tirdzniecības upura reintegrāciju pēc sociālo pakalpojumu saņemšanas;</w:t>
            </w:r>
          </w:p>
          <w:p w:rsidR="009B0D76" w:rsidRPr="00266C8E" w:rsidRDefault="009B0D76" w:rsidP="003F469F">
            <w:pPr>
              <w:pStyle w:val="ListParagraph"/>
              <w:numPr>
                <w:ilvl w:val="0"/>
                <w:numId w:val="84"/>
              </w:numPr>
              <w:spacing w:line="276" w:lineRule="auto"/>
              <w:jc w:val="both"/>
              <w:rPr>
                <w:sz w:val="22"/>
                <w:szCs w:val="22"/>
                <w:u w:val="single"/>
              </w:rPr>
            </w:pPr>
            <w:r w:rsidRPr="00266C8E">
              <w:rPr>
                <w:sz w:val="22"/>
                <w:szCs w:val="22"/>
              </w:rPr>
              <w:t xml:space="preserve">izvērtēt atbalsta bērniem, kas cietuši no cilvēku tirdzniecības, tostarp izmitināšanu, vidēja termiņa un ilgtermiņa atbalsta programmas, kas pielāgotas bērnu vajadzībām, uzlabošanu. </w:t>
            </w:r>
          </w:p>
        </w:tc>
      </w:tr>
      <w:tr w:rsidR="009B0D76" w:rsidRPr="00266C8E" w:rsidTr="000278DA">
        <w:tc>
          <w:tcPr>
            <w:tcW w:w="2352" w:type="dxa"/>
          </w:tcPr>
          <w:p w:rsidR="009B0D76" w:rsidRPr="00266C8E" w:rsidRDefault="009B0D76" w:rsidP="00064C1E">
            <w:pPr>
              <w:rPr>
                <w:sz w:val="22"/>
                <w:szCs w:val="22"/>
              </w:rPr>
            </w:pPr>
            <w:r w:rsidRPr="00266C8E">
              <w:rPr>
                <w:sz w:val="22"/>
                <w:szCs w:val="22"/>
              </w:rPr>
              <w:lastRenderedPageBreak/>
              <w:t>Apvienoto Nāciju Organizācijas Konvencijas par personu ar invaliditāti tiesībām īstenošanas pamatnostādnes 2014.-2020.</w:t>
            </w:r>
            <w:r w:rsidR="00DE1C08">
              <w:rPr>
                <w:sz w:val="22"/>
                <w:szCs w:val="22"/>
              </w:rPr>
              <w:t xml:space="preserve"> </w:t>
            </w:r>
            <w:r w:rsidRPr="00266C8E">
              <w:rPr>
                <w:sz w:val="22"/>
                <w:szCs w:val="22"/>
              </w:rPr>
              <w:t>gadam</w:t>
            </w:r>
            <w:r w:rsidRPr="00266C8E">
              <w:rPr>
                <w:sz w:val="22"/>
                <w:szCs w:val="22"/>
                <w:vertAlign w:val="superscript"/>
              </w:rPr>
              <w:footnoteReference w:id="255"/>
            </w:r>
          </w:p>
        </w:tc>
        <w:tc>
          <w:tcPr>
            <w:tcW w:w="7384" w:type="dxa"/>
          </w:tcPr>
          <w:p w:rsidR="009B0D76" w:rsidRPr="00266C8E" w:rsidRDefault="009B0D76" w:rsidP="00D54545">
            <w:pPr>
              <w:rPr>
                <w:color w:val="000000" w:themeColor="text1"/>
                <w:sz w:val="22"/>
                <w:szCs w:val="22"/>
              </w:rPr>
            </w:pPr>
            <w:r w:rsidRPr="00266C8E">
              <w:rPr>
                <w:color w:val="000000" w:themeColor="text1"/>
                <w:sz w:val="22"/>
                <w:szCs w:val="22"/>
                <w:u w:val="single"/>
              </w:rPr>
              <w:t>Situācija un identificētās problēmas, kas attiecināmas uz mājokļa jomu</w:t>
            </w:r>
            <w:r w:rsidRPr="00266C8E">
              <w:rPr>
                <w:color w:val="000000" w:themeColor="text1"/>
                <w:sz w:val="22"/>
                <w:szCs w:val="22"/>
              </w:rPr>
              <w:t>:</w:t>
            </w:r>
          </w:p>
          <w:p w:rsidR="009B0D76" w:rsidRPr="00266C8E" w:rsidRDefault="009B0D76" w:rsidP="003F469F">
            <w:pPr>
              <w:pStyle w:val="ListParagraph"/>
              <w:numPr>
                <w:ilvl w:val="0"/>
                <w:numId w:val="83"/>
              </w:numPr>
              <w:spacing w:line="276" w:lineRule="auto"/>
              <w:jc w:val="both"/>
              <w:rPr>
                <w:sz w:val="22"/>
                <w:szCs w:val="22"/>
              </w:rPr>
            </w:pPr>
            <w:r w:rsidRPr="00266C8E">
              <w:rPr>
                <w:sz w:val="22"/>
                <w:szCs w:val="22"/>
              </w:rPr>
              <w:t>personām ar invaliditāti nav iespējas dzīvot neatkarīgi un uzsākt patstāvīgu dzīvi, nepilnīgi nodrošināta pieejamība ēkām, būvēm, informācijai un transportam;</w:t>
            </w:r>
          </w:p>
          <w:p w:rsidR="009B0D76" w:rsidRPr="00266C8E" w:rsidRDefault="009B0D76" w:rsidP="003F469F">
            <w:pPr>
              <w:pStyle w:val="ListParagraph"/>
              <w:numPr>
                <w:ilvl w:val="0"/>
                <w:numId w:val="83"/>
              </w:numPr>
              <w:spacing w:line="276" w:lineRule="auto"/>
              <w:jc w:val="both"/>
              <w:rPr>
                <w:sz w:val="22"/>
                <w:szCs w:val="22"/>
              </w:rPr>
            </w:pPr>
            <w:r w:rsidRPr="00266C8E">
              <w:rPr>
                <w:color w:val="000000"/>
                <w:sz w:val="22"/>
                <w:szCs w:val="22"/>
              </w:rPr>
              <w:t xml:space="preserve">personām ar I grupas invaliditāti (neatkarīgi no traucējumu veida), personām ar II </w:t>
            </w:r>
            <w:r w:rsidRPr="00266C8E">
              <w:rPr>
                <w:color w:val="000000"/>
                <w:sz w:val="22"/>
                <w:szCs w:val="22"/>
                <w:u w:val="single"/>
              </w:rPr>
              <w:t xml:space="preserve">grupas redzes vai dzirdes invaliditāti </w:t>
            </w:r>
            <w:r w:rsidRPr="00266C8E">
              <w:rPr>
                <w:color w:val="000000"/>
                <w:sz w:val="22"/>
                <w:szCs w:val="22"/>
              </w:rPr>
              <w:t xml:space="preserve">un personām līdz 18 gadu vecumam, kurām ir noteiktas medicīniskās indikācijas bērna </w:t>
            </w:r>
            <w:r w:rsidR="00917A17">
              <w:rPr>
                <w:color w:val="000000"/>
                <w:sz w:val="22"/>
                <w:szCs w:val="22"/>
              </w:rPr>
              <w:t>ar invaliditāti</w:t>
            </w:r>
            <w:r w:rsidRPr="00266C8E">
              <w:rPr>
                <w:color w:val="000000"/>
                <w:sz w:val="22"/>
                <w:szCs w:val="22"/>
              </w:rPr>
              <w:t xml:space="preserve"> īpašas kopšanas nepieciešamībai, ir tiesības saņemt atbalstu viena mājokļa pielāgošanai (atbalstu sniedz, piešķirot no valsts budžeta līdzekļiem finansējumu, lai atlīdzinātu par personas mājokļa pielāgošanu samaksātos kredīta procentus atbilstoši līgumam ar Latvijas Republikā reģistrētu kredītiestādi);</w:t>
            </w:r>
          </w:p>
          <w:p w:rsidR="009B0D76" w:rsidRPr="00266C8E" w:rsidRDefault="009B0D76" w:rsidP="003F469F">
            <w:pPr>
              <w:pStyle w:val="ListParagraph"/>
              <w:numPr>
                <w:ilvl w:val="0"/>
                <w:numId w:val="83"/>
              </w:numPr>
              <w:spacing w:line="276" w:lineRule="auto"/>
              <w:jc w:val="both"/>
              <w:rPr>
                <w:sz w:val="22"/>
                <w:szCs w:val="22"/>
              </w:rPr>
            </w:pPr>
            <w:r w:rsidRPr="00266C8E">
              <w:rPr>
                <w:color w:val="000000"/>
                <w:sz w:val="22"/>
                <w:szCs w:val="22"/>
              </w:rPr>
              <w:t>pakalpojums personām ar invaliditāti nav pieejams, lai gan ir ļoti nepieciešams, jo, lai valsts sniegto materiālo atbalstu izmantotu, personai jāņem kredīts kredītiestādē, kas ne vienmēr personām ar invaliditāti, īpaši nenodarbinātām vai tādām, kuru ienākumu līmenis ir zems, ir iespējams;</w:t>
            </w:r>
          </w:p>
          <w:p w:rsidR="009B0D76" w:rsidRPr="00266C8E" w:rsidRDefault="009B0D76" w:rsidP="003F469F">
            <w:pPr>
              <w:pStyle w:val="ListParagraph"/>
              <w:numPr>
                <w:ilvl w:val="0"/>
                <w:numId w:val="83"/>
              </w:numPr>
              <w:spacing w:line="276" w:lineRule="auto"/>
              <w:jc w:val="both"/>
              <w:rPr>
                <w:sz w:val="22"/>
                <w:szCs w:val="22"/>
              </w:rPr>
            </w:pPr>
            <w:r w:rsidRPr="00266C8E">
              <w:rPr>
                <w:sz w:val="22"/>
                <w:szCs w:val="22"/>
              </w:rPr>
              <w:t>tā kā mājokļa pielāgošanas pakalpojums nav pieejams, tas ir maz pieprasīts;</w:t>
            </w:r>
          </w:p>
          <w:p w:rsidR="009B0D76" w:rsidRPr="00266C8E" w:rsidRDefault="009B0D76" w:rsidP="003F469F">
            <w:pPr>
              <w:pStyle w:val="ListParagraph"/>
              <w:numPr>
                <w:ilvl w:val="0"/>
                <w:numId w:val="83"/>
              </w:numPr>
              <w:spacing w:line="276" w:lineRule="auto"/>
              <w:jc w:val="both"/>
              <w:rPr>
                <w:sz w:val="22"/>
                <w:szCs w:val="22"/>
              </w:rPr>
            </w:pPr>
            <w:r w:rsidRPr="00266C8E">
              <w:rPr>
                <w:sz w:val="22"/>
                <w:szCs w:val="22"/>
              </w:rPr>
              <w:t>deinstucionalizācijas procesā būtiska ir pieeja sabiedriskajiem pakalpojumiem, atbalstu pieejamībai un pieejamu mājokļu nodrošināšana.</w:t>
            </w:r>
          </w:p>
          <w:p w:rsidR="009B0D76" w:rsidRPr="00266C8E" w:rsidRDefault="009B0D76" w:rsidP="00D54545">
            <w:pPr>
              <w:pStyle w:val="ListParagraph"/>
              <w:spacing w:line="276" w:lineRule="auto"/>
              <w:jc w:val="both"/>
              <w:rPr>
                <w:sz w:val="22"/>
                <w:szCs w:val="22"/>
              </w:rPr>
            </w:pPr>
          </w:p>
          <w:p w:rsidR="009B0D76" w:rsidRPr="00266C8E" w:rsidRDefault="009B0D76" w:rsidP="00D54545">
            <w:pPr>
              <w:rPr>
                <w:sz w:val="22"/>
                <w:szCs w:val="22"/>
              </w:rPr>
            </w:pPr>
            <w:r w:rsidRPr="00266C8E">
              <w:rPr>
                <w:sz w:val="22"/>
                <w:szCs w:val="22"/>
                <w:u w:val="single"/>
              </w:rPr>
              <w:t>Pasākumi problēmu risināšanai</w:t>
            </w:r>
            <w:r w:rsidRPr="00266C8E">
              <w:rPr>
                <w:sz w:val="22"/>
                <w:szCs w:val="22"/>
              </w:rPr>
              <w:t>:</w:t>
            </w:r>
          </w:p>
          <w:p w:rsidR="009B0D76" w:rsidRPr="00266C8E" w:rsidRDefault="009B0D76" w:rsidP="003F469F">
            <w:pPr>
              <w:pStyle w:val="ListParagraph"/>
              <w:numPr>
                <w:ilvl w:val="0"/>
                <w:numId w:val="82"/>
              </w:numPr>
              <w:spacing w:line="276" w:lineRule="auto"/>
              <w:jc w:val="both"/>
              <w:rPr>
                <w:sz w:val="22"/>
                <w:szCs w:val="22"/>
              </w:rPr>
            </w:pPr>
            <w:r w:rsidRPr="00266C8E">
              <w:rPr>
                <w:color w:val="000000"/>
                <w:sz w:val="22"/>
                <w:szCs w:val="22"/>
              </w:rPr>
              <w:t>pilnveidots atbalsts mājokļa pielāgošanai - jāpilnveido mājokļa pielāgošanas pakalpojuma piešķiršanas nosacījumus, veicinot personu ar invaliditāti mājokļu pielāgošanu atbilstoši viņu funkcionālajiem traucējumiem un vajadzībām;</w:t>
            </w:r>
          </w:p>
          <w:p w:rsidR="009B0D76" w:rsidRPr="00266C8E" w:rsidRDefault="009B0D76" w:rsidP="00917A17">
            <w:pPr>
              <w:pStyle w:val="ListParagraph"/>
              <w:numPr>
                <w:ilvl w:val="0"/>
                <w:numId w:val="82"/>
              </w:numPr>
              <w:spacing w:line="276" w:lineRule="auto"/>
              <w:jc w:val="both"/>
              <w:rPr>
                <w:sz w:val="22"/>
                <w:szCs w:val="22"/>
              </w:rPr>
            </w:pPr>
            <w:r w:rsidRPr="00266C8E">
              <w:rPr>
                <w:sz w:val="22"/>
                <w:szCs w:val="22"/>
              </w:rPr>
              <w:t xml:space="preserve">pilnveidot Invaliditātes likumā noteiktos pakalpojumus invaliditātes izraisīto seku mazināšanai (t.sk. mājokļa pielāgošanas pakalpojumu personām ar I invaliditātes grupu, personām ar II grupas redzes vai dzirdes invaliditāti un personām līdz 18 gadu vecumam, kurām noteiktas </w:t>
            </w:r>
            <w:r w:rsidRPr="00266C8E">
              <w:rPr>
                <w:sz w:val="22"/>
                <w:szCs w:val="22"/>
              </w:rPr>
              <w:lastRenderedPageBreak/>
              <w:t xml:space="preserve">medicīniskās indikācijas bērna </w:t>
            </w:r>
            <w:r w:rsidR="00917A17">
              <w:rPr>
                <w:sz w:val="22"/>
                <w:szCs w:val="22"/>
              </w:rPr>
              <w:t>ar invaliditāti</w:t>
            </w:r>
            <w:r w:rsidRPr="00266C8E">
              <w:rPr>
                <w:sz w:val="22"/>
                <w:szCs w:val="22"/>
              </w:rPr>
              <w:t xml:space="preserve"> īpašas kopšanas nepieciešamībai).</w:t>
            </w:r>
          </w:p>
        </w:tc>
      </w:tr>
      <w:tr w:rsidR="009B0D76" w:rsidRPr="00266C8E" w:rsidTr="000278DA">
        <w:tc>
          <w:tcPr>
            <w:tcW w:w="2352" w:type="dxa"/>
          </w:tcPr>
          <w:p w:rsidR="009B0D76" w:rsidRPr="00266C8E" w:rsidRDefault="009B0D76" w:rsidP="00064C1E">
            <w:pPr>
              <w:rPr>
                <w:sz w:val="22"/>
                <w:szCs w:val="22"/>
              </w:rPr>
            </w:pPr>
            <w:r w:rsidRPr="00266C8E">
              <w:rPr>
                <w:sz w:val="22"/>
                <w:szCs w:val="22"/>
              </w:rPr>
              <w:lastRenderedPageBreak/>
              <w:t>Jaunatnes politikas pamatnostādnes 2009. – 2018.</w:t>
            </w:r>
            <w:r w:rsidR="00DE1C08">
              <w:rPr>
                <w:sz w:val="22"/>
                <w:szCs w:val="22"/>
              </w:rPr>
              <w:t xml:space="preserve"> </w:t>
            </w:r>
            <w:r w:rsidRPr="00266C8E">
              <w:rPr>
                <w:sz w:val="22"/>
                <w:szCs w:val="22"/>
              </w:rPr>
              <w:t>gadam</w:t>
            </w:r>
            <w:r w:rsidRPr="00266C8E">
              <w:rPr>
                <w:sz w:val="22"/>
                <w:szCs w:val="22"/>
                <w:vertAlign w:val="superscript"/>
              </w:rPr>
              <w:footnoteReference w:id="256"/>
            </w:r>
          </w:p>
        </w:tc>
        <w:tc>
          <w:tcPr>
            <w:tcW w:w="7384" w:type="dxa"/>
          </w:tcPr>
          <w:p w:rsidR="009B0D76" w:rsidRPr="00266C8E" w:rsidRDefault="009B0D76" w:rsidP="00D54545">
            <w:pPr>
              <w:rPr>
                <w:color w:val="000000"/>
                <w:sz w:val="22"/>
                <w:szCs w:val="22"/>
              </w:rPr>
            </w:pPr>
            <w:r w:rsidRPr="00266C8E">
              <w:rPr>
                <w:color w:val="000000"/>
                <w:sz w:val="22"/>
                <w:szCs w:val="22"/>
              </w:rPr>
              <w:t xml:space="preserve">Dokumentā norādīts, ka “(n)epieciešamība pēc mājokļa ir viena no cilvēku pamatvajadzībām”, raksturots ES izveidotais “mājsaimniecību dzīves ciklu modelis, saskaņā ar kuru var noteikt un prognozēt mājsaimniecību mājokļu izvēli un pieprasījumu pēc dažāda tipa mājokļiem, kas ir atkarīgs tieši no mājsaimniecību vecuma. Vispārēji ir atzīti četri dzīves cikli. Pirmais cikls ir </w:t>
            </w:r>
            <w:r w:rsidRPr="00266C8E">
              <w:rPr>
                <w:bCs/>
                <w:color w:val="000000"/>
                <w:sz w:val="22"/>
                <w:szCs w:val="22"/>
              </w:rPr>
              <w:t>„pirmais mājoklis”</w:t>
            </w:r>
            <w:r w:rsidRPr="00266C8E">
              <w:rPr>
                <w:color w:val="000000"/>
                <w:sz w:val="22"/>
                <w:szCs w:val="22"/>
              </w:rPr>
              <w:t>. Šajā ciklā dominē gados jauni cilvēki (no 18-20 līdz 25-30 gadiem), kuri sāk dzīvot patstāvīgi. Tā kā to rīcībā nav būtisku finanšu uzkrājumu un augstu ienākumu, viņi parasti izvēlas lētu un nelielu īres mājokli vai arī īrē mājokli kopīgi ar citiem. Šajā ciklā ietilpst 18% no Latvijas iedzīvotājiem (no18-20 gadu un no 25-30 gadu vecuma grupas)”</w:t>
            </w:r>
            <w:r w:rsidRPr="00266C8E">
              <w:rPr>
                <w:rStyle w:val="FootnoteReference"/>
                <w:color w:val="000000"/>
                <w:sz w:val="22"/>
                <w:szCs w:val="22"/>
              </w:rPr>
              <w:footnoteReference w:id="257"/>
            </w:r>
            <w:r w:rsidRPr="00266C8E">
              <w:rPr>
                <w:color w:val="000000"/>
                <w:sz w:val="22"/>
                <w:szCs w:val="22"/>
              </w:rPr>
              <w:t xml:space="preserve">. </w:t>
            </w:r>
          </w:p>
          <w:p w:rsidR="009B0D76" w:rsidRPr="00266C8E" w:rsidRDefault="009B0D76" w:rsidP="00D54545">
            <w:pPr>
              <w:rPr>
                <w:color w:val="000000"/>
                <w:sz w:val="22"/>
                <w:szCs w:val="22"/>
              </w:rPr>
            </w:pPr>
          </w:p>
          <w:p w:rsidR="009B0D76" w:rsidRPr="00266C8E" w:rsidRDefault="009B0D76" w:rsidP="00D54545">
            <w:pPr>
              <w:rPr>
                <w:color w:val="000000"/>
                <w:sz w:val="22"/>
                <w:szCs w:val="22"/>
              </w:rPr>
            </w:pPr>
            <w:r w:rsidRPr="00266C8E">
              <w:rPr>
                <w:color w:val="000000"/>
                <w:sz w:val="22"/>
                <w:szCs w:val="22"/>
                <w:u w:val="single"/>
              </w:rPr>
              <w:t>Identificētās problēmas</w:t>
            </w:r>
            <w:r w:rsidRPr="00266C8E">
              <w:rPr>
                <w:color w:val="000000"/>
                <w:sz w:val="22"/>
                <w:szCs w:val="22"/>
              </w:rPr>
              <w:t>:</w:t>
            </w:r>
          </w:p>
          <w:p w:rsidR="009B0D76" w:rsidRPr="00266C8E" w:rsidRDefault="009B0D76" w:rsidP="003F469F">
            <w:pPr>
              <w:pStyle w:val="ListParagraph"/>
              <w:numPr>
                <w:ilvl w:val="0"/>
                <w:numId w:val="81"/>
              </w:numPr>
              <w:spacing w:line="276" w:lineRule="auto"/>
              <w:jc w:val="both"/>
              <w:rPr>
                <w:sz w:val="22"/>
                <w:szCs w:val="22"/>
              </w:rPr>
            </w:pPr>
            <w:r w:rsidRPr="00266C8E">
              <w:rPr>
                <w:color w:val="000000"/>
                <w:sz w:val="22"/>
                <w:szCs w:val="22"/>
              </w:rPr>
              <w:t>iedzīvotājiem vecumā no 18-20 līdz 25-30 gadiem ir zemi ienākumi, trūkst uzkrājumu, vienlaikus ir vāji attīstīts īres tirgus, kā rezultātā šai grupai nav iespēju izvēlēties piemērotu mājokli;</w:t>
            </w:r>
          </w:p>
          <w:p w:rsidR="009B0D76" w:rsidRPr="00266C8E" w:rsidRDefault="009B0D76" w:rsidP="003F469F">
            <w:pPr>
              <w:pStyle w:val="ListParagraph"/>
              <w:numPr>
                <w:ilvl w:val="0"/>
                <w:numId w:val="81"/>
              </w:numPr>
              <w:spacing w:line="276" w:lineRule="auto"/>
              <w:jc w:val="both"/>
              <w:rPr>
                <w:sz w:val="22"/>
                <w:szCs w:val="22"/>
              </w:rPr>
            </w:pPr>
            <w:r w:rsidRPr="00266C8E">
              <w:rPr>
                <w:color w:val="000000"/>
                <w:sz w:val="22"/>
                <w:szCs w:val="22"/>
              </w:rPr>
              <w:t>nav izstrādāta vienota programma jauniešu un jauno ģimeņu atbalstam pirmā mājokļa iegādei (problēma identificēta 2013.</w:t>
            </w:r>
            <w:r w:rsidR="00D54545">
              <w:rPr>
                <w:color w:val="000000"/>
                <w:sz w:val="22"/>
                <w:szCs w:val="22"/>
              </w:rPr>
              <w:t xml:space="preserve"> </w:t>
            </w:r>
            <w:r w:rsidRPr="00266C8E">
              <w:rPr>
                <w:color w:val="000000"/>
                <w:sz w:val="22"/>
                <w:szCs w:val="22"/>
              </w:rPr>
              <w:t>gadā, kad tika izstrādāts plānošanas dokuments);</w:t>
            </w:r>
          </w:p>
          <w:p w:rsidR="009B0D76" w:rsidRPr="00266C8E" w:rsidRDefault="009B0D76" w:rsidP="003F469F">
            <w:pPr>
              <w:pStyle w:val="ListParagraph"/>
              <w:numPr>
                <w:ilvl w:val="0"/>
                <w:numId w:val="81"/>
              </w:numPr>
              <w:spacing w:line="276" w:lineRule="auto"/>
              <w:jc w:val="both"/>
              <w:rPr>
                <w:sz w:val="22"/>
                <w:szCs w:val="22"/>
              </w:rPr>
            </w:pPr>
            <w:r w:rsidRPr="00266C8E">
              <w:rPr>
                <w:sz w:val="22"/>
                <w:szCs w:val="22"/>
              </w:rPr>
              <w:t>pastāv nepietiekošs atbalsts jauniešu patstāvīgas dzīves uzsākšanai pēc atrašanās bērnu aprūpes iestādēs.</w:t>
            </w:r>
          </w:p>
          <w:p w:rsidR="009B0D76" w:rsidRPr="00266C8E" w:rsidRDefault="009B0D76" w:rsidP="00D54545">
            <w:pPr>
              <w:rPr>
                <w:sz w:val="22"/>
                <w:szCs w:val="22"/>
                <w:u w:val="single"/>
              </w:rPr>
            </w:pPr>
          </w:p>
          <w:p w:rsidR="009B0D76" w:rsidRPr="00266C8E" w:rsidRDefault="009B0D76" w:rsidP="00D54545">
            <w:pPr>
              <w:rPr>
                <w:sz w:val="22"/>
                <w:szCs w:val="22"/>
              </w:rPr>
            </w:pPr>
            <w:r w:rsidRPr="00266C8E">
              <w:rPr>
                <w:sz w:val="22"/>
                <w:szCs w:val="22"/>
                <w:u w:val="single"/>
              </w:rPr>
              <w:t>Plānotie pasākumi un rezultatīvie rādītāji problēmu risināšanai</w:t>
            </w:r>
            <w:r w:rsidRPr="00266C8E">
              <w:rPr>
                <w:sz w:val="22"/>
                <w:szCs w:val="22"/>
              </w:rPr>
              <w:t>:</w:t>
            </w:r>
          </w:p>
          <w:p w:rsidR="009B0D76" w:rsidRPr="00266C8E" w:rsidRDefault="009B0D76" w:rsidP="003F469F">
            <w:pPr>
              <w:pStyle w:val="ListParagraph"/>
              <w:numPr>
                <w:ilvl w:val="0"/>
                <w:numId w:val="80"/>
              </w:numPr>
              <w:spacing w:line="276" w:lineRule="auto"/>
              <w:jc w:val="both"/>
              <w:rPr>
                <w:sz w:val="22"/>
                <w:szCs w:val="22"/>
              </w:rPr>
            </w:pPr>
            <w:r w:rsidRPr="00266C8E">
              <w:rPr>
                <w:sz w:val="22"/>
                <w:szCs w:val="22"/>
              </w:rPr>
              <w:t>attīstīt pielāgotu un atbalstošu mājokļu politiku jaunajām ģimenēm un jaunajiem vecākiem;</w:t>
            </w:r>
          </w:p>
          <w:p w:rsidR="009B0D76" w:rsidRPr="00266C8E" w:rsidRDefault="009B0D76" w:rsidP="003F469F">
            <w:pPr>
              <w:pStyle w:val="ListParagraph"/>
              <w:numPr>
                <w:ilvl w:val="0"/>
                <w:numId w:val="80"/>
              </w:numPr>
              <w:spacing w:line="276" w:lineRule="auto"/>
              <w:jc w:val="both"/>
              <w:rPr>
                <w:sz w:val="22"/>
                <w:szCs w:val="22"/>
              </w:rPr>
            </w:pPr>
            <w:r w:rsidRPr="00266C8E">
              <w:rPr>
                <w:sz w:val="22"/>
                <w:szCs w:val="22"/>
              </w:rPr>
              <w:t>attīstīt jaunajiem vecākiem draudzīga mājokļu politika pirmā mājokļa iegādei;</w:t>
            </w:r>
          </w:p>
          <w:p w:rsidR="009B0D76" w:rsidRPr="00266C8E" w:rsidRDefault="009B0D76" w:rsidP="003F469F">
            <w:pPr>
              <w:pStyle w:val="ListParagraph"/>
              <w:numPr>
                <w:ilvl w:val="0"/>
                <w:numId w:val="80"/>
              </w:numPr>
              <w:spacing w:line="276" w:lineRule="auto"/>
              <w:jc w:val="both"/>
              <w:rPr>
                <w:sz w:val="22"/>
                <w:szCs w:val="22"/>
              </w:rPr>
            </w:pPr>
            <w:r w:rsidRPr="00266C8E">
              <w:rPr>
                <w:sz w:val="22"/>
                <w:szCs w:val="22"/>
              </w:rPr>
              <w:t xml:space="preserve">izveidotas „Pārejas (pusceļa) mājas”, jauniešu mājas ārpusģimenes aprūpes iestādēs. </w:t>
            </w:r>
          </w:p>
        </w:tc>
      </w:tr>
      <w:tr w:rsidR="009B0D76" w:rsidRPr="00266C8E" w:rsidTr="000278DA">
        <w:tc>
          <w:tcPr>
            <w:tcW w:w="2352" w:type="dxa"/>
          </w:tcPr>
          <w:p w:rsidR="009B0D76" w:rsidRPr="00266C8E" w:rsidRDefault="009B0D76" w:rsidP="00064C1E">
            <w:pPr>
              <w:rPr>
                <w:sz w:val="22"/>
                <w:szCs w:val="22"/>
              </w:rPr>
            </w:pPr>
            <w:r w:rsidRPr="00266C8E">
              <w:rPr>
                <w:sz w:val="22"/>
                <w:szCs w:val="22"/>
              </w:rPr>
              <w:t>Pamatnostādnes “Bērniem piemērota Latvija”</w:t>
            </w:r>
            <w:r w:rsidRPr="00266C8E">
              <w:rPr>
                <w:sz w:val="22"/>
                <w:szCs w:val="22"/>
                <w:vertAlign w:val="superscript"/>
              </w:rPr>
              <w:t xml:space="preserve"> </w:t>
            </w:r>
            <w:r w:rsidRPr="00266C8E">
              <w:rPr>
                <w:sz w:val="22"/>
                <w:szCs w:val="22"/>
                <w:vertAlign w:val="superscript"/>
              </w:rPr>
              <w:footnoteReference w:id="258"/>
            </w:r>
          </w:p>
        </w:tc>
        <w:tc>
          <w:tcPr>
            <w:tcW w:w="7384" w:type="dxa"/>
          </w:tcPr>
          <w:p w:rsidR="009B0D76" w:rsidRPr="00266C8E" w:rsidRDefault="009B0D76" w:rsidP="00D54545">
            <w:pPr>
              <w:rPr>
                <w:color w:val="000000" w:themeColor="text1"/>
                <w:sz w:val="22"/>
                <w:szCs w:val="22"/>
              </w:rPr>
            </w:pPr>
            <w:r w:rsidRPr="00266C8E">
              <w:rPr>
                <w:color w:val="000000" w:themeColor="text1"/>
                <w:sz w:val="22"/>
                <w:szCs w:val="22"/>
                <w:u w:val="single"/>
              </w:rPr>
              <w:t>Identificētā problēma, kas attiecināmas uz mājokļa jomu</w:t>
            </w:r>
            <w:r w:rsidRPr="00266C8E">
              <w:rPr>
                <w:color w:val="000000" w:themeColor="text1"/>
                <w:sz w:val="22"/>
                <w:szCs w:val="22"/>
              </w:rPr>
              <w:t>:</w:t>
            </w:r>
          </w:p>
          <w:p w:rsidR="009B0D76" w:rsidRPr="00266C8E" w:rsidRDefault="009B0D76" w:rsidP="003F469F">
            <w:pPr>
              <w:pStyle w:val="ListParagraph"/>
              <w:numPr>
                <w:ilvl w:val="0"/>
                <w:numId w:val="79"/>
              </w:numPr>
              <w:spacing w:line="276" w:lineRule="auto"/>
              <w:jc w:val="both"/>
              <w:rPr>
                <w:sz w:val="22"/>
                <w:szCs w:val="22"/>
              </w:rPr>
            </w:pPr>
            <w:r w:rsidRPr="00266C8E">
              <w:rPr>
                <w:sz w:val="22"/>
                <w:szCs w:val="22"/>
              </w:rPr>
              <w:t>vecāki dažādu iemeslu dēļ nav spējīgi finansēt un nodrošināt ģimenei dzīvošanai derīgas telpas (dokumentā norādīts, ka “Latvijas Republikas Satversmes 96.pantā ir noteikts, ka ikvienam ir tiesības uz mājokli”).</w:t>
            </w:r>
          </w:p>
          <w:p w:rsidR="009B0D76" w:rsidRPr="00266C8E" w:rsidRDefault="009B0D76" w:rsidP="00D54545">
            <w:pPr>
              <w:rPr>
                <w:sz w:val="22"/>
                <w:szCs w:val="22"/>
              </w:rPr>
            </w:pPr>
            <w:r w:rsidRPr="00266C8E">
              <w:rPr>
                <w:sz w:val="22"/>
                <w:szCs w:val="22"/>
                <w:u w:val="single"/>
              </w:rPr>
              <w:t>Rīcības virziens problēmas risināšanai</w:t>
            </w:r>
            <w:r w:rsidRPr="00266C8E">
              <w:rPr>
                <w:sz w:val="22"/>
                <w:szCs w:val="22"/>
              </w:rPr>
              <w:t>:</w:t>
            </w:r>
          </w:p>
          <w:p w:rsidR="009B0D76" w:rsidRPr="00266C8E" w:rsidRDefault="009B0D76" w:rsidP="003F469F">
            <w:pPr>
              <w:pStyle w:val="ListParagraph"/>
              <w:numPr>
                <w:ilvl w:val="0"/>
                <w:numId w:val="77"/>
              </w:numPr>
              <w:spacing w:line="276" w:lineRule="auto"/>
              <w:jc w:val="both"/>
              <w:rPr>
                <w:sz w:val="22"/>
                <w:szCs w:val="22"/>
              </w:rPr>
            </w:pPr>
            <w:r w:rsidRPr="00266C8E">
              <w:rPr>
                <w:sz w:val="22"/>
                <w:szCs w:val="22"/>
              </w:rPr>
              <w:t>aizsargāt un sniegt atbalstu ģimenei mājokļa jautājumos, lai nodrošinātu bērna fizisko un psiholoģisko drošību, autonomiju, privāto un intīmo sfēru</w:t>
            </w:r>
            <w:r w:rsidR="0036665B" w:rsidRPr="00266C8E">
              <w:rPr>
                <w:sz w:val="22"/>
                <w:szCs w:val="22"/>
              </w:rPr>
              <w:t>.</w:t>
            </w:r>
          </w:p>
          <w:p w:rsidR="009B0D76" w:rsidRPr="00266C8E" w:rsidRDefault="009B0D76" w:rsidP="00D54545">
            <w:pPr>
              <w:rPr>
                <w:sz w:val="22"/>
                <w:szCs w:val="22"/>
                <w:u w:val="single"/>
              </w:rPr>
            </w:pPr>
            <w:r w:rsidRPr="00266C8E">
              <w:rPr>
                <w:sz w:val="22"/>
                <w:szCs w:val="22"/>
                <w:u w:val="single"/>
              </w:rPr>
              <w:t>Indikators:</w:t>
            </w:r>
          </w:p>
          <w:p w:rsidR="009B0D76" w:rsidRPr="00266C8E" w:rsidRDefault="009B0D76" w:rsidP="003F469F">
            <w:pPr>
              <w:pStyle w:val="ListParagraph"/>
              <w:numPr>
                <w:ilvl w:val="0"/>
                <w:numId w:val="78"/>
              </w:numPr>
              <w:spacing w:line="276" w:lineRule="auto"/>
              <w:jc w:val="both"/>
              <w:rPr>
                <w:sz w:val="22"/>
                <w:szCs w:val="22"/>
                <w:u w:val="single"/>
              </w:rPr>
            </w:pPr>
            <w:r w:rsidRPr="00266C8E">
              <w:rPr>
                <w:sz w:val="22"/>
                <w:szCs w:val="22"/>
              </w:rPr>
              <w:t>bērnu skaits ģimenēs, kurām nav noteiktas dzīves vietas un kas ar tiesas spriedumu izliktas no dzīvojamā platības.</w:t>
            </w:r>
          </w:p>
        </w:tc>
      </w:tr>
      <w:tr w:rsidR="009B0D76" w:rsidRPr="00266C8E" w:rsidTr="000278DA">
        <w:tc>
          <w:tcPr>
            <w:tcW w:w="2352" w:type="dxa"/>
          </w:tcPr>
          <w:p w:rsidR="009B0D76" w:rsidRPr="00266C8E" w:rsidRDefault="009B0D76" w:rsidP="00064C1E">
            <w:pPr>
              <w:rPr>
                <w:sz w:val="22"/>
                <w:szCs w:val="22"/>
              </w:rPr>
            </w:pPr>
            <w:r w:rsidRPr="00266C8E">
              <w:rPr>
                <w:sz w:val="22"/>
                <w:szCs w:val="22"/>
              </w:rPr>
              <w:t xml:space="preserve">Pamatnostādnes </w:t>
            </w:r>
            <w:r w:rsidRPr="00266C8E">
              <w:rPr>
                <w:sz w:val="22"/>
                <w:szCs w:val="22"/>
              </w:rPr>
              <w:lastRenderedPageBreak/>
              <w:t>nodokļu un nodevu sistēmas attīstībā</w:t>
            </w:r>
            <w:r w:rsidRPr="00266C8E">
              <w:rPr>
                <w:sz w:val="22"/>
                <w:szCs w:val="22"/>
                <w:vertAlign w:val="superscript"/>
              </w:rPr>
              <w:footnoteReference w:id="259"/>
            </w:r>
          </w:p>
        </w:tc>
        <w:tc>
          <w:tcPr>
            <w:tcW w:w="7384" w:type="dxa"/>
          </w:tcPr>
          <w:p w:rsidR="009B0D76" w:rsidRPr="00266C8E" w:rsidRDefault="009B0D76" w:rsidP="00D54545">
            <w:pPr>
              <w:rPr>
                <w:sz w:val="22"/>
                <w:szCs w:val="22"/>
              </w:rPr>
            </w:pPr>
            <w:r w:rsidRPr="00266C8E">
              <w:rPr>
                <w:sz w:val="22"/>
                <w:szCs w:val="22"/>
                <w:u w:val="single"/>
              </w:rPr>
              <w:lastRenderedPageBreak/>
              <w:t>Identificētās problēmas saistībā ar mājokļa jomu (2003.</w:t>
            </w:r>
            <w:r w:rsidR="00D54545">
              <w:rPr>
                <w:sz w:val="22"/>
                <w:szCs w:val="22"/>
                <w:u w:val="single"/>
              </w:rPr>
              <w:t xml:space="preserve"> </w:t>
            </w:r>
            <w:r w:rsidRPr="00266C8E">
              <w:rPr>
                <w:sz w:val="22"/>
                <w:szCs w:val="22"/>
                <w:u w:val="single"/>
              </w:rPr>
              <w:t>gads)</w:t>
            </w:r>
            <w:r w:rsidRPr="00266C8E">
              <w:rPr>
                <w:sz w:val="22"/>
                <w:szCs w:val="22"/>
              </w:rPr>
              <w:t>:</w:t>
            </w:r>
          </w:p>
          <w:p w:rsidR="009B0D76" w:rsidRPr="00266C8E" w:rsidRDefault="009B0D76" w:rsidP="003F469F">
            <w:pPr>
              <w:numPr>
                <w:ilvl w:val="0"/>
                <w:numId w:val="76"/>
              </w:numPr>
              <w:rPr>
                <w:color w:val="333300"/>
                <w:sz w:val="22"/>
                <w:szCs w:val="22"/>
              </w:rPr>
            </w:pPr>
            <w:r w:rsidRPr="00266C8E">
              <w:rPr>
                <w:sz w:val="22"/>
                <w:szCs w:val="22"/>
              </w:rPr>
              <w:lastRenderedPageBreak/>
              <w:t>krasa nekustamā īpašuma nodokļa sloga pieauguma novēršana iedzīvotājiem;</w:t>
            </w:r>
          </w:p>
          <w:p w:rsidR="009B0D76" w:rsidRPr="00266C8E" w:rsidRDefault="009B0D76" w:rsidP="003F469F">
            <w:pPr>
              <w:numPr>
                <w:ilvl w:val="0"/>
                <w:numId w:val="76"/>
              </w:numPr>
              <w:rPr>
                <w:color w:val="333300"/>
                <w:sz w:val="22"/>
                <w:szCs w:val="22"/>
              </w:rPr>
            </w:pPr>
            <w:r w:rsidRPr="00266C8E">
              <w:rPr>
                <w:sz w:val="22"/>
                <w:szCs w:val="22"/>
              </w:rPr>
              <w:t>nepietiekams informācijas nodrošinājums ēku kadastrālo vērtību noteikšanai, pārejai uz ēku aplikšanu ar nodokli pēc to kadastrālās vērtības.</w:t>
            </w:r>
          </w:p>
          <w:p w:rsidR="009B0D76" w:rsidRPr="00266C8E" w:rsidRDefault="009B0D76" w:rsidP="00D54545">
            <w:pPr>
              <w:rPr>
                <w:sz w:val="22"/>
                <w:szCs w:val="22"/>
              </w:rPr>
            </w:pPr>
            <w:r w:rsidRPr="00266C8E">
              <w:rPr>
                <w:sz w:val="22"/>
                <w:szCs w:val="22"/>
              </w:rPr>
              <w:t>Dokumentā skaidrots, ka “darbu nodokļu sistēmas attīstībā īstermiņā un vidējā termiņā ir paredzēts vērst četros galvenajos virzienos”, t.sk. “(..) iedzīvotāju dzīves līmeņa celšanā, pārskatot šobrīd noteikto nodokļu piemērošanu dzīvojamām mājām (..)”.</w:t>
            </w:r>
          </w:p>
          <w:p w:rsidR="009B0D76" w:rsidRPr="00266C8E" w:rsidRDefault="009B0D76" w:rsidP="00D54545">
            <w:pPr>
              <w:rPr>
                <w:sz w:val="22"/>
                <w:szCs w:val="22"/>
                <w:u w:val="single"/>
              </w:rPr>
            </w:pPr>
          </w:p>
          <w:p w:rsidR="009B0D76" w:rsidRPr="00266C8E" w:rsidRDefault="009B0D76" w:rsidP="00D54545">
            <w:pPr>
              <w:rPr>
                <w:sz w:val="22"/>
                <w:szCs w:val="22"/>
                <w:u w:val="single"/>
              </w:rPr>
            </w:pPr>
            <w:r w:rsidRPr="00266C8E">
              <w:rPr>
                <w:sz w:val="22"/>
                <w:szCs w:val="22"/>
                <w:u w:val="single"/>
              </w:rPr>
              <w:t>Pasākumi problēmu risināšanai (2003.</w:t>
            </w:r>
            <w:r w:rsidR="00D54545">
              <w:rPr>
                <w:sz w:val="22"/>
                <w:szCs w:val="22"/>
                <w:u w:val="single"/>
              </w:rPr>
              <w:t xml:space="preserve"> </w:t>
            </w:r>
            <w:r w:rsidRPr="00266C8E">
              <w:rPr>
                <w:sz w:val="22"/>
                <w:szCs w:val="22"/>
                <w:u w:val="single"/>
              </w:rPr>
              <w:t>gads):</w:t>
            </w:r>
          </w:p>
          <w:p w:rsidR="009B0D76" w:rsidRPr="00266C8E" w:rsidRDefault="009B0D76" w:rsidP="003F469F">
            <w:pPr>
              <w:numPr>
                <w:ilvl w:val="0"/>
                <w:numId w:val="75"/>
              </w:numPr>
              <w:rPr>
                <w:sz w:val="22"/>
                <w:szCs w:val="22"/>
              </w:rPr>
            </w:pPr>
            <w:r w:rsidRPr="00266C8E">
              <w:rPr>
                <w:sz w:val="22"/>
                <w:szCs w:val="22"/>
              </w:rPr>
              <w:t>likuma “Par nekustamā īpašuma nodokli” grozījumu izstrāde, novēršot šī nodokļa sloga pieaugumu iedzīvotājiem (plānots īstenot 2003.</w:t>
            </w:r>
            <w:r w:rsidR="00D54545">
              <w:rPr>
                <w:sz w:val="22"/>
                <w:szCs w:val="22"/>
              </w:rPr>
              <w:t xml:space="preserve"> </w:t>
            </w:r>
            <w:r w:rsidRPr="00266C8E">
              <w:rPr>
                <w:sz w:val="22"/>
                <w:szCs w:val="22"/>
              </w:rPr>
              <w:t>gadā);</w:t>
            </w:r>
          </w:p>
          <w:p w:rsidR="009B0D76" w:rsidRPr="00266C8E" w:rsidRDefault="009B0D76" w:rsidP="003F469F">
            <w:pPr>
              <w:pStyle w:val="ListParagraph"/>
              <w:numPr>
                <w:ilvl w:val="0"/>
                <w:numId w:val="75"/>
              </w:numPr>
              <w:spacing w:line="276" w:lineRule="auto"/>
              <w:jc w:val="both"/>
              <w:rPr>
                <w:sz w:val="22"/>
                <w:szCs w:val="22"/>
                <w:u w:val="single"/>
              </w:rPr>
            </w:pPr>
            <w:r w:rsidRPr="00266C8E">
              <w:rPr>
                <w:sz w:val="22"/>
                <w:szCs w:val="22"/>
              </w:rPr>
              <w:t>izstrādāt koncepciju iespējamai dzīvojamo ēku aplikšanai ar nekustamā īpašuma nodokli, vienlaikus nodrošinot nodokļa sloga nepalielināšanos maznodrošinātajiem iedzīvotājiem (plānots īstenot līdz 2005.</w:t>
            </w:r>
            <w:r w:rsidR="00D54545">
              <w:rPr>
                <w:sz w:val="22"/>
                <w:szCs w:val="22"/>
              </w:rPr>
              <w:t xml:space="preserve"> </w:t>
            </w:r>
            <w:r w:rsidRPr="00266C8E">
              <w:rPr>
                <w:sz w:val="22"/>
                <w:szCs w:val="22"/>
              </w:rPr>
              <w:t>gadam).</w:t>
            </w:r>
          </w:p>
        </w:tc>
      </w:tr>
      <w:tr w:rsidR="009B0D76" w:rsidRPr="00266C8E" w:rsidTr="000278DA">
        <w:tc>
          <w:tcPr>
            <w:tcW w:w="2352" w:type="dxa"/>
          </w:tcPr>
          <w:p w:rsidR="009B0D76" w:rsidRPr="00266C8E" w:rsidRDefault="009B0D76" w:rsidP="00064C1E">
            <w:pPr>
              <w:rPr>
                <w:sz w:val="22"/>
                <w:szCs w:val="22"/>
              </w:rPr>
            </w:pPr>
            <w:r w:rsidRPr="00266C8E">
              <w:rPr>
                <w:sz w:val="22"/>
                <w:szCs w:val="22"/>
              </w:rPr>
              <w:lastRenderedPageBreak/>
              <w:t>Valsts nodokļu politikas pamatnostādnēm 2018.-2021. gadam</w:t>
            </w:r>
            <w:r w:rsidRPr="00266C8E">
              <w:rPr>
                <w:sz w:val="22"/>
                <w:szCs w:val="22"/>
                <w:vertAlign w:val="superscript"/>
              </w:rPr>
              <w:footnoteReference w:id="260"/>
            </w:r>
          </w:p>
        </w:tc>
        <w:tc>
          <w:tcPr>
            <w:tcW w:w="7384" w:type="dxa"/>
          </w:tcPr>
          <w:p w:rsidR="009B0D76" w:rsidRPr="00266C8E" w:rsidRDefault="009B0D76" w:rsidP="00D54545">
            <w:pPr>
              <w:rPr>
                <w:sz w:val="22"/>
                <w:szCs w:val="22"/>
                <w:u w:val="single"/>
              </w:rPr>
            </w:pPr>
            <w:r w:rsidRPr="00266C8E">
              <w:rPr>
                <w:sz w:val="22"/>
                <w:szCs w:val="22"/>
                <w:u w:val="single"/>
              </w:rPr>
              <w:t>Identificētie uzdevumi, kas attiecināmi uz mājokļa jomu (izdevumi par mājokli)</w:t>
            </w:r>
            <w:r w:rsidRPr="00266C8E">
              <w:rPr>
                <w:sz w:val="22"/>
                <w:szCs w:val="22"/>
              </w:rPr>
              <w:t>:</w:t>
            </w:r>
          </w:p>
          <w:p w:rsidR="009B0D76" w:rsidRPr="00266C8E" w:rsidRDefault="009B0D76" w:rsidP="003F469F">
            <w:pPr>
              <w:pStyle w:val="ListParagraph"/>
              <w:numPr>
                <w:ilvl w:val="0"/>
                <w:numId w:val="74"/>
              </w:numPr>
              <w:spacing w:line="276" w:lineRule="auto"/>
              <w:jc w:val="both"/>
              <w:rPr>
                <w:sz w:val="22"/>
                <w:szCs w:val="22"/>
                <w:u w:val="single"/>
              </w:rPr>
            </w:pPr>
            <w:r w:rsidRPr="00266C8E">
              <w:rPr>
                <w:sz w:val="22"/>
                <w:szCs w:val="22"/>
              </w:rPr>
              <w:t>pārskatīt nekustamā īpašuma nodokļa nosacījumus un likmes;</w:t>
            </w:r>
          </w:p>
          <w:p w:rsidR="009B0D76" w:rsidRPr="00266C8E" w:rsidRDefault="009B0D76" w:rsidP="003F469F">
            <w:pPr>
              <w:pStyle w:val="ListParagraph"/>
              <w:numPr>
                <w:ilvl w:val="0"/>
                <w:numId w:val="74"/>
              </w:numPr>
              <w:spacing w:line="276" w:lineRule="auto"/>
              <w:jc w:val="both"/>
              <w:rPr>
                <w:sz w:val="22"/>
                <w:szCs w:val="22"/>
              </w:rPr>
            </w:pPr>
            <w:r w:rsidRPr="00266C8E">
              <w:rPr>
                <w:sz w:val="22"/>
                <w:szCs w:val="22"/>
              </w:rPr>
              <w:t>iesniegt izskatīšanai MK grozījumus likumā "</w:t>
            </w:r>
            <w:hyperlink r:id="rId91" w:tgtFrame="_blank" w:history="1">
              <w:r w:rsidRPr="00266C8E">
                <w:rPr>
                  <w:sz w:val="22"/>
                  <w:szCs w:val="22"/>
                </w:rPr>
                <w:t>Par nekustamā īpašuma nodokli</w:t>
              </w:r>
            </w:hyperlink>
            <w:r w:rsidRPr="00266C8E">
              <w:rPr>
                <w:sz w:val="22"/>
                <w:szCs w:val="22"/>
              </w:rPr>
              <w:t>", kas nodrošinātu samērīgu nekustamā īpašuma nodokli.</w:t>
            </w:r>
          </w:p>
        </w:tc>
      </w:tr>
      <w:tr w:rsidR="009B0D76" w:rsidRPr="00266C8E" w:rsidTr="000278DA">
        <w:tc>
          <w:tcPr>
            <w:tcW w:w="2352" w:type="dxa"/>
          </w:tcPr>
          <w:p w:rsidR="009B0D76" w:rsidRPr="00266C8E" w:rsidRDefault="009B0D76" w:rsidP="00064C1E">
            <w:pPr>
              <w:jc w:val="left"/>
              <w:rPr>
                <w:sz w:val="22"/>
                <w:szCs w:val="22"/>
              </w:rPr>
            </w:pPr>
            <w:r w:rsidRPr="00266C8E">
              <w:rPr>
                <w:sz w:val="22"/>
                <w:szCs w:val="22"/>
              </w:rPr>
              <w:t>Nacionālās identitātes, pilsoniskās sabiedrības un integrācijas politikas pamatnostādnes 2012.–2018.</w:t>
            </w:r>
            <w:r w:rsidR="00DE1C08">
              <w:rPr>
                <w:sz w:val="22"/>
                <w:szCs w:val="22"/>
              </w:rPr>
              <w:t xml:space="preserve"> </w:t>
            </w:r>
            <w:r w:rsidRPr="00266C8E">
              <w:rPr>
                <w:sz w:val="22"/>
                <w:szCs w:val="22"/>
              </w:rPr>
              <w:t>gadam</w:t>
            </w:r>
            <w:r w:rsidRPr="00266C8E">
              <w:rPr>
                <w:sz w:val="22"/>
                <w:szCs w:val="22"/>
                <w:vertAlign w:val="superscript"/>
              </w:rPr>
              <w:footnoteReference w:id="261"/>
            </w:r>
          </w:p>
        </w:tc>
        <w:tc>
          <w:tcPr>
            <w:tcW w:w="7384" w:type="dxa"/>
          </w:tcPr>
          <w:p w:rsidR="009B0D76" w:rsidRPr="00266C8E" w:rsidRDefault="009B0D76" w:rsidP="00D54545">
            <w:pPr>
              <w:rPr>
                <w:sz w:val="22"/>
                <w:szCs w:val="22"/>
              </w:rPr>
            </w:pPr>
            <w:r w:rsidRPr="00266C8E">
              <w:rPr>
                <w:sz w:val="22"/>
                <w:szCs w:val="22"/>
              </w:rPr>
              <w:t xml:space="preserve">Turpmākās rīcības plānojumā paredzētie </w:t>
            </w:r>
            <w:r w:rsidRPr="00266C8E">
              <w:rPr>
                <w:sz w:val="22"/>
                <w:szCs w:val="22"/>
                <w:u w:val="single"/>
              </w:rPr>
              <w:t>uzdevumi un pasākumi, kas attiecināmi uz mājokļa jomu</w:t>
            </w:r>
            <w:r w:rsidRPr="00266C8E">
              <w:rPr>
                <w:sz w:val="22"/>
                <w:szCs w:val="22"/>
              </w:rPr>
              <w:t>:</w:t>
            </w:r>
          </w:p>
          <w:p w:rsidR="009B0D76" w:rsidRPr="00266C8E" w:rsidRDefault="009B0D76" w:rsidP="003F469F">
            <w:pPr>
              <w:pStyle w:val="ListParagraph"/>
              <w:numPr>
                <w:ilvl w:val="0"/>
                <w:numId w:val="73"/>
              </w:numPr>
              <w:spacing w:line="276" w:lineRule="auto"/>
              <w:jc w:val="both"/>
              <w:rPr>
                <w:sz w:val="22"/>
                <w:szCs w:val="22"/>
              </w:rPr>
            </w:pPr>
            <w:r w:rsidRPr="00266C8E">
              <w:rPr>
                <w:bCs/>
                <w:sz w:val="22"/>
                <w:szCs w:val="22"/>
              </w:rPr>
              <w:t>atbalsta pasākumi</w:t>
            </w:r>
            <w:r w:rsidRPr="00266C8E">
              <w:rPr>
                <w:sz w:val="22"/>
                <w:szCs w:val="22"/>
              </w:rPr>
              <w:t xml:space="preserve"> romu integrācijai, izglītības un nodarbinātības līmeņa paaugstināšanai, kā arī veselības un sociālās aprūpes un mājokļu pakalpojumu pieejamības jomā;</w:t>
            </w:r>
          </w:p>
          <w:p w:rsidR="009B0D76" w:rsidRPr="00266C8E" w:rsidRDefault="009B0D76" w:rsidP="003F469F">
            <w:pPr>
              <w:pStyle w:val="ListParagraph"/>
              <w:numPr>
                <w:ilvl w:val="0"/>
                <w:numId w:val="73"/>
              </w:numPr>
              <w:spacing w:line="276" w:lineRule="auto"/>
              <w:jc w:val="both"/>
              <w:rPr>
                <w:sz w:val="22"/>
                <w:szCs w:val="22"/>
              </w:rPr>
            </w:pPr>
            <w:r w:rsidRPr="00266C8E">
              <w:rPr>
                <w:sz w:val="22"/>
                <w:szCs w:val="22"/>
              </w:rPr>
              <w:t>pētījums (gadījumu izpēte) "Romu kopiena un cilvēktiesības Latvijā" (pieeja izglītībai, mājokļiem, veselības aprūpei, dažādiem pakalpojumiem, nodarbinātība u.c.);</w:t>
            </w:r>
          </w:p>
          <w:p w:rsidR="009B0D76" w:rsidRPr="00266C8E" w:rsidRDefault="009B0D76" w:rsidP="003F469F">
            <w:pPr>
              <w:pStyle w:val="ListParagraph"/>
              <w:numPr>
                <w:ilvl w:val="0"/>
                <w:numId w:val="73"/>
              </w:numPr>
              <w:spacing w:line="276" w:lineRule="auto"/>
              <w:jc w:val="both"/>
              <w:rPr>
                <w:sz w:val="22"/>
                <w:szCs w:val="22"/>
              </w:rPr>
            </w:pPr>
            <w:r w:rsidRPr="00266C8E">
              <w:rPr>
                <w:sz w:val="22"/>
                <w:szCs w:val="22"/>
              </w:rPr>
              <w:t>atbalsta pasākumi dzīvokļa jautājuma risināšanā romu ģimenēm, balstoties uz pētījumu secinājumiem;</w:t>
            </w:r>
          </w:p>
          <w:p w:rsidR="009B0D76" w:rsidRPr="00266C8E" w:rsidRDefault="009B0D76" w:rsidP="003F469F">
            <w:pPr>
              <w:pStyle w:val="ListParagraph"/>
              <w:numPr>
                <w:ilvl w:val="0"/>
                <w:numId w:val="73"/>
              </w:numPr>
              <w:spacing w:line="276" w:lineRule="auto"/>
              <w:jc w:val="both"/>
              <w:rPr>
                <w:sz w:val="22"/>
                <w:szCs w:val="22"/>
              </w:rPr>
            </w:pPr>
            <w:r w:rsidRPr="00266C8E">
              <w:rPr>
                <w:sz w:val="22"/>
                <w:szCs w:val="22"/>
              </w:rPr>
              <w:t>balstoties uz pētījuma rezultātiem, nodrošināta turpmākā nepieciešamā rīcība: notikusi atbildīgo un iesaistīto personu diskusija par iespējamo turpmāko rīcību jautājuma risināšanā par romu pieeju mājoklim;  veikti romu kopienu informējoši un izglītojoši pasākumi; nodrošināta pašvaldību palīdzošo profesiju pārstāvju apmācība darbam ar romu kopienu;  izvērtēta nepieciešamība veikt grozījumus esošajā tiesiskajā regulējumā par palīdzību dzīvokļa jautājuma risināšanā.</w:t>
            </w:r>
          </w:p>
        </w:tc>
      </w:tr>
    </w:tbl>
    <w:p w:rsidR="009C06E7" w:rsidRDefault="009C06E7" w:rsidP="00922A20"/>
    <w:p w:rsidR="009B0D76" w:rsidRPr="00706C0D" w:rsidRDefault="009B0D76" w:rsidP="00922A20">
      <w:r w:rsidRPr="00706C0D">
        <w:t>Specifisku problēmu un mērķa grupu situācijas analīzes avots</w:t>
      </w:r>
      <w:r w:rsidR="00316778">
        <w:t>, kas atspoguļo rīcībpolitikas plānošanas procesu,</w:t>
      </w:r>
      <w:r w:rsidRPr="00706C0D">
        <w:t xml:space="preserve"> ir </w:t>
      </w:r>
      <w:r w:rsidRPr="003E7823">
        <w:rPr>
          <w:b/>
        </w:rPr>
        <w:t>informatīvie ziņojumi</w:t>
      </w:r>
      <w:r w:rsidRPr="00706C0D">
        <w:t xml:space="preserve">. Turpinājumā aplūkotie Izvērtējuma uzdevumiem </w:t>
      </w:r>
      <w:r w:rsidRPr="00706C0D">
        <w:lastRenderedPageBreak/>
        <w:t xml:space="preserve">atbilstošie informatīvie ziņojumi attiecas uz atbalsta programmas izstrādi īres mājokļu būvniecībai, atbalsta sniegšanu starptautiskās aizsardzības personām, īrnieku tiesību aizsardzību. </w:t>
      </w:r>
    </w:p>
    <w:p w:rsidR="009B0D76" w:rsidRDefault="009B0D76" w:rsidP="003F469F">
      <w:pPr>
        <w:pStyle w:val="ListParagraph"/>
        <w:numPr>
          <w:ilvl w:val="0"/>
          <w:numId w:val="63"/>
        </w:numPr>
        <w:spacing w:line="276" w:lineRule="auto"/>
        <w:jc w:val="both"/>
      </w:pPr>
      <w:r>
        <w:t xml:space="preserve">16.10.2018. </w:t>
      </w:r>
      <w:r w:rsidRPr="00BD61C9">
        <w:t>Informatīvais ziņojums "Par Ministru kabineta 2018.</w:t>
      </w:r>
      <w:r w:rsidR="00D54545">
        <w:t xml:space="preserve"> </w:t>
      </w:r>
      <w:r w:rsidRPr="00BD61C9">
        <w:t>gada 2.</w:t>
      </w:r>
      <w:r w:rsidR="00D54545">
        <w:t xml:space="preserve"> </w:t>
      </w:r>
      <w:r w:rsidRPr="00BD61C9">
        <w:t>oktobra sēdes protokola Nr.45 44.§ (Informatīvais ziņojums "Par atbalstu īres mājokļu būvniecībai reģionos") 2.un 3.punkta izpildi"</w:t>
      </w:r>
      <w:r>
        <w:t xml:space="preserve"> (EM, Industrijas un pakalpojumu politika)</w:t>
      </w:r>
      <w:r w:rsidR="0036665B">
        <w:t>;</w:t>
      </w:r>
    </w:p>
    <w:p w:rsidR="009B0D76" w:rsidRDefault="009B0D76" w:rsidP="003F469F">
      <w:pPr>
        <w:pStyle w:val="ListParagraph"/>
        <w:numPr>
          <w:ilvl w:val="0"/>
          <w:numId w:val="63"/>
        </w:numPr>
        <w:spacing w:line="276" w:lineRule="auto"/>
        <w:jc w:val="both"/>
      </w:pPr>
      <w:r>
        <w:t xml:space="preserve">02.10.2018. (izskatīts) </w:t>
      </w:r>
      <w:r w:rsidRPr="00BD61C9">
        <w:t>Informatīvais ziņojums "Par atbalstu īres mājokļu būvniecībai reģionos"</w:t>
      </w:r>
      <w:r>
        <w:t xml:space="preserve"> (EM, Industrijas un pakalpojumu politika)</w:t>
      </w:r>
      <w:r>
        <w:rPr>
          <w:rStyle w:val="FootnoteReference"/>
          <w:rFonts w:eastAsiaTheme="majorEastAsia"/>
        </w:rPr>
        <w:footnoteReference w:id="262"/>
      </w:r>
      <w:r w:rsidR="0036665B">
        <w:t>.</w:t>
      </w:r>
    </w:p>
    <w:p w:rsidR="009B0D76" w:rsidRDefault="009B0D76" w:rsidP="00922A20"/>
    <w:p w:rsidR="009B0D76" w:rsidRDefault="009B0D76" w:rsidP="00922A20">
      <w:r>
        <w:t>Saskaņā ar EM mājas lapā publicēto informāciju 2018.</w:t>
      </w:r>
      <w:r w:rsidR="00DE1C08">
        <w:t xml:space="preserve"> </w:t>
      </w:r>
      <w:r>
        <w:t>gada 2.</w:t>
      </w:r>
      <w:r w:rsidR="00DE1C08">
        <w:t xml:space="preserve"> </w:t>
      </w:r>
      <w:r>
        <w:t xml:space="preserve">oktobrī “Ministru kabinets konceptuāli atbalstīja </w:t>
      </w:r>
      <w:r w:rsidR="00BA6AB5">
        <w:t>EM</w:t>
      </w:r>
      <w:r w:rsidRPr="009C1BBE">
        <w:t xml:space="preserve"> piedāvājumu radīt </w:t>
      </w:r>
      <w:r w:rsidRPr="00EB097A">
        <w:rPr>
          <w:b/>
        </w:rPr>
        <w:t>atbalsta programmu pašvaldībām īres namu celtniecībai</w:t>
      </w:r>
      <w:r w:rsidRPr="009C1BBE">
        <w:t>. Plānots, ka programmas ietvaros pašvaldību kapitālsabiedrības varēs saņemt ilgtermiņa aizdevumus daudzdzīvokļu dzīvojamo māju būvniecībai reģionos. Aizdevumus sniegs Valsts kase uz 30 gadu termiņu ar iespēju fiksēt procentu likmi uz 5, 10 vai 30 gadiem</w:t>
      </w:r>
      <w:r>
        <w:t>.” EM tika dots uzdevums līdz 2018.</w:t>
      </w:r>
      <w:r w:rsidR="00DE1C08">
        <w:t xml:space="preserve"> </w:t>
      </w:r>
      <w:r>
        <w:t>gada 16.</w:t>
      </w:r>
      <w:r w:rsidR="00DE1C08">
        <w:t xml:space="preserve"> </w:t>
      </w:r>
      <w:r>
        <w:t xml:space="preserve">oktobrim izstrādāt MK noteikumu projektu šī priekšlikuma īstenošanai. </w:t>
      </w:r>
    </w:p>
    <w:p w:rsidR="009B0D76" w:rsidRDefault="009B0D76" w:rsidP="00064C1E"/>
    <w:p w:rsidR="009B0D76" w:rsidRDefault="009B0D76" w:rsidP="00064C1E">
      <w:r>
        <w:t xml:space="preserve">16.10.2018. </w:t>
      </w:r>
      <w:r w:rsidRPr="00BD61C9">
        <w:t>Informatīva</w:t>
      </w:r>
      <w:r>
        <w:t>jā</w:t>
      </w:r>
      <w:r w:rsidRPr="00BD61C9">
        <w:t xml:space="preserve"> ziņojum</w:t>
      </w:r>
      <w:r>
        <w:t>ā</w:t>
      </w:r>
      <w:r w:rsidRPr="00BD61C9">
        <w:t xml:space="preserve"> "Par Ministru kabineta 2018.</w:t>
      </w:r>
      <w:r w:rsidR="00D54545">
        <w:t xml:space="preserve"> </w:t>
      </w:r>
      <w:r w:rsidRPr="00BD61C9">
        <w:t>gada 2.</w:t>
      </w:r>
      <w:r w:rsidR="00D54545">
        <w:t xml:space="preserve"> </w:t>
      </w:r>
      <w:r w:rsidRPr="00BD61C9">
        <w:t>oktobra sēdes protokola Nr.45 44.§ (Informatīvais ziņojums "Par atbalstu īres mājokļu būvniecībai reģionos") 2.</w:t>
      </w:r>
      <w:r w:rsidR="00D54545">
        <w:t xml:space="preserve"> </w:t>
      </w:r>
      <w:r w:rsidRPr="00BD61C9">
        <w:t>un 3.punkta izpildi"</w:t>
      </w:r>
      <w:r>
        <w:t xml:space="preserve"> </w:t>
      </w:r>
      <w:r w:rsidRPr="009C1BBE">
        <w:rPr>
          <w:u w:val="single"/>
        </w:rPr>
        <w:t>identificēta problēma</w:t>
      </w:r>
      <w:r>
        <w:t>, ka “</w:t>
      </w:r>
      <w:r w:rsidRPr="009C1BBE">
        <w:rPr>
          <w:bCs/>
        </w:rPr>
        <w:t xml:space="preserve">neviens normatīvais akts nesatur tiešu deleģējumu Ministru kabinetam noteikt nosacījumus valsts aizdevumu piešķiršanai pašvaldību kapitālsabiedrībām dzīvojamo īres māju būvniecībai, atjaunošanai, pārbūvei vai jaunuzceltu, atjaunotu vai pārbūvētu dzīvojamo īres māju </w:t>
      </w:r>
      <w:r w:rsidRPr="00B3013B">
        <w:rPr>
          <w:bCs/>
        </w:rPr>
        <w:t>iegādei.” Dokumentā skaidrots, ka “</w:t>
      </w:r>
      <w:r w:rsidRPr="00B3013B">
        <w:t>tiesiskais pamats jauna valsts atbalsta ieviešanai mājokļa jautājumu risināšanā ir nosakāms likumā „Par palīdzību dzīvokļa jautājumu risināšanā”, tālāk jau paredzot pilnvarojumu Ministru kabinetam lemt par nosacījumiem un kārtību.” Līdz ar to tika pieņemts lēmums “nepieciešamos grozījumus likuma “Par palīdzību dzīvokļa jautājumu risināšanā” virzīt budžeta likumprojektu paketē kopā ar likumprojektu “Par valsts budžetu 2019.</w:t>
      </w:r>
      <w:r w:rsidR="00DE1C08">
        <w:t xml:space="preserve"> </w:t>
      </w:r>
      <w:r w:rsidRPr="00B3013B">
        <w:t>gadam” un likumprojektu “Par vidēja termiņa budžeta ietvaru 2019., 2020. un 2021.</w:t>
      </w:r>
      <w:r w:rsidR="00D54545">
        <w:t xml:space="preserve"> </w:t>
      </w:r>
      <w:r w:rsidRPr="00B3013B">
        <w:t xml:space="preserve">gadam”, vienlaikus nodrošinot </w:t>
      </w:r>
      <w:r w:rsidRPr="00B3013B">
        <w:rPr>
          <w:bCs/>
          <w:shd w:val="clear" w:color="auto" w:fill="FFFFFF"/>
        </w:rPr>
        <w:t>saskaņojuma saņemšanu no Eiropas Komisijas par atbilstību komercdarbības atbalsta kontroles regulējumam. A</w:t>
      </w:r>
      <w:r w:rsidRPr="00B3013B">
        <w:t>ttiecīgi pēc likumprojekta spēkā stāšanās un saskaņojuma saņemšanas no Eiropas Komisijas ir iespējams iesniegt izskatīšanai Ministru kabineta sēdē ministru kabineta noteikumu projektu “Noteikumi par aizdevumiem dzīvojamo īres māju būvniecībai, atjaunošanai, pārbūvei vai jaunuzceltu, atjaunotu vai pārbūvētu dzīvojamo īres māju iegādei”.”</w:t>
      </w:r>
      <w:r>
        <w:rPr>
          <w:rStyle w:val="FootnoteReference"/>
        </w:rPr>
        <w:footnoteReference w:id="263"/>
      </w:r>
    </w:p>
    <w:p w:rsidR="009B0D76" w:rsidRDefault="009B0D76" w:rsidP="00064C1E"/>
    <w:p w:rsidR="009B0D76" w:rsidRDefault="009B0D76" w:rsidP="00064C1E">
      <w:pPr>
        <w:rPr>
          <w:szCs w:val="28"/>
        </w:rPr>
      </w:pPr>
      <w:r w:rsidRPr="005704CE">
        <w:rPr>
          <w:bCs/>
          <w:shd w:val="clear" w:color="auto" w:fill="FFFFFF"/>
        </w:rPr>
        <w:t xml:space="preserve">Papildus jānorāda, ka 12.07.2018. Valsts sekretāru sanāksmē </w:t>
      </w:r>
      <w:r>
        <w:rPr>
          <w:bCs/>
          <w:shd w:val="clear" w:color="auto" w:fill="FFFFFF"/>
        </w:rPr>
        <w:t xml:space="preserve">(VSS) </w:t>
      </w:r>
      <w:r w:rsidRPr="005704CE">
        <w:rPr>
          <w:bCs/>
          <w:shd w:val="clear" w:color="auto" w:fill="FFFFFF"/>
        </w:rPr>
        <w:t xml:space="preserve">tika izsludināts </w:t>
      </w:r>
      <w:r>
        <w:rPr>
          <w:bCs/>
          <w:shd w:val="clear" w:color="auto" w:fill="FFFFFF"/>
        </w:rPr>
        <w:t>MK</w:t>
      </w:r>
      <w:r w:rsidRPr="005704CE">
        <w:rPr>
          <w:bCs/>
          <w:shd w:val="clear" w:color="auto" w:fill="FFFFFF"/>
        </w:rPr>
        <w:t xml:space="preserve"> noteikumu projekts „Noteikumi par valsts palīdzību īres dzīvojamo māju būvniecībai” (VSS-707, protokola nr. 27, 3.</w:t>
      </w:r>
      <w:bookmarkStart w:id="532" w:name="3"/>
      <w:r w:rsidRPr="005704CE">
        <w:rPr>
          <w:bCs/>
          <w:shd w:val="clear" w:color="auto" w:fill="FFFFFF"/>
        </w:rPr>
        <w:t>§</w:t>
      </w:r>
      <w:bookmarkEnd w:id="532"/>
      <w:r w:rsidRPr="005704CE">
        <w:rPr>
          <w:bCs/>
          <w:shd w:val="clear" w:color="auto" w:fill="FFFFFF"/>
        </w:rPr>
        <w:t>.</w:t>
      </w:r>
      <w:r>
        <w:rPr>
          <w:bCs/>
          <w:shd w:val="clear" w:color="auto" w:fill="FFFFFF"/>
        </w:rPr>
        <w:t>). MK noteikumu projektā norādī</w:t>
      </w:r>
      <w:r w:rsidR="0036665B">
        <w:rPr>
          <w:bCs/>
          <w:shd w:val="clear" w:color="auto" w:fill="FFFFFF"/>
        </w:rPr>
        <w:t>t</w:t>
      </w:r>
      <w:r>
        <w:rPr>
          <w:bCs/>
          <w:shd w:val="clear" w:color="auto" w:fill="FFFFFF"/>
        </w:rPr>
        <w:t>s, ka tā mērķis ir noteikt „</w:t>
      </w:r>
      <w:r w:rsidRPr="007F297D">
        <w:rPr>
          <w:szCs w:val="28"/>
        </w:rPr>
        <w:t xml:space="preserve">kārtību, kādā valsts sniedz </w:t>
      </w:r>
      <w:r>
        <w:rPr>
          <w:szCs w:val="28"/>
        </w:rPr>
        <w:t>v</w:t>
      </w:r>
      <w:r w:rsidRPr="00A238B2">
        <w:rPr>
          <w:szCs w:val="28"/>
        </w:rPr>
        <w:t>alsts budžeta mērķdotācij</w:t>
      </w:r>
      <w:r>
        <w:rPr>
          <w:szCs w:val="28"/>
        </w:rPr>
        <w:t xml:space="preserve">as </w:t>
      </w:r>
      <w:r w:rsidRPr="007F297D">
        <w:rPr>
          <w:szCs w:val="28"/>
        </w:rPr>
        <w:t xml:space="preserve">pašvaldībām vai pašvaldību kapitālsabiedrībām ar mērķi nodrošināt </w:t>
      </w:r>
      <w:bookmarkStart w:id="533" w:name="_Hlk517956826"/>
      <w:r w:rsidRPr="007F297D">
        <w:rPr>
          <w:szCs w:val="28"/>
        </w:rPr>
        <w:t>kvalitatīvu un būvniecības prasībām atbilstošu īres dzīvojamo māju būvniecību pašvaldības administratīvajā teritorijā</w:t>
      </w:r>
      <w:bookmarkEnd w:id="533"/>
      <w:r w:rsidRPr="007F297D">
        <w:rPr>
          <w:szCs w:val="28"/>
        </w:rPr>
        <w:t xml:space="preserve"> personām, kas ir tiesīgas saņemt palīdzību dzīvojamo telpu jautājumu </w:t>
      </w:r>
      <w:r w:rsidRPr="007F297D">
        <w:rPr>
          <w:szCs w:val="28"/>
        </w:rPr>
        <w:lastRenderedPageBreak/>
        <w:t>risināšanā saskaņā ar likumu “Par palīdzību</w:t>
      </w:r>
      <w:r>
        <w:rPr>
          <w:szCs w:val="28"/>
        </w:rPr>
        <w:t xml:space="preserve"> dzīvokļa jautājumu risināšanā””</w:t>
      </w:r>
      <w:r>
        <w:rPr>
          <w:rStyle w:val="FootnoteReference"/>
          <w:szCs w:val="28"/>
        </w:rPr>
        <w:footnoteReference w:id="264"/>
      </w:r>
      <w:r>
        <w:rPr>
          <w:szCs w:val="28"/>
        </w:rPr>
        <w:t>, konkrēti – 28.</w:t>
      </w:r>
      <w:r w:rsidR="00D54545">
        <w:rPr>
          <w:szCs w:val="28"/>
        </w:rPr>
        <w:t xml:space="preserve"> </w:t>
      </w:r>
      <w:r>
        <w:rPr>
          <w:szCs w:val="28"/>
        </w:rPr>
        <w:t xml:space="preserve">panta otro daļu. Normatīvā akta tālākā virzība Izvērtējuma veikšanas laikā (līdz 12.01.2019.) nav notikusi. </w:t>
      </w:r>
    </w:p>
    <w:p w:rsidR="009B0D76" w:rsidRPr="005704CE" w:rsidRDefault="009B0D76" w:rsidP="00064C1E">
      <w:pPr>
        <w:rPr>
          <w:bCs/>
          <w:shd w:val="clear" w:color="auto" w:fill="FFFFFF"/>
        </w:rPr>
      </w:pPr>
    </w:p>
    <w:p w:rsidR="009B0D76" w:rsidRPr="00586377" w:rsidRDefault="009B0D76" w:rsidP="003F469F">
      <w:pPr>
        <w:pStyle w:val="ListParagraph"/>
        <w:numPr>
          <w:ilvl w:val="0"/>
          <w:numId w:val="63"/>
        </w:numPr>
        <w:spacing w:line="276" w:lineRule="auto"/>
        <w:jc w:val="both"/>
      </w:pPr>
      <w:r w:rsidRPr="00586377">
        <w:t>28.06.2016. Informatīvais ziņojums par mājokļu atbalsta programmas turpmāko darbību (EM, Industrijas un pakalpojumu politika)</w:t>
      </w:r>
    </w:p>
    <w:p w:rsidR="009B0D76" w:rsidRDefault="009B0D76" w:rsidP="00922A20"/>
    <w:p w:rsidR="009B0D76" w:rsidRPr="00586377" w:rsidRDefault="009B0D76" w:rsidP="00064C1E">
      <w:r w:rsidRPr="00586377">
        <w:t xml:space="preserve">Šis informatīvais ziņojums atspoguļo </w:t>
      </w:r>
      <w:r w:rsidRPr="00EB097A">
        <w:rPr>
          <w:b/>
        </w:rPr>
        <w:t>mājokļa atbalsta programmas</w:t>
      </w:r>
      <w:r w:rsidRPr="00586377">
        <w:t xml:space="preserve"> attīstīb</w:t>
      </w:r>
      <w:r w:rsidR="00EB097A">
        <w:t>as</w:t>
      </w:r>
      <w:r w:rsidRPr="00586377">
        <w:t xml:space="preserve"> vienu no posmiem. Jāuzsver, ka šajā dokumentā identificētās problēmas ir zaudējušas savu aktualitāti, jo to risināšanai paredzētās darbības ir īstenotas. Ņemot vērā Izvērtējuma autoriem sniegto uzdevumu atspoguļot izmaiņas mājokļa pieejamības jomā, īpaši sociālās atstumtības un nabadzības riskam pakļautajām grupām, Izvērtējumā ir atspoguļotas kā sākotnēji noteiktās problēmas, tā to risināšanas gaita, kā arī aktuālā problemātika saistībā ar mājokļu atbalsta programmu. </w:t>
      </w:r>
    </w:p>
    <w:p w:rsidR="009B0D76" w:rsidRPr="00586377" w:rsidRDefault="009B0D76" w:rsidP="00064C1E"/>
    <w:p w:rsidR="009B0D76" w:rsidRDefault="009B0D76" w:rsidP="00064C1E">
      <w:pPr>
        <w:rPr>
          <w:color w:val="000000" w:themeColor="text1"/>
        </w:rPr>
      </w:pPr>
      <w:r>
        <w:t>Sākotnēji 09.08.2014. MK noteikumi Nr. 443 „Noteikumi par valsts palīdzību dzīvojamās telpas iegādei vai būvniecībai”</w:t>
      </w:r>
      <w:r>
        <w:rPr>
          <w:rStyle w:val="FootnoteReference"/>
        </w:rPr>
        <w:footnoteReference w:id="265"/>
      </w:r>
      <w:r>
        <w:t xml:space="preserve"> noteica</w:t>
      </w:r>
      <w:r>
        <w:rPr>
          <w:color w:val="000000" w:themeColor="text1"/>
        </w:rPr>
        <w:t>, ka “</w:t>
      </w:r>
      <w:r>
        <w:rPr>
          <w:bCs/>
          <w:color w:val="000000" w:themeColor="text1"/>
        </w:rPr>
        <w:t xml:space="preserve">akciju sabiedrība „Attīstības finanšu institūcija „Altum”” </w:t>
      </w:r>
      <w:r>
        <w:rPr>
          <w:color w:val="000000" w:themeColor="text1"/>
        </w:rPr>
        <w:t xml:space="preserve">izsniedz galvojumu personai, ar kuru kopā dzīvo un kuras apgādībā ir vismaz viens nepilngadīgs bērns. Galvojuma apmērs piemērojams, atkarībā no bērnu skaita ģimenē: </w:t>
      </w:r>
    </w:p>
    <w:p w:rsidR="009B0D76" w:rsidRPr="00D54545" w:rsidRDefault="009B0D76" w:rsidP="003F469F">
      <w:pPr>
        <w:pStyle w:val="tv213"/>
        <w:numPr>
          <w:ilvl w:val="0"/>
          <w:numId w:val="98"/>
        </w:numPr>
        <w:shd w:val="clear" w:color="auto" w:fill="FFFFFF"/>
        <w:spacing w:before="0" w:beforeAutospacing="0" w:after="0" w:afterAutospacing="0"/>
        <w:ind w:left="709" w:hanging="283"/>
        <w:jc w:val="both"/>
        <w:rPr>
          <w:color w:val="000000" w:themeColor="text1"/>
        </w:rPr>
      </w:pPr>
      <w:r>
        <w:rPr>
          <w:color w:val="000000" w:themeColor="text1"/>
        </w:rPr>
        <w:t>10 % no aizdevuma summas, bet ne vairāk kā 10000</w:t>
      </w:r>
      <w:r>
        <w:rPr>
          <w:rStyle w:val="apple-converted-space"/>
          <w:color w:val="000000" w:themeColor="text1"/>
        </w:rPr>
        <w:t> </w:t>
      </w:r>
      <w:r w:rsidR="00235F1B" w:rsidRPr="00D54545">
        <w:rPr>
          <w:iCs/>
          <w:color w:val="000000" w:themeColor="text1"/>
        </w:rPr>
        <w:t xml:space="preserve">EUR </w:t>
      </w:r>
      <w:r w:rsidRPr="00D54545">
        <w:rPr>
          <w:color w:val="000000" w:themeColor="text1"/>
        </w:rPr>
        <w:t>– personai, ar kuru kopā dzīvo un kuras apgādībā ir viens nepilngadīgs bērns;</w:t>
      </w:r>
    </w:p>
    <w:p w:rsidR="009B0D76" w:rsidRPr="00D54545" w:rsidRDefault="009B0D76" w:rsidP="003F469F">
      <w:pPr>
        <w:pStyle w:val="tv213"/>
        <w:numPr>
          <w:ilvl w:val="0"/>
          <w:numId w:val="98"/>
        </w:numPr>
        <w:shd w:val="clear" w:color="auto" w:fill="FFFFFF"/>
        <w:spacing w:before="0" w:beforeAutospacing="0" w:after="0" w:afterAutospacing="0"/>
        <w:ind w:left="709" w:hanging="283"/>
        <w:jc w:val="both"/>
        <w:rPr>
          <w:color w:val="000000" w:themeColor="text1"/>
        </w:rPr>
      </w:pPr>
      <w:r w:rsidRPr="00D54545">
        <w:rPr>
          <w:color w:val="000000" w:themeColor="text1"/>
        </w:rPr>
        <w:t>15 % no aizdevuma summas, bet ne vairāk kā 15000</w:t>
      </w:r>
      <w:r w:rsidRPr="00D54545">
        <w:rPr>
          <w:rStyle w:val="apple-converted-space"/>
          <w:color w:val="000000" w:themeColor="text1"/>
        </w:rPr>
        <w:t> </w:t>
      </w:r>
      <w:r w:rsidR="00235F1B" w:rsidRPr="00D54545">
        <w:rPr>
          <w:iCs/>
          <w:color w:val="000000" w:themeColor="text1"/>
        </w:rPr>
        <w:t xml:space="preserve">EUR </w:t>
      </w:r>
      <w:r w:rsidRPr="00D54545">
        <w:rPr>
          <w:color w:val="000000" w:themeColor="text1"/>
        </w:rPr>
        <w:t>– personai, ar kuru kopā dzīvo un kuras apgādībā ir divi nepilngadīgi bērni;</w:t>
      </w:r>
    </w:p>
    <w:p w:rsidR="009B0D76" w:rsidRPr="00BF0A05" w:rsidRDefault="009B0D76" w:rsidP="003F469F">
      <w:pPr>
        <w:pStyle w:val="tv213"/>
        <w:numPr>
          <w:ilvl w:val="0"/>
          <w:numId w:val="98"/>
        </w:numPr>
        <w:shd w:val="clear" w:color="auto" w:fill="FFFFFF"/>
        <w:spacing w:before="0" w:beforeAutospacing="0" w:after="0" w:afterAutospacing="0"/>
        <w:ind w:left="709" w:hanging="283"/>
        <w:jc w:val="both"/>
        <w:rPr>
          <w:u w:val="single"/>
        </w:rPr>
      </w:pPr>
      <w:r w:rsidRPr="00D54545">
        <w:rPr>
          <w:color w:val="000000" w:themeColor="text1"/>
        </w:rPr>
        <w:t>20 % no aizdevuma summas, bet ne vairāk kā 20000</w:t>
      </w:r>
      <w:r w:rsidRPr="00D54545">
        <w:rPr>
          <w:rStyle w:val="apple-converted-space"/>
          <w:color w:val="000000" w:themeColor="text1"/>
        </w:rPr>
        <w:t> </w:t>
      </w:r>
      <w:r w:rsidR="00235F1B" w:rsidRPr="00D54545">
        <w:rPr>
          <w:iCs/>
          <w:color w:val="000000" w:themeColor="text1"/>
        </w:rPr>
        <w:t>EUR</w:t>
      </w:r>
      <w:r w:rsidR="00235F1B">
        <w:rPr>
          <w:i/>
          <w:iCs/>
          <w:color w:val="000000" w:themeColor="text1"/>
        </w:rPr>
        <w:t xml:space="preserve"> </w:t>
      </w:r>
      <w:r w:rsidRPr="00BF0A05">
        <w:rPr>
          <w:color w:val="000000" w:themeColor="text1"/>
        </w:rPr>
        <w:t>– personai, ar kuru kopā dzīvo un kuras apgādībā ir trīs nepilngadīgi bērni vai vairāk.</w:t>
      </w:r>
      <w:r>
        <w:rPr>
          <w:color w:val="000000" w:themeColor="text1"/>
        </w:rPr>
        <w:t>”</w:t>
      </w:r>
    </w:p>
    <w:p w:rsidR="009B0D76" w:rsidRDefault="009B0D76" w:rsidP="00064C1E">
      <w:pPr>
        <w:rPr>
          <w:u w:val="single"/>
        </w:rPr>
      </w:pPr>
    </w:p>
    <w:p w:rsidR="009B0D76" w:rsidRPr="00D3739C" w:rsidRDefault="009B0D76" w:rsidP="00C33A64">
      <w:pPr>
        <w:pStyle w:val="pasvtrotais"/>
      </w:pPr>
      <w:bookmarkStart w:id="534" w:name="_Toc2761110"/>
      <w:bookmarkStart w:id="535" w:name="_Toc2848207"/>
      <w:bookmarkStart w:id="536" w:name="_Toc6219251"/>
      <w:bookmarkStart w:id="537" w:name="_Toc6220194"/>
      <w:bookmarkStart w:id="538" w:name="_Toc6841614"/>
      <w:r w:rsidRPr="00D3739C">
        <w:t xml:space="preserve">Mājokļa atbalsta programmas īstenošanas gaitā </w:t>
      </w:r>
      <w:r w:rsidRPr="00D3739C">
        <w:rPr>
          <w:b/>
        </w:rPr>
        <w:t>sākotnēji</w:t>
      </w:r>
      <w:r w:rsidRPr="00D3739C">
        <w:t xml:space="preserve"> identificētās problēmas:</w:t>
      </w:r>
      <w:bookmarkEnd w:id="534"/>
      <w:bookmarkEnd w:id="535"/>
      <w:bookmarkEnd w:id="536"/>
      <w:bookmarkEnd w:id="537"/>
      <w:bookmarkEnd w:id="538"/>
    </w:p>
    <w:p w:rsidR="009B0D76" w:rsidRPr="00BF0A05" w:rsidRDefault="009B0D76" w:rsidP="003F469F">
      <w:pPr>
        <w:pStyle w:val="ListParagraph"/>
        <w:numPr>
          <w:ilvl w:val="0"/>
          <w:numId w:val="96"/>
        </w:numPr>
        <w:spacing w:line="276" w:lineRule="auto"/>
        <w:ind w:left="714" w:hanging="357"/>
        <w:rPr>
          <w:u w:val="single"/>
        </w:rPr>
      </w:pPr>
      <w:r>
        <w:t>pieejamais finansējums nespēj nodrošināt galvojumu izsniegšanu visām personām, kuras vēlas izmantot valsts sniegto atbalstu;</w:t>
      </w:r>
    </w:p>
    <w:p w:rsidR="009B0D76" w:rsidRPr="00BF0A05" w:rsidRDefault="009B0D76" w:rsidP="003F469F">
      <w:pPr>
        <w:pStyle w:val="ListParagraph"/>
        <w:numPr>
          <w:ilvl w:val="0"/>
          <w:numId w:val="96"/>
        </w:numPr>
        <w:spacing w:line="276" w:lineRule="auto"/>
        <w:ind w:left="714" w:hanging="357"/>
        <w:jc w:val="both"/>
        <w:rPr>
          <w:u w:val="single"/>
        </w:rPr>
      </w:pPr>
      <w:r>
        <w:t>personu motivācija izmantot mājokļa atbalsta programmu ir nevis problēmas iekrāt pirmo iemaksu, bet gan iespējas iegūt atlaidi par īpašuma reģistrāciju zemesgrāmatā, par to maksājot 0</w:t>
      </w:r>
      <w:r w:rsidR="00492A5F">
        <w:t>,</w:t>
      </w:r>
      <w:r>
        <w:t>5% līdzšinējo 2% vietā.</w:t>
      </w:r>
    </w:p>
    <w:p w:rsidR="009B0D76" w:rsidRDefault="009B0D76" w:rsidP="00064C1E"/>
    <w:p w:rsidR="009B0D76" w:rsidRPr="00D3739C" w:rsidRDefault="009B0D76" w:rsidP="00C33A64">
      <w:pPr>
        <w:pStyle w:val="pasvtrotais"/>
      </w:pPr>
      <w:bookmarkStart w:id="539" w:name="_Toc2761111"/>
      <w:bookmarkStart w:id="540" w:name="_Toc2848208"/>
      <w:bookmarkStart w:id="541" w:name="_Toc6219252"/>
      <w:bookmarkStart w:id="542" w:name="_Toc6220195"/>
      <w:bookmarkStart w:id="543" w:name="_Toc6841615"/>
      <w:r w:rsidRPr="00DA49DB">
        <w:t>Nepieciešamās</w:t>
      </w:r>
      <w:r w:rsidRPr="00D3739C">
        <w:t xml:space="preserve"> darbības:</w:t>
      </w:r>
      <w:bookmarkEnd w:id="539"/>
      <w:bookmarkEnd w:id="540"/>
      <w:bookmarkEnd w:id="541"/>
      <w:bookmarkEnd w:id="542"/>
      <w:bookmarkEnd w:id="543"/>
    </w:p>
    <w:p w:rsidR="009B0D76" w:rsidRDefault="009B0D76" w:rsidP="003F469F">
      <w:pPr>
        <w:pStyle w:val="ListParagraph"/>
        <w:numPr>
          <w:ilvl w:val="0"/>
          <w:numId w:val="97"/>
        </w:numPr>
        <w:shd w:val="clear" w:color="auto" w:fill="FFFFFF"/>
        <w:spacing w:line="276" w:lineRule="auto"/>
        <w:contextualSpacing w:val="0"/>
        <w:jc w:val="both"/>
      </w:pPr>
      <w:r>
        <w:rPr>
          <w:bCs/>
          <w:color w:val="000000" w:themeColor="text1"/>
        </w:rPr>
        <w:t xml:space="preserve">nekustamajiem īpašumiem mājokļu programmas ietvaros, kuru vērtība nepārsniedz 100 000 </w:t>
      </w:r>
      <w:r w:rsidR="00235F1B">
        <w:rPr>
          <w:bCs/>
          <w:color w:val="000000" w:themeColor="text1"/>
        </w:rPr>
        <w:t>EUR,</w:t>
      </w:r>
      <w:r>
        <w:rPr>
          <w:bCs/>
          <w:color w:val="000000" w:themeColor="text1"/>
        </w:rPr>
        <w:t xml:space="preserve"> valsts nodevas likme tiek saglabāta 0,5% apmērā;</w:t>
      </w:r>
    </w:p>
    <w:p w:rsidR="009B0D76" w:rsidRPr="00BF0A05" w:rsidRDefault="009B0D76" w:rsidP="003F469F">
      <w:pPr>
        <w:pStyle w:val="ListParagraph"/>
        <w:numPr>
          <w:ilvl w:val="0"/>
          <w:numId w:val="97"/>
        </w:numPr>
        <w:spacing w:line="276" w:lineRule="auto"/>
        <w:jc w:val="both"/>
      </w:pPr>
      <w:r>
        <w:rPr>
          <w:bCs/>
          <w:color w:val="000000" w:themeColor="text1"/>
        </w:rPr>
        <w:t xml:space="preserve">nekustamajiem īpašumiem mājokļu programmas ietvaros, kuru vērtība pārsniedz 100 000 </w:t>
      </w:r>
      <w:r w:rsidR="00235F1B">
        <w:rPr>
          <w:bCs/>
          <w:color w:val="000000" w:themeColor="text1"/>
        </w:rPr>
        <w:t>EUR,</w:t>
      </w:r>
      <w:r>
        <w:rPr>
          <w:bCs/>
          <w:color w:val="000000" w:themeColor="text1"/>
        </w:rPr>
        <w:t xml:space="preserve"> valsts nodeva</w:t>
      </w:r>
      <w:r>
        <w:t xml:space="preserve"> par nekustamo īpašumu tiek noteikta 500 </w:t>
      </w:r>
      <w:r w:rsidR="00235F1B">
        <w:t xml:space="preserve">EUR </w:t>
      </w:r>
      <w:r>
        <w:t>plus 2% no nekustamā īpašuma vērtības, kas pārsniedz 100 000 eiro;</w:t>
      </w:r>
    </w:p>
    <w:p w:rsidR="009B0D76" w:rsidRPr="00BF0A05" w:rsidRDefault="009B0D76" w:rsidP="003F469F">
      <w:pPr>
        <w:pStyle w:val="ListParagraph"/>
        <w:numPr>
          <w:ilvl w:val="0"/>
          <w:numId w:val="97"/>
        </w:numPr>
        <w:spacing w:line="276" w:lineRule="auto"/>
        <w:jc w:val="both"/>
      </w:pPr>
      <w:r w:rsidRPr="00BF0A05">
        <w:rPr>
          <w:color w:val="000000" w:themeColor="text1"/>
        </w:rPr>
        <w:t>piešķirt papildus finansējumu 2</w:t>
      </w:r>
      <w:r>
        <w:rPr>
          <w:color w:val="000000" w:themeColor="text1"/>
        </w:rPr>
        <w:t>,</w:t>
      </w:r>
      <w:r w:rsidRPr="00BF0A05">
        <w:rPr>
          <w:color w:val="000000" w:themeColor="text1"/>
        </w:rPr>
        <w:t xml:space="preserve">5 milj. </w:t>
      </w:r>
      <w:r w:rsidR="00235F1B">
        <w:rPr>
          <w:color w:val="000000" w:themeColor="text1"/>
        </w:rPr>
        <w:t xml:space="preserve">EUR </w:t>
      </w:r>
      <w:r w:rsidRPr="00BF0A05">
        <w:rPr>
          <w:color w:val="000000" w:themeColor="text1"/>
        </w:rPr>
        <w:t>apmērā, lai līdz 2016.</w:t>
      </w:r>
      <w:r w:rsidR="00DE1C08">
        <w:rPr>
          <w:color w:val="000000" w:themeColor="text1"/>
        </w:rPr>
        <w:t xml:space="preserve"> </w:t>
      </w:r>
      <w:r w:rsidRPr="00BF0A05">
        <w:rPr>
          <w:color w:val="000000" w:themeColor="text1"/>
        </w:rPr>
        <w:t>gada beigām turpinātu piešķirt galvojumus mājokļu atbalsta programmas ietvaros līdzšinējā apmērā</w:t>
      </w:r>
      <w:r>
        <w:rPr>
          <w:color w:val="000000" w:themeColor="text1"/>
        </w:rPr>
        <w:t>.</w:t>
      </w:r>
    </w:p>
    <w:p w:rsidR="009B0D76" w:rsidRPr="0015083B" w:rsidRDefault="009B0D76" w:rsidP="00922A20">
      <w:pPr>
        <w:pStyle w:val="CommentText"/>
        <w:rPr>
          <w:sz w:val="24"/>
          <w:szCs w:val="24"/>
        </w:rPr>
      </w:pPr>
      <w:r w:rsidRPr="0015083B">
        <w:rPr>
          <w:sz w:val="24"/>
          <w:szCs w:val="24"/>
        </w:rPr>
        <w:lastRenderedPageBreak/>
        <w:t xml:space="preserve">Izvērtējuma veikšanas laikā EM norādījusi, ka visas augstāk minētās identificētās problēmas un nepieciešamās darbības ir realizētas līdz ar šādiem </w:t>
      </w:r>
      <w:r>
        <w:rPr>
          <w:sz w:val="24"/>
          <w:szCs w:val="24"/>
        </w:rPr>
        <w:t xml:space="preserve">tiesību aktu </w:t>
      </w:r>
      <w:r w:rsidRPr="0015083B">
        <w:rPr>
          <w:sz w:val="24"/>
          <w:szCs w:val="24"/>
        </w:rPr>
        <w:t>grozījumiem:</w:t>
      </w:r>
    </w:p>
    <w:p w:rsidR="009B0D76" w:rsidRPr="00022FD3" w:rsidRDefault="009B0D76" w:rsidP="003F469F">
      <w:pPr>
        <w:pStyle w:val="ListParagraph"/>
        <w:numPr>
          <w:ilvl w:val="0"/>
          <w:numId w:val="97"/>
        </w:numPr>
        <w:shd w:val="clear" w:color="auto" w:fill="FFFFFF"/>
        <w:spacing w:line="276" w:lineRule="auto"/>
        <w:contextualSpacing w:val="0"/>
        <w:jc w:val="both"/>
        <w:rPr>
          <w:bCs/>
          <w:color w:val="000000" w:themeColor="text1"/>
        </w:rPr>
      </w:pPr>
      <w:r w:rsidRPr="00022FD3">
        <w:rPr>
          <w:bCs/>
          <w:color w:val="000000" w:themeColor="text1"/>
        </w:rPr>
        <w:t>05.07.2016. MK noteikumiem Nr. 436 „Grozījums Ministru kabineta 2009. gada 27. oktobra noteikumos Nr. 1250 "</w:t>
      </w:r>
      <w:hyperlink r:id="rId92" w:tgtFrame="_blank" w:history="1">
        <w:r w:rsidRPr="00022FD3">
          <w:rPr>
            <w:bCs/>
            <w:color w:val="000000" w:themeColor="text1"/>
          </w:rPr>
          <w:t>Noteikumi par valsts nodevu par īpašuma tiesību un ķīlas tiesību nostiprināšanu zemesgrāmatā</w:t>
        </w:r>
      </w:hyperlink>
      <w:r w:rsidRPr="00022FD3">
        <w:rPr>
          <w:bCs/>
          <w:color w:val="000000" w:themeColor="text1"/>
        </w:rPr>
        <w:t>””;</w:t>
      </w:r>
    </w:p>
    <w:p w:rsidR="009B0D76" w:rsidRPr="00022FD3" w:rsidRDefault="009B0D76" w:rsidP="003F469F">
      <w:pPr>
        <w:pStyle w:val="ListParagraph"/>
        <w:numPr>
          <w:ilvl w:val="0"/>
          <w:numId w:val="97"/>
        </w:numPr>
        <w:shd w:val="clear" w:color="auto" w:fill="FFFFFF"/>
        <w:spacing w:line="276" w:lineRule="auto"/>
        <w:contextualSpacing w:val="0"/>
        <w:jc w:val="both"/>
        <w:rPr>
          <w:bCs/>
          <w:color w:val="000000" w:themeColor="text1"/>
        </w:rPr>
      </w:pPr>
      <w:r w:rsidRPr="00022FD3">
        <w:rPr>
          <w:bCs/>
          <w:color w:val="000000" w:themeColor="text1"/>
        </w:rPr>
        <w:t>05.07.2016. MK noteikumiem Nr. 435 „Grozījums Ministru kabineta 2014. gada 5. augusta noteikumos Nr. 443 "</w:t>
      </w:r>
      <w:hyperlink r:id="rId93" w:tgtFrame="_blank" w:history="1">
        <w:r w:rsidRPr="00022FD3">
          <w:rPr>
            <w:bCs/>
            <w:color w:val="000000" w:themeColor="text1"/>
          </w:rPr>
          <w:t>Noteikumi par valsts palīdzību dzīvojamās telpas iegādei vai būvniecībai</w:t>
        </w:r>
      </w:hyperlink>
      <w:r w:rsidRPr="00022FD3">
        <w:rPr>
          <w:bCs/>
          <w:color w:val="000000" w:themeColor="text1"/>
        </w:rPr>
        <w:t>”’.</w:t>
      </w:r>
    </w:p>
    <w:p w:rsidR="009B0D76" w:rsidRPr="00586377" w:rsidRDefault="009B0D76" w:rsidP="00922A20">
      <w:pPr>
        <w:pStyle w:val="liknoteik"/>
        <w:shd w:val="clear" w:color="auto" w:fill="FFFFFF"/>
        <w:spacing w:before="0" w:beforeAutospacing="0" w:after="0" w:afterAutospacing="0"/>
        <w:ind w:left="-42"/>
        <w:jc w:val="both"/>
        <w:rPr>
          <w:rFonts w:eastAsia="Calibri"/>
          <w:lang w:val="lv-LV"/>
        </w:rPr>
      </w:pPr>
      <w:r w:rsidRPr="0015083B">
        <w:rPr>
          <w:rFonts w:eastAsia="Calibri"/>
          <w:lang w:val="lv-LV" w:eastAsia="lv-LV"/>
        </w:rPr>
        <w:t xml:space="preserve">Līdz šim veikto tiesiskā regulējuma grozījumu rezultātā </w:t>
      </w:r>
      <w:r w:rsidRPr="0015083B">
        <w:rPr>
          <w:rFonts w:eastAsia="Calibri"/>
          <w:lang w:val="lv-LV"/>
        </w:rPr>
        <w:t xml:space="preserve">saistībā ar mājokļu </w:t>
      </w:r>
      <w:r>
        <w:rPr>
          <w:rFonts w:eastAsia="Calibri"/>
          <w:lang w:val="lv-LV"/>
        </w:rPr>
        <w:t>atbalsta</w:t>
      </w:r>
      <w:r w:rsidRPr="0015083B">
        <w:rPr>
          <w:rFonts w:eastAsia="Calibri"/>
          <w:lang w:val="lv-LV"/>
        </w:rPr>
        <w:t xml:space="preserve"> programmu ir notikušas vairākas </w:t>
      </w:r>
      <w:r>
        <w:rPr>
          <w:rFonts w:eastAsia="Calibri"/>
          <w:lang w:val="lv-LV"/>
        </w:rPr>
        <w:t xml:space="preserve">būtiskas </w:t>
      </w:r>
      <w:r w:rsidRPr="0015083B">
        <w:rPr>
          <w:rFonts w:eastAsia="Calibri"/>
          <w:lang w:val="lv-LV"/>
        </w:rPr>
        <w:t>izmaiņas</w:t>
      </w:r>
      <w:r>
        <w:rPr>
          <w:rFonts w:eastAsia="Calibri"/>
          <w:lang w:val="lv-LV"/>
        </w:rPr>
        <w:t>, kas sekmē tās pieejamību: (i) ir paplašināta sākotnēji noteiktā bērnu vecuma grupa (</w:t>
      </w:r>
      <w:r w:rsidRPr="0015083B">
        <w:rPr>
          <w:rFonts w:eastAsia="Calibri"/>
          <w:lang w:val="lv-LV"/>
        </w:rPr>
        <w:t>pēc likumprojekta „Grozījumi likumā „Par palīdzību dzīvokļa jautājumu risināšanā’” pieņemšanas, kas stājās spēkā 2018.</w:t>
      </w:r>
      <w:r w:rsidR="00DE1C08">
        <w:rPr>
          <w:rFonts w:eastAsia="Calibri"/>
          <w:lang w:val="lv-LV"/>
        </w:rPr>
        <w:t xml:space="preserve"> </w:t>
      </w:r>
      <w:r w:rsidRPr="0015083B">
        <w:rPr>
          <w:rFonts w:eastAsia="Calibri"/>
          <w:lang w:val="lv-LV"/>
        </w:rPr>
        <w:t>gada 1.</w:t>
      </w:r>
      <w:r w:rsidR="00DE1C08">
        <w:rPr>
          <w:rFonts w:eastAsia="Calibri"/>
          <w:lang w:val="lv-LV"/>
        </w:rPr>
        <w:t xml:space="preserve"> </w:t>
      </w:r>
      <w:r w:rsidRPr="0015083B">
        <w:rPr>
          <w:rFonts w:eastAsia="Calibri"/>
          <w:lang w:val="lv-LV"/>
        </w:rPr>
        <w:t>janvārī, ir noteikts, ka bērns ir persona, kas nav sasniegusi 24 gadu vecumu (nevis nepilngadīga)</w:t>
      </w:r>
      <w:r>
        <w:rPr>
          <w:rFonts w:eastAsia="Calibri"/>
          <w:lang w:val="lv-LV"/>
        </w:rPr>
        <w:t xml:space="preserve">), (ii) ir iekļauta jauna mērķa grupa - </w:t>
      </w:r>
      <w:r w:rsidRPr="0015083B">
        <w:rPr>
          <w:rFonts w:eastAsia="Calibri"/>
          <w:lang w:val="lv-LV"/>
        </w:rPr>
        <w:t>person</w:t>
      </w:r>
      <w:r>
        <w:rPr>
          <w:rFonts w:eastAsia="Calibri"/>
          <w:lang w:val="lv-LV"/>
        </w:rPr>
        <w:t>as</w:t>
      </w:r>
      <w:r w:rsidRPr="0015083B">
        <w:rPr>
          <w:rFonts w:eastAsia="Calibri"/>
          <w:lang w:val="lv-LV"/>
        </w:rPr>
        <w:t>, kuras ieguvušas vidējo profesionālo vai augstāko izglītību un kura</w:t>
      </w:r>
      <w:r>
        <w:rPr>
          <w:rFonts w:eastAsia="Calibri"/>
          <w:lang w:val="lv-LV"/>
        </w:rPr>
        <w:t>s</w:t>
      </w:r>
      <w:r w:rsidRPr="0015083B">
        <w:rPr>
          <w:rFonts w:eastAsia="Calibri"/>
          <w:lang w:val="lv-LV"/>
        </w:rPr>
        <w:t xml:space="preserve"> nepārsniedz 35 gadu vecumu</w:t>
      </w:r>
      <w:r>
        <w:rPr>
          <w:rFonts w:eastAsia="Calibri"/>
          <w:lang w:val="lv-LV"/>
        </w:rPr>
        <w:t xml:space="preserve"> </w:t>
      </w:r>
      <w:r w:rsidRPr="00586377">
        <w:rPr>
          <w:rFonts w:eastAsia="Calibri"/>
          <w:lang w:val="lv-LV"/>
        </w:rPr>
        <w:t>(jaunie speciālisti</w:t>
      </w:r>
      <w:r>
        <w:rPr>
          <w:rFonts w:eastAsia="Calibri"/>
          <w:lang w:val="lv-LV"/>
        </w:rPr>
        <w:t>)</w:t>
      </w:r>
      <w:r w:rsidRPr="00586377">
        <w:rPr>
          <w:rFonts w:eastAsia="Calibri"/>
          <w:lang w:val="lv-LV"/>
        </w:rPr>
        <w:t xml:space="preserve">. </w:t>
      </w:r>
    </w:p>
    <w:p w:rsidR="009B0D76" w:rsidRPr="00586377" w:rsidRDefault="009B0D76" w:rsidP="00922A20">
      <w:pPr>
        <w:pStyle w:val="liknoteik"/>
        <w:shd w:val="clear" w:color="auto" w:fill="FFFFFF"/>
        <w:spacing w:before="0" w:beforeAutospacing="0" w:after="0" w:afterAutospacing="0"/>
        <w:ind w:left="-42"/>
        <w:jc w:val="both"/>
        <w:rPr>
          <w:rFonts w:eastAsia="Calibri"/>
          <w:lang w:val="lv-LV"/>
        </w:rPr>
      </w:pPr>
    </w:p>
    <w:p w:rsidR="009B0D76" w:rsidRPr="00586377" w:rsidRDefault="009B0D76" w:rsidP="00922A20">
      <w:r w:rsidRPr="00586377">
        <w:rPr>
          <w:rFonts w:eastAsia="Times New Roman"/>
          <w:bCs/>
        </w:rPr>
        <w:t>MK noteikumu projekta “Grozījumi Ministru kabineta 2018. gada 20. februāra noteikumos Nr. 95 “Noteikumi par valsts palīdzību dzīvojamās telpas iegādei vai būvniecībai””</w:t>
      </w:r>
      <w:r w:rsidRPr="00586377">
        <w:rPr>
          <w:rStyle w:val="FootnoteReference"/>
          <w:rFonts w:eastAsia="Times New Roman"/>
        </w:rPr>
        <w:footnoteReference w:id="266"/>
      </w:r>
      <w:r w:rsidRPr="00586377">
        <w:rPr>
          <w:rFonts w:eastAsia="Times New Roman"/>
          <w:bCs/>
        </w:rPr>
        <w:t xml:space="preserve">, kas izstrādāti pēc EM iniciatīvas, sākotnējās ietekmes novērtējuma ziņojumā (anotācijā) apkopota jaunākā problemātika un iespējamie programmas papildinājumi, lai veicinātu tās pieejamību. Saskaņā ar iespējamiem grozījumiem tiek plānotas šādas nozīmīgākās izmaiņas: (i) lielāks iespējamais atbalsts ģimenēm ar četriem un vairāk bērniem, (ii) papildus atbalsts ģimenēm, kurās gaidāms bērns, (iii) iespēja pretendēt uz atkārtotu atbalstu, ja pieaudzis bērnu skaits; (iv) ir paredzētas izmaiņas arī attiecībā uz piešķiramās garantijas apmēru. </w:t>
      </w:r>
    </w:p>
    <w:p w:rsidR="009B0D76" w:rsidRPr="00BF0A05" w:rsidRDefault="009B0D76" w:rsidP="00922A20"/>
    <w:p w:rsidR="009B0D76" w:rsidRPr="00697C59" w:rsidRDefault="009B0D76" w:rsidP="003F469F">
      <w:pPr>
        <w:pStyle w:val="ListParagraph"/>
        <w:numPr>
          <w:ilvl w:val="0"/>
          <w:numId w:val="63"/>
        </w:numPr>
        <w:spacing w:line="276" w:lineRule="auto"/>
        <w:jc w:val="both"/>
      </w:pPr>
      <w:r w:rsidRPr="00697C59">
        <w:t xml:space="preserve">22.07.2008. Informatīvais </w:t>
      </w:r>
      <w:smartTag w:uri="schemas-tilde-lv/tildestengine" w:element="veidnes">
        <w:smartTagPr>
          <w:attr w:name="id" w:val="-1"/>
          <w:attr w:name="baseform" w:val="ziņojums"/>
          <w:attr w:name="text" w:val="ziņojums"/>
        </w:smartTagPr>
        <w:r w:rsidRPr="00697C59">
          <w:t>ziņojums</w:t>
        </w:r>
      </w:smartTag>
      <w:r w:rsidRPr="00697C59">
        <w:t xml:space="preserve"> par nepieciešamajiem grozījumiem tiesību aktos, lai nodrošinātu </w:t>
      </w:r>
      <w:r w:rsidRPr="00EB097A">
        <w:rPr>
          <w:b/>
        </w:rPr>
        <w:t>īrnieku tiesības uz mājokli un mājokļa neaizskaramību</w:t>
      </w:r>
      <w:r w:rsidRPr="00697C59">
        <w:t xml:space="preserve"> (EM, Tieslietu politika)</w:t>
      </w:r>
    </w:p>
    <w:p w:rsidR="009B0D76" w:rsidRDefault="009B0D76" w:rsidP="00922A20"/>
    <w:p w:rsidR="009B0D76" w:rsidRPr="00E26EA8" w:rsidRDefault="009B0D76" w:rsidP="00922A20">
      <w:r>
        <w:rPr>
          <w:u w:val="single"/>
        </w:rPr>
        <w:t>2008.</w:t>
      </w:r>
      <w:r w:rsidR="00DE1C08">
        <w:rPr>
          <w:u w:val="single"/>
        </w:rPr>
        <w:t xml:space="preserve"> </w:t>
      </w:r>
      <w:r>
        <w:rPr>
          <w:u w:val="single"/>
        </w:rPr>
        <w:t>gadā i</w:t>
      </w:r>
      <w:r w:rsidRPr="00E26EA8">
        <w:rPr>
          <w:u w:val="single"/>
        </w:rPr>
        <w:t>dentificētās problēmas, kas ietekmē mājokļu pieejamību</w:t>
      </w:r>
      <w:r w:rsidRPr="00E26EA8">
        <w:t>:</w:t>
      </w:r>
    </w:p>
    <w:p w:rsidR="009B0D76" w:rsidRPr="003E7823" w:rsidRDefault="009B0D76" w:rsidP="003F469F">
      <w:pPr>
        <w:pStyle w:val="ListParagraph"/>
        <w:numPr>
          <w:ilvl w:val="0"/>
          <w:numId w:val="97"/>
        </w:numPr>
        <w:shd w:val="clear" w:color="auto" w:fill="FFFFFF"/>
        <w:spacing w:line="276" w:lineRule="auto"/>
        <w:ind w:left="714" w:hanging="357"/>
        <w:contextualSpacing w:val="0"/>
        <w:jc w:val="both"/>
        <w:rPr>
          <w:bCs/>
          <w:color w:val="000000" w:themeColor="text1"/>
        </w:rPr>
      </w:pPr>
      <w:r w:rsidRPr="003E7823">
        <w:rPr>
          <w:bCs/>
          <w:color w:val="000000" w:themeColor="text1"/>
        </w:rPr>
        <w:t>no dzīvojamās telpas īres attiecībām izrietošie strīdi izskatāmi tiesā, kas parasti ir ilgstošs process (no vairākiem mēnešiem līdz pat vairākiem gadiem);</w:t>
      </w:r>
    </w:p>
    <w:p w:rsidR="009B0D76" w:rsidRPr="003E7823" w:rsidRDefault="009B0D76" w:rsidP="003F469F">
      <w:pPr>
        <w:pStyle w:val="ListParagraph"/>
        <w:numPr>
          <w:ilvl w:val="0"/>
          <w:numId w:val="97"/>
        </w:numPr>
        <w:shd w:val="clear" w:color="auto" w:fill="FFFFFF"/>
        <w:spacing w:line="276" w:lineRule="auto"/>
        <w:ind w:left="714" w:hanging="357"/>
        <w:contextualSpacing w:val="0"/>
        <w:jc w:val="both"/>
        <w:rPr>
          <w:bCs/>
          <w:color w:val="000000" w:themeColor="text1"/>
        </w:rPr>
      </w:pPr>
      <w:r w:rsidRPr="003E7823">
        <w:rPr>
          <w:bCs/>
          <w:color w:val="000000" w:themeColor="text1"/>
        </w:rPr>
        <w:t>nereti notiek prettiesiska (bez brīdināšanas) īrnieku izlikšana no mājokļa;</w:t>
      </w:r>
    </w:p>
    <w:p w:rsidR="009B0D76" w:rsidRPr="003E7823" w:rsidRDefault="009B0D76" w:rsidP="003F469F">
      <w:pPr>
        <w:pStyle w:val="ListParagraph"/>
        <w:numPr>
          <w:ilvl w:val="0"/>
          <w:numId w:val="97"/>
        </w:numPr>
        <w:shd w:val="clear" w:color="auto" w:fill="FFFFFF"/>
        <w:spacing w:line="276" w:lineRule="auto"/>
        <w:ind w:left="714" w:hanging="357"/>
        <w:contextualSpacing w:val="0"/>
        <w:jc w:val="both"/>
        <w:rPr>
          <w:bCs/>
          <w:color w:val="000000" w:themeColor="text1"/>
        </w:rPr>
      </w:pPr>
      <w:r w:rsidRPr="003E7823">
        <w:rPr>
          <w:bCs/>
          <w:color w:val="000000" w:themeColor="text1"/>
        </w:rPr>
        <w:t>nepastāv mehānisms, kā operatīvi atrisināt un novērst prettiesisku īrnieku izlikšanu no mājokļa;</w:t>
      </w:r>
    </w:p>
    <w:p w:rsidR="009B0D76" w:rsidRPr="003E7823" w:rsidRDefault="009B0D76" w:rsidP="003F469F">
      <w:pPr>
        <w:pStyle w:val="ListParagraph"/>
        <w:numPr>
          <w:ilvl w:val="0"/>
          <w:numId w:val="97"/>
        </w:numPr>
        <w:shd w:val="clear" w:color="auto" w:fill="FFFFFF"/>
        <w:spacing w:line="276" w:lineRule="auto"/>
        <w:ind w:left="714" w:hanging="357"/>
        <w:contextualSpacing w:val="0"/>
        <w:jc w:val="both"/>
        <w:rPr>
          <w:bCs/>
          <w:color w:val="000000" w:themeColor="text1"/>
        </w:rPr>
      </w:pPr>
      <w:r w:rsidRPr="003E7823">
        <w:rPr>
          <w:bCs/>
          <w:color w:val="000000" w:themeColor="text1"/>
        </w:rPr>
        <w:t>ir aizskartas izīrētāju tiesības gadījumos, kad dzīvojamā telpa tiek patvarīgi aizņemta bez savstarpēji noslēgta īres līguma;</w:t>
      </w:r>
    </w:p>
    <w:p w:rsidR="009B0D76" w:rsidRPr="0037025C" w:rsidRDefault="009B0D76" w:rsidP="003F469F">
      <w:pPr>
        <w:pStyle w:val="ListParagraph"/>
        <w:numPr>
          <w:ilvl w:val="0"/>
          <w:numId w:val="99"/>
        </w:numPr>
        <w:spacing w:line="276" w:lineRule="auto"/>
        <w:jc w:val="both"/>
      </w:pPr>
      <w:r w:rsidRPr="0037025C">
        <w:rPr>
          <w:bCs/>
          <w:spacing w:val="8"/>
        </w:rPr>
        <w:lastRenderedPageBreak/>
        <w:t xml:space="preserve">nav </w:t>
      </w:r>
      <w:r w:rsidRPr="0037025C">
        <w:rPr>
          <w:bCs/>
        </w:rPr>
        <w:t>mehānisma, kā īrniekam atjaunot, piemēram, prettiesiski atslēgtos pamatpakalpojumus, kas saskaņā ar likumu</w:t>
      </w:r>
      <w:r w:rsidRPr="0037025C">
        <w:rPr>
          <w:rStyle w:val="FootnoteReference"/>
          <w:rFonts w:eastAsiaTheme="majorEastAsia"/>
        </w:rPr>
        <w:footnoteReference w:id="267"/>
      </w:r>
      <w:r w:rsidRPr="0037025C">
        <w:rPr>
          <w:bCs/>
        </w:rPr>
        <w:t xml:space="preserve"> ir nesaraujami saistīti ar dzīvojamās telpas lietošanu</w:t>
      </w:r>
      <w:r>
        <w:rPr>
          <w:bCs/>
        </w:rPr>
        <w:t xml:space="preserve"> (</w:t>
      </w:r>
      <w:r w:rsidRPr="0037025C">
        <w:rPr>
          <w:bCs/>
        </w:rPr>
        <w:t>apkure, aukstais ūdens, kanalizācija un sadzīves atkritumu izvešana</w:t>
      </w:r>
      <w:r>
        <w:rPr>
          <w:bCs/>
        </w:rPr>
        <w:t>).</w:t>
      </w:r>
    </w:p>
    <w:p w:rsidR="009B0D76" w:rsidRDefault="009B0D76" w:rsidP="00064C1E"/>
    <w:p w:rsidR="009B0D76" w:rsidRPr="00D3739C" w:rsidRDefault="009B0D76" w:rsidP="00C33A64">
      <w:pPr>
        <w:pStyle w:val="pasvtrotais"/>
      </w:pPr>
      <w:bookmarkStart w:id="544" w:name="_Toc2761112"/>
      <w:bookmarkStart w:id="545" w:name="_Toc2848209"/>
      <w:bookmarkStart w:id="546" w:name="_Toc6219253"/>
      <w:bookmarkStart w:id="547" w:name="_Toc6220196"/>
      <w:bookmarkStart w:id="548" w:name="_Toc6841616"/>
      <w:r w:rsidRPr="00D3739C">
        <w:t xml:space="preserve">Piedāvātie risinājumi </w:t>
      </w:r>
      <w:r w:rsidRPr="00DA49DB">
        <w:t>problēmu</w:t>
      </w:r>
      <w:r w:rsidRPr="00D3739C">
        <w:t xml:space="preserve"> risināšanai:</w:t>
      </w:r>
      <w:bookmarkEnd w:id="544"/>
      <w:bookmarkEnd w:id="545"/>
      <w:bookmarkEnd w:id="546"/>
      <w:bookmarkEnd w:id="547"/>
      <w:bookmarkEnd w:id="548"/>
    </w:p>
    <w:p w:rsidR="009B0D76" w:rsidRPr="0037025C" w:rsidRDefault="009B0D76" w:rsidP="003F469F">
      <w:pPr>
        <w:pStyle w:val="ListParagraph"/>
        <w:numPr>
          <w:ilvl w:val="0"/>
          <w:numId w:val="100"/>
        </w:numPr>
        <w:spacing w:line="276" w:lineRule="auto"/>
        <w:jc w:val="both"/>
        <w:rPr>
          <w:u w:val="single"/>
        </w:rPr>
      </w:pPr>
      <w:r w:rsidRPr="0037025C">
        <w:t>izdarīt grozījumus likumā „Par dzīvojamo telpu īri” un ar to saistītajos normatīvajos aktos;</w:t>
      </w:r>
    </w:p>
    <w:p w:rsidR="009B0D76" w:rsidRPr="0037025C" w:rsidRDefault="009B0D76" w:rsidP="003F469F">
      <w:pPr>
        <w:pStyle w:val="ListParagraph"/>
        <w:numPr>
          <w:ilvl w:val="0"/>
          <w:numId w:val="100"/>
        </w:numPr>
        <w:tabs>
          <w:tab w:val="left" w:pos="284"/>
        </w:tabs>
        <w:spacing w:line="276" w:lineRule="auto"/>
        <w:jc w:val="both"/>
      </w:pPr>
      <w:r w:rsidRPr="0037025C">
        <w:t>papildināt Civilprocesa likuma normas par no īres attiecībām izrietošo strīdu risināšanas kārtību, kas atvieglotu (izskatot iespēju paredzēt pagaidu  noregulējumu, sevišķo tiesāšanās kārtību vai paātrinātu prasības izskatīšanu) šādu strīdu, kas izriet no īres tiesiskajām attiecībām, izskatīšanai:</w:t>
      </w:r>
    </w:p>
    <w:p w:rsidR="009B0D76" w:rsidRPr="0037025C" w:rsidRDefault="0036665B" w:rsidP="003F469F">
      <w:pPr>
        <w:numPr>
          <w:ilvl w:val="0"/>
          <w:numId w:val="101"/>
        </w:numPr>
      </w:pPr>
      <w:r>
        <w:t>P</w:t>
      </w:r>
      <w:r w:rsidR="009B0D76" w:rsidRPr="0037025C">
        <w:t>ar personas (ģimenes) iemitināšanu dzīvojamā telpā, ja tā izlikta bez tiesas sprieduma</w:t>
      </w:r>
      <w:r>
        <w:t>.</w:t>
      </w:r>
      <w:r w:rsidR="009B0D76" w:rsidRPr="0037025C">
        <w:t xml:space="preserve"> </w:t>
      </w:r>
    </w:p>
    <w:p w:rsidR="009B0D76" w:rsidRPr="0037025C" w:rsidRDefault="0036665B" w:rsidP="003F469F">
      <w:pPr>
        <w:numPr>
          <w:ilvl w:val="0"/>
          <w:numId w:val="101"/>
        </w:numPr>
        <w:tabs>
          <w:tab w:val="left" w:pos="2842"/>
        </w:tabs>
      </w:pPr>
      <w:r>
        <w:t>P</w:t>
      </w:r>
      <w:r w:rsidR="009B0D76" w:rsidRPr="0037025C">
        <w:t xml:space="preserve">ar personas (ģimenes) izlikšanu no dzīvojamās telpas, ja </w:t>
      </w:r>
      <w:r>
        <w:t>tai nav spēkā esoša īres līguma.</w:t>
      </w:r>
    </w:p>
    <w:p w:rsidR="009B0D76" w:rsidRPr="0037025C" w:rsidRDefault="0036665B" w:rsidP="003F469F">
      <w:pPr>
        <w:numPr>
          <w:ilvl w:val="0"/>
          <w:numId w:val="101"/>
        </w:numPr>
      </w:pPr>
      <w:r>
        <w:rPr>
          <w:bCs/>
        </w:rPr>
        <w:t>P</w:t>
      </w:r>
      <w:r w:rsidR="009B0D76" w:rsidRPr="0037025C">
        <w:rPr>
          <w:bCs/>
        </w:rPr>
        <w:t>ar strīdiem, kas izriet no īres tiesiskajām attiecībām, un kuru rezultātā kādam no īres tiesisko attiecību dalībniekiem t</w:t>
      </w:r>
      <w:r>
        <w:rPr>
          <w:bCs/>
        </w:rPr>
        <w:t>iek nodarīts būtisks kaitējums.</w:t>
      </w:r>
    </w:p>
    <w:p w:rsidR="009B0D76" w:rsidRPr="00246B0E" w:rsidRDefault="0036665B" w:rsidP="003F469F">
      <w:pPr>
        <w:numPr>
          <w:ilvl w:val="0"/>
          <w:numId w:val="101"/>
        </w:numPr>
      </w:pPr>
      <w:r w:rsidRPr="00246B0E">
        <w:rPr>
          <w:bCs/>
        </w:rPr>
        <w:t>P</w:t>
      </w:r>
      <w:r w:rsidR="009B0D76" w:rsidRPr="00246B0E">
        <w:rPr>
          <w:bCs/>
        </w:rPr>
        <w:t>ar pamatpakalpojumu atjaunošanu gadījumos, kad īrniekam tie pārtraukti nepamatoti</w:t>
      </w:r>
      <w:r w:rsidR="009B0D76" w:rsidRPr="00246B0E">
        <w:t xml:space="preserve">. </w:t>
      </w:r>
    </w:p>
    <w:p w:rsidR="009B0D76" w:rsidRPr="00246B0E" w:rsidRDefault="009B0D76" w:rsidP="00922A20"/>
    <w:p w:rsidR="00EB097A" w:rsidRPr="00246B0E" w:rsidRDefault="009B0D76" w:rsidP="00324B6C">
      <w:r w:rsidRPr="00246B0E">
        <w:t>Kopš 2008.</w:t>
      </w:r>
      <w:r w:rsidR="00DE1C08" w:rsidRPr="00246B0E">
        <w:t xml:space="preserve"> </w:t>
      </w:r>
      <w:r w:rsidRPr="00246B0E">
        <w:t>gada ir notikusi būtiska virzība augstāk identificēto problēmu risināšanā un piedāvāto risinājumu īstenošanā. Saskaņā ar aktuālo situāciju (2019.</w:t>
      </w:r>
      <w:r w:rsidR="00DE1C08" w:rsidRPr="00246B0E">
        <w:t xml:space="preserve"> </w:t>
      </w:r>
      <w:r w:rsidRPr="00246B0E">
        <w:t xml:space="preserve">gada janvāris) ir izstrādāts jauns tiesiskais regulējums – </w:t>
      </w:r>
      <w:r w:rsidRPr="00246B0E">
        <w:rPr>
          <w:bCs/>
        </w:rPr>
        <w:t>ar mērķi veicināt mājokļu pieejamību un īres namu būvniecību EM ir sagatavojusi</w:t>
      </w:r>
      <w:r w:rsidRPr="00246B0E">
        <w:t> </w:t>
      </w:r>
      <w:hyperlink r:id="rId94" w:tgtFrame="_blank" w:history="1">
        <w:r w:rsidRPr="00246B0E">
          <w:t>likumprojektu „Dzīvojamo telpu īres likums</w:t>
        </w:r>
      </w:hyperlink>
      <w:r w:rsidRPr="00246B0E">
        <w:rPr>
          <w:bCs/>
        </w:rPr>
        <w:t xml:space="preserve">” (sk. sīkāk turpinājumā tiesību aktu analīzes 3.2.2. sadaļā). Līdz ar plānotajām izmaiņām </w:t>
      </w:r>
      <w:hyperlink r:id="rId95" w:tgtFrame="_blank" w:history="1">
        <w:r w:rsidRPr="00246B0E">
          <w:t>likumprojektā „Dzīvojamo telpu īres likums</w:t>
        </w:r>
      </w:hyperlink>
      <w:r w:rsidRPr="00246B0E">
        <w:rPr>
          <w:bCs/>
        </w:rPr>
        <w:t>” ir paredzēti grozījumi arī citos tiesību aktos - g</w:t>
      </w:r>
      <w:r w:rsidRPr="00246B0E">
        <w:t xml:space="preserve">rozījumi Civilprocesa likumā, grozījumi Notariāta likumā un grozījumi likumā “Par palīdzību dzīvokļa jautājumu risināšanā”. </w:t>
      </w:r>
      <w:hyperlink r:id="rId96" w:tgtFrame="_blank" w:history="1">
        <w:r w:rsidRPr="00246B0E">
          <w:t>Likumprojekta „Dzīvojamo telpu īres likums</w:t>
        </w:r>
      </w:hyperlink>
      <w:r w:rsidRPr="00246B0E">
        <w:rPr>
          <w:bCs/>
        </w:rPr>
        <w:t xml:space="preserve">” </w:t>
      </w:r>
      <w:r w:rsidR="0036665B" w:rsidRPr="00246B0E">
        <w:rPr>
          <w:bCs/>
        </w:rPr>
        <w:t xml:space="preserve">anotācijā </w:t>
      </w:r>
      <w:r w:rsidRPr="00246B0E">
        <w:t xml:space="preserve">norādīts, ka, tā kā uz </w:t>
      </w:r>
      <w:r w:rsidRPr="00246B0E">
        <w:rPr>
          <w:rFonts w:eastAsia="Times New Roman"/>
        </w:rPr>
        <w:t xml:space="preserve">likumā „Par palīdzību dzīvokļa jautājumu risināšanā” </w:t>
      </w:r>
      <w:r w:rsidRPr="00246B0E">
        <w:t xml:space="preserve">atsevišķās tiesību normās ietvertā deleģējuma pamata pašvaldības izdod saistošos noteikumus, ar kuriem nosaka kārtību, kādā personas tiek atzītas par tiesīgām saņemt palīdzību dzīvokļa jautājumu risināšanā un palīdzības sniegšanas kārtību, pašvaldībām būs nepieciešams veikt attiecīgus grozījumus saistošajos noteikumos, ievērojot grozījumus </w:t>
      </w:r>
      <w:r w:rsidRPr="00246B0E">
        <w:rPr>
          <w:rFonts w:eastAsia="Times New Roman"/>
        </w:rPr>
        <w:t>likumā „Par palīdzību dzīvokļa jautājumu risināšanā”</w:t>
      </w:r>
      <w:r w:rsidRPr="00246B0E">
        <w:t xml:space="preserve">. </w:t>
      </w:r>
      <w:r w:rsidRPr="00246B0E">
        <w:rPr>
          <w:bCs/>
        </w:rPr>
        <w:t xml:space="preserve"> </w:t>
      </w:r>
      <w:bookmarkStart w:id="549" w:name="_Toc535742199"/>
      <w:bookmarkStart w:id="550" w:name="_Toc535916187"/>
      <w:bookmarkStart w:id="551" w:name="_Toc535922835"/>
      <w:bookmarkStart w:id="552" w:name="_Toc535935137"/>
    </w:p>
    <w:p w:rsidR="00EB097A" w:rsidRPr="00246B0E" w:rsidRDefault="00EB097A" w:rsidP="00324B6C"/>
    <w:p w:rsidR="009B0D76" w:rsidRPr="00246B0E" w:rsidRDefault="009B0D76" w:rsidP="00324B6C">
      <w:pPr>
        <w:rPr>
          <w:b/>
          <w:bCs/>
          <w:i/>
        </w:rPr>
      </w:pPr>
      <w:r w:rsidRPr="00246B0E">
        <w:t>Plānoto grozījumu likumā „Par palīdzību dzīvokļa jautājumu risināšanā” apraksts un analīze nevienlīdzības mājokļu pieejamības analīzes kontekstā ir iekļauts 3.2.2. sadaļā „Tiesiskā regulējuma raksturojums par valsts atbalstu mājokļa jautājumos un atbalsta saņēmēju grupām”.</w:t>
      </w:r>
      <w:bookmarkEnd w:id="549"/>
      <w:bookmarkEnd w:id="550"/>
      <w:bookmarkEnd w:id="551"/>
      <w:bookmarkEnd w:id="552"/>
      <w:r w:rsidRPr="00246B0E">
        <w:t xml:space="preserve"> </w:t>
      </w:r>
    </w:p>
    <w:p w:rsidR="009B0D76" w:rsidRPr="00246B0E" w:rsidRDefault="009B0D76" w:rsidP="00064C1E"/>
    <w:p w:rsidR="009B0D76" w:rsidRDefault="009B0D76" w:rsidP="003F469F">
      <w:pPr>
        <w:pStyle w:val="ListParagraph"/>
        <w:numPr>
          <w:ilvl w:val="0"/>
          <w:numId w:val="64"/>
        </w:numPr>
        <w:spacing w:line="276" w:lineRule="auto"/>
        <w:jc w:val="both"/>
      </w:pPr>
      <w:r w:rsidRPr="00246B0E">
        <w:t xml:space="preserve">20.03.2012. Informatīvais ziņojums par pasākumiem </w:t>
      </w:r>
      <w:r w:rsidRPr="00246B0E">
        <w:rPr>
          <w:b/>
        </w:rPr>
        <w:t>ar dzīvokļa īpašuma lietošanu saistīto parādu</w:t>
      </w:r>
      <w:r w:rsidRPr="00EB097A">
        <w:rPr>
          <w:b/>
        </w:rPr>
        <w:t xml:space="preserve"> problēmas risināšanai</w:t>
      </w:r>
      <w:r w:rsidRPr="00C817FA">
        <w:t xml:space="preserve"> (EM, Industrijas un pakalpojumu politika)</w:t>
      </w:r>
    </w:p>
    <w:p w:rsidR="009B0D76" w:rsidRPr="00D3739C" w:rsidRDefault="009B0D76" w:rsidP="00C33A64">
      <w:pPr>
        <w:pStyle w:val="pasvtrotais"/>
      </w:pPr>
      <w:bookmarkStart w:id="553" w:name="_Toc2761113"/>
      <w:bookmarkStart w:id="554" w:name="_Toc2848210"/>
      <w:bookmarkStart w:id="555" w:name="_Toc6219254"/>
      <w:bookmarkStart w:id="556" w:name="_Toc6220197"/>
      <w:bookmarkStart w:id="557" w:name="_Toc6841617"/>
      <w:r w:rsidRPr="00D3739C">
        <w:t xml:space="preserve">Situācija un identificētās </w:t>
      </w:r>
      <w:r w:rsidRPr="00DA49DB">
        <w:t>problēmas</w:t>
      </w:r>
      <w:r w:rsidRPr="00D3739C">
        <w:t>:</w:t>
      </w:r>
      <w:bookmarkEnd w:id="553"/>
      <w:bookmarkEnd w:id="554"/>
      <w:bookmarkEnd w:id="555"/>
      <w:bookmarkEnd w:id="556"/>
      <w:bookmarkEnd w:id="557"/>
    </w:p>
    <w:p w:rsidR="009B0D76" w:rsidRPr="00A6529D" w:rsidRDefault="009B0D76" w:rsidP="003F469F">
      <w:pPr>
        <w:pStyle w:val="ListParagraph"/>
        <w:numPr>
          <w:ilvl w:val="0"/>
          <w:numId w:val="104"/>
        </w:numPr>
        <w:spacing w:line="276" w:lineRule="auto"/>
        <w:jc w:val="both"/>
        <w:rPr>
          <w:u w:val="single"/>
        </w:rPr>
      </w:pPr>
      <w:r w:rsidRPr="00A6529D">
        <w:t>savlaicīga nenorēķināšanās par piegādāto siltumenerģiju;</w:t>
      </w:r>
      <w:r>
        <w:t xml:space="preserve"> </w:t>
      </w:r>
      <w:r w:rsidRPr="00A6529D">
        <w:t>lielāki parādi pret kopējo parāda summu ir pašvaldībās, kurās starp pakalpojumu sniedzēju un dzīvokļu īpašniekiem pastāv tieši vai daļēji tiešie norēķini;</w:t>
      </w:r>
    </w:p>
    <w:p w:rsidR="009B0D76" w:rsidRPr="00A6529D" w:rsidRDefault="009B0D76" w:rsidP="003F469F">
      <w:pPr>
        <w:pStyle w:val="ListParagraph"/>
        <w:numPr>
          <w:ilvl w:val="0"/>
          <w:numId w:val="104"/>
        </w:numPr>
        <w:spacing w:line="276" w:lineRule="auto"/>
        <w:jc w:val="both"/>
        <w:rPr>
          <w:u w:val="single"/>
        </w:rPr>
      </w:pPr>
      <w:r w:rsidRPr="00A6529D">
        <w:lastRenderedPageBreak/>
        <w:t>vidējā parāda summa uz vienu kavētāju lielajās pilsētās atbilst 3 – 6 mēnešu maksājuma par siltumenerģiju kavējumam, savukārt pārējās pašvaldībās tie atbilst 5 – 8 mēnešu maksājuma par siltumenerģiju kavējumam;</w:t>
      </w:r>
    </w:p>
    <w:p w:rsidR="009B0D76" w:rsidRDefault="009B0D76" w:rsidP="003F469F">
      <w:pPr>
        <w:pStyle w:val="ListParagraph"/>
        <w:numPr>
          <w:ilvl w:val="0"/>
          <w:numId w:val="104"/>
        </w:numPr>
        <w:spacing w:line="276" w:lineRule="auto"/>
        <w:jc w:val="both"/>
      </w:pPr>
      <w:r>
        <w:t>iedzīvotāju</w:t>
      </w:r>
      <w:r w:rsidRPr="00A6529D">
        <w:t xml:space="preserve"> rīcībā esošo līdzekļu nepietiekamība vai to samazinājums, vienlaikus to līmenis nav atbilstošs nosacījumiem par trūcīgas vai maznodrošinātas personas statusa iegūšanu</w:t>
      </w:r>
      <w:r>
        <w:t>, lai varētu saņemt sociālo palīdzību</w:t>
      </w:r>
      <w:r w:rsidRPr="00A6529D">
        <w:t xml:space="preserve">; </w:t>
      </w:r>
    </w:p>
    <w:p w:rsidR="009B0D76" w:rsidRPr="00246B0E" w:rsidRDefault="009B0D76" w:rsidP="003F469F">
      <w:pPr>
        <w:pStyle w:val="ListParagraph"/>
        <w:numPr>
          <w:ilvl w:val="0"/>
          <w:numId w:val="104"/>
        </w:numPr>
        <w:spacing w:line="276" w:lineRule="auto"/>
        <w:jc w:val="both"/>
      </w:pPr>
      <w:r>
        <w:t xml:space="preserve">iedzīvotāju </w:t>
      </w:r>
      <w:r w:rsidRPr="00A6529D">
        <w:t xml:space="preserve">maksājumu disciplīnas trūkums, kura pamatā ir sadarbības trūkums starp </w:t>
      </w:r>
      <w:r w:rsidRPr="00246B0E">
        <w:t xml:space="preserve">pakalpojuma sniedzēju vai pārvaldnieku un parādnieku un ilgs un dārgs prasības tiesvedības process; </w:t>
      </w:r>
    </w:p>
    <w:p w:rsidR="009B0D76" w:rsidRPr="00246B0E" w:rsidRDefault="009B0D76" w:rsidP="003F469F">
      <w:pPr>
        <w:pStyle w:val="ListParagraph"/>
        <w:numPr>
          <w:ilvl w:val="0"/>
          <w:numId w:val="104"/>
        </w:numPr>
        <w:spacing w:line="276" w:lineRule="auto"/>
        <w:jc w:val="both"/>
      </w:pPr>
      <w:r w:rsidRPr="00246B0E">
        <w:t>parādu veidošanos veicina arī dažādās sociālās palīdzības (t.sk. dzīvokļa pabalsta noteikšanā) pieejas pašvaldībās.</w:t>
      </w:r>
    </w:p>
    <w:p w:rsidR="009B0D76" w:rsidRPr="00246B0E" w:rsidRDefault="009B0D76" w:rsidP="00922A20">
      <w:pPr>
        <w:rPr>
          <w:u w:val="single"/>
        </w:rPr>
      </w:pPr>
    </w:p>
    <w:p w:rsidR="009B0D76" w:rsidRPr="00246B0E" w:rsidRDefault="009B0D76" w:rsidP="00C33A64">
      <w:pPr>
        <w:pStyle w:val="pasvtrotais"/>
      </w:pPr>
      <w:bookmarkStart w:id="558" w:name="_Toc2761114"/>
      <w:bookmarkStart w:id="559" w:name="_Toc2848211"/>
      <w:bookmarkStart w:id="560" w:name="_Toc6219255"/>
      <w:bookmarkStart w:id="561" w:name="_Toc6220198"/>
      <w:bookmarkStart w:id="562" w:name="_Toc6841618"/>
      <w:r w:rsidRPr="00246B0E">
        <w:t xml:space="preserve">Piedāvātie risinājumi </w:t>
      </w:r>
      <w:r w:rsidRPr="00DA49DB">
        <w:t>problēmu</w:t>
      </w:r>
      <w:r w:rsidRPr="00246B0E">
        <w:t xml:space="preserve"> risināšanai:</w:t>
      </w:r>
      <w:bookmarkEnd w:id="558"/>
      <w:bookmarkEnd w:id="559"/>
      <w:bookmarkEnd w:id="560"/>
      <w:bookmarkEnd w:id="561"/>
      <w:bookmarkEnd w:id="562"/>
    </w:p>
    <w:p w:rsidR="009B0D76" w:rsidRPr="00246B0E" w:rsidRDefault="009B0D76" w:rsidP="003F469F">
      <w:pPr>
        <w:pStyle w:val="ListParagraph"/>
        <w:numPr>
          <w:ilvl w:val="0"/>
          <w:numId w:val="105"/>
        </w:numPr>
        <w:spacing w:line="276" w:lineRule="auto"/>
        <w:jc w:val="both"/>
        <w:rPr>
          <w:u w:val="single"/>
        </w:rPr>
      </w:pPr>
      <w:r w:rsidRPr="00246B0E">
        <w:t xml:space="preserve">nepieciešams nodrošināt preventīvus pasākumus – maksājumu disciplīnas monitorings, darbs ar parādnieku pirms tiesas nelielu parādu izveidošanās gadījumā, </w:t>
      </w:r>
      <w:r w:rsidRPr="00246B0E">
        <w:rPr>
          <w:bCs/>
        </w:rPr>
        <w:t>veicināt parāda atgūšanu ārpus tiesas;</w:t>
      </w:r>
    </w:p>
    <w:p w:rsidR="009B0D76" w:rsidRPr="00246B0E" w:rsidRDefault="009B0D76" w:rsidP="003F469F">
      <w:pPr>
        <w:pStyle w:val="ListParagraph"/>
        <w:numPr>
          <w:ilvl w:val="0"/>
          <w:numId w:val="105"/>
        </w:numPr>
        <w:spacing w:line="276" w:lineRule="auto"/>
        <w:jc w:val="both"/>
        <w:rPr>
          <w:u w:val="single"/>
        </w:rPr>
      </w:pPr>
      <w:r w:rsidRPr="00246B0E">
        <w:t>nepieciešams motivēt pakalpojuma sniedzēju laikus vērsties ar attiecīgu prasību tiesā;</w:t>
      </w:r>
    </w:p>
    <w:p w:rsidR="009B0D76" w:rsidRPr="00246B0E" w:rsidRDefault="009B0D76" w:rsidP="003F469F">
      <w:pPr>
        <w:pStyle w:val="ListParagraph"/>
        <w:numPr>
          <w:ilvl w:val="0"/>
          <w:numId w:val="105"/>
        </w:numPr>
        <w:spacing w:line="276" w:lineRule="auto"/>
        <w:jc w:val="both"/>
        <w:rPr>
          <w:u w:val="single"/>
        </w:rPr>
      </w:pPr>
      <w:r w:rsidRPr="00246B0E">
        <w:t>vairāki priekšlikumi saistīti ar tiesvedības procesa paātrināšanu (tie ļoti pastarpināti attiecas uz Izvērtējuma mērķi un uzdevumiem, pamatā tie attiecas uz tieslietu jomu);</w:t>
      </w:r>
      <w:r w:rsidRPr="00246B0E">
        <w:rPr>
          <w:bCs/>
        </w:rPr>
        <w:t xml:space="preserve"> </w:t>
      </w:r>
    </w:p>
    <w:p w:rsidR="009B0D76" w:rsidRPr="00246B0E" w:rsidRDefault="009B0D76" w:rsidP="003F469F">
      <w:pPr>
        <w:pStyle w:val="ListParagraph"/>
        <w:numPr>
          <w:ilvl w:val="0"/>
          <w:numId w:val="105"/>
        </w:numPr>
        <w:spacing w:line="276" w:lineRule="auto"/>
        <w:jc w:val="both"/>
        <w:rPr>
          <w:u w:val="single"/>
        </w:rPr>
      </w:pPr>
      <w:r w:rsidRPr="00246B0E">
        <w:t>nodrošināt sprieduma izpildes iespējamību visos gadījumos, kad apmierināta prasība par parāda piedziņu, kas saistīts ar dzīvokļa īpašniekam sniegtajiem pakalpojumiem, kas saistīti ar dzīvokļa īpašuma lietošanu.</w:t>
      </w:r>
    </w:p>
    <w:p w:rsidR="009B0D76" w:rsidRPr="00246B0E" w:rsidRDefault="009B0D76" w:rsidP="00922A20"/>
    <w:p w:rsidR="009B0D76" w:rsidRPr="00706C0D" w:rsidRDefault="009B0D76" w:rsidP="00922A20">
      <w:r w:rsidRPr="00246B0E">
        <w:t>Atsevišķu informatīvo ziņojumu grupu</w:t>
      </w:r>
      <w:r w:rsidRPr="00706C0D">
        <w:t xml:space="preserve"> veido ziņojumi par </w:t>
      </w:r>
      <w:r w:rsidRPr="00EB097A">
        <w:rPr>
          <w:b/>
        </w:rPr>
        <w:t>situāciju pašvaldībās saistībā ar siltumapgādes pakalpojumiem</w:t>
      </w:r>
      <w:r>
        <w:t>, kas balstīti uz EM apkopotajiem datiem no pašvaldībām laika periodā no 2010.</w:t>
      </w:r>
      <w:r w:rsidR="00D54545">
        <w:t xml:space="preserve"> </w:t>
      </w:r>
      <w:r>
        <w:t>gada līdz 2015.</w:t>
      </w:r>
      <w:r w:rsidR="00D54545">
        <w:t xml:space="preserve"> </w:t>
      </w:r>
      <w:r>
        <w:t>gadam</w:t>
      </w:r>
      <w:r w:rsidRPr="00706C0D">
        <w:rPr>
          <w:rStyle w:val="FootnoteReference"/>
        </w:rPr>
        <w:footnoteReference w:id="268"/>
      </w:r>
      <w:r w:rsidRPr="00706C0D">
        <w:t>:</w:t>
      </w:r>
    </w:p>
    <w:p w:rsidR="009B0D76" w:rsidRPr="00C817FA" w:rsidRDefault="009B0D76" w:rsidP="003F469F">
      <w:pPr>
        <w:pStyle w:val="ListParagraph"/>
        <w:numPr>
          <w:ilvl w:val="0"/>
          <w:numId w:val="64"/>
        </w:numPr>
        <w:spacing w:line="276" w:lineRule="auto"/>
        <w:jc w:val="both"/>
      </w:pPr>
      <w:r w:rsidRPr="00C817FA">
        <w:t>07.09.2010. Informatīvais ziņojums par situāciju saistībā ar siltumapgādes pakalpojumiem (EM, Industrijas un pakalpojumu politika)</w:t>
      </w:r>
      <w:r w:rsidR="0036665B">
        <w:t>;</w:t>
      </w:r>
    </w:p>
    <w:p w:rsidR="009B0D76" w:rsidRPr="00C817FA" w:rsidRDefault="009B0D76" w:rsidP="003F469F">
      <w:pPr>
        <w:pStyle w:val="ListParagraph"/>
        <w:numPr>
          <w:ilvl w:val="0"/>
          <w:numId w:val="64"/>
        </w:numPr>
        <w:spacing w:line="276" w:lineRule="auto"/>
        <w:jc w:val="both"/>
      </w:pPr>
      <w:r w:rsidRPr="00C817FA">
        <w:t xml:space="preserve">09.11.2010. Informatīvais ziņojums par situāciju saistībā ar siltumapgādes pakalpojumiem </w:t>
      </w:r>
      <w:r>
        <w:t xml:space="preserve">(paplašināts augstāk norādītais 07.09.2010. Informatīvais ziņojums) </w:t>
      </w:r>
      <w:r w:rsidRPr="00C817FA">
        <w:t>(EM, Industrijas un pakalpojumu politika)</w:t>
      </w:r>
      <w:r w:rsidR="0036665B">
        <w:t>;</w:t>
      </w:r>
    </w:p>
    <w:p w:rsidR="009B0D76" w:rsidRPr="00C817FA" w:rsidRDefault="009B0D76" w:rsidP="003F469F">
      <w:pPr>
        <w:pStyle w:val="ListParagraph"/>
        <w:numPr>
          <w:ilvl w:val="0"/>
          <w:numId w:val="64"/>
        </w:numPr>
        <w:spacing w:line="276" w:lineRule="auto"/>
        <w:jc w:val="both"/>
      </w:pPr>
      <w:r w:rsidRPr="00C817FA">
        <w:t>08.11.2011. Informatīvais ziņojums par situāciju saistībā ar siltumapgādes pakalpojumiem 2011.</w:t>
      </w:r>
      <w:r w:rsidR="00DE1C08">
        <w:t xml:space="preserve"> </w:t>
      </w:r>
      <w:r w:rsidRPr="00C817FA">
        <w:t>gadā (EM, Industrijas un pakalpojumu politika)</w:t>
      </w:r>
      <w:r w:rsidR="0036665B">
        <w:t>;</w:t>
      </w:r>
    </w:p>
    <w:p w:rsidR="009B0D76" w:rsidRPr="00F21EF7" w:rsidRDefault="009B0D76" w:rsidP="003F469F">
      <w:pPr>
        <w:pStyle w:val="ListParagraph"/>
        <w:numPr>
          <w:ilvl w:val="0"/>
          <w:numId w:val="64"/>
        </w:numPr>
        <w:spacing w:line="276" w:lineRule="auto"/>
        <w:jc w:val="both"/>
      </w:pPr>
      <w:r>
        <w:t>1</w:t>
      </w:r>
      <w:r w:rsidRPr="004B6A29">
        <w:t xml:space="preserve">4.10.2015. </w:t>
      </w:r>
      <w:r w:rsidRPr="00062B64">
        <w:rPr>
          <w:bCs/>
        </w:rPr>
        <w:t>Informatīvais ziņojums par situāciju saistībā ar siltumapgādes pakalpojumiem 2015. gadā (EM, Industrijas un pakalpojumu politika)</w:t>
      </w:r>
      <w:r w:rsidR="0036665B">
        <w:rPr>
          <w:bCs/>
        </w:rPr>
        <w:t>.</w:t>
      </w:r>
    </w:p>
    <w:p w:rsidR="009B0D76" w:rsidRDefault="009B0D76" w:rsidP="00064C1E"/>
    <w:p w:rsidR="009B0D76" w:rsidRPr="00F94F38" w:rsidRDefault="009B0D76" w:rsidP="00064C1E">
      <w:r w:rsidRPr="00F94F38">
        <w:t>Kopš 2010.</w:t>
      </w:r>
      <w:r w:rsidR="00DE1C08">
        <w:t xml:space="preserve"> </w:t>
      </w:r>
      <w:r w:rsidRPr="00F94F38">
        <w:t xml:space="preserve">gada EM sagatavo informatīvo ziņojumu par situāciju saistībā ar siltumapgādes pakalpojumiem. 2010. gada informatīvie ziņojumi tika sagatavoti, balstoties uz Ministru prezidenta 2010. gada 7. jūlija rezolūcijā Nr. 90/SAN-2245 noteikto uzdevumu Ekonomikas ministrijai, Finanšu ministrijai, Reģionālās attīstības un pašvaldību lietu ministrijai un Labklājības ministrijai </w:t>
      </w:r>
      <w:r w:rsidRPr="00F94F38">
        <w:lastRenderedPageBreak/>
        <w:t>iepazīties ar Latvijas Pašvaldību savienības 2010.</w:t>
      </w:r>
      <w:r w:rsidR="00DE1C08">
        <w:t xml:space="preserve"> </w:t>
      </w:r>
      <w:r w:rsidRPr="00F94F38">
        <w:t>gada 5.jūlija vēstuli Nr.0720101673/A2720 un atbilstoši katras ministrijas kompetencei sagatavot informatīvo ziņojumu par siltumapgādes jautājumiem. 2011.</w:t>
      </w:r>
      <w:r w:rsidR="00DE1C08">
        <w:t xml:space="preserve"> </w:t>
      </w:r>
      <w:r w:rsidRPr="00F94F38">
        <w:t>gada informatīvais ziņojums tika sagatavots, balstoties uz Ministru prezidenta 2011.</w:t>
      </w:r>
      <w:r w:rsidR="00DE1C08">
        <w:t xml:space="preserve"> </w:t>
      </w:r>
      <w:r w:rsidRPr="00F94F38">
        <w:t>gada 5.jūlija rezolūcijā Nr.90/SAN-1447 noteikto uzdevumu Ekonomikas ministrijai, Finanšu ministrijai, Vides aizsardzības un reģionālās attīstības ministrijai, kā arī Labklājības ministrijai iepazīties ar Latvijas Pašvaldību savienības 2011.</w:t>
      </w:r>
      <w:r w:rsidR="00D54545">
        <w:t xml:space="preserve"> </w:t>
      </w:r>
      <w:r w:rsidRPr="00F94F38">
        <w:t xml:space="preserve">gada 1.jūlija vēstuli Nr.0720111630/A2946, kopīgi kompleksi izvērtēt situāciju siltumapgādes jomā. </w:t>
      </w:r>
      <w:r>
        <w:t>Šādi informatīvie ziņojumi tika sagatavoti arī 2013.</w:t>
      </w:r>
      <w:r w:rsidR="00DE1C08">
        <w:t xml:space="preserve"> </w:t>
      </w:r>
      <w:r>
        <w:t>gadā un 2014</w:t>
      </w:r>
      <w:r w:rsidR="00ED3D90">
        <w:t>.</w:t>
      </w:r>
      <w:r w:rsidR="00DE1C08">
        <w:t xml:space="preserve"> </w:t>
      </w:r>
      <w:r w:rsidR="00ED3D90">
        <w:t>gadā (POLSIS datu bāzē, atšķir</w:t>
      </w:r>
      <w:r>
        <w:t xml:space="preserve">ībā no pārējiem uzskaitītajiem dokumentiem, </w:t>
      </w:r>
      <w:r w:rsidRPr="00F94F38">
        <w:t>tiem ir statuss „nav aktuāli”). 2013., 2014.</w:t>
      </w:r>
      <w:r w:rsidR="00D54545">
        <w:t>,</w:t>
      </w:r>
      <w:r w:rsidRPr="00F94F38">
        <w:t xml:space="preserve"> 2015.</w:t>
      </w:r>
      <w:r w:rsidR="00D54545">
        <w:t xml:space="preserve"> </w:t>
      </w:r>
      <w:r w:rsidRPr="00F94F38">
        <w:t>gada informatīvajos ziņojumos norādīts, ka tie tiek sagatavoti, lai „nodrošinātu ikgadējo monitoringu par situāciju siltumapgādē”</w:t>
      </w:r>
      <w:r>
        <w:t xml:space="preserve">. </w:t>
      </w:r>
    </w:p>
    <w:p w:rsidR="009B0D76" w:rsidRDefault="009B0D76" w:rsidP="00064C1E"/>
    <w:p w:rsidR="009B0D76" w:rsidRPr="00A11BCB" w:rsidRDefault="009B0D76" w:rsidP="00922A20">
      <w:r>
        <w:t>Tā kā visi minētie ziņojumi ir veidoti pēc vienotas met</w:t>
      </w:r>
      <w:r w:rsidR="008D6552">
        <w:t>odikas un analīzes struktūras, I</w:t>
      </w:r>
      <w:r>
        <w:t xml:space="preserve">zvērtējuma mērķiem ir pētīts </w:t>
      </w:r>
      <w:r w:rsidRPr="00DB3E43">
        <w:t>jaunākais pieejamais informatīvais ziņojums par situāciju 2015.</w:t>
      </w:r>
      <w:r w:rsidR="00D54545">
        <w:t xml:space="preserve"> </w:t>
      </w:r>
      <w:r w:rsidRPr="00DB3E43">
        <w:t>gadā</w:t>
      </w:r>
      <w:r>
        <w:t xml:space="preserve">. </w:t>
      </w:r>
      <w:r w:rsidRPr="00A11BCB">
        <w:t xml:space="preserve">Situācijas raksturojums </w:t>
      </w:r>
      <w:r>
        <w:t xml:space="preserve">siltumapgādes jomā </w:t>
      </w:r>
      <w:r w:rsidRPr="00A11BCB">
        <w:t>tiek balstīts uz pašvaldību sniegto informāciju par šādiem rādītājiem:</w:t>
      </w:r>
    </w:p>
    <w:p w:rsidR="009B0D76" w:rsidRPr="00A11BCB" w:rsidRDefault="009B0D76" w:rsidP="003F469F">
      <w:pPr>
        <w:numPr>
          <w:ilvl w:val="0"/>
          <w:numId w:val="109"/>
        </w:numPr>
      </w:pPr>
      <w:r w:rsidRPr="00A11BCB">
        <w:t>ēku skaits, kurās norēķini ar pakalpojuma sniedzēju tiek veikti ar pārvaldnieka starpniecību un kurās uz individuāla līguma pamata;</w:t>
      </w:r>
    </w:p>
    <w:p w:rsidR="009B0D76" w:rsidRPr="00A11BCB" w:rsidRDefault="009B0D76" w:rsidP="003F469F">
      <w:pPr>
        <w:numPr>
          <w:ilvl w:val="0"/>
          <w:numId w:val="109"/>
        </w:numPr>
      </w:pPr>
      <w:r w:rsidRPr="00A11BCB">
        <w:t>parādnieku skaits;</w:t>
      </w:r>
    </w:p>
    <w:p w:rsidR="009B0D76" w:rsidRPr="00A11BCB" w:rsidRDefault="009B0D76" w:rsidP="003F469F">
      <w:pPr>
        <w:numPr>
          <w:ilvl w:val="0"/>
          <w:numId w:val="109"/>
        </w:numPr>
      </w:pPr>
      <w:r w:rsidRPr="00A11BCB">
        <w:t>veiktās parādu atgūšanas darbības, tai skaitā par tiesā celtajām prasībām par parāda piedziņu un ārpustiesas parādu piedziņu, parāda apmaksas grafiku sastādīšanu;</w:t>
      </w:r>
    </w:p>
    <w:p w:rsidR="009B0D76" w:rsidRPr="00A11BCB" w:rsidRDefault="009B0D76" w:rsidP="003F469F">
      <w:pPr>
        <w:numPr>
          <w:ilvl w:val="0"/>
          <w:numId w:val="109"/>
        </w:numPr>
      </w:pPr>
      <w:r w:rsidRPr="00A11BCB">
        <w:t>vidējais siltumenerģijas tarifs apkures sezonā;</w:t>
      </w:r>
    </w:p>
    <w:p w:rsidR="009B0D76" w:rsidRPr="00A11BCB" w:rsidRDefault="009B0D76" w:rsidP="003F469F">
      <w:pPr>
        <w:numPr>
          <w:ilvl w:val="0"/>
          <w:numId w:val="109"/>
        </w:numPr>
      </w:pPr>
      <w:r w:rsidRPr="00A11BCB">
        <w:t>apkures sezonā izsniegto rēķinu par siltumenerģiju kopējā summa;</w:t>
      </w:r>
    </w:p>
    <w:p w:rsidR="009B0D76" w:rsidRDefault="009B0D76" w:rsidP="003F469F">
      <w:pPr>
        <w:numPr>
          <w:ilvl w:val="0"/>
          <w:numId w:val="109"/>
        </w:numPr>
      </w:pPr>
      <w:r w:rsidRPr="00A11BCB">
        <w:t>parāda par siltumenerģiju apmērs par iepriekšējās apkures sezonu un kopējais parāda par siltumenerģiju apmērs par visām apkures sezonām;</w:t>
      </w:r>
    </w:p>
    <w:p w:rsidR="009B0D76" w:rsidRDefault="009B0D76" w:rsidP="003F469F">
      <w:pPr>
        <w:numPr>
          <w:ilvl w:val="0"/>
          <w:numId w:val="109"/>
        </w:numPr>
      </w:pPr>
      <w:r>
        <w:t>c</w:t>
      </w:r>
      <w:r w:rsidRPr="00A11BCB">
        <w:t>entrālo siltumapgādes sistēmu energoefektivitātes uzlabošanas pasākumi.</w:t>
      </w:r>
    </w:p>
    <w:p w:rsidR="009B0D76" w:rsidRDefault="009B0D76" w:rsidP="00922A20"/>
    <w:p w:rsidR="009B0D76" w:rsidRDefault="009B0D76" w:rsidP="00922A20">
      <w:r>
        <w:t>Balstoties uz padziļinātu 100 informāciju sniegušo pašvaldību datu padziļinātu analīzi, izvirzīti šādi secinājumi:</w:t>
      </w:r>
    </w:p>
    <w:p w:rsidR="009B0D76" w:rsidRPr="005930E5" w:rsidRDefault="009B0D76" w:rsidP="003F469F">
      <w:pPr>
        <w:numPr>
          <w:ilvl w:val="0"/>
          <w:numId w:val="106"/>
        </w:numPr>
        <w:ind w:left="714" w:hanging="357"/>
      </w:pPr>
      <w:r w:rsidRPr="005930E5">
        <w:t>“Visās republikas nozīmes pilsētās 2014./2015. gada apkures sezonā ir pazemināti siltumenerģijas tarifi, ko nodrošināja dabasgāzes cenas samazinājums 2014./2015.</w:t>
      </w:r>
      <w:r w:rsidR="00D54545">
        <w:t xml:space="preserve"> </w:t>
      </w:r>
      <w:r w:rsidRPr="005930E5">
        <w:t>gada apkures sezonā.</w:t>
      </w:r>
      <w:r>
        <w:t xml:space="preserve"> </w:t>
      </w:r>
    </w:p>
    <w:p w:rsidR="009B0D76" w:rsidRPr="005930E5" w:rsidRDefault="009B0D76" w:rsidP="003F469F">
      <w:pPr>
        <w:numPr>
          <w:ilvl w:val="0"/>
          <w:numId w:val="106"/>
        </w:numPr>
        <w:tabs>
          <w:tab w:val="left" w:pos="851"/>
        </w:tabs>
        <w:ind w:left="714" w:hanging="357"/>
      </w:pPr>
      <w:r w:rsidRPr="005930E5">
        <w:t>Republikas nozīmes pilsētās un novadu pašvaldībās ir samazinājies tiesā celto prasību skaits par parādu piedziņu. Parāda atgūšanai izmantoti ārpustiesas parādu piedziņas un parāda apmaksas grafiku sastādīšanas instrumenti.</w:t>
      </w:r>
    </w:p>
    <w:p w:rsidR="009B0D76" w:rsidRPr="005930E5" w:rsidRDefault="009B0D76" w:rsidP="003F469F">
      <w:pPr>
        <w:numPr>
          <w:ilvl w:val="0"/>
          <w:numId w:val="106"/>
        </w:numPr>
        <w:tabs>
          <w:tab w:val="left" w:pos="851"/>
        </w:tabs>
        <w:ind w:left="714" w:hanging="357"/>
      </w:pPr>
      <w:r w:rsidRPr="005930E5">
        <w:t>Parāda par siltumenerģiju apmērs par visām apkures sezonām kopā ir samazinājies republikas nozīmes pilsētās, kamēr novadu pašvaldībās parāda apmērs par visām apkures sezonām kopā ir palicis nemainīgs.</w:t>
      </w:r>
    </w:p>
    <w:p w:rsidR="009B0D76" w:rsidRDefault="009B0D76" w:rsidP="003F469F">
      <w:pPr>
        <w:numPr>
          <w:ilvl w:val="0"/>
          <w:numId w:val="106"/>
        </w:numPr>
        <w:tabs>
          <w:tab w:val="left" w:pos="851"/>
        </w:tabs>
        <w:ind w:left="714" w:hanging="357"/>
      </w:pPr>
      <w:r>
        <w:t xml:space="preserve">(..) </w:t>
      </w:r>
      <w:r w:rsidRPr="005930E5">
        <w:t>2014./2015. gada apkures sezonā republikas nozīmes pilsētās apmaksāti 96</w:t>
      </w:r>
      <w:r>
        <w:t>,</w:t>
      </w:r>
      <w:r w:rsidRPr="005930E5">
        <w:t>6% no rēķinos par siltumenerģiju izsniegtās summas. Salīdzinot ar iepriekšējo apkures sezonu, rēķinu apmaksas disciplīna ir nemainīga.”</w:t>
      </w:r>
      <w:r>
        <w:rPr>
          <w:rStyle w:val="FootnoteReference"/>
        </w:rPr>
        <w:footnoteReference w:id="269"/>
      </w:r>
    </w:p>
    <w:p w:rsidR="009B0D76" w:rsidRDefault="009B0D76" w:rsidP="00922A20">
      <w:pPr>
        <w:tabs>
          <w:tab w:val="left" w:pos="851"/>
        </w:tabs>
      </w:pPr>
    </w:p>
    <w:p w:rsidR="009B0D76" w:rsidRDefault="009B0D76" w:rsidP="00922A20">
      <w:pPr>
        <w:tabs>
          <w:tab w:val="left" w:pos="851"/>
        </w:tabs>
      </w:pPr>
      <w:r>
        <w:lastRenderedPageBreak/>
        <w:t>Situācijas raksturojums par siltumapgādes pakalpojumiem pašvaldībās sekojošajos gados (2016., 2017.</w:t>
      </w:r>
      <w:r w:rsidR="00DE1C08">
        <w:t xml:space="preserve"> </w:t>
      </w:r>
      <w:r>
        <w:t>gadu) nav atrodams publiski pieejamajos informācijas avotos (EM mājas lapa, POLSIS datu bāze).</w:t>
      </w:r>
    </w:p>
    <w:p w:rsidR="009B0D76" w:rsidRDefault="009B0D76" w:rsidP="00922A20">
      <w:pPr>
        <w:tabs>
          <w:tab w:val="left" w:pos="851"/>
        </w:tabs>
      </w:pPr>
    </w:p>
    <w:p w:rsidR="009B0D76" w:rsidRDefault="009B0D76" w:rsidP="00922A20">
      <w:pPr>
        <w:tabs>
          <w:tab w:val="left" w:pos="851"/>
        </w:tabs>
      </w:pPr>
      <w:r w:rsidRPr="005930E5">
        <w:t xml:space="preserve">Nākamais  politikas plānošanas jautājums ir saistīts ar </w:t>
      </w:r>
      <w:r w:rsidRPr="00EB097A">
        <w:rPr>
          <w:b/>
        </w:rPr>
        <w:t>mājokļu energoefektivitātes</w:t>
      </w:r>
      <w:r w:rsidRPr="005930E5">
        <w:rPr>
          <w:rStyle w:val="FootnoteReference"/>
        </w:rPr>
        <w:footnoteReference w:id="270"/>
      </w:r>
      <w:r w:rsidRPr="005930E5">
        <w:t xml:space="preserve"> </w:t>
      </w:r>
      <w:r w:rsidRPr="00EB097A">
        <w:rPr>
          <w:b/>
        </w:rPr>
        <w:t>un atjaunošanas</w:t>
      </w:r>
      <w:r>
        <w:rPr>
          <w:rStyle w:val="FootnoteReference"/>
        </w:rPr>
        <w:footnoteReference w:id="271"/>
      </w:r>
      <w:r>
        <w:t xml:space="preserve"> </w:t>
      </w:r>
      <w:r w:rsidRPr="00EB097A">
        <w:rPr>
          <w:b/>
        </w:rPr>
        <w:t>veicināšanu</w:t>
      </w:r>
      <w:r w:rsidRPr="005930E5">
        <w:t>. Situāciju, problēmas un nepieciešamās darbības raksturotas turpinājumā aplūkotajos 2013.</w:t>
      </w:r>
      <w:r w:rsidR="00D54545">
        <w:t xml:space="preserve"> </w:t>
      </w:r>
      <w:r w:rsidRPr="005930E5">
        <w:t>gadā</w:t>
      </w:r>
      <w:r>
        <w:t xml:space="preserve"> un 2017.</w:t>
      </w:r>
      <w:r w:rsidR="00D54545">
        <w:t xml:space="preserve"> </w:t>
      </w:r>
      <w:r>
        <w:t>gadā</w:t>
      </w:r>
      <w:r w:rsidRPr="005930E5">
        <w:t xml:space="preserve"> EM sagatavotajos informatīvajos ziņojumos. Tajos iztirzātie jautājumi nav zaudējuši savu aktualitāti, jo attiecas uz 2014.-2020. gada plānošanas periodā pieejamo ES fondu finanšu resursu izmantošanu ēku renovācijas un energoefektivitātes uzlabošanas mērķiem. </w:t>
      </w:r>
    </w:p>
    <w:p w:rsidR="009B0D76" w:rsidRPr="005930E5" w:rsidRDefault="009B0D76" w:rsidP="00922A20">
      <w:pPr>
        <w:tabs>
          <w:tab w:val="left" w:pos="851"/>
        </w:tabs>
      </w:pPr>
    </w:p>
    <w:p w:rsidR="009B0D76" w:rsidRDefault="009B0D76" w:rsidP="003F469F">
      <w:pPr>
        <w:pStyle w:val="ListParagraph"/>
        <w:numPr>
          <w:ilvl w:val="0"/>
          <w:numId w:val="64"/>
        </w:numPr>
        <w:spacing w:line="276" w:lineRule="auto"/>
        <w:jc w:val="both"/>
      </w:pPr>
      <w:r w:rsidRPr="00C817FA">
        <w:t>04.06.2013. Informatīvais ziņojums par ēku renovācijas finansēšanas risinājumiem (EM, Indus</w:t>
      </w:r>
      <w:r w:rsidR="00EC4311">
        <w:t>trijas un pakalpojumu politika);</w:t>
      </w:r>
    </w:p>
    <w:p w:rsidR="009B0D76" w:rsidRDefault="009B0D76" w:rsidP="003F469F">
      <w:pPr>
        <w:pStyle w:val="ListParagraph"/>
        <w:numPr>
          <w:ilvl w:val="0"/>
          <w:numId w:val="64"/>
        </w:numPr>
        <w:spacing w:line="276" w:lineRule="auto"/>
        <w:jc w:val="both"/>
      </w:pPr>
      <w:r w:rsidRPr="00C817FA">
        <w:t>18.09.2013. Informatīvais ziņojums par ES fondu finanšu resursu izmantošanu un standarta risinājumiem sērijveida daudzdzīvokļu dzīvojamo māju energoefektivitātes uzlabošanā (EM, Industrijas un pakalpojumu politika)</w:t>
      </w:r>
      <w:r w:rsidR="00EC4311">
        <w:t>;</w:t>
      </w:r>
    </w:p>
    <w:p w:rsidR="009B0D76" w:rsidRPr="00F519EF" w:rsidRDefault="009B0D76" w:rsidP="003F469F">
      <w:pPr>
        <w:pStyle w:val="ListParagraph"/>
        <w:numPr>
          <w:ilvl w:val="0"/>
          <w:numId w:val="64"/>
        </w:numPr>
        <w:spacing w:line="276" w:lineRule="auto"/>
        <w:jc w:val="both"/>
      </w:pPr>
      <w:r w:rsidRPr="00F519EF">
        <w:t>24.10.2017. Informatīvais ziņojums „Ēku atjaunošanas ilgtermiņa stratēģija” (EM, Industrijas un pakalpojumu politika)</w:t>
      </w:r>
      <w:r w:rsidR="00EC4311">
        <w:t>.</w:t>
      </w:r>
    </w:p>
    <w:p w:rsidR="009B0D76" w:rsidRDefault="009B0D76" w:rsidP="00922A20">
      <w:pPr>
        <w:rPr>
          <w:u w:val="single"/>
        </w:rPr>
      </w:pPr>
    </w:p>
    <w:p w:rsidR="009B0D76" w:rsidRPr="003742E9" w:rsidRDefault="009B0D76" w:rsidP="00922A20">
      <w:r>
        <w:t>Mājokļu ēku renovācija ir būtisks rīcībpolitikas aspekts, ņemot vērā, ka viena no galvenajām mājokļu jomas kopumā problēmā</w:t>
      </w:r>
      <w:r w:rsidR="00EC4311">
        <w:t>m</w:t>
      </w:r>
      <w:r>
        <w:t xml:space="preserve">, ir dzīvojamā fonda tehniskais stāvoklis, kas, savukārt, ietekmē mājokļu infrastruktūras pieejamību. </w:t>
      </w:r>
      <w:r w:rsidRPr="00C817FA">
        <w:t>04.06.2013. Informatīvais ziņojums par ēku renovācijas finansēšanas risinājumiem</w:t>
      </w:r>
      <w:r>
        <w:t xml:space="preserve"> tika</w:t>
      </w:r>
      <w:r w:rsidRPr="00C817FA">
        <w:t xml:space="preserve"> </w:t>
      </w:r>
      <w:r w:rsidRPr="00D043A6">
        <w:t>izstrādāts</w:t>
      </w:r>
      <w:r>
        <w:t xml:space="preserve"> ar mērķi </w:t>
      </w:r>
      <w:r w:rsidRPr="00D043A6">
        <w:t xml:space="preserve">novērtētu </w:t>
      </w:r>
      <w:r>
        <w:t>“</w:t>
      </w:r>
      <w:r w:rsidRPr="00D043A6">
        <w:t>atbalsta programmu ēku energoefektivitātes uzlabošanai darbību un identificētu riskus, problēmas, iespējamos risinājumus un uzdevumus ēku sektora, īpaši mājokļu, energoefektivitātes uzlabošanas finansēšanai</w:t>
      </w:r>
      <w:r>
        <w:t xml:space="preserve">”. Tātad pēc būtības šis dokuments pamato nepieciešamo rīcībpolitiku mājokļu energoefektivitātes uzlabošanai. </w:t>
      </w:r>
      <w:r w:rsidRPr="00C817FA">
        <w:t>18.09.2013. Informatīv</w:t>
      </w:r>
      <w:r>
        <w:t>ajā</w:t>
      </w:r>
      <w:r w:rsidRPr="00C817FA">
        <w:t xml:space="preserve"> ziņojum</w:t>
      </w:r>
      <w:r>
        <w:t>ā</w:t>
      </w:r>
      <w:r w:rsidRPr="00C817FA">
        <w:t xml:space="preserve"> par ES fondu finanšu resursu izmantošanu un standarta risinājumiem sērijveida daudzdzīvokļu dzīvojamo māju energoefektivitātes uzlabošanā</w:t>
      </w:r>
      <w:r w:rsidRPr="00395734">
        <w:t xml:space="preserve"> </w:t>
      </w:r>
      <w:r w:rsidRPr="00162C80">
        <w:t xml:space="preserve">ir </w:t>
      </w:r>
      <w:r>
        <w:t>ietverta</w:t>
      </w:r>
      <w:r w:rsidRPr="00162C80">
        <w:t xml:space="preserve"> </w:t>
      </w:r>
      <w:r>
        <w:t xml:space="preserve">papildinoša informācija </w:t>
      </w:r>
      <w:r w:rsidRPr="00C817FA">
        <w:t>04.06.2013. Informatīva</w:t>
      </w:r>
      <w:r>
        <w:t>jam</w:t>
      </w:r>
      <w:r w:rsidRPr="00C817FA">
        <w:t xml:space="preserve"> ziņojum</w:t>
      </w:r>
      <w:r>
        <w:t>am</w:t>
      </w:r>
      <w:r w:rsidRPr="00C817FA">
        <w:t xml:space="preserve"> par ēku renovācijas finansēšanas risinājumiem</w:t>
      </w:r>
      <w:r>
        <w:t>.</w:t>
      </w:r>
    </w:p>
    <w:p w:rsidR="009B0D76" w:rsidRDefault="009B0D76" w:rsidP="00922A20">
      <w:pPr>
        <w:rPr>
          <w:u w:val="single"/>
        </w:rPr>
      </w:pPr>
    </w:p>
    <w:p w:rsidR="009B0D76" w:rsidRPr="00D3739C" w:rsidRDefault="009B0D76" w:rsidP="00C33A64">
      <w:pPr>
        <w:pStyle w:val="pasvtrotais"/>
      </w:pPr>
      <w:bookmarkStart w:id="563" w:name="_Toc2761115"/>
      <w:bookmarkStart w:id="564" w:name="_Toc2848212"/>
      <w:bookmarkStart w:id="565" w:name="_Toc6219256"/>
      <w:bookmarkStart w:id="566" w:name="_Toc6220199"/>
      <w:bookmarkStart w:id="567" w:name="_Toc6841619"/>
      <w:r w:rsidRPr="00D3739C">
        <w:t xml:space="preserve">Situācija un </w:t>
      </w:r>
      <w:r w:rsidRPr="00DA49DB">
        <w:t>identificētās</w:t>
      </w:r>
      <w:r w:rsidRPr="00D3739C">
        <w:t xml:space="preserve"> problēmas, kas attiecas uz dzīvojamo fondu:</w:t>
      </w:r>
      <w:bookmarkEnd w:id="563"/>
      <w:bookmarkEnd w:id="564"/>
      <w:bookmarkEnd w:id="565"/>
      <w:bookmarkEnd w:id="566"/>
      <w:bookmarkEnd w:id="567"/>
      <w:r w:rsidRPr="00D3739C">
        <w:t xml:space="preserve"> </w:t>
      </w:r>
    </w:p>
    <w:p w:rsidR="009B0D76" w:rsidRDefault="009B0D76" w:rsidP="003F469F">
      <w:pPr>
        <w:pStyle w:val="ListParagraph"/>
        <w:numPr>
          <w:ilvl w:val="0"/>
          <w:numId w:val="102"/>
        </w:numPr>
        <w:spacing w:line="276" w:lineRule="auto"/>
        <w:jc w:val="both"/>
        <w:rPr>
          <w:vertAlign w:val="superscript"/>
        </w:rPr>
      </w:pPr>
      <w:r w:rsidRPr="00D043A6">
        <w:t xml:space="preserve">izmaksu efektīvā veidā var renovēt 60-70% no Latvijas ēku sektora, dzīvojamo ēku sektorā tie būtu ap 25 </w:t>
      </w:r>
      <w:r>
        <w:t>000</w:t>
      </w:r>
      <w:r w:rsidRPr="00D043A6">
        <w:t xml:space="preserve"> daudzdzīvokļu māju kopplatībā 38 milj.m</w:t>
      </w:r>
      <w:r w:rsidRPr="003742E9">
        <w:rPr>
          <w:vertAlign w:val="superscript"/>
        </w:rPr>
        <w:t>2</w:t>
      </w:r>
      <w:r>
        <w:t>;</w:t>
      </w:r>
    </w:p>
    <w:p w:rsidR="009B0D76" w:rsidRPr="003742E9" w:rsidRDefault="009B0D76" w:rsidP="003F469F">
      <w:pPr>
        <w:pStyle w:val="ListParagraph"/>
        <w:numPr>
          <w:ilvl w:val="0"/>
          <w:numId w:val="102"/>
        </w:numPr>
        <w:spacing w:line="276" w:lineRule="auto"/>
        <w:jc w:val="both"/>
        <w:rPr>
          <w:vertAlign w:val="superscript"/>
        </w:rPr>
      </w:pPr>
      <w:r w:rsidRPr="00D043A6">
        <w:rPr>
          <w:color w:val="000000" w:themeColor="text1"/>
        </w:rPr>
        <w:t>pat bez valsts līdzfinansējuma energoefektivitātes uzlabošanas pasākumu veikšana dzīvokļu īpašniekiem ir finansiāli izdevīga</w:t>
      </w:r>
      <w:r>
        <w:rPr>
          <w:color w:val="000000" w:themeColor="text1"/>
        </w:rPr>
        <w:t>;</w:t>
      </w:r>
    </w:p>
    <w:p w:rsidR="009B0D76" w:rsidRPr="0064301D" w:rsidRDefault="009B0D76" w:rsidP="003F469F">
      <w:pPr>
        <w:pStyle w:val="ListParagraph"/>
        <w:numPr>
          <w:ilvl w:val="0"/>
          <w:numId w:val="102"/>
        </w:numPr>
        <w:spacing w:line="276" w:lineRule="auto"/>
        <w:jc w:val="both"/>
        <w:rPr>
          <w:vertAlign w:val="superscript"/>
        </w:rPr>
      </w:pPr>
      <w:r w:rsidRPr="00D043A6">
        <w:rPr>
          <w:color w:val="000000" w:themeColor="text1"/>
        </w:rPr>
        <w:t>brīvais tirgus nespēj nodrošināt dzīvojamo māju siltināšanu pietiekamā daudzumā</w:t>
      </w:r>
      <w:r>
        <w:rPr>
          <w:color w:val="000000" w:themeColor="text1"/>
        </w:rPr>
        <w:t xml:space="preserve">; </w:t>
      </w:r>
    </w:p>
    <w:p w:rsidR="009B0D76" w:rsidRPr="0064301D" w:rsidRDefault="009B0D76" w:rsidP="003F469F">
      <w:pPr>
        <w:pStyle w:val="ListParagraph"/>
        <w:numPr>
          <w:ilvl w:val="0"/>
          <w:numId w:val="102"/>
        </w:numPr>
        <w:spacing w:line="276" w:lineRule="auto"/>
        <w:jc w:val="both"/>
        <w:rPr>
          <w:vertAlign w:val="superscript"/>
        </w:rPr>
      </w:pPr>
      <w:r>
        <w:lastRenderedPageBreak/>
        <w:t>ē</w:t>
      </w:r>
      <w:r w:rsidRPr="00D043A6">
        <w:t>ku energoefektivitātes prasību izpildi optimālu izmaksu līmenī pamatā būtu jānodrošina tirgus instrumentiem, kas tikai pamatotos gadījumos varētu tikt sekmēta ar valsts atbalsta instrumentiem atsevišķos segmentos (piemēram, dzīvokļa īpašumos sadalītām da</w:t>
      </w:r>
      <w:r>
        <w:t>udzdzīvokļu dzīvojamām mājām);</w:t>
      </w:r>
    </w:p>
    <w:p w:rsidR="009B0D76" w:rsidRPr="003F06F0" w:rsidRDefault="009B0D76" w:rsidP="003F469F">
      <w:pPr>
        <w:pStyle w:val="ListParagraph"/>
        <w:numPr>
          <w:ilvl w:val="0"/>
          <w:numId w:val="102"/>
        </w:numPr>
        <w:spacing w:line="276" w:lineRule="auto"/>
        <w:jc w:val="both"/>
        <w:rPr>
          <w:vertAlign w:val="superscript"/>
        </w:rPr>
      </w:pPr>
      <w:r w:rsidRPr="00455048">
        <w:t>līdz 2020. gadam kā pamatresurss ēku energoefektivitātes uzlabošanai būtu jāizmanto ES fondu 2014. – 2020. g. plānošanas perioda finanšu resursi</w:t>
      </w:r>
      <w:r>
        <w:t>;</w:t>
      </w:r>
    </w:p>
    <w:p w:rsidR="009B0D76" w:rsidRPr="001E3C13" w:rsidRDefault="009B0D76" w:rsidP="003F469F">
      <w:pPr>
        <w:pStyle w:val="ListParagraph"/>
        <w:numPr>
          <w:ilvl w:val="0"/>
          <w:numId w:val="102"/>
        </w:numPr>
        <w:spacing w:line="276" w:lineRule="auto"/>
        <w:jc w:val="both"/>
        <w:rPr>
          <w:vertAlign w:val="superscript"/>
        </w:rPr>
      </w:pPr>
      <w:r>
        <w:t xml:space="preserve">balstoties uz </w:t>
      </w:r>
      <w:r w:rsidRPr="00162C80">
        <w:t>ES fondu 2007.-2013.</w:t>
      </w:r>
      <w:r w:rsidR="00DE1C08">
        <w:t xml:space="preserve"> </w:t>
      </w:r>
      <w:r w:rsidRPr="00162C80">
        <w:t xml:space="preserve">gada plānošanas perioda pieredzi </w:t>
      </w:r>
      <w:r w:rsidRPr="00D043A6">
        <w:t>ES fondu 3.4.4.1. aktivitāt</w:t>
      </w:r>
      <w:r>
        <w:t>es</w:t>
      </w:r>
      <w:r w:rsidRPr="00D043A6">
        <w:t xml:space="preserve"> „Daudzdzīvokļu māju siltumnoturības uzlabošanas pasākumi”</w:t>
      </w:r>
      <w:r>
        <w:t xml:space="preserve"> </w:t>
      </w:r>
      <w:r w:rsidRPr="00162C80">
        <w:t>īstenošanā</w:t>
      </w:r>
      <w:r>
        <w:t>, secināts, ka tika</w:t>
      </w:r>
      <w:r w:rsidRPr="001E3C13">
        <w:t xml:space="preserve"> </w:t>
      </w:r>
      <w:r>
        <w:t>“</w:t>
      </w:r>
      <w:r w:rsidRPr="001E3C13">
        <w:t>sasniegti būtiski enerģijas ietaupījumi, pastāv interese no daudzdzīvokļu māju dzīvokļu īpašnieku puses, tomēr trūkst energoefektivitātes  projekta vadības grupas, kas uzraudzītu projektu sagatavošanas, ieviešanas procesu, kā arī veiktu projekta pēcieviešanas uzraudzību  par sasniegtajiem enerģijas ietaupījumiem</w:t>
      </w:r>
      <w:r>
        <w:t>”;</w:t>
      </w:r>
    </w:p>
    <w:p w:rsidR="009B0D76" w:rsidRPr="001E3C13" w:rsidRDefault="009B0D76" w:rsidP="003F469F">
      <w:pPr>
        <w:pStyle w:val="ListParagraph"/>
        <w:numPr>
          <w:ilvl w:val="0"/>
          <w:numId w:val="102"/>
        </w:numPr>
        <w:spacing w:line="276" w:lineRule="auto"/>
        <w:jc w:val="both"/>
        <w:rPr>
          <w:vertAlign w:val="superscript"/>
        </w:rPr>
      </w:pPr>
      <w:r>
        <w:t xml:space="preserve">balstoties uz </w:t>
      </w:r>
      <w:r w:rsidRPr="00162C80">
        <w:t>ES fondu 2007.-2013.</w:t>
      </w:r>
      <w:r w:rsidR="00DE1C08">
        <w:t xml:space="preserve"> </w:t>
      </w:r>
      <w:r w:rsidRPr="00162C80">
        <w:t xml:space="preserve">gada plānošanas perioda pieredzi </w:t>
      </w:r>
      <w:r w:rsidRPr="00D043A6">
        <w:t>ES fondu 3.4.4.</w:t>
      </w:r>
      <w:r>
        <w:t>2</w:t>
      </w:r>
      <w:r w:rsidRPr="00D043A6">
        <w:t>. aktivitāt</w:t>
      </w:r>
      <w:r>
        <w:t>es īstenošanu, secināts, ka</w:t>
      </w:r>
      <w:r w:rsidRPr="00D043A6">
        <w:t xml:space="preserve"> </w:t>
      </w:r>
      <w:r w:rsidRPr="001E3C13">
        <w:t>“</w:t>
      </w:r>
      <w:r w:rsidRPr="001E3C13">
        <w:rPr>
          <w:color w:val="000000"/>
        </w:rPr>
        <w:t>veicot sociālo māju energoefektivitātes pasākumus, tai skaitā iekštelpu pielāgošanu personām ar kustību traucējumiem, tiek ieguldītas lielas investīcijas, kuru atmaksāšanās laiks ir nesamērīgi ilgs pret sasniegto siltumenerģijas ietaupījumu”</w:t>
      </w:r>
      <w:r>
        <w:rPr>
          <w:color w:val="000000"/>
        </w:rPr>
        <w:t>.</w:t>
      </w:r>
    </w:p>
    <w:p w:rsidR="009B0D76" w:rsidRDefault="009B0D76" w:rsidP="00922A20">
      <w:pPr>
        <w:rPr>
          <w:u w:val="single"/>
        </w:rPr>
      </w:pPr>
    </w:p>
    <w:p w:rsidR="009B0D76" w:rsidRPr="00D3739C" w:rsidRDefault="009B0D76" w:rsidP="00C33A64">
      <w:pPr>
        <w:pStyle w:val="pasvtrotais"/>
      </w:pPr>
      <w:bookmarkStart w:id="568" w:name="_Toc2761116"/>
      <w:bookmarkStart w:id="569" w:name="_Toc2848213"/>
      <w:bookmarkStart w:id="570" w:name="_Toc6219257"/>
      <w:bookmarkStart w:id="571" w:name="_Toc6220200"/>
      <w:bookmarkStart w:id="572" w:name="_Toc6841620"/>
      <w:r w:rsidRPr="00D3739C">
        <w:t>Nepieciešamie risinājumi, kas attiecas uz dzīvojamo fondu:</w:t>
      </w:r>
      <w:bookmarkEnd w:id="568"/>
      <w:bookmarkEnd w:id="569"/>
      <w:bookmarkEnd w:id="570"/>
      <w:bookmarkEnd w:id="571"/>
      <w:bookmarkEnd w:id="572"/>
    </w:p>
    <w:p w:rsidR="009B0D76" w:rsidRPr="003742E9" w:rsidRDefault="009B0D76" w:rsidP="003F469F">
      <w:pPr>
        <w:pStyle w:val="ListParagraph"/>
        <w:numPr>
          <w:ilvl w:val="0"/>
          <w:numId w:val="103"/>
        </w:numPr>
        <w:spacing w:line="276" w:lineRule="auto"/>
        <w:jc w:val="both"/>
        <w:rPr>
          <w:u w:val="single"/>
        </w:rPr>
      </w:pPr>
      <w:r w:rsidRPr="00D043A6">
        <w:t>lai sekmētu ēku energoefektivitātes uzlabošanu, nākamajā 2014. – 2020. gada ES fondu plānošanās periodā jāparedz finansējums ēku sektora energoefektivitātes pasākumiem, kas būtu izmantojami gan kopīpašumā esošām daudzdzīvokļu mājām, gan arī dažāda tipa privātīpašumā esošām ēkām</w:t>
      </w:r>
      <w:r>
        <w:t>;</w:t>
      </w:r>
    </w:p>
    <w:p w:rsidR="009B0D76" w:rsidRPr="002C67C4" w:rsidRDefault="009B0D76" w:rsidP="003F469F">
      <w:pPr>
        <w:pStyle w:val="ListParagraph"/>
        <w:numPr>
          <w:ilvl w:val="0"/>
          <w:numId w:val="103"/>
        </w:numPr>
        <w:spacing w:line="276" w:lineRule="auto"/>
        <w:jc w:val="both"/>
        <w:rPr>
          <w:u w:val="single"/>
        </w:rPr>
      </w:pPr>
      <w:r w:rsidRPr="0037214A">
        <w:t>ēku energoefektivitātes pasākumu īstenošanai jāveido ilgtspējīgs finansēšanas modelis (rotācijas fonds)</w:t>
      </w:r>
      <w:r>
        <w:t xml:space="preserve">, </w:t>
      </w:r>
      <w:r w:rsidRPr="0037214A">
        <w:t xml:space="preserve">attiecībā uz daudzdzīvokļu </w:t>
      </w:r>
      <w:r w:rsidRPr="00872818">
        <w:t>dzīvojamo māju sektor</w:t>
      </w:r>
      <w:r w:rsidR="00EC4311">
        <w:t>u</w:t>
      </w:r>
      <w:r w:rsidRPr="00872818">
        <w:t xml:space="preserve"> svarīgi, lai tiktu </w:t>
      </w:r>
      <w:r w:rsidRPr="0037214A">
        <w:t xml:space="preserve">nodrošināts vismaz tāds pats pieprasījums, kā </w:t>
      </w:r>
      <w:r>
        <w:t>līdz šim (2007.-2013.</w:t>
      </w:r>
      <w:r w:rsidR="00DE1C08">
        <w:t xml:space="preserve"> </w:t>
      </w:r>
      <w:r>
        <w:t>gada plānošanas periodā)</w:t>
      </w:r>
      <w:r w:rsidRPr="0037214A">
        <w:t xml:space="preserve"> īstenotajā </w:t>
      </w:r>
      <w:r w:rsidRPr="00D043A6">
        <w:t>ES fondu 3.4.4.1. aktivitāt</w:t>
      </w:r>
      <w:r>
        <w:t>ē</w:t>
      </w:r>
      <w:r w:rsidRPr="00D043A6">
        <w:t xml:space="preserve"> „Daudzdzīvokļu māju siltumnoturības uzlabošanas pasākumi”</w:t>
      </w:r>
      <w:r>
        <w:t>;</w:t>
      </w:r>
    </w:p>
    <w:p w:rsidR="009B0D76" w:rsidRPr="002C67C4" w:rsidRDefault="009B0D76" w:rsidP="003F469F">
      <w:pPr>
        <w:pStyle w:val="ListParagraph"/>
        <w:numPr>
          <w:ilvl w:val="0"/>
          <w:numId w:val="103"/>
        </w:numPr>
        <w:spacing w:line="276" w:lineRule="auto"/>
        <w:jc w:val="both"/>
        <w:rPr>
          <w:u w:val="single"/>
        </w:rPr>
      </w:pPr>
      <w:r w:rsidRPr="00D043A6">
        <w:t>jāizvērtē iespējas veikt uzlabojumus normatīv</w:t>
      </w:r>
      <w:r w:rsidR="00EC4311">
        <w:t>aj</w:t>
      </w:r>
      <w:r w:rsidRPr="00D043A6">
        <w:t>os aktos dzīvojamo māju pārvaldīšanas jomā, lai nodrošinātu efektīvāku dzīvojamo māju pārvaldīšanu un operatīvāku lēmumu pieņemšanu;</w:t>
      </w:r>
    </w:p>
    <w:p w:rsidR="009B0D76" w:rsidRPr="001E3C13" w:rsidRDefault="009B0D76" w:rsidP="003F469F">
      <w:pPr>
        <w:pStyle w:val="ListParagraph"/>
        <w:numPr>
          <w:ilvl w:val="0"/>
          <w:numId w:val="103"/>
        </w:numPr>
        <w:spacing w:line="276" w:lineRule="auto"/>
        <w:jc w:val="both"/>
        <w:rPr>
          <w:u w:val="single"/>
        </w:rPr>
      </w:pPr>
      <w:r w:rsidRPr="00D043A6">
        <w:t xml:space="preserve">lai sekmētu ēku renovāciju, </w:t>
      </w:r>
      <w:r w:rsidRPr="00AA5AE8">
        <w:t>pašvaldībām savos saistošajos noteikumos ir tiesības noteikt tādus nekustamā īpašuma nodokļa atvieglojumus vai piemērojamo likmi, kas palielinātu ēku īpašnieku interesi veikt ēkas energoefektivitātes uzlabošanas pasākumus</w:t>
      </w:r>
      <w:r>
        <w:t>;</w:t>
      </w:r>
    </w:p>
    <w:p w:rsidR="009B0D76" w:rsidRPr="001E3C13" w:rsidRDefault="009B0D76" w:rsidP="003F469F">
      <w:pPr>
        <w:pStyle w:val="ListParagraph"/>
        <w:numPr>
          <w:ilvl w:val="0"/>
          <w:numId w:val="103"/>
        </w:numPr>
        <w:spacing w:line="276" w:lineRule="auto"/>
        <w:jc w:val="both"/>
        <w:rPr>
          <w:u w:val="single"/>
        </w:rPr>
      </w:pPr>
      <w:r w:rsidRPr="001E3C13">
        <w:t xml:space="preserve">jāveicina </w:t>
      </w:r>
      <w:r w:rsidR="00EC4311">
        <w:t>e</w:t>
      </w:r>
      <w:r w:rsidRPr="001E3C13">
        <w:t>nergokonsultantu (juridiska persona, kura nodrošina daudzdzīvokļu māju energoefektivitātes projekta vadību) pakalpojuma veidošanās; e</w:t>
      </w:r>
      <w:r w:rsidRPr="001E3C13">
        <w:rPr>
          <w:bCs/>
        </w:rPr>
        <w:t>nergokonsultants atmaksā daudzdzīvokļu māju iedzīvotājiem radītos zaudējumus, ja pēc renovācijas projekta pabeigšanas netiek sasniegts noteiktais energotaupības līmenis;</w:t>
      </w:r>
    </w:p>
    <w:p w:rsidR="009B0D76" w:rsidRPr="001E3C13" w:rsidRDefault="009B0D76" w:rsidP="003F469F">
      <w:pPr>
        <w:pStyle w:val="ListParagraph"/>
        <w:numPr>
          <w:ilvl w:val="0"/>
          <w:numId w:val="103"/>
        </w:numPr>
        <w:spacing w:line="276" w:lineRule="auto"/>
        <w:jc w:val="both"/>
        <w:rPr>
          <w:u w:val="single"/>
        </w:rPr>
      </w:pPr>
      <w:r w:rsidRPr="001E3C13">
        <w:t>jāturpina  izglītot potenciālos projektu iesniedzējus un projektu īstenotājus informatīvās kampaņas „Dzīvot siltāk” ietvaros, tai skaitā organizējot izglītojošus seminārus un konferences energoefektivitātes jomā ne tikai daudzdzīvokļu māju sektorā, bet arī publiskajā sektorā;</w:t>
      </w:r>
    </w:p>
    <w:p w:rsidR="009B0D76" w:rsidRPr="0089717B" w:rsidRDefault="009B0D76" w:rsidP="003F469F">
      <w:pPr>
        <w:pStyle w:val="ListParagraph"/>
        <w:numPr>
          <w:ilvl w:val="0"/>
          <w:numId w:val="103"/>
        </w:numPr>
        <w:spacing w:line="276" w:lineRule="auto"/>
        <w:jc w:val="both"/>
        <w:rPr>
          <w:u w:val="single"/>
        </w:rPr>
      </w:pPr>
      <w:r w:rsidRPr="001E3C13">
        <w:lastRenderedPageBreak/>
        <w:t>jānodrošina metodiskie materiāli  par projekta sagatavošanas un ieviešanas jautājumiem, kā arī par ēkas ekspluatāciju pēc energoefektivitātes projekta pabeigšanas</w:t>
      </w:r>
      <w:r>
        <w:t>.</w:t>
      </w:r>
    </w:p>
    <w:p w:rsidR="009B0D76" w:rsidRDefault="009B0D76" w:rsidP="00922A20">
      <w:pPr>
        <w:rPr>
          <w:u w:val="single"/>
        </w:rPr>
      </w:pPr>
    </w:p>
    <w:p w:rsidR="009B0D76" w:rsidRDefault="009B0D76" w:rsidP="00922A20">
      <w:pPr>
        <w:pStyle w:val="Default"/>
        <w:spacing w:line="276" w:lineRule="auto"/>
        <w:jc w:val="both"/>
      </w:pPr>
      <w:r w:rsidRPr="009B243B">
        <w:rPr>
          <w:color w:val="auto"/>
        </w:rPr>
        <w:t xml:space="preserve">24.10.2017. Informatīvais ziņojums „Ēku atjaunošanas ilgtermiņa stratēģija” </w:t>
      </w:r>
      <w:r>
        <w:rPr>
          <w:color w:val="auto"/>
        </w:rPr>
        <w:t xml:space="preserve">(turpmāk – Stratēģija) </w:t>
      </w:r>
      <w:r w:rsidRPr="009B243B">
        <w:rPr>
          <w:color w:val="auto"/>
        </w:rPr>
        <w:t xml:space="preserve">tika izstrādāts, pamatojoties uz </w:t>
      </w:r>
      <w:r w:rsidRPr="009B243B">
        <w:rPr>
          <w:rFonts w:eastAsia="Calibri"/>
          <w:color w:val="auto"/>
          <w:lang w:eastAsia="lv-LV"/>
        </w:rPr>
        <w:t>Eiropas Parlamenta un Padomes direktīvas 2012/27/ES (25.10.2012.) prasību</w:t>
      </w:r>
      <w:r w:rsidRPr="008E4EB0">
        <w:rPr>
          <w:rFonts w:eastAsia="Calibri"/>
          <w:lang w:eastAsia="lv-LV"/>
        </w:rPr>
        <w:t xml:space="preserve"> Latvijai kā ES dalībvalstij </w:t>
      </w:r>
      <w:r>
        <w:rPr>
          <w:rFonts w:eastAsia="Calibri"/>
          <w:lang w:eastAsia="lv-LV"/>
        </w:rPr>
        <w:t>izstrādāt</w:t>
      </w:r>
      <w:r w:rsidRPr="008E4EB0">
        <w:rPr>
          <w:rFonts w:eastAsia="Calibri"/>
          <w:lang w:eastAsia="lv-LV"/>
        </w:rPr>
        <w:t xml:space="preserve"> </w:t>
      </w:r>
      <w:r>
        <w:rPr>
          <w:rFonts w:eastAsia="Calibri"/>
          <w:lang w:eastAsia="lv-LV"/>
        </w:rPr>
        <w:t>„</w:t>
      </w:r>
      <w:r w:rsidRPr="008E4EB0">
        <w:rPr>
          <w:rFonts w:eastAsia="Calibri"/>
          <w:lang w:eastAsia="lv-LV"/>
        </w:rPr>
        <w:t>ēku ilgtermiņa stratēģiju, lai mobilizētu ieguldījumus gan valsts, gan privāto dzīvojamo ēku un komercplatību fonda atjaunošanā</w:t>
      </w:r>
      <w:r>
        <w:rPr>
          <w:rFonts w:eastAsia="Calibri"/>
          <w:lang w:eastAsia="lv-LV"/>
        </w:rPr>
        <w:t>”</w:t>
      </w:r>
      <w:r>
        <w:rPr>
          <w:rStyle w:val="FootnoteReference"/>
          <w:rFonts w:eastAsia="Calibri"/>
          <w:lang w:eastAsia="lv-LV"/>
        </w:rPr>
        <w:footnoteReference w:id="272"/>
      </w:r>
      <w:r w:rsidRPr="008E4EB0">
        <w:rPr>
          <w:rFonts w:eastAsia="Calibri"/>
          <w:lang w:eastAsia="lv-LV"/>
        </w:rPr>
        <w:t>.</w:t>
      </w:r>
      <w:r>
        <w:rPr>
          <w:rFonts w:eastAsia="Calibri"/>
          <w:lang w:eastAsia="lv-LV"/>
        </w:rPr>
        <w:t xml:space="preserve"> Stratēģijā, cita starpā, </w:t>
      </w:r>
      <w:r>
        <w:t>ir apkopota arī aktuālā informācija par augstāk minētajiem, 2013.</w:t>
      </w:r>
      <w:r w:rsidR="00DE1C08">
        <w:t xml:space="preserve"> </w:t>
      </w:r>
      <w:r>
        <w:t xml:space="preserve">gadā identificētajiem, nepieciešamajiem risinājumiem saistībā ar dzīvojamo fondu. </w:t>
      </w:r>
    </w:p>
    <w:p w:rsidR="009B0D76" w:rsidRDefault="009B0D76" w:rsidP="00922A20">
      <w:pPr>
        <w:pStyle w:val="Default"/>
        <w:spacing w:line="276" w:lineRule="auto"/>
        <w:jc w:val="both"/>
      </w:pPr>
    </w:p>
    <w:p w:rsidR="009B0D76" w:rsidRDefault="009B0D76" w:rsidP="00922A20">
      <w:pPr>
        <w:pStyle w:val="Default"/>
        <w:spacing w:line="276" w:lineRule="auto"/>
        <w:jc w:val="both"/>
      </w:pPr>
      <w:r>
        <w:t xml:space="preserve">Pirmkārt, ir sniegta detalizēta analīze par ES fondu atbalstu ēku energoefektivitātes veicināšanai </w:t>
      </w:r>
      <w:r w:rsidRPr="00162C80">
        <w:t>ES fondu 2007.-2013.</w:t>
      </w:r>
      <w:r w:rsidR="00D54545">
        <w:t xml:space="preserve"> </w:t>
      </w:r>
      <w:r w:rsidRPr="00162C80">
        <w:t xml:space="preserve">gada </w:t>
      </w:r>
      <w:r>
        <w:t>un 2014.-2020.</w:t>
      </w:r>
      <w:r w:rsidR="00D54545">
        <w:t xml:space="preserve"> </w:t>
      </w:r>
      <w:r>
        <w:t xml:space="preserve">gada </w:t>
      </w:r>
      <w:r w:rsidRPr="00162C80">
        <w:t>plānošanas period</w:t>
      </w:r>
      <w:r>
        <w:t xml:space="preserve">os. </w:t>
      </w:r>
      <w:r w:rsidRPr="002E01E3">
        <w:rPr>
          <w:rFonts w:eastAsia="Calibri"/>
          <w:color w:val="auto"/>
          <w:lang w:eastAsia="lv-LV"/>
        </w:rPr>
        <w:t>Attiecībā uz nepieciešam</w:t>
      </w:r>
      <w:r>
        <w:rPr>
          <w:rFonts w:eastAsia="Calibri"/>
          <w:color w:val="auto"/>
          <w:lang w:eastAsia="lv-LV"/>
        </w:rPr>
        <w:t>ajiem</w:t>
      </w:r>
      <w:r w:rsidRPr="002E01E3">
        <w:rPr>
          <w:rFonts w:eastAsia="Calibri"/>
          <w:color w:val="auto"/>
          <w:lang w:eastAsia="lv-LV"/>
        </w:rPr>
        <w:t xml:space="preserve"> risinājum</w:t>
      </w:r>
      <w:r>
        <w:rPr>
          <w:rFonts w:eastAsia="Calibri"/>
          <w:color w:val="auto"/>
          <w:lang w:eastAsia="lv-LV"/>
        </w:rPr>
        <w:t xml:space="preserve">iem saistībā ar </w:t>
      </w:r>
      <w:r w:rsidRPr="00D043A6">
        <w:t>ēku energoefektivitātes uzlabošanu</w:t>
      </w:r>
      <w:r w:rsidRPr="002E01E3">
        <w:rPr>
          <w:rFonts w:eastAsia="Calibri"/>
          <w:color w:val="auto"/>
          <w:lang w:eastAsia="lv-LV"/>
        </w:rPr>
        <w:t xml:space="preserve">, </w:t>
      </w:r>
      <w:r>
        <w:rPr>
          <w:rFonts w:eastAsia="Calibri"/>
          <w:color w:val="auto"/>
          <w:lang w:eastAsia="lv-LV"/>
        </w:rPr>
        <w:t>norādāms</w:t>
      </w:r>
      <w:r w:rsidRPr="002E01E3">
        <w:rPr>
          <w:rFonts w:eastAsia="Calibri"/>
          <w:color w:val="auto"/>
          <w:lang w:eastAsia="lv-LV"/>
        </w:rPr>
        <w:t>, ka ES fondu plānošanas periodā 2014.-2020.</w:t>
      </w:r>
      <w:r w:rsidR="00D54545">
        <w:rPr>
          <w:rFonts w:eastAsia="Calibri"/>
          <w:color w:val="auto"/>
          <w:lang w:eastAsia="lv-LV"/>
        </w:rPr>
        <w:t xml:space="preserve"> </w:t>
      </w:r>
      <w:r w:rsidRPr="002E01E3">
        <w:rPr>
          <w:rFonts w:eastAsia="Calibri"/>
          <w:color w:val="auto"/>
          <w:lang w:eastAsia="lv-LV"/>
        </w:rPr>
        <w:t>gadam Darbības programmā „Izaugsme un nodarbinātība”</w:t>
      </w:r>
      <w:r w:rsidRPr="002E01E3">
        <w:rPr>
          <w:rStyle w:val="FootnoteReference"/>
          <w:rFonts w:eastAsia="Calibri"/>
          <w:color w:val="auto"/>
          <w:lang w:eastAsia="lv-LV"/>
        </w:rPr>
        <w:footnoteReference w:id="273"/>
      </w:r>
      <w:r w:rsidRPr="002E01E3">
        <w:rPr>
          <w:rFonts w:eastAsia="Calibri"/>
          <w:color w:val="auto"/>
          <w:lang w:eastAsia="lv-LV"/>
        </w:rPr>
        <w:t xml:space="preserve"> definētā 4.2.ieguldījumu prioritāte paredz atbalstīt energoefektivitāti, viedu energovadību un atjaunojamo energoresursu izmantošanu sabiedriskajā infrastruktūrā, tostarp sabiedriskajās ēkās un mājokļu sektorā. Specifiskā atbalsta mērķis (SAM) 4.2.1. ir veicināt energoefektivitātes paaugstināšanu valsts un dzīvojamās ēkās, kā rezultātā </w:t>
      </w:r>
      <w:r w:rsidRPr="002E01E3">
        <w:t xml:space="preserve">tiks uzlabota energoefektivitāte valsts un dzīvojamo ēku sektorā, samazinot siltumenerģijas patēriņu un nodrošinot energoresursu ilgtspējīgu izmantošanu. </w:t>
      </w:r>
      <w:r w:rsidRPr="002E01E3">
        <w:rPr>
          <w:rFonts w:eastAsia="Calibri"/>
          <w:color w:val="auto"/>
          <w:lang w:eastAsia="lv-LV"/>
        </w:rPr>
        <w:t xml:space="preserve">SAM 4.2.2. mērķis - </w:t>
      </w:r>
      <w:r w:rsidRPr="002E01E3">
        <w:rPr>
          <w:bCs/>
        </w:rPr>
        <w:t>atbilstoši pašvaldības integrētajām attīstības programmām sekmēt energoefektivitātes paaugstināšanu un AER (</w:t>
      </w:r>
      <w:r>
        <w:rPr>
          <w:bCs/>
        </w:rPr>
        <w:t>atjaunojamie</w:t>
      </w:r>
      <w:r w:rsidRPr="002E01E3">
        <w:rPr>
          <w:bCs/>
        </w:rPr>
        <w:t xml:space="preserve"> </w:t>
      </w:r>
      <w:r>
        <w:rPr>
          <w:bCs/>
        </w:rPr>
        <w:t>energo</w:t>
      </w:r>
      <w:r w:rsidRPr="002E01E3">
        <w:rPr>
          <w:bCs/>
        </w:rPr>
        <w:t xml:space="preserve">resursi) izmantošanu pašvaldību ēkās, kā rezultātā </w:t>
      </w:r>
      <w:r w:rsidRPr="002E01E3">
        <w:t>tiks samazināts siltumenerģijas patēriņš pašvaldību ēkās. SAM 4.2.1., 4.2.2. atbalstāmās indikatīvās darbības ir saistītas ar valsts, dzīvojamo ēku un pašvaldību ēku renovāciju energoefektivitātes paaugstināšanai, ēku energosertifikāciju un būvdarbiem energoefektivitātes palielināšanai. Kā būtiskākais atbalsta kritērijs ir noteikta „pozitīva investīciju finansiālā atdeve un enerģijas izmaksu samazinājums enerģijas galapatērētājiem”, kas šī Izvērtējuma kontekstā vērtējams kā netieša pozitīva ietekme uz nevienlīdzības mājokļa jomā mazināšanu, samazinot izmaksas par mājokli.</w:t>
      </w:r>
      <w:r>
        <w:t xml:space="preserve"> </w:t>
      </w:r>
    </w:p>
    <w:p w:rsidR="009B0D76" w:rsidRDefault="009B0D76" w:rsidP="00064C1E">
      <w:pPr>
        <w:pStyle w:val="Default"/>
        <w:spacing w:line="276" w:lineRule="auto"/>
        <w:jc w:val="both"/>
      </w:pPr>
    </w:p>
    <w:p w:rsidR="009B0D76" w:rsidRDefault="009B0D76" w:rsidP="00064C1E">
      <w:pPr>
        <w:rPr>
          <w:rStyle w:val="Strong"/>
          <w:b w:val="0"/>
        </w:rPr>
      </w:pPr>
      <w:r>
        <w:t xml:space="preserve">Otrkārt, ir apkopota informācija par notikušajiem sabiedrības informēšanas pasākumiem </w:t>
      </w:r>
      <w:r w:rsidRPr="001E3C13">
        <w:t>energoefektivitātes jomā</w:t>
      </w:r>
      <w:r>
        <w:t xml:space="preserve"> - </w:t>
      </w:r>
      <w:r w:rsidRPr="008E4EB0">
        <w:t>informatīvo kampaņu “Dzīvo siltāk!”</w:t>
      </w:r>
      <w:r>
        <w:t xml:space="preserve"> ar mērķi veicināt iedzīvotāju iesaistīšanos ES fondu atbalstītajās dzīvojamo māju siltināšanas aktivitātēs; </w:t>
      </w:r>
      <w:r w:rsidRPr="008E4EB0">
        <w:t>AS „Latvenergo” Energoefektivitātes centr</w:t>
      </w:r>
      <w:r>
        <w:t>a izveidi</w:t>
      </w:r>
      <w:r w:rsidRPr="008E4EB0">
        <w:t xml:space="preserve"> </w:t>
      </w:r>
      <w:r w:rsidRPr="008E4EB0">
        <w:rPr>
          <w:shd w:val="clear" w:color="auto" w:fill="FFFFFF"/>
        </w:rPr>
        <w:t>ar mērķi konsultēt elektroenerģijas lietotājus par iespējām drošāk un efektīvāk izmantot elektroenerģiju</w:t>
      </w:r>
      <w:r>
        <w:rPr>
          <w:shd w:val="clear" w:color="auto" w:fill="FFFFFF"/>
        </w:rPr>
        <w:t xml:space="preserve">; </w:t>
      </w:r>
      <w:r w:rsidRPr="008E4EB0">
        <w:t>Klimata pārmaiņu finanšu instrumenta konkurs</w:t>
      </w:r>
      <w:r>
        <w:t>u</w:t>
      </w:r>
      <w:r w:rsidRPr="008E4EB0">
        <w:t xml:space="preserve"> „Sabiedrības izpratnes attīstīšana par siltumnīcefekta gāzu emisiju samazināšanas nozīmi un iespējām”</w:t>
      </w:r>
      <w:r>
        <w:t>; 17.02.2017. notikušo</w:t>
      </w:r>
      <w:r w:rsidRPr="008E4EB0">
        <w:t xml:space="preserve"> konferenc</w:t>
      </w:r>
      <w:r>
        <w:t>i</w:t>
      </w:r>
      <w:r w:rsidRPr="008E4EB0">
        <w:t xml:space="preserve"> “Sabiedrības līdzdalība un iesaistīšanās – veiksmīgas Latvijas Ēku atjaunošanas</w:t>
      </w:r>
      <w:r>
        <w:t xml:space="preserve"> </w:t>
      </w:r>
      <w:r w:rsidRPr="008E4EB0">
        <w:t>ilgtermiņa stratēģijas pamats”</w:t>
      </w:r>
      <w:r>
        <w:t xml:space="preserve">, </w:t>
      </w:r>
      <w:r w:rsidRPr="008E4EB0">
        <w:t>kuras laikā</w:t>
      </w:r>
      <w:r w:rsidRPr="008E4EB0">
        <w:rPr>
          <w:rStyle w:val="apple-converted-space"/>
        </w:rPr>
        <w:t> </w:t>
      </w:r>
      <w:r w:rsidRPr="009B0D76">
        <w:rPr>
          <w:rStyle w:val="Strong"/>
          <w:b w:val="0"/>
        </w:rPr>
        <w:t>tika apstiprināta</w:t>
      </w:r>
      <w:r w:rsidRPr="009B0D76">
        <w:rPr>
          <w:rStyle w:val="apple-converted-space"/>
          <w:b/>
          <w:bCs/>
        </w:rPr>
        <w:t> </w:t>
      </w:r>
      <w:r w:rsidRPr="009B0D76">
        <w:rPr>
          <w:rStyle w:val="Strong"/>
          <w:b w:val="0"/>
        </w:rPr>
        <w:t>ES zinātniski pētnieciskās programmas "Apvārsnis-2020" projekta BUILD UPON ietvaros izstrādātā Deklarācija par Latvijas Ēku atjaunošanas ilgtermiņa stratēģijas 2014. – 2020.</w:t>
      </w:r>
      <w:r w:rsidR="00D54545">
        <w:rPr>
          <w:rStyle w:val="Strong"/>
          <w:b w:val="0"/>
        </w:rPr>
        <w:t xml:space="preserve"> </w:t>
      </w:r>
      <w:r w:rsidRPr="009B0D76">
        <w:rPr>
          <w:rStyle w:val="Strong"/>
          <w:b w:val="0"/>
        </w:rPr>
        <w:t>gadam pilnveidošanu. Šī deklarācija, kā norādīts Stratēģijā, ir vērsta uz to, lai „</w:t>
      </w:r>
      <w:r w:rsidRPr="009B0D76">
        <w:t xml:space="preserve">uzlabojot ēku stāvokli, energoefektivitāti un ilgtspējību, celtu </w:t>
      </w:r>
      <w:r w:rsidRPr="009B0D76">
        <w:lastRenderedPageBreak/>
        <w:t xml:space="preserve">sabiedrības pašapziņu un dzīves līmeni. [..] iedzīvotājiem būtu mazāki rēķini par apkuri, uzlabotos iekštelpu vides kvalitāte [..]”. Deklarācija </w:t>
      </w:r>
      <w:r w:rsidRPr="009B0D76">
        <w:rPr>
          <w:rStyle w:val="Strong"/>
          <w:b w:val="0"/>
        </w:rPr>
        <w:t>ietver divus Izvērtējuma kontekstā nozīmīgus mērķus: veicināt ēku atjaunošanu, nodrošinot</w:t>
      </w:r>
      <w:r w:rsidRPr="009B0D76">
        <w:rPr>
          <w:rStyle w:val="Strong"/>
        </w:rPr>
        <w:t xml:space="preserve"> </w:t>
      </w:r>
      <w:r w:rsidRPr="009B0D76">
        <w:t>kvalitatīvu</w:t>
      </w:r>
      <w:r w:rsidRPr="008E4EB0">
        <w:t xml:space="preserve"> Latvijas dzīvojamā</w:t>
      </w:r>
      <w:r w:rsidRPr="00691DF8">
        <w:t xml:space="preserve"> </w:t>
      </w:r>
      <w:r w:rsidRPr="008E4EB0">
        <w:t>fonda atjaunošanu</w:t>
      </w:r>
      <w:r>
        <w:t>, un v</w:t>
      </w:r>
      <w:r w:rsidRPr="008E4EB0">
        <w:t>eicināt Latvijas iedzīvotāju dzīves līmeņa celšanu, uzlabojot ēku kvalitāti un paaugstinot energoefektivitāti</w:t>
      </w:r>
      <w:r>
        <w:t xml:space="preserve">. </w:t>
      </w:r>
    </w:p>
    <w:p w:rsidR="009B0D76" w:rsidRDefault="009B0D76" w:rsidP="00064C1E">
      <w:r w:rsidRPr="00691DF8">
        <w:t>Treškārt, Stratēģijā analizēt</w:t>
      </w:r>
      <w:r w:rsidR="00EC4311">
        <w:t>a</w:t>
      </w:r>
      <w:r w:rsidRPr="00691DF8">
        <w:t xml:space="preserve"> ēku atjaunošanas ietekme uz mājokļa pieejamību no nekustamā īpašuma nodokļa politikas perspektīvas. Uzlabojot ēkas kvalitāti, pieaug tās kadastrālā vērtība un attiecīgi arī nekustamā īpašuma nodokļa likme. Vienlaikus likuma „Par nekustamā īpašuma nodokli” 5. panta trešajā līdz piektajā daļā noteikti nosacījumi, kādā pašvaldības ar saistošiem noteikumiem</w:t>
      </w:r>
      <w:r w:rsidRPr="008E4EB0">
        <w:t xml:space="preserve"> var noteikt atvieglojumus atsevišķām nekustamā īpašuma nodokļa maksātāju kategorijām.</w:t>
      </w:r>
      <w:r>
        <w:t xml:space="preserve"> </w:t>
      </w:r>
      <w:bookmarkStart w:id="573" w:name="_Toc531860062"/>
      <w:r w:rsidRPr="008E4EB0">
        <w:t xml:space="preserve">Atvieglojumus atsevišķām nekustamā īpašuma nodokļa maksātāju kategorijām pašvaldības var noteikt 90, 70, 50 vai 25 procentu apmērā no nekustamā īpašuma nodokļa summas. </w:t>
      </w:r>
      <w:r>
        <w:t>Stratēģijā skaidrots, ka „e</w:t>
      </w:r>
      <w:r w:rsidRPr="008E4EB0">
        <w:t>fektīva nekustamā īpašuma nodokļa politika varētu veicināt ēku rekonstrukciju un atjaunošanu</w:t>
      </w:r>
      <w:r>
        <w:t xml:space="preserve"> [..]. </w:t>
      </w:r>
      <w:r w:rsidRPr="008E4EB0">
        <w:t>Papildus jāņem vērā, ka pašvaldībām savos saistošajos noteikumos ir tiesības noteikt tādus nekustamā īpašuma nodokļa atvieglojumus vai piemērojamo likmi, kas palielinātu ēku īpašnieku interesi veikt energoefektivitātes pasākumus</w:t>
      </w:r>
      <w:r>
        <w:t>”</w:t>
      </w:r>
      <w:r w:rsidRPr="008E4EB0">
        <w:t>.</w:t>
      </w:r>
      <w:r>
        <w:t xml:space="preserve"> </w:t>
      </w:r>
    </w:p>
    <w:p w:rsidR="00EB097A" w:rsidRDefault="00EB097A" w:rsidP="00064C1E"/>
    <w:p w:rsidR="00EB097A" w:rsidRDefault="00EB097A" w:rsidP="00F0464F">
      <w:r w:rsidRPr="00F0464F">
        <w:rPr>
          <w:b/>
        </w:rPr>
        <w:t>Apkopojot politikas plānošanas dokumentu analīzes rezultātus mājokļu pieejamības jomā, tajos identificētas šādas problēmu grupas</w:t>
      </w:r>
      <w:r>
        <w:t>:</w:t>
      </w:r>
    </w:p>
    <w:p w:rsidR="00F0464F" w:rsidRPr="00F0464F" w:rsidRDefault="00F0464F" w:rsidP="003F469F">
      <w:pPr>
        <w:pStyle w:val="ListParagraph"/>
        <w:numPr>
          <w:ilvl w:val="0"/>
          <w:numId w:val="147"/>
        </w:numPr>
        <w:spacing w:line="276" w:lineRule="auto"/>
        <w:jc w:val="both"/>
        <w:rPr>
          <w:u w:val="single"/>
        </w:rPr>
      </w:pPr>
      <w:r>
        <w:t>pašvaldībām ir nepietiekams dzīvojamais fonds;</w:t>
      </w:r>
    </w:p>
    <w:p w:rsidR="00F0464F" w:rsidRPr="002716BC" w:rsidRDefault="00F0464F" w:rsidP="003F469F">
      <w:pPr>
        <w:pStyle w:val="ListParagraph"/>
        <w:numPr>
          <w:ilvl w:val="0"/>
          <w:numId w:val="147"/>
        </w:numPr>
        <w:spacing w:line="276" w:lineRule="auto"/>
        <w:jc w:val="both"/>
        <w:rPr>
          <w:u w:val="single"/>
        </w:rPr>
      </w:pPr>
      <w:r>
        <w:t>dzīvojamā fonda novecošanās, zema mājokļu siltumnoturība, energoefektivātes zudums;</w:t>
      </w:r>
    </w:p>
    <w:p w:rsidR="00F0464F" w:rsidRPr="00F0464F" w:rsidRDefault="00F0464F" w:rsidP="003F469F">
      <w:pPr>
        <w:pStyle w:val="ListParagraph"/>
        <w:numPr>
          <w:ilvl w:val="0"/>
          <w:numId w:val="147"/>
        </w:numPr>
        <w:spacing w:line="276" w:lineRule="auto"/>
        <w:jc w:val="both"/>
        <w:rPr>
          <w:u w:val="single"/>
        </w:rPr>
      </w:pPr>
      <w:r w:rsidRPr="00805F45">
        <w:t>valsts atbalst</w:t>
      </w:r>
      <w:r>
        <w:t>a trūkums</w:t>
      </w:r>
      <w:r w:rsidRPr="00805F45">
        <w:t xml:space="preserve"> pašvaldībām īres namu celtniecībai</w:t>
      </w:r>
      <w:r>
        <w:t>;</w:t>
      </w:r>
    </w:p>
    <w:p w:rsidR="00F0464F" w:rsidRPr="00805F45" w:rsidRDefault="00F0464F" w:rsidP="003F469F">
      <w:pPr>
        <w:pStyle w:val="ListParagraph"/>
        <w:numPr>
          <w:ilvl w:val="0"/>
          <w:numId w:val="147"/>
        </w:numPr>
        <w:spacing w:line="276" w:lineRule="auto"/>
        <w:jc w:val="both"/>
        <w:rPr>
          <w:u w:val="single"/>
        </w:rPr>
      </w:pPr>
      <w:r>
        <w:t xml:space="preserve">nesakārtotas mājokļu īres tirgus attiecības: īrnieku un izīrētāju tiesības un pienākumi; </w:t>
      </w:r>
    </w:p>
    <w:p w:rsidR="00F0464F" w:rsidRPr="00F0464F" w:rsidRDefault="00F0464F" w:rsidP="003F469F">
      <w:pPr>
        <w:pStyle w:val="ListParagraph"/>
        <w:numPr>
          <w:ilvl w:val="0"/>
          <w:numId w:val="147"/>
        </w:numPr>
        <w:spacing w:line="276" w:lineRule="auto"/>
        <w:jc w:val="both"/>
        <w:rPr>
          <w:u w:val="single"/>
        </w:rPr>
      </w:pPr>
      <w:r>
        <w:t>nav pietiekams uz ģimenēm ar bērniem tieši orientētu atbalsta pasākumu apjoms, īpaši gadījumos, kad ģimenei nav trūcīgās vai maznodrošinātās ģimenes statuss;</w:t>
      </w:r>
    </w:p>
    <w:p w:rsidR="00F0464F" w:rsidRPr="002716BC" w:rsidRDefault="00F0464F" w:rsidP="003F469F">
      <w:pPr>
        <w:pStyle w:val="ListParagraph"/>
        <w:numPr>
          <w:ilvl w:val="0"/>
          <w:numId w:val="147"/>
        </w:numPr>
        <w:spacing w:line="276" w:lineRule="auto"/>
        <w:jc w:val="both"/>
        <w:rPr>
          <w:u w:val="single"/>
        </w:rPr>
      </w:pPr>
      <w:r>
        <w:t>nav veicināta ilgtermiņa īres dzīvojamā fonda attīstība par samērīgu</w:t>
      </w:r>
      <w:r w:rsidR="00A175B3">
        <w:t>/ samazinātu</w:t>
      </w:r>
      <w:r>
        <w:t xml:space="preserve"> īres maksu;</w:t>
      </w:r>
    </w:p>
    <w:p w:rsidR="00F0464F" w:rsidRPr="00F953C9" w:rsidRDefault="00F0464F" w:rsidP="003F469F">
      <w:pPr>
        <w:pStyle w:val="ListParagraph"/>
        <w:numPr>
          <w:ilvl w:val="0"/>
          <w:numId w:val="147"/>
        </w:numPr>
        <w:spacing w:line="276" w:lineRule="auto"/>
        <w:jc w:val="both"/>
        <w:rPr>
          <w:u w:val="single"/>
        </w:rPr>
      </w:pPr>
      <w:r>
        <w:t>ierobežots atbalsts dzīvojamās vides pielāgošanai personām ar funkcionāliem traucējumiem;</w:t>
      </w:r>
    </w:p>
    <w:p w:rsidR="00F0464F" w:rsidRPr="00F953C9" w:rsidRDefault="00F0464F" w:rsidP="003F469F">
      <w:pPr>
        <w:pStyle w:val="ListParagraph"/>
        <w:numPr>
          <w:ilvl w:val="0"/>
          <w:numId w:val="147"/>
        </w:numPr>
        <w:spacing w:line="276" w:lineRule="auto"/>
        <w:jc w:val="both"/>
        <w:rPr>
          <w:u w:val="single"/>
        </w:rPr>
      </w:pPr>
      <w:r w:rsidRPr="00FA0F0C">
        <w:t>sociālo pakalpojumu klāsts būtiski atšķiras starp pašvaldībām</w:t>
      </w:r>
      <w:r w:rsidR="00A175B3">
        <w:t xml:space="preserve">, </w:t>
      </w:r>
      <w:r w:rsidR="00A175B3" w:rsidRPr="00A6529D">
        <w:rPr>
          <w:color w:val="000000"/>
        </w:rPr>
        <w:t>dažād</w:t>
      </w:r>
      <w:r w:rsidR="00A175B3">
        <w:rPr>
          <w:color w:val="000000"/>
        </w:rPr>
        <w:t>a</w:t>
      </w:r>
      <w:r w:rsidR="00A175B3" w:rsidRPr="00A6529D">
        <w:rPr>
          <w:color w:val="000000"/>
        </w:rPr>
        <w:t>s sociālās palīdzības (t.sk. dzīvokļa pabalsta noteikšanā) pieejas pašvaldībās</w:t>
      </w:r>
      <w:r>
        <w:t>;</w:t>
      </w:r>
    </w:p>
    <w:p w:rsidR="00F0464F" w:rsidRPr="00F953C9" w:rsidRDefault="00F0464F" w:rsidP="003F469F">
      <w:pPr>
        <w:pStyle w:val="ListParagraph"/>
        <w:numPr>
          <w:ilvl w:val="0"/>
          <w:numId w:val="147"/>
        </w:numPr>
        <w:spacing w:line="276" w:lineRule="auto"/>
        <w:jc w:val="both"/>
        <w:rPr>
          <w:u w:val="single"/>
        </w:rPr>
      </w:pPr>
      <w:r w:rsidRPr="00FA0F0C">
        <w:t>pilngadību sasniegušajiem bērniem pēc ārpusģimenes aprūpes beigšanās trūkst nepieciešamā atbalsta un nepieciešamo zināšanu un prasmju sekmīgai patstāvīgās dzīves uzsākšanai</w:t>
      </w:r>
      <w:r>
        <w:t>;</w:t>
      </w:r>
    </w:p>
    <w:p w:rsidR="00F0464F" w:rsidRPr="00F953C9" w:rsidRDefault="00F0464F" w:rsidP="003F469F">
      <w:pPr>
        <w:pStyle w:val="ListParagraph"/>
        <w:numPr>
          <w:ilvl w:val="0"/>
          <w:numId w:val="147"/>
        </w:numPr>
        <w:spacing w:line="276" w:lineRule="auto"/>
        <w:jc w:val="both"/>
        <w:rPr>
          <w:u w:val="single"/>
        </w:rPr>
      </w:pPr>
      <w:r w:rsidRPr="00FA0F0C">
        <w:t>pašvaldībām trūkst dzīvojamā fonda aprūpes institūcijām alternatīvu pakalpojumu attīstībai</w:t>
      </w:r>
      <w:r>
        <w:t>;</w:t>
      </w:r>
    </w:p>
    <w:p w:rsidR="00F0464F" w:rsidRPr="00F953C9" w:rsidRDefault="00F0464F" w:rsidP="003F469F">
      <w:pPr>
        <w:pStyle w:val="ListParagraph"/>
        <w:numPr>
          <w:ilvl w:val="0"/>
          <w:numId w:val="147"/>
        </w:numPr>
        <w:spacing w:line="276" w:lineRule="auto"/>
        <w:jc w:val="both"/>
        <w:rPr>
          <w:u w:val="single"/>
        </w:rPr>
      </w:pPr>
      <w:r>
        <w:t>cilvēku tirdzniecības upuriem nav izveidota speciāla programma, kurā būtu paredzēti papildu pakalpojumi, piemēram, valsts apmaksāta ilgtermiņa palīdzība mājokļa nodrošināšanai</w:t>
      </w:r>
      <w:r w:rsidR="00A175B3">
        <w:t>.</w:t>
      </w:r>
    </w:p>
    <w:p w:rsidR="00342636" w:rsidRDefault="00342636" w:rsidP="00F0464F">
      <w:pPr>
        <w:rPr>
          <w:b/>
        </w:rPr>
      </w:pPr>
    </w:p>
    <w:p w:rsidR="00F0464F" w:rsidRDefault="00F0464F" w:rsidP="00F0464F">
      <w:r w:rsidRPr="00A175B3">
        <w:rPr>
          <w:b/>
        </w:rPr>
        <w:t>Galvenās mērķa grupas, kurām ir nepieciešams atbalsts mājokļa pieejamībai un kuras atrodas nevienlīdzīgākā situācijā mājokļa pieejamības jomā</w:t>
      </w:r>
      <w:r>
        <w:t>:</w:t>
      </w:r>
    </w:p>
    <w:p w:rsidR="00F0464F" w:rsidRPr="00F953C9" w:rsidRDefault="00F0464F" w:rsidP="003F469F">
      <w:pPr>
        <w:pStyle w:val="ListParagraph"/>
        <w:numPr>
          <w:ilvl w:val="0"/>
          <w:numId w:val="148"/>
        </w:numPr>
        <w:spacing w:line="276" w:lineRule="auto"/>
        <w:rPr>
          <w:u w:val="single"/>
        </w:rPr>
      </w:pPr>
      <w:r>
        <w:t>ģimenes ar bērniem;</w:t>
      </w:r>
    </w:p>
    <w:p w:rsidR="00F0464F" w:rsidRPr="00F953C9" w:rsidRDefault="00F0464F" w:rsidP="003F469F">
      <w:pPr>
        <w:pStyle w:val="ListParagraph"/>
        <w:numPr>
          <w:ilvl w:val="0"/>
          <w:numId w:val="148"/>
        </w:numPr>
        <w:spacing w:line="276" w:lineRule="auto"/>
        <w:rPr>
          <w:u w:val="single"/>
        </w:rPr>
      </w:pPr>
      <w:r>
        <w:t>personas, t.sk. bērni, ar visa veida funkcionāl</w:t>
      </w:r>
      <w:r w:rsidR="00C548CE">
        <w:t>i</w:t>
      </w:r>
      <w:r>
        <w:t>em traucējumiem;</w:t>
      </w:r>
    </w:p>
    <w:p w:rsidR="00F0464F" w:rsidRPr="00F953C9" w:rsidRDefault="00F0464F" w:rsidP="003F469F">
      <w:pPr>
        <w:pStyle w:val="ListParagraph"/>
        <w:numPr>
          <w:ilvl w:val="0"/>
          <w:numId w:val="148"/>
        </w:numPr>
        <w:spacing w:line="276" w:lineRule="auto"/>
        <w:rPr>
          <w:u w:val="single"/>
        </w:rPr>
      </w:pPr>
      <w:r w:rsidRPr="00FA0F0C">
        <w:t>bāreņi un bez v</w:t>
      </w:r>
      <w:r>
        <w:t>ecāku aizgādības palikuši bērni;</w:t>
      </w:r>
      <w:r w:rsidRPr="00FA0F0C">
        <w:t xml:space="preserve"> </w:t>
      </w:r>
    </w:p>
    <w:p w:rsidR="00F0464F" w:rsidRPr="00F953C9" w:rsidRDefault="00F0464F" w:rsidP="003F469F">
      <w:pPr>
        <w:pStyle w:val="ListParagraph"/>
        <w:numPr>
          <w:ilvl w:val="0"/>
          <w:numId w:val="148"/>
        </w:numPr>
        <w:spacing w:line="276" w:lineRule="auto"/>
        <w:rPr>
          <w:u w:val="single"/>
        </w:rPr>
      </w:pPr>
      <w:r>
        <w:t>deinstitucionalizācijas klienti;</w:t>
      </w:r>
      <w:r w:rsidRPr="00FA0F0C">
        <w:t xml:space="preserve"> </w:t>
      </w:r>
    </w:p>
    <w:p w:rsidR="00F0464F" w:rsidRPr="00F953C9" w:rsidRDefault="00F0464F" w:rsidP="003F469F">
      <w:pPr>
        <w:pStyle w:val="ListParagraph"/>
        <w:numPr>
          <w:ilvl w:val="0"/>
          <w:numId w:val="148"/>
        </w:numPr>
        <w:spacing w:line="276" w:lineRule="auto"/>
        <w:rPr>
          <w:u w:val="single"/>
        </w:rPr>
      </w:pPr>
      <w:r w:rsidRPr="00FA0F0C">
        <w:t>pensijas vecuma personas</w:t>
      </w:r>
      <w:r>
        <w:t>;</w:t>
      </w:r>
    </w:p>
    <w:p w:rsidR="00F0464F" w:rsidRPr="00F0464F" w:rsidRDefault="00F0464F" w:rsidP="003F469F">
      <w:pPr>
        <w:pStyle w:val="ListParagraph"/>
        <w:numPr>
          <w:ilvl w:val="0"/>
          <w:numId w:val="148"/>
        </w:numPr>
        <w:spacing w:line="276" w:lineRule="auto"/>
        <w:rPr>
          <w:u w:val="single"/>
        </w:rPr>
      </w:pPr>
      <w:r>
        <w:t>cilvēktirdzniecības upuri.</w:t>
      </w:r>
    </w:p>
    <w:p w:rsidR="00F0464F" w:rsidRPr="002716BC" w:rsidRDefault="00F0464F" w:rsidP="00F0464F">
      <w:pPr>
        <w:pStyle w:val="ListParagraph"/>
        <w:rPr>
          <w:u w:val="single"/>
        </w:rPr>
      </w:pPr>
    </w:p>
    <w:p w:rsidR="009B0D76" w:rsidRDefault="009B0D76" w:rsidP="003945E0">
      <w:pPr>
        <w:pStyle w:val="Heading3"/>
      </w:pPr>
      <w:bookmarkStart w:id="574" w:name="_Toc6841621"/>
      <w:r>
        <w:lastRenderedPageBreak/>
        <w:t>Tiesiskā regulējuma raksturojums par valsts atbalstu mājokļa jautājumos un atbalsta saņēmēju grupām</w:t>
      </w:r>
      <w:bookmarkEnd w:id="574"/>
      <w:r>
        <w:t xml:space="preserve">  </w:t>
      </w:r>
    </w:p>
    <w:p w:rsidR="009B0D76" w:rsidRPr="00967077" w:rsidRDefault="007D6307" w:rsidP="00DA49DB">
      <w:bookmarkStart w:id="575" w:name="_Toc2761118"/>
      <w:bookmarkStart w:id="576" w:name="_Toc2848215"/>
      <w:bookmarkStart w:id="577" w:name="_Toc6219259"/>
      <w:bookmarkStart w:id="578" w:name="_Toc6220202"/>
      <w:r w:rsidRPr="007D6307">
        <w:t>3.1.1.</w:t>
      </w:r>
      <w:r w:rsidR="009B0D76" w:rsidRPr="007D6307">
        <w:t>sadaļā ir sniegts izvērsts nacionālā un starptautiskā līmeņa tiesību aktos un politikas plānošanas dokumentos balstīts pamatojums par mājokli kā vienu no cilvēka pamatvajadzībām un</w:t>
      </w:r>
      <w:r w:rsidR="009B0D76">
        <w:t xml:space="preserve"> pamattiesībām. Gadījumos, kad cilvēks pats nevar nodrošināt sevi ar pienācīgu mājokli, viņam ir tiesības saņemt valsts un pašvaldības atbalstu mājokļa jomā, ko Latvijā nosaka valsts un pašvaldību tiesiskais regulējums. Tā piemēram, 07.09.1995. l</w:t>
      </w:r>
      <w:r w:rsidR="009B0D76" w:rsidRPr="00967077">
        <w:t>ikuma „Par sociālo drošību”</w:t>
      </w:r>
      <w:r w:rsidR="009B0D76">
        <w:rPr>
          <w:rStyle w:val="FootnoteReference"/>
        </w:rPr>
        <w:footnoteReference w:id="274"/>
      </w:r>
      <w:r w:rsidR="009B0D76" w:rsidRPr="00967077">
        <w:t xml:space="preserve"> otrajā nodaļā „Sociālās tiesības” 9.</w:t>
      </w:r>
      <w:r w:rsidR="00D54545">
        <w:t xml:space="preserve"> </w:t>
      </w:r>
      <w:r w:rsidR="009B0D76" w:rsidRPr="00967077">
        <w:t>pantā „Pabalsts piemērota dzīvokļa nodrošināšanai” noteikts, ka „(k)atram ir tiesības uz pabalstu ar piemērota dzīvokļa nodrošināšanu saistīto izdevumu segšanai vai uz atvieglojumiem īres nomaksā saskaņā ar likumu</w:t>
      </w:r>
      <w:r w:rsidR="009B0D76">
        <w:t>”</w:t>
      </w:r>
      <w:r w:rsidR="009B0D76" w:rsidRPr="00967077">
        <w:t>.</w:t>
      </w:r>
      <w:bookmarkEnd w:id="575"/>
      <w:bookmarkEnd w:id="576"/>
      <w:bookmarkEnd w:id="577"/>
      <w:bookmarkEnd w:id="578"/>
    </w:p>
    <w:p w:rsidR="009B0D76" w:rsidRDefault="009B0D76" w:rsidP="00064C1E"/>
    <w:p w:rsidR="009B0D76" w:rsidRDefault="009B0D76" w:rsidP="00DA49DB">
      <w:bookmarkStart w:id="579" w:name="_Toc2761119"/>
      <w:bookmarkStart w:id="580" w:name="_Toc2848216"/>
      <w:bookmarkStart w:id="581" w:name="_Toc6219260"/>
      <w:bookmarkStart w:id="582" w:name="_Toc6220203"/>
      <w:r>
        <w:t>3.2.2.sadaļā ir aprakstīts nacionālā līmeņa tiesiskais regulējums saistībā ar valsts atbalstu mājokļa jomā. Apraksts ir veidots, aplūkojot galvenos TS 3.9.1.1.3. uzdevumam mājokļa jomā atbilstošos nacionālā līmeņa tiesību aktus – likumus un MK noteikumus, kas regulē mājokļa jomu un nosaka valsts atbalstu mājokļa jautājum</w:t>
      </w:r>
      <w:r w:rsidR="00974002">
        <w:t>os un atbalsta saņēmēju grupas.</w:t>
      </w:r>
      <w:r w:rsidR="00AE785F">
        <w:t xml:space="preserve"> Tie</w:t>
      </w:r>
      <w:r w:rsidR="00EC4311">
        <w:t>sību</w:t>
      </w:r>
      <w:r w:rsidR="00AE785F">
        <w:t xml:space="preserve"> akti ir sadalīti divās grupās:</w:t>
      </w:r>
      <w:bookmarkEnd w:id="579"/>
      <w:bookmarkEnd w:id="580"/>
      <w:bookmarkEnd w:id="581"/>
      <w:bookmarkEnd w:id="582"/>
    </w:p>
    <w:p w:rsidR="00974002" w:rsidRDefault="00974002" w:rsidP="00922A20"/>
    <w:p w:rsidR="00AE785F" w:rsidRPr="00EC4311" w:rsidRDefault="00AE785F" w:rsidP="003F469F">
      <w:pPr>
        <w:pStyle w:val="ListParagraph"/>
        <w:numPr>
          <w:ilvl w:val="0"/>
          <w:numId w:val="146"/>
        </w:numPr>
        <w:ind w:left="426" w:hanging="426"/>
        <w:rPr>
          <w:b/>
        </w:rPr>
      </w:pPr>
      <w:r w:rsidRPr="00EC4311">
        <w:rPr>
          <w:b/>
        </w:rPr>
        <w:t>Vispārīgie valsts un pašvaldības tiesības un pienākumus sniegt atbalstu un palīdzību, t.sk. mājokļa jomā, regulējošie normatīvie akti:</w:t>
      </w:r>
    </w:p>
    <w:p w:rsidR="00AE785F" w:rsidRPr="00EC4311" w:rsidRDefault="00EC4311" w:rsidP="003F469F">
      <w:pPr>
        <w:pStyle w:val="ListParagraph"/>
        <w:numPr>
          <w:ilvl w:val="0"/>
          <w:numId w:val="65"/>
        </w:numPr>
        <w:spacing w:line="276" w:lineRule="auto"/>
        <w:ind w:left="709" w:hanging="425"/>
        <w:jc w:val="both"/>
      </w:pPr>
      <w:r w:rsidRPr="00EC4311">
        <w:t>l</w:t>
      </w:r>
      <w:r w:rsidR="00AE785F" w:rsidRPr="00EC4311">
        <w:t>ikums „Par pašvaldībām”</w:t>
      </w:r>
      <w:r w:rsidRPr="00EC4311">
        <w:t>;</w:t>
      </w:r>
    </w:p>
    <w:p w:rsidR="00AE785F" w:rsidRPr="00EC4311" w:rsidRDefault="00EC4311" w:rsidP="003F469F">
      <w:pPr>
        <w:pStyle w:val="ListParagraph"/>
        <w:numPr>
          <w:ilvl w:val="0"/>
          <w:numId w:val="65"/>
        </w:numPr>
        <w:spacing w:line="276" w:lineRule="auto"/>
        <w:ind w:left="709" w:hanging="425"/>
        <w:jc w:val="both"/>
      </w:pPr>
      <w:r w:rsidRPr="00EC4311">
        <w:t>l</w:t>
      </w:r>
      <w:r w:rsidR="00AE785F" w:rsidRPr="00EC4311">
        <w:t>ikums „Par sociālo drošību”</w:t>
      </w:r>
      <w:r w:rsidRPr="00EC4311">
        <w:t>;</w:t>
      </w:r>
    </w:p>
    <w:p w:rsidR="00AE785F" w:rsidRPr="00EC4311" w:rsidRDefault="00AE785F" w:rsidP="003F469F">
      <w:pPr>
        <w:pStyle w:val="ListParagraph"/>
        <w:numPr>
          <w:ilvl w:val="0"/>
          <w:numId w:val="65"/>
        </w:numPr>
        <w:spacing w:line="276" w:lineRule="auto"/>
        <w:ind w:left="709" w:hanging="425"/>
        <w:jc w:val="both"/>
      </w:pPr>
      <w:r w:rsidRPr="00EC4311">
        <w:t>Sociālo pakalpojumu un sociālās palīdzības likums</w:t>
      </w:r>
      <w:r w:rsidR="00EC4311" w:rsidRPr="00EC4311">
        <w:t>;</w:t>
      </w:r>
    </w:p>
    <w:p w:rsidR="00AE785F" w:rsidRPr="00EC4311" w:rsidRDefault="00AE785F" w:rsidP="003F469F">
      <w:pPr>
        <w:pStyle w:val="ListParagraph"/>
        <w:numPr>
          <w:ilvl w:val="0"/>
          <w:numId w:val="65"/>
        </w:numPr>
        <w:spacing w:line="276" w:lineRule="auto"/>
        <w:ind w:left="709" w:hanging="425"/>
        <w:jc w:val="both"/>
        <w:rPr>
          <w:i/>
        </w:rPr>
      </w:pPr>
      <w:r w:rsidRPr="00EC4311">
        <w:t>Maksātnespējas likums</w:t>
      </w:r>
      <w:r w:rsidR="00EC4311" w:rsidRPr="00EC4311">
        <w:t>;</w:t>
      </w:r>
      <w:r w:rsidRPr="00EC4311">
        <w:t xml:space="preserve"> </w:t>
      </w:r>
    </w:p>
    <w:p w:rsidR="00EC4311" w:rsidRPr="00EC4311" w:rsidRDefault="00EC4311" w:rsidP="003F469F">
      <w:pPr>
        <w:pStyle w:val="ListParagraph"/>
        <w:numPr>
          <w:ilvl w:val="0"/>
          <w:numId w:val="65"/>
        </w:numPr>
        <w:spacing w:line="276" w:lineRule="auto"/>
        <w:ind w:left="709" w:hanging="425"/>
        <w:jc w:val="both"/>
        <w:rPr>
          <w:i/>
        </w:rPr>
      </w:pPr>
      <w:r w:rsidRPr="00EC4311">
        <w:t>likums “</w:t>
      </w:r>
      <w:r w:rsidR="00AE785F" w:rsidRPr="00EC4311">
        <w:t>Par nekustamā īpašuma nodokli</w:t>
      </w:r>
      <w:r w:rsidRPr="00EC4311">
        <w:t>”;</w:t>
      </w:r>
    </w:p>
    <w:p w:rsidR="00AE785F" w:rsidRPr="00EC4311" w:rsidRDefault="00AE785F" w:rsidP="003F469F">
      <w:pPr>
        <w:pStyle w:val="ListParagraph"/>
        <w:numPr>
          <w:ilvl w:val="0"/>
          <w:numId w:val="65"/>
        </w:numPr>
        <w:spacing w:line="276" w:lineRule="auto"/>
        <w:ind w:left="709" w:hanging="425"/>
        <w:jc w:val="both"/>
        <w:rPr>
          <w:i/>
        </w:rPr>
      </w:pPr>
      <w:r w:rsidRPr="00EC4311">
        <w:t>20.06.2006. MK noteikumi Nr. 495 „Likuma „Par nekustamā īpašuma nodokli” normu piemērošanas kārtība”</w:t>
      </w:r>
      <w:r w:rsidR="00EC4311" w:rsidRPr="00EC4311">
        <w:t>;</w:t>
      </w:r>
    </w:p>
    <w:p w:rsidR="00AE785F" w:rsidRPr="00EC4311" w:rsidRDefault="00AE785F" w:rsidP="003F469F">
      <w:pPr>
        <w:pStyle w:val="ListParagraph"/>
        <w:numPr>
          <w:ilvl w:val="0"/>
          <w:numId w:val="65"/>
        </w:numPr>
        <w:spacing w:line="276" w:lineRule="auto"/>
        <w:ind w:left="709" w:hanging="425"/>
        <w:jc w:val="both"/>
        <w:rPr>
          <w:i/>
        </w:rPr>
      </w:pPr>
      <w:r w:rsidRPr="00EC4311">
        <w:t>Elektroenerģijas tirgus likums</w:t>
      </w:r>
      <w:r w:rsidR="00EC4311" w:rsidRPr="00EC4311">
        <w:t>;</w:t>
      </w:r>
    </w:p>
    <w:p w:rsidR="00AE785F" w:rsidRPr="00EC4311" w:rsidRDefault="00AE785F" w:rsidP="003F469F">
      <w:pPr>
        <w:pStyle w:val="ListParagraph"/>
        <w:numPr>
          <w:ilvl w:val="0"/>
          <w:numId w:val="65"/>
        </w:numPr>
        <w:spacing w:line="276" w:lineRule="auto"/>
        <w:ind w:left="709" w:hanging="425"/>
        <w:jc w:val="both"/>
      </w:pPr>
      <w:r w:rsidRPr="00EC4311">
        <w:t>12.07.2016. MK noteikumi Nr. 459 „Aizsargātā lietotāja tirdzniecības pakalpojuma sniegšanas, obligātā iepirkuma komponentes un sadales sistēmas pakalpojuma kompensēšanas kārtība”</w:t>
      </w:r>
      <w:r w:rsidR="00EC4311" w:rsidRPr="00EC4311">
        <w:rPr>
          <w:rFonts w:ascii="Arial" w:hAnsi="Arial" w:cs="Arial"/>
          <w:b/>
          <w:bCs/>
          <w:shd w:val="clear" w:color="auto" w:fill="FFFFFF"/>
        </w:rPr>
        <w:t>.</w:t>
      </w:r>
    </w:p>
    <w:p w:rsidR="00342636" w:rsidRDefault="00342636" w:rsidP="00342636">
      <w:pPr>
        <w:pStyle w:val="ListParagraph"/>
        <w:ind w:left="426"/>
        <w:rPr>
          <w:b/>
        </w:rPr>
      </w:pPr>
    </w:p>
    <w:p w:rsidR="00AE785F" w:rsidRPr="00AE785F" w:rsidRDefault="00AE785F" w:rsidP="003F469F">
      <w:pPr>
        <w:pStyle w:val="ListParagraph"/>
        <w:numPr>
          <w:ilvl w:val="0"/>
          <w:numId w:val="146"/>
        </w:numPr>
        <w:ind w:left="426" w:hanging="426"/>
        <w:rPr>
          <w:b/>
        </w:rPr>
      </w:pPr>
      <w:r w:rsidRPr="00AE785F">
        <w:rPr>
          <w:b/>
        </w:rPr>
        <w:t>Specifiskie mājokļa jomu regulējošie normatīvi akti, kas vērsti uz mājokļa pieejamību:</w:t>
      </w:r>
    </w:p>
    <w:p w:rsidR="00AE785F" w:rsidRPr="007B7162" w:rsidRDefault="00EC4311" w:rsidP="003F469F">
      <w:pPr>
        <w:pStyle w:val="ListParagraph"/>
        <w:numPr>
          <w:ilvl w:val="0"/>
          <w:numId w:val="65"/>
        </w:numPr>
        <w:spacing w:line="276" w:lineRule="auto"/>
        <w:ind w:left="709" w:hanging="425"/>
        <w:jc w:val="both"/>
      </w:pPr>
      <w:r>
        <w:rPr>
          <w:color w:val="000000"/>
        </w:rPr>
        <w:t>l</w:t>
      </w:r>
      <w:r w:rsidR="00AE785F" w:rsidRPr="00F94579">
        <w:rPr>
          <w:color w:val="000000"/>
        </w:rPr>
        <w:t>ikums  „Par  palīdzību  dzīvokļa  jautājumu  risināšanā”</w:t>
      </w:r>
      <w:r>
        <w:rPr>
          <w:color w:val="000000"/>
        </w:rPr>
        <w:t>;</w:t>
      </w:r>
    </w:p>
    <w:p w:rsidR="00AE785F" w:rsidRPr="00C37339" w:rsidRDefault="00EC4311" w:rsidP="003F469F">
      <w:pPr>
        <w:pStyle w:val="ListParagraph"/>
        <w:numPr>
          <w:ilvl w:val="0"/>
          <w:numId w:val="65"/>
        </w:numPr>
        <w:shd w:val="clear" w:color="auto" w:fill="FFFFFF"/>
        <w:spacing w:line="276" w:lineRule="auto"/>
        <w:ind w:left="709" w:hanging="425"/>
        <w:jc w:val="both"/>
        <w:textAlignment w:val="baseline"/>
        <w:rPr>
          <w:color w:val="000000"/>
        </w:rPr>
      </w:pPr>
      <w:r>
        <w:t>l</w:t>
      </w:r>
      <w:r w:rsidR="00AE785F" w:rsidRPr="00E46054">
        <w:t xml:space="preserve">ikums </w:t>
      </w:r>
      <w:r w:rsidR="00AE785F" w:rsidRPr="00B905B7">
        <w:rPr>
          <w:iCs/>
        </w:rPr>
        <w:t>„</w:t>
      </w:r>
      <w:r w:rsidR="00AE785F" w:rsidRPr="00EF56E5">
        <w:rPr>
          <w:rFonts w:eastAsiaTheme="majorEastAsia"/>
          <w:iCs/>
        </w:rPr>
        <w:t>Par dzīvojamo telpu īri</w:t>
      </w:r>
      <w:r w:rsidR="00AE785F" w:rsidRPr="00C37339">
        <w:rPr>
          <w:iCs/>
        </w:rPr>
        <w:t>”</w:t>
      </w:r>
      <w:r>
        <w:rPr>
          <w:iCs/>
        </w:rPr>
        <w:t>;</w:t>
      </w:r>
    </w:p>
    <w:p w:rsidR="00AE785F" w:rsidRPr="00B905B7" w:rsidRDefault="00EC4311" w:rsidP="003F469F">
      <w:pPr>
        <w:pStyle w:val="ListParagraph"/>
        <w:numPr>
          <w:ilvl w:val="0"/>
          <w:numId w:val="65"/>
        </w:numPr>
        <w:shd w:val="clear" w:color="auto" w:fill="FFFFFF"/>
        <w:spacing w:line="276" w:lineRule="auto"/>
        <w:ind w:left="709" w:hanging="425"/>
        <w:jc w:val="both"/>
        <w:textAlignment w:val="baseline"/>
        <w:rPr>
          <w:color w:val="000000"/>
        </w:rPr>
      </w:pPr>
      <w:r>
        <w:rPr>
          <w:iCs/>
        </w:rPr>
        <w:t>l</w:t>
      </w:r>
      <w:r w:rsidR="00AE785F" w:rsidRPr="00C37339">
        <w:rPr>
          <w:iCs/>
        </w:rPr>
        <w:t>ikums „</w:t>
      </w:r>
      <w:r w:rsidR="00AE785F" w:rsidRPr="00EF56E5">
        <w:rPr>
          <w:rFonts w:eastAsiaTheme="majorEastAsia"/>
          <w:iCs/>
        </w:rPr>
        <w:t>Par sociālajiem dzīvokļiem un sociālajām dzīvojamām mājām</w:t>
      </w:r>
      <w:r w:rsidR="00AE785F">
        <w:rPr>
          <w:iCs/>
        </w:rPr>
        <w:t>”</w:t>
      </w:r>
      <w:r>
        <w:rPr>
          <w:iCs/>
        </w:rPr>
        <w:t>;</w:t>
      </w:r>
    </w:p>
    <w:p w:rsidR="00AE785F" w:rsidRDefault="00AE785F" w:rsidP="003F469F">
      <w:pPr>
        <w:pStyle w:val="ListParagraph"/>
        <w:numPr>
          <w:ilvl w:val="0"/>
          <w:numId w:val="65"/>
        </w:numPr>
        <w:spacing w:line="276" w:lineRule="auto"/>
        <w:ind w:left="709" w:hanging="425"/>
        <w:jc w:val="both"/>
      </w:pPr>
      <w:r w:rsidRPr="00B905B7">
        <w:t>Dzīvojamo māju pārvaldīšanas likums</w:t>
      </w:r>
      <w:r w:rsidR="00EC4311">
        <w:t>;</w:t>
      </w:r>
    </w:p>
    <w:p w:rsidR="00AE785F" w:rsidRPr="00EF56E5" w:rsidRDefault="00AE785F" w:rsidP="003F469F">
      <w:pPr>
        <w:pStyle w:val="ListParagraph"/>
        <w:numPr>
          <w:ilvl w:val="0"/>
          <w:numId w:val="65"/>
        </w:numPr>
        <w:spacing w:line="276" w:lineRule="auto"/>
        <w:ind w:left="709" w:hanging="425"/>
        <w:jc w:val="both"/>
        <w:rPr>
          <w:i/>
        </w:rPr>
      </w:pPr>
      <w:r w:rsidRPr="00EF56E5">
        <w:t>Dzīvokļa īpašuma likums</w:t>
      </w:r>
      <w:r w:rsidR="00EC4311">
        <w:t>;</w:t>
      </w:r>
    </w:p>
    <w:p w:rsidR="00AE785F" w:rsidRPr="003E254B" w:rsidRDefault="00EC4311" w:rsidP="003F469F">
      <w:pPr>
        <w:pStyle w:val="ListParagraph"/>
        <w:numPr>
          <w:ilvl w:val="0"/>
          <w:numId w:val="65"/>
        </w:numPr>
        <w:spacing w:line="276" w:lineRule="auto"/>
        <w:ind w:left="709" w:hanging="425"/>
        <w:jc w:val="both"/>
        <w:rPr>
          <w:i/>
        </w:rPr>
      </w:pPr>
      <w:r>
        <w:t>likums “</w:t>
      </w:r>
      <w:r w:rsidR="00AE785F" w:rsidRPr="00EF56E5">
        <w:t>Par valsts un pašvaldību dzīvojamo māju privatizāciju</w:t>
      </w:r>
      <w:r>
        <w:t>”;</w:t>
      </w:r>
    </w:p>
    <w:p w:rsidR="00AE785F" w:rsidRDefault="00AE785F" w:rsidP="003F469F">
      <w:pPr>
        <w:pStyle w:val="ListParagraph"/>
        <w:numPr>
          <w:ilvl w:val="0"/>
          <w:numId w:val="65"/>
        </w:numPr>
        <w:spacing w:line="276" w:lineRule="auto"/>
        <w:ind w:left="709" w:hanging="425"/>
        <w:jc w:val="both"/>
      </w:pPr>
      <w:r w:rsidRPr="00E473D5">
        <w:t>30.06.1998. MK noteikumi Nr. 233 „Noteikumi par dokumentiem, kas apliecina personas (ģimenes) tiesības īrēt sociālo dzīvokli, un dzīvokļa kopējās platības normām”</w:t>
      </w:r>
      <w:r w:rsidR="00EC4311">
        <w:t>;</w:t>
      </w:r>
    </w:p>
    <w:p w:rsidR="00AE785F" w:rsidRPr="00EF56E5" w:rsidRDefault="00AE785F" w:rsidP="003F469F">
      <w:pPr>
        <w:pStyle w:val="ListParagraph"/>
        <w:numPr>
          <w:ilvl w:val="0"/>
          <w:numId w:val="65"/>
        </w:numPr>
        <w:spacing w:line="276" w:lineRule="auto"/>
        <w:ind w:left="709" w:hanging="425"/>
        <w:jc w:val="both"/>
      </w:pPr>
      <w:r w:rsidRPr="00EF56E5">
        <w:t>20.02.2018. MK noteikumi Nr. 95 „Noteikumi par valsts palīdzību dzīvojamās telpas iegādei vai būvniecībai”</w:t>
      </w:r>
      <w:r w:rsidR="00EC4311">
        <w:t>;</w:t>
      </w:r>
    </w:p>
    <w:p w:rsidR="00AE785F" w:rsidRPr="00EF56E5" w:rsidRDefault="00AE785F" w:rsidP="003F469F">
      <w:pPr>
        <w:pStyle w:val="ListParagraph"/>
        <w:numPr>
          <w:ilvl w:val="0"/>
          <w:numId w:val="65"/>
        </w:numPr>
        <w:spacing w:line="276" w:lineRule="auto"/>
        <w:ind w:left="709" w:hanging="425"/>
        <w:jc w:val="both"/>
      </w:pPr>
      <w:r w:rsidRPr="003D0EE0">
        <w:rPr>
          <w:szCs w:val="28"/>
        </w:rPr>
        <w:lastRenderedPageBreak/>
        <w:t>23.12.2014. MK noteikumi Nr.790 „Sociālās rehabilitācijas pakalpojumu sniegšanas kārtība no vardarbības cietušām un vardarbību veikušām pilngadīgām personām”</w:t>
      </w:r>
      <w:r>
        <w:rPr>
          <w:szCs w:val="28"/>
        </w:rPr>
        <w:t xml:space="preserve"> (tiesību akts analizēts 3.2.4. sadaļā par mājokļa pieejamību specifiskām mērķa grupām)</w:t>
      </w:r>
      <w:r w:rsidR="00EC4311">
        <w:rPr>
          <w:szCs w:val="28"/>
        </w:rPr>
        <w:t>;</w:t>
      </w:r>
    </w:p>
    <w:p w:rsidR="00AE785F" w:rsidRPr="00EF56E5" w:rsidRDefault="00AE785F" w:rsidP="003F469F">
      <w:pPr>
        <w:pStyle w:val="ListParagraph"/>
        <w:numPr>
          <w:ilvl w:val="0"/>
          <w:numId w:val="65"/>
        </w:numPr>
        <w:spacing w:line="276" w:lineRule="auto"/>
        <w:ind w:left="709" w:hanging="425"/>
        <w:jc w:val="both"/>
      </w:pPr>
      <w:r w:rsidRPr="00EF56E5">
        <w:t>04.12.2007. MK noteikumi Nr. 849 “Noteikumi par dienas centru, grupu māju (dzīvokļu) un pusceļa māju izveidošanas un uzturēšanas izdevumu līdzfinansēšanu”</w:t>
      </w:r>
      <w:r w:rsidR="00EC4311">
        <w:t>;</w:t>
      </w:r>
    </w:p>
    <w:p w:rsidR="00AE785F" w:rsidRDefault="00AE785F" w:rsidP="003F469F">
      <w:pPr>
        <w:pStyle w:val="ListParagraph"/>
        <w:numPr>
          <w:ilvl w:val="0"/>
          <w:numId w:val="65"/>
        </w:numPr>
        <w:spacing w:line="276" w:lineRule="auto"/>
        <w:ind w:left="709" w:hanging="425"/>
        <w:jc w:val="both"/>
      </w:pPr>
      <w:r w:rsidRPr="00EF56E5">
        <w:t>25.03.2008. MK noteikumi Nr. 205 „Kārtība, kādā personai ir tiesības bez atlīdzības saņemt pašvaldības dzīvokli, ja personai personiskajā īpašumā bijusī māja nojaukta sakarā ar zemesgabala atņemšanu valsts vai sabiedriskajām vajadzībām un kā kompensācija par atsavināto īpašumu piešķirts dzīvoklis no valsts vai sabiedriskā dzīvokļu fonda”</w:t>
      </w:r>
      <w:r w:rsidR="00EC4311">
        <w:t>.</w:t>
      </w:r>
    </w:p>
    <w:p w:rsidR="009B0D76" w:rsidRDefault="009B0D76" w:rsidP="00064C1E"/>
    <w:p w:rsidR="009B0D76" w:rsidRDefault="009B0D76" w:rsidP="00922A20">
      <w:pPr>
        <w:shd w:val="clear" w:color="auto" w:fill="FFFFFF"/>
        <w:textAlignment w:val="baseline"/>
        <w:rPr>
          <w:rFonts w:eastAsia="Times New Roman"/>
          <w:color w:val="000000"/>
        </w:rPr>
      </w:pPr>
      <w:r>
        <w:t>Pašvaldību uzdevumu sniegt tās administratīvajā teritorijā dzīvojošajiem iedzīvotājiem palīdzību mājokļa jomā nosaka 19.05.1994. l</w:t>
      </w:r>
      <w:r w:rsidRPr="002A074C">
        <w:t>ikum</w:t>
      </w:r>
      <w:r>
        <w:t>s</w:t>
      </w:r>
      <w:r w:rsidRPr="002A074C">
        <w:t xml:space="preserve"> “Par pašvaldībām”</w:t>
      </w:r>
      <w:r>
        <w:rPr>
          <w:rStyle w:val="FootnoteReference"/>
        </w:rPr>
        <w:footnoteReference w:id="275"/>
      </w:r>
      <w:r>
        <w:t>, kura 15.panta 9.punktā</w:t>
      </w:r>
      <w:r w:rsidRPr="002A074C">
        <w:t xml:space="preserve"> noteikts, ka viena no pašvaldību autonomajām funkcijām ir „sniegt</w:t>
      </w:r>
      <w:r>
        <w:t xml:space="preserve"> palīdzību iedzīvotājiem dzīvokļa jautājumu risināšanā”. Likums nedefinē konkrētas atbalstāmās mērķa grupas. Nosacījumus, pēc kuriem pašvaldības ir tiesīgas noteikt </w:t>
      </w:r>
      <w:r w:rsidRPr="007078DB">
        <w:rPr>
          <w:rFonts w:eastAsia="Times New Roman"/>
          <w:color w:val="000000"/>
        </w:rPr>
        <w:t>to personu  loku, kuras ir tiesīgas saņemt palīdzību dzīvojamo telpu jautājumu risināšanā,  kā  arī  kārtību,  kādā  šī  palīdzība tiek sniegta</w:t>
      </w:r>
      <w:r>
        <w:t xml:space="preserve">, nosaka likums „Par </w:t>
      </w:r>
      <w:r w:rsidRPr="00F94579">
        <w:rPr>
          <w:color w:val="000000"/>
        </w:rPr>
        <w:t>palīdzību dzīvokļa  jautājumu  risināšanā</w:t>
      </w:r>
      <w:r>
        <w:rPr>
          <w:color w:val="000000"/>
        </w:rPr>
        <w:t>”</w:t>
      </w:r>
      <w:r>
        <w:rPr>
          <w:rStyle w:val="FootnoteReference"/>
          <w:color w:val="000000"/>
        </w:rPr>
        <w:footnoteReference w:id="276"/>
      </w:r>
      <w:r>
        <w:rPr>
          <w:color w:val="000000"/>
        </w:rPr>
        <w:t xml:space="preserve">. </w:t>
      </w:r>
      <w:r w:rsidRPr="007078DB">
        <w:rPr>
          <w:rFonts w:eastAsia="Times New Roman"/>
          <w:color w:val="000000"/>
        </w:rPr>
        <w:t xml:space="preserve">Šī likuma 3.pantā ir noteikti šādi </w:t>
      </w:r>
      <w:r>
        <w:rPr>
          <w:rFonts w:eastAsia="Times New Roman"/>
          <w:color w:val="000000"/>
        </w:rPr>
        <w:t>atbalsta</w:t>
      </w:r>
      <w:r w:rsidRPr="003B4311">
        <w:rPr>
          <w:rFonts w:eastAsia="Times New Roman"/>
          <w:color w:val="000000"/>
        </w:rPr>
        <w:t xml:space="preserve"> veidi</w:t>
      </w:r>
      <w:r w:rsidRPr="007078DB">
        <w:rPr>
          <w:rFonts w:eastAsia="Times New Roman"/>
          <w:color w:val="000000"/>
        </w:rPr>
        <w:t>:</w:t>
      </w:r>
    </w:p>
    <w:p w:rsidR="009B0D76" w:rsidRPr="007078DB" w:rsidRDefault="009B0D76" w:rsidP="003F469F">
      <w:pPr>
        <w:numPr>
          <w:ilvl w:val="0"/>
          <w:numId w:val="116"/>
        </w:numPr>
        <w:shd w:val="clear" w:color="auto" w:fill="FFFFFF"/>
        <w:ind w:left="0" w:firstLine="567"/>
        <w:textAlignment w:val="baseline"/>
        <w:rPr>
          <w:rFonts w:eastAsia="Times New Roman"/>
          <w:color w:val="000000"/>
        </w:rPr>
      </w:pPr>
      <w:r w:rsidRPr="007078DB">
        <w:rPr>
          <w:rFonts w:eastAsia="Times New Roman"/>
          <w:color w:val="000000"/>
        </w:rPr>
        <w:t>pašvaldībai piederošās vai tās nomātās dzīvojamās telpas izīrēšana;</w:t>
      </w:r>
    </w:p>
    <w:p w:rsidR="009B0D76" w:rsidRPr="007078DB" w:rsidRDefault="009B0D76" w:rsidP="003F469F">
      <w:pPr>
        <w:numPr>
          <w:ilvl w:val="0"/>
          <w:numId w:val="116"/>
        </w:numPr>
        <w:shd w:val="clear" w:color="auto" w:fill="FFFFFF"/>
        <w:ind w:left="0" w:firstLine="567"/>
        <w:textAlignment w:val="baseline"/>
        <w:rPr>
          <w:rFonts w:eastAsia="Times New Roman"/>
          <w:color w:val="000000"/>
        </w:rPr>
      </w:pPr>
      <w:r w:rsidRPr="007078DB">
        <w:rPr>
          <w:rFonts w:eastAsia="Times New Roman"/>
          <w:color w:val="000000"/>
        </w:rPr>
        <w:t>sociālā dzīvokļa izīrēšana;</w:t>
      </w:r>
    </w:p>
    <w:p w:rsidR="009B0D76" w:rsidRPr="007078DB" w:rsidRDefault="009B0D76" w:rsidP="003F469F">
      <w:pPr>
        <w:numPr>
          <w:ilvl w:val="0"/>
          <w:numId w:val="116"/>
        </w:numPr>
        <w:shd w:val="clear" w:color="auto" w:fill="FFFFFF"/>
        <w:ind w:left="0" w:firstLine="567"/>
        <w:textAlignment w:val="baseline"/>
        <w:rPr>
          <w:rFonts w:eastAsia="Times New Roman"/>
          <w:color w:val="000000"/>
        </w:rPr>
      </w:pPr>
      <w:r w:rsidRPr="007078DB">
        <w:rPr>
          <w:rFonts w:eastAsia="Times New Roman"/>
          <w:color w:val="000000"/>
        </w:rPr>
        <w:t>nodrošināšana ar pagaidu dzīvojamo telpu;</w:t>
      </w:r>
    </w:p>
    <w:p w:rsidR="009B0D76" w:rsidRPr="007078DB" w:rsidRDefault="009B0D76" w:rsidP="003F469F">
      <w:pPr>
        <w:numPr>
          <w:ilvl w:val="0"/>
          <w:numId w:val="116"/>
        </w:numPr>
        <w:shd w:val="clear" w:color="auto" w:fill="FFFFFF"/>
        <w:ind w:left="0" w:firstLine="567"/>
        <w:textAlignment w:val="baseline"/>
        <w:rPr>
          <w:rFonts w:eastAsia="Times New Roman"/>
          <w:color w:val="000000"/>
        </w:rPr>
      </w:pPr>
      <w:r w:rsidRPr="007078DB">
        <w:rPr>
          <w:rFonts w:eastAsia="Times New Roman"/>
          <w:color w:val="000000"/>
        </w:rPr>
        <w:t>palīdzība  īrētās  pašvaldībai  piederoš</w:t>
      </w:r>
      <w:r>
        <w:rPr>
          <w:rFonts w:eastAsia="Times New Roman"/>
          <w:color w:val="000000"/>
        </w:rPr>
        <w:t xml:space="preserve">ās  vai  tās nomātās dzīvojamās telpas  apmaiņā  pret citu </w:t>
      </w:r>
      <w:r w:rsidRPr="007078DB">
        <w:rPr>
          <w:rFonts w:eastAsia="Times New Roman"/>
          <w:color w:val="000000"/>
        </w:rPr>
        <w:t>īrējamu pašvaldībai piederošu vai tās nomātu</w:t>
      </w:r>
      <w:r>
        <w:rPr>
          <w:rFonts w:eastAsia="Times New Roman"/>
          <w:color w:val="000000"/>
        </w:rPr>
        <w:t xml:space="preserve"> </w:t>
      </w:r>
      <w:r w:rsidRPr="007078DB">
        <w:rPr>
          <w:rFonts w:eastAsia="Times New Roman"/>
          <w:color w:val="000000"/>
        </w:rPr>
        <w:t>dzīvojamo telpu;</w:t>
      </w:r>
    </w:p>
    <w:p w:rsidR="009B0D76" w:rsidRPr="007078DB" w:rsidRDefault="009B0D76" w:rsidP="003F469F">
      <w:pPr>
        <w:numPr>
          <w:ilvl w:val="0"/>
          <w:numId w:val="116"/>
        </w:numPr>
        <w:shd w:val="clear" w:color="auto" w:fill="FFFFFF"/>
        <w:ind w:left="0" w:firstLine="567"/>
        <w:textAlignment w:val="baseline"/>
        <w:rPr>
          <w:rFonts w:eastAsia="Times New Roman"/>
          <w:color w:val="000000"/>
        </w:rPr>
      </w:pPr>
      <w:r w:rsidRPr="007078DB">
        <w:rPr>
          <w:rFonts w:eastAsia="Times New Roman"/>
          <w:color w:val="000000"/>
        </w:rPr>
        <w:t>pabalsta piešķiršana dzīvojamās telpas īres vai pārvaldīšanas maksas un maksas  par  pakalpojumiem, kas saistīti ar dzīvojamās telpas lietošanu, segšanai;</w:t>
      </w:r>
    </w:p>
    <w:p w:rsidR="009B0D76" w:rsidRPr="007078DB" w:rsidRDefault="009B0D76" w:rsidP="003F469F">
      <w:pPr>
        <w:numPr>
          <w:ilvl w:val="0"/>
          <w:numId w:val="116"/>
        </w:numPr>
        <w:shd w:val="clear" w:color="auto" w:fill="FFFFFF"/>
        <w:ind w:left="0" w:firstLine="567"/>
        <w:textAlignment w:val="baseline"/>
        <w:rPr>
          <w:rFonts w:eastAsia="Times New Roman"/>
          <w:color w:val="000000"/>
        </w:rPr>
      </w:pPr>
      <w:r w:rsidRPr="007078DB">
        <w:rPr>
          <w:rFonts w:eastAsia="Times New Roman"/>
          <w:color w:val="000000"/>
        </w:rPr>
        <w:t>dzīvokļa pabalsta piešķiršana bērnam bārenim un bērnam, kurš palicis bez vecāku gādības;</w:t>
      </w:r>
    </w:p>
    <w:p w:rsidR="009B0D76" w:rsidRPr="007078DB" w:rsidRDefault="009B0D76" w:rsidP="003F469F">
      <w:pPr>
        <w:numPr>
          <w:ilvl w:val="0"/>
          <w:numId w:val="116"/>
        </w:numPr>
        <w:shd w:val="clear" w:color="auto" w:fill="FFFFFF"/>
        <w:ind w:left="0" w:firstLine="567"/>
        <w:textAlignment w:val="baseline"/>
        <w:rPr>
          <w:rFonts w:eastAsia="Times New Roman"/>
          <w:color w:val="000000"/>
        </w:rPr>
      </w:pPr>
      <w:r w:rsidRPr="007078DB">
        <w:rPr>
          <w:rFonts w:eastAsia="Times New Roman"/>
          <w:color w:val="000000"/>
        </w:rPr>
        <w:t>vienreizēja pabalsta piešķiršana dzīvojamās telpas vai dzīvojamās mājas remontam;</w:t>
      </w:r>
    </w:p>
    <w:p w:rsidR="009B0D76" w:rsidRPr="007078DB" w:rsidRDefault="009B0D76" w:rsidP="003F469F">
      <w:pPr>
        <w:numPr>
          <w:ilvl w:val="0"/>
          <w:numId w:val="116"/>
        </w:numPr>
        <w:shd w:val="clear" w:color="auto" w:fill="FFFFFF"/>
        <w:ind w:left="0" w:firstLine="567"/>
        <w:textAlignment w:val="baseline"/>
        <w:rPr>
          <w:rFonts w:eastAsia="Times New Roman"/>
          <w:color w:val="000000"/>
        </w:rPr>
      </w:pPr>
      <w:r w:rsidRPr="007078DB">
        <w:rPr>
          <w:rFonts w:eastAsia="Times New Roman"/>
          <w:color w:val="000000"/>
        </w:rPr>
        <w:t>vienreizēja dzīvojamās telpas atbrīvošanas pabalsta piešķiršana;</w:t>
      </w:r>
    </w:p>
    <w:p w:rsidR="009B0D76" w:rsidRPr="007078DB" w:rsidRDefault="009B0D76" w:rsidP="003F469F">
      <w:pPr>
        <w:numPr>
          <w:ilvl w:val="0"/>
          <w:numId w:val="116"/>
        </w:numPr>
        <w:shd w:val="clear" w:color="auto" w:fill="FFFFFF"/>
        <w:ind w:left="0" w:firstLine="567"/>
        <w:textAlignment w:val="baseline"/>
        <w:rPr>
          <w:rFonts w:eastAsia="Times New Roman"/>
          <w:color w:val="000000"/>
        </w:rPr>
      </w:pPr>
      <w:r w:rsidRPr="007078DB">
        <w:rPr>
          <w:rFonts w:eastAsia="Times New Roman"/>
          <w:color w:val="000000"/>
        </w:rPr>
        <w:t>dzīvojamās telpas remonts;</w:t>
      </w:r>
    </w:p>
    <w:p w:rsidR="009B0D76" w:rsidRPr="007078DB" w:rsidRDefault="009B0D76" w:rsidP="003F469F">
      <w:pPr>
        <w:numPr>
          <w:ilvl w:val="0"/>
          <w:numId w:val="116"/>
        </w:numPr>
        <w:shd w:val="clear" w:color="auto" w:fill="FFFFFF"/>
        <w:ind w:left="0" w:firstLine="567"/>
        <w:textAlignment w:val="baseline"/>
        <w:rPr>
          <w:rFonts w:eastAsia="Times New Roman"/>
          <w:color w:val="000000"/>
        </w:rPr>
      </w:pPr>
      <w:r w:rsidRPr="007078DB">
        <w:rPr>
          <w:rFonts w:eastAsia="Times New Roman"/>
          <w:color w:val="000000"/>
        </w:rPr>
        <w:t>palīdzība dzīvojamās telpas iegādei vai būvniecībai;</w:t>
      </w:r>
    </w:p>
    <w:p w:rsidR="009B0D76" w:rsidRDefault="009B0D76" w:rsidP="003F469F">
      <w:pPr>
        <w:numPr>
          <w:ilvl w:val="0"/>
          <w:numId w:val="116"/>
        </w:numPr>
        <w:shd w:val="clear" w:color="auto" w:fill="FFFFFF"/>
        <w:ind w:left="0" w:firstLine="567"/>
        <w:textAlignment w:val="baseline"/>
        <w:rPr>
          <w:rFonts w:eastAsia="Times New Roman"/>
          <w:color w:val="000000"/>
        </w:rPr>
      </w:pPr>
      <w:r w:rsidRPr="007078DB">
        <w:rPr>
          <w:rFonts w:eastAsia="Times New Roman"/>
          <w:color w:val="000000"/>
        </w:rPr>
        <w:t>palīdzība dzīvojamās mājas renovācijai un restaurācijai;</w:t>
      </w:r>
    </w:p>
    <w:p w:rsidR="009B0D76" w:rsidRDefault="009B0D76" w:rsidP="003F469F">
      <w:pPr>
        <w:numPr>
          <w:ilvl w:val="0"/>
          <w:numId w:val="116"/>
        </w:numPr>
        <w:shd w:val="clear" w:color="auto" w:fill="FFFFFF"/>
        <w:ind w:left="0" w:firstLine="567"/>
        <w:textAlignment w:val="baseline"/>
      </w:pPr>
      <w:r w:rsidRPr="00F47A7B">
        <w:rPr>
          <w:rFonts w:eastAsia="Times New Roman"/>
          <w:color w:val="000000"/>
        </w:rPr>
        <w:t>palīdzība speciālista nodrošināšanai ar dzīvojamo telpu.</w:t>
      </w:r>
    </w:p>
    <w:p w:rsidR="009B0D76" w:rsidRDefault="009B0D76" w:rsidP="00922A20"/>
    <w:p w:rsidR="009B0D76" w:rsidRDefault="009B0D76" w:rsidP="00922A20">
      <w:r>
        <w:t xml:space="preserve">Konkrētie palīdzības veidi – atvieglojumi, to mērķa grupas un piešķiršanas kārtība ir atrunāta pašvaldību saistošajos noteikumos (sk. 3.2.3. sadaļu, kurā, balstoties uz 119 pašvaldību saistošo noteikumu izpētes rezultātiem, ir sniegts apkopojums par atbalstāmajām mērķa grupām un atbalsta veidiem, kā arī </w:t>
      </w:r>
      <w:r w:rsidR="00A65EC3">
        <w:t>12</w:t>
      </w:r>
      <w:r>
        <w:t xml:space="preserve">. pielikumu). </w:t>
      </w:r>
    </w:p>
    <w:p w:rsidR="004821D5" w:rsidRDefault="004821D5" w:rsidP="00922A20"/>
    <w:p w:rsidR="004821D5" w:rsidRDefault="004821D5" w:rsidP="00922A20">
      <w:r>
        <w:t xml:space="preserve">Likuma </w:t>
      </w:r>
      <w:r w:rsidRPr="007F48F9">
        <w:t>„Par palīdzību dzīvokļa jautājumu risināšanā”</w:t>
      </w:r>
      <w:r>
        <w:t xml:space="preserve"> 14.</w:t>
      </w:r>
      <w:r w:rsidR="00D54545">
        <w:t xml:space="preserve"> </w:t>
      </w:r>
      <w:r>
        <w:t xml:space="preserve">pants nosaka </w:t>
      </w:r>
      <w:r w:rsidRPr="004821D5">
        <w:rPr>
          <w:b/>
        </w:rPr>
        <w:t>prioritārās atbalsta saņēmēju grupas</w:t>
      </w:r>
      <w:r>
        <w:t xml:space="preserve"> mājokļa jomā:</w:t>
      </w:r>
    </w:p>
    <w:p w:rsidR="004821D5" w:rsidRPr="004821D5" w:rsidRDefault="004821D5" w:rsidP="003F469F">
      <w:pPr>
        <w:pStyle w:val="ListParagraph"/>
        <w:numPr>
          <w:ilvl w:val="0"/>
          <w:numId w:val="153"/>
        </w:numPr>
        <w:spacing w:line="276" w:lineRule="auto"/>
        <w:ind w:left="714" w:hanging="357"/>
        <w:rPr>
          <w:rFonts w:eastAsia="Calibri"/>
        </w:rPr>
      </w:pPr>
      <w:r w:rsidRPr="004821D5">
        <w:rPr>
          <w:rFonts w:eastAsia="Calibri"/>
        </w:rPr>
        <w:t>bez vecāku gādības palikuši bērni — pēc tam, kad bērns sasniedzis pilngadību un beigusies viņa ārpusģimenes aprūpe;</w:t>
      </w:r>
    </w:p>
    <w:p w:rsidR="004821D5" w:rsidRPr="004821D5" w:rsidRDefault="00B54BBD" w:rsidP="003F469F">
      <w:pPr>
        <w:pStyle w:val="ListParagraph"/>
        <w:numPr>
          <w:ilvl w:val="0"/>
          <w:numId w:val="153"/>
        </w:numPr>
        <w:spacing w:line="276" w:lineRule="auto"/>
        <w:ind w:left="714" w:hanging="357"/>
        <w:jc w:val="both"/>
        <w:rPr>
          <w:rFonts w:eastAsia="Calibri"/>
        </w:rPr>
      </w:pPr>
      <w:r>
        <w:rPr>
          <w:rFonts w:eastAsia="Calibri"/>
        </w:rPr>
        <w:lastRenderedPageBreak/>
        <w:t>r</w:t>
      </w:r>
      <w:r w:rsidR="004821D5" w:rsidRPr="004821D5">
        <w:rPr>
          <w:rFonts w:eastAsia="Calibri"/>
        </w:rPr>
        <w:t>epatrianti, kuri izceļojuši no Latvijas laikā līdz 1990.</w:t>
      </w:r>
      <w:r w:rsidR="00DE1C08">
        <w:rPr>
          <w:rFonts w:eastAsia="Calibri"/>
        </w:rPr>
        <w:t xml:space="preserve"> </w:t>
      </w:r>
      <w:r w:rsidR="004821D5" w:rsidRPr="004821D5">
        <w:rPr>
          <w:rFonts w:eastAsia="Calibri"/>
        </w:rPr>
        <w:t>gada 4.maijam un kuriem nav iespējams likumā noteiktajā kārtībā iemitināties pirms izceļošanas no Latvijas aizņemtajā dzīvojamā telpā, vai repatrianti, kuri dzimuši ārvalstīs vai izceļojuši no Latvijas pēc 1990.</w:t>
      </w:r>
      <w:r w:rsidR="00DE1C08">
        <w:rPr>
          <w:rFonts w:eastAsia="Calibri"/>
        </w:rPr>
        <w:t xml:space="preserve"> </w:t>
      </w:r>
      <w:r w:rsidR="004821D5" w:rsidRPr="004821D5">
        <w:rPr>
          <w:rFonts w:eastAsia="Calibri"/>
        </w:rPr>
        <w:t>gada 4.maija un izceļošanas brīdī bijuši nepilngadīgi;</w:t>
      </w:r>
    </w:p>
    <w:p w:rsidR="004821D5" w:rsidRPr="004821D5" w:rsidRDefault="004821D5" w:rsidP="003F469F">
      <w:pPr>
        <w:pStyle w:val="ListParagraph"/>
        <w:numPr>
          <w:ilvl w:val="0"/>
          <w:numId w:val="153"/>
        </w:numPr>
        <w:spacing w:line="276" w:lineRule="auto"/>
        <w:ind w:left="714" w:hanging="357"/>
        <w:rPr>
          <w:rFonts w:eastAsia="Calibri"/>
        </w:rPr>
      </w:pPr>
      <w:r w:rsidRPr="004821D5">
        <w:rPr>
          <w:rFonts w:eastAsia="Calibri"/>
        </w:rPr>
        <w:t>maznodrošinātas politiski represētās personas;</w:t>
      </w:r>
    </w:p>
    <w:p w:rsidR="004821D5" w:rsidRPr="004821D5" w:rsidRDefault="004821D5" w:rsidP="003F469F">
      <w:pPr>
        <w:pStyle w:val="ListParagraph"/>
        <w:numPr>
          <w:ilvl w:val="0"/>
          <w:numId w:val="153"/>
        </w:numPr>
        <w:spacing w:line="276" w:lineRule="auto"/>
        <w:ind w:left="714" w:hanging="357"/>
        <w:rPr>
          <w:rFonts w:eastAsia="Calibri"/>
        </w:rPr>
      </w:pPr>
      <w:r w:rsidRPr="004821D5">
        <w:rPr>
          <w:rFonts w:eastAsia="Calibri"/>
        </w:rPr>
        <w:t>maznodrošinātas personas, kuras pēc soda izciešanas atbrīvotas no ieslodzījuma vietas;</w:t>
      </w:r>
    </w:p>
    <w:p w:rsidR="004821D5" w:rsidRPr="004821D5" w:rsidRDefault="004821D5" w:rsidP="003F469F">
      <w:pPr>
        <w:pStyle w:val="ListParagraph"/>
        <w:numPr>
          <w:ilvl w:val="0"/>
          <w:numId w:val="153"/>
        </w:numPr>
        <w:spacing w:line="276" w:lineRule="auto"/>
        <w:ind w:left="714" w:hanging="357"/>
        <w:rPr>
          <w:rFonts w:eastAsia="Calibri"/>
        </w:rPr>
      </w:pPr>
      <w:r w:rsidRPr="004821D5">
        <w:rPr>
          <w:rFonts w:eastAsia="Calibri"/>
        </w:rPr>
        <w:t>attiecīgās pašvaldības domes noteiktas citas maznodrošinātu personu kategorijas.</w:t>
      </w:r>
    </w:p>
    <w:p w:rsidR="009B0D76" w:rsidRDefault="004821D5" w:rsidP="004821D5">
      <w:pPr>
        <w:rPr>
          <w:lang w:eastAsia="en-US"/>
        </w:rPr>
      </w:pPr>
      <w:r>
        <w:t xml:space="preserve">Šī paša likuma </w:t>
      </w:r>
      <w:r w:rsidR="009B0D76" w:rsidRPr="00F141BA">
        <w:rPr>
          <w:lang w:eastAsia="en-US"/>
        </w:rPr>
        <w:t>27.</w:t>
      </w:r>
      <w:r w:rsidR="009B0D76" w:rsidRPr="00F141BA">
        <w:rPr>
          <w:vertAlign w:val="superscript"/>
          <w:lang w:eastAsia="en-US"/>
        </w:rPr>
        <w:t>1</w:t>
      </w:r>
      <w:r w:rsidR="009B0D76" w:rsidRPr="00F141BA">
        <w:rPr>
          <w:lang w:eastAsia="en-US"/>
        </w:rPr>
        <w:t> pantā</w:t>
      </w:r>
      <w:r w:rsidR="009B0D76">
        <w:t xml:space="preserve"> noteiktas mērķa grupas (atbalsta grupas), kuras var saņemt </w:t>
      </w:r>
      <w:r w:rsidR="009B0D76" w:rsidRPr="009F468A">
        <w:rPr>
          <w:lang w:eastAsia="en-US"/>
        </w:rPr>
        <w:t>valsts palīdzību, d</w:t>
      </w:r>
      <w:r w:rsidR="009B0D76" w:rsidRPr="009F468A">
        <w:rPr>
          <w:shd w:val="clear" w:color="auto" w:fill="FFFFFF"/>
          <w:lang w:eastAsia="en-US"/>
        </w:rPr>
        <w:t xml:space="preserve">aļēji sedzot aizņēmēja neizpildītās parādsaistības </w:t>
      </w:r>
      <w:r w:rsidR="009B0D76" w:rsidRPr="009F468A">
        <w:rPr>
          <w:lang w:eastAsia="en-US"/>
        </w:rPr>
        <w:t>attiecībā uz dzīvojamās telpas iegādei vai būvniecībai ņemto aizdevumu</w:t>
      </w:r>
      <w:r w:rsidR="009B0D76">
        <w:rPr>
          <w:lang w:eastAsia="en-US"/>
        </w:rPr>
        <w:t>:</w:t>
      </w:r>
    </w:p>
    <w:p w:rsidR="009B0D76" w:rsidRPr="00F141BA" w:rsidRDefault="009B0D76" w:rsidP="003F469F">
      <w:pPr>
        <w:pStyle w:val="tv213"/>
        <w:numPr>
          <w:ilvl w:val="0"/>
          <w:numId w:val="124"/>
        </w:numPr>
        <w:shd w:val="clear" w:color="auto" w:fill="FFFFFF"/>
        <w:spacing w:before="0" w:beforeAutospacing="0" w:after="0" w:afterAutospacing="0"/>
        <w:ind w:left="600" w:hanging="283"/>
        <w:jc w:val="both"/>
        <w:rPr>
          <w:rFonts w:eastAsia="Calibri"/>
          <w:lang w:eastAsia="en-US"/>
        </w:rPr>
      </w:pPr>
      <w:r w:rsidRPr="00F141BA">
        <w:rPr>
          <w:rFonts w:eastAsia="Calibri"/>
          <w:lang w:eastAsia="en-US"/>
        </w:rPr>
        <w:t xml:space="preserve">ģimenes ar bērniem, kas nav sasnieguši 24 gadu vecumu; </w:t>
      </w:r>
    </w:p>
    <w:p w:rsidR="009B0D76" w:rsidRPr="00F141BA" w:rsidRDefault="009B0D76" w:rsidP="003F469F">
      <w:pPr>
        <w:pStyle w:val="tv213"/>
        <w:numPr>
          <w:ilvl w:val="0"/>
          <w:numId w:val="124"/>
        </w:numPr>
        <w:shd w:val="clear" w:color="auto" w:fill="FFFFFF"/>
        <w:spacing w:before="0" w:beforeAutospacing="0" w:after="0" w:afterAutospacing="0"/>
        <w:ind w:left="600" w:hanging="283"/>
        <w:jc w:val="both"/>
        <w:rPr>
          <w:rFonts w:eastAsia="Calibri"/>
          <w:lang w:eastAsia="en-US"/>
        </w:rPr>
      </w:pPr>
      <w:r w:rsidRPr="00F141BA">
        <w:rPr>
          <w:rFonts w:eastAsia="Calibri"/>
          <w:lang w:eastAsia="en-US"/>
        </w:rPr>
        <w:t>personas, kuras ir ieguvušas vidējo profesionālo vai augstāko izglītību un kuras nepārsniedz 35 gadu vecumu.</w:t>
      </w:r>
    </w:p>
    <w:p w:rsidR="009B0D76" w:rsidRDefault="009B0D76" w:rsidP="00064C1E"/>
    <w:p w:rsidR="009B0D76" w:rsidRDefault="009B0D76" w:rsidP="00064C1E">
      <w:r>
        <w:t xml:space="preserve">Izvērtējuma veikšanas laikā tiek īstenotas būtiskas izmaiņas mājokļa jomas tiesiskajā regulējumā, kurām ir ietekme arī uz nevienlīdzības mazināšanu mājokļa pieejamības jomā. EM ir izstrādājusi un iesniegusi Saeimā izskatīšanai „Dzīvojamo telpu īres likumu”, līdz ar kura pieņemšanu zaudēs spēku likums „Par dzīvojamo telpu īri”. Ņemot vērā, ka likums „Par dzīvojamo telpu īri” zaudē savu aktualitāti, uzmanība ir pievēršama jaunā regulējuma izstrādes pamatojumam un regulējumā iekļautajām normām, kas attiektos uz Izvērtējuma mērķi un uzdevumiem. </w:t>
      </w:r>
      <w:r>
        <w:rPr>
          <w:bCs/>
        </w:rPr>
        <w:t xml:space="preserve">Likumprojekta </w:t>
      </w:r>
      <w:r>
        <w:t xml:space="preserve">„Dzīvojamo telpu īres likums” </w:t>
      </w:r>
      <w:r>
        <w:rPr>
          <w:bCs/>
        </w:rPr>
        <w:t>anotācijā</w:t>
      </w:r>
      <w:r>
        <w:rPr>
          <w:rStyle w:val="FootnoteReference"/>
        </w:rPr>
        <w:footnoteReference w:id="277"/>
      </w:r>
      <w:r>
        <w:rPr>
          <w:bCs/>
        </w:rPr>
        <w:t xml:space="preserve"> norādīts, ka s</w:t>
      </w:r>
      <w:r w:rsidRPr="00260BD9">
        <w:rPr>
          <w:rFonts w:eastAsia="Times New Roman"/>
        </w:rPr>
        <w:t>abiedrības mērķ</w:t>
      </w:r>
      <w:r>
        <w:rPr>
          <w:rFonts w:eastAsia="Times New Roman"/>
        </w:rPr>
        <w:t xml:space="preserve">a </w:t>
      </w:r>
      <w:r w:rsidRPr="00260BD9">
        <w:rPr>
          <w:rFonts w:eastAsia="Times New Roman"/>
        </w:rPr>
        <w:t>grupas, kuras tiesiskais regulējums ietekmē vai varētu ietekmēt</w:t>
      </w:r>
      <w:r>
        <w:rPr>
          <w:rFonts w:eastAsia="Times New Roman"/>
        </w:rPr>
        <w:t xml:space="preserve">, ir </w:t>
      </w:r>
      <w:r>
        <w:t>d</w:t>
      </w:r>
      <w:r w:rsidRPr="00260BD9">
        <w:t>zīvojamo telpu izīrētāji, fiziskās un juridiskās personas, valsts un pašvaldības</w:t>
      </w:r>
      <w:r>
        <w:t xml:space="preserve">. </w:t>
      </w:r>
      <w:r w:rsidRPr="00B529CB">
        <w:t>V</w:t>
      </w:r>
      <w:r w:rsidRPr="00B529CB">
        <w:rPr>
          <w:bCs/>
        </w:rPr>
        <w:t xml:space="preserve">iens no likumprojekta izstrādes pamatojuma punktiem paredz nepieciešamību </w:t>
      </w:r>
      <w:r>
        <w:rPr>
          <w:rFonts w:eastAsia="Times New Roman"/>
        </w:rPr>
        <w:t>„</w:t>
      </w:r>
      <w:r w:rsidRPr="00260BD9">
        <w:rPr>
          <w:rFonts w:eastAsia="Times New Roman"/>
        </w:rPr>
        <w:t>palielināt mājokļu pieejamību, izstrādājot jaunu dzīvojamo telpu īres attiecību regulējumu</w:t>
      </w:r>
      <w:r>
        <w:rPr>
          <w:rFonts w:eastAsia="Times New Roman"/>
        </w:rPr>
        <w:t xml:space="preserve"> (pamatojums izriet no </w:t>
      </w:r>
      <w:r w:rsidRPr="00260BD9">
        <w:rPr>
          <w:rFonts w:eastAsia="Times New Roman"/>
        </w:rPr>
        <w:t>Finanšu sektora attīstības plāna 2017.-2019. gadam 2.1.1.3. </w:t>
      </w:r>
      <w:r>
        <w:rPr>
          <w:rFonts w:eastAsia="Times New Roman"/>
        </w:rPr>
        <w:t>punkta uzdevuma). Dzīvojamo telpu īres regulējuma ietekme uz mājokļu pieejamību dokumentā pamatota ar regulējuma sociālo un ekonomisko funkciju, kuras uzdevums ir novērst „</w:t>
      </w:r>
      <w:r w:rsidRPr="00260BD9">
        <w:t>pārmērīga finansiāla sloga rašanos īrniekiem saistībā ar īres maksas izmaiņām īres līguma darbības laikā, kuru rezultātā īrnieki varētu tikt pakļauti nabadzības riskam vai palikšanai bez pajumtes</w:t>
      </w:r>
      <w:r>
        <w:t>.”</w:t>
      </w:r>
      <w:r>
        <w:rPr>
          <w:rStyle w:val="FootnoteReference"/>
        </w:rPr>
        <w:footnoteReference w:id="278"/>
      </w:r>
      <w:r>
        <w:t xml:space="preserve"> </w:t>
      </w:r>
    </w:p>
    <w:p w:rsidR="009B0D76" w:rsidRDefault="009B0D76" w:rsidP="00064C1E"/>
    <w:p w:rsidR="009B0D76" w:rsidRDefault="009B0D76" w:rsidP="00064C1E">
      <w:pPr>
        <w:rPr>
          <w:rFonts w:eastAsia="Times New Roman"/>
        </w:rPr>
      </w:pPr>
      <w:r>
        <w:t xml:space="preserve">Mājokļa pieejamības kontekstā aplūkojamā tiesību akta anotācijā aktualizēta arī problēma, ka nenotiek dzīvojamo māju būvniecība ar mājokļu izīrēšanas mērķi. Kā problēmas cēlonis skaidroti izīrētāja riski, kas izriet no </w:t>
      </w:r>
      <w:r w:rsidRPr="00260BD9">
        <w:t>šobr</w:t>
      </w:r>
      <w:r>
        <w:t xml:space="preserve">īd spēkā esošā likuma </w:t>
      </w:r>
      <w:r w:rsidRPr="00260BD9">
        <w:t>„Par dzīvojamo telpu īri”</w:t>
      </w:r>
      <w:r>
        <w:t>, kas ietver „</w:t>
      </w:r>
      <w:r w:rsidRPr="00260BD9">
        <w:t>ļoti izteiktu īrnieku tiesību aizsardzību, vienlaikus ievērojami ierobežojot izīrētāja kā izīrētā objekta īpašnieka tiesības</w:t>
      </w:r>
      <w:r>
        <w:t>”. Tā kā „</w:t>
      </w:r>
      <w:r w:rsidRPr="00260BD9">
        <w:t>īrnieku no dzīvojamām telpām var izlikt tikai prasības kārtībā, potenciālajiem īres namu attīstītājiem būvējamo īres namu izmaksas sadārdzina tik ievērojami (tā rezultātā sadārdzinās arī iespējamā īres maksa), ka šobrīd jaunu īres namu būvniecība nav rentabla</w:t>
      </w:r>
      <w:r>
        <w:t>”</w:t>
      </w:r>
      <w:r w:rsidRPr="00260BD9">
        <w:t>.</w:t>
      </w:r>
      <w:r>
        <w:t xml:space="preserve"> Likumprojekta izstrādātājs (EM) norāda, ka tajā ietvertie konceptuāli atšķirīgie risinājumi šos riskus būtiski samazinās, tādējādi pozitīvi ietekmējot problēmas risinājumu un attiecīgi īres mājokļu pieejamību.</w:t>
      </w:r>
    </w:p>
    <w:p w:rsidR="009B0D76" w:rsidRDefault="009B0D76" w:rsidP="00064C1E">
      <w:pPr>
        <w:rPr>
          <w:rFonts w:eastAsia="Times New Roman"/>
        </w:rPr>
      </w:pPr>
      <w:r>
        <w:lastRenderedPageBreak/>
        <w:t xml:space="preserve">Līdzās likumprojektam „Dzīvojamo telpu īres likums”, lai nodrošinātu tiesību aktu iekšējo saskaņotību, Izvērtējuma kontekstā būtiski ņemt vērā izstrādātos grozījumus likumā „Par </w:t>
      </w:r>
      <w:r>
        <w:rPr>
          <w:color w:val="000000"/>
        </w:rPr>
        <w:t xml:space="preserve">palīdzību </w:t>
      </w:r>
      <w:r w:rsidRPr="00F94579">
        <w:rPr>
          <w:color w:val="000000"/>
        </w:rPr>
        <w:t>dzīvokļa  jautājumu  risināšanā</w:t>
      </w:r>
      <w:r>
        <w:rPr>
          <w:color w:val="000000"/>
        </w:rPr>
        <w:t xml:space="preserve">”. Likumprojekta </w:t>
      </w:r>
      <w:r w:rsidRPr="003F6358">
        <w:rPr>
          <w:color w:val="000000"/>
        </w:rPr>
        <w:t xml:space="preserve">„Grozījumi likumā „Par palīdzību dzīvokļa jautājumu risināšanā”” sākotnējās ietekmes novērtējuma </w:t>
      </w:r>
      <w:r>
        <w:rPr>
          <w:color w:val="000000"/>
        </w:rPr>
        <w:t xml:space="preserve">anotācijā norādīts, ka arī šī likumprojekta izstrādes viens no pamatojumiem, kas izriet no </w:t>
      </w:r>
      <w:r w:rsidRPr="00260BD9">
        <w:rPr>
          <w:rFonts w:eastAsia="Times New Roman"/>
        </w:rPr>
        <w:t>Finanšu sektora attīstības plāna 2017.-2019. gadam 2.1.1.3. </w:t>
      </w:r>
      <w:r>
        <w:rPr>
          <w:rFonts w:eastAsia="Times New Roman"/>
        </w:rPr>
        <w:t>punkta uzdevuma,</w:t>
      </w:r>
      <w:r>
        <w:rPr>
          <w:color w:val="000000"/>
        </w:rPr>
        <w:t xml:space="preserve"> ir nepieciešamība </w:t>
      </w:r>
      <w:r w:rsidRPr="00260BD9">
        <w:rPr>
          <w:rFonts w:eastAsia="Times New Roman"/>
        </w:rPr>
        <w:t>palielināt mājokļu pieejamību</w:t>
      </w:r>
      <w:r>
        <w:rPr>
          <w:rFonts w:eastAsia="Times New Roman"/>
        </w:rPr>
        <w:t>. Jaunajiem grozījumiem, saskaņā ar anotāciju, paredzama ietekme, pirmkārt, uz f</w:t>
      </w:r>
      <w:r w:rsidRPr="003609B0">
        <w:rPr>
          <w:rFonts w:eastAsia="Times New Roman"/>
        </w:rPr>
        <w:t>izisk</w:t>
      </w:r>
      <w:r>
        <w:rPr>
          <w:rFonts w:eastAsia="Times New Roman"/>
        </w:rPr>
        <w:t>ām</w:t>
      </w:r>
      <w:r w:rsidRPr="003609B0">
        <w:rPr>
          <w:rFonts w:eastAsia="Times New Roman"/>
        </w:rPr>
        <w:t xml:space="preserve"> person</w:t>
      </w:r>
      <w:r>
        <w:rPr>
          <w:rFonts w:eastAsia="Times New Roman"/>
        </w:rPr>
        <w:t>ām</w:t>
      </w:r>
      <w:r w:rsidRPr="003609B0">
        <w:rPr>
          <w:rFonts w:eastAsia="Times New Roman"/>
        </w:rPr>
        <w:t>,</w:t>
      </w:r>
      <w:r>
        <w:rPr>
          <w:rFonts w:eastAsia="Times New Roman"/>
        </w:rPr>
        <w:t xml:space="preserve"> kuras pretendē vai saņem</w:t>
      </w:r>
      <w:r w:rsidRPr="003609B0">
        <w:rPr>
          <w:rFonts w:eastAsia="Times New Roman"/>
        </w:rPr>
        <w:t xml:space="preserve"> </w:t>
      </w:r>
      <w:r>
        <w:rPr>
          <w:rFonts w:eastAsia="Times New Roman"/>
        </w:rPr>
        <w:t xml:space="preserve">palīdzību dzīvokļa jautājuma risināšanai, otrkārt, uz </w:t>
      </w:r>
      <w:r w:rsidRPr="003609B0">
        <w:rPr>
          <w:rFonts w:eastAsia="Times New Roman"/>
        </w:rPr>
        <w:t>pašvaldīb</w:t>
      </w:r>
      <w:r>
        <w:rPr>
          <w:rFonts w:eastAsia="Times New Roman"/>
        </w:rPr>
        <w:t xml:space="preserve">ām. Grozījumi paplašina mērķa grupu loku, kurām sniedzama palīdzība dzīvokļa jautājumos tiktāl, ciktāl nepieciešams ievērot tiesību aktu savstarpējo saskaņotību (pēc būtības to var vērtēt kā drīzāk tehnisku mērķa grupas paplašinājumu, nevis tādu, kas ietekmētu nevienlīdzības mājokļa pieejamības jomā samazināšanos). Tas nozīmē, ka izmaiņas attiecībā uz to, kurām personām, kādos gadījumos ir paredzama pašvaldības palīdzība, ir tieši saistītas, pirmkārt, ar „Dzīvojamo telpu īres likumā” noteiktajiem īres līguma izbeigšanas pamatiem (piemēram, tiek aizliegta dzīvojamās mājas ekspluatācija); otrkārt, ar gadījumiem, kad pašvaldība var piešķirt </w:t>
      </w:r>
      <w:r w:rsidRPr="00DD6791">
        <w:rPr>
          <w:rFonts w:eastAsia="Times New Roman"/>
        </w:rPr>
        <w:t>vienreizēju dzīvojamās telpas atbrīvošanas pabalstu personām</w:t>
      </w:r>
      <w:r>
        <w:rPr>
          <w:rFonts w:eastAsia="Times New Roman"/>
        </w:rPr>
        <w:t xml:space="preserve"> (specifiska mērķa grupa šajā kontekstā ir denacionalizēto māju iemītnieki, sk. sīkāk 3.2.3. sadaļā par pašvaldību atbalstu </w:t>
      </w:r>
      <w:r>
        <w:rPr>
          <w:iCs/>
        </w:rPr>
        <w:t>saistībā ar dzīvojamās telpas atbrīvošanu</w:t>
      </w:r>
      <w:r>
        <w:rPr>
          <w:rFonts w:eastAsia="Times New Roman"/>
        </w:rPr>
        <w:t>).</w:t>
      </w:r>
    </w:p>
    <w:p w:rsidR="009B0D76" w:rsidRPr="00DD6791" w:rsidRDefault="009B0D76" w:rsidP="00064C1E">
      <w:pPr>
        <w:rPr>
          <w:rFonts w:eastAsia="Times New Roman"/>
        </w:rPr>
      </w:pPr>
    </w:p>
    <w:p w:rsidR="009B0D76" w:rsidRDefault="009B0D76" w:rsidP="00064C1E">
      <w:r>
        <w:t>S</w:t>
      </w:r>
      <w:r w:rsidRPr="00EC1E83">
        <w:t>askaņā ar likumprojektu “Dzīvojam telpu īres likums” īres līgumus nav paredzēts pagarināt, bet gan slēgt jaunus</w:t>
      </w:r>
      <w:r>
        <w:t xml:space="preserve">, kas maina arī vairākas likuma </w:t>
      </w:r>
      <w:r w:rsidRPr="003F6358">
        <w:rPr>
          <w:color w:val="000000"/>
        </w:rPr>
        <w:t>„Par palīdzību dzīvokļa jautājumu risināšanā”</w:t>
      </w:r>
      <w:r>
        <w:rPr>
          <w:color w:val="000000"/>
        </w:rPr>
        <w:t xml:space="preserve"> normas</w:t>
      </w:r>
      <w:r>
        <w:t xml:space="preserve">. </w:t>
      </w:r>
      <w:r>
        <w:rPr>
          <w:color w:val="000000"/>
        </w:rPr>
        <w:t xml:space="preserve">Likumprojekta </w:t>
      </w:r>
      <w:r w:rsidRPr="003F6358">
        <w:rPr>
          <w:color w:val="000000"/>
        </w:rPr>
        <w:t xml:space="preserve">„Grozījumi likumā „Par palīdzību </w:t>
      </w:r>
      <w:r>
        <w:rPr>
          <w:color w:val="000000"/>
        </w:rPr>
        <w:t>dzīvokļa jautājumu risināšanā”” anotācijā skaidrots, ka</w:t>
      </w:r>
      <w:r w:rsidR="00EC4311">
        <w:rPr>
          <w:color w:val="000000"/>
        </w:rPr>
        <w:t>,</w:t>
      </w:r>
      <w:r w:rsidRPr="00EC1E83">
        <w:t xml:space="preserve"> ja persona joprojām atbilst noteiktajām prasībām, lai tā saņemtu  konkrētu palīdzību un pašvaldība lemj par jauna īres līguma noslēgšanu, persona saglabā tiesības īrēt ta</w:t>
      </w:r>
      <w:r>
        <w:t>i</w:t>
      </w:r>
      <w:r w:rsidRPr="00EC1E83">
        <w:t xml:space="preserve"> jau iepriekš izīrēto dzīvojamo telpu, to neatbrīvojot, līdz jaunā īres līguma noslēgšanai.</w:t>
      </w:r>
      <w:r>
        <w:t xml:space="preserve"> </w:t>
      </w:r>
    </w:p>
    <w:p w:rsidR="009B0D76" w:rsidRDefault="009B0D76" w:rsidP="00064C1E"/>
    <w:p w:rsidR="009B0D76" w:rsidRDefault="009B0D76" w:rsidP="00064C1E">
      <w:pPr>
        <w:rPr>
          <w:color w:val="000000"/>
        </w:rPr>
      </w:pPr>
      <w:r w:rsidRPr="00E94FCE">
        <w:rPr>
          <w:color w:val="000000"/>
        </w:rPr>
        <w:t>Likumprojekta “Dzīvojam telpu īres likums” 30.</w:t>
      </w:r>
      <w:r w:rsidR="00D54545">
        <w:rPr>
          <w:color w:val="000000"/>
        </w:rPr>
        <w:t xml:space="preserve"> </w:t>
      </w:r>
      <w:r w:rsidRPr="00E94FCE">
        <w:rPr>
          <w:color w:val="000000"/>
        </w:rPr>
        <w:t>pant</w:t>
      </w:r>
      <w:r>
        <w:rPr>
          <w:color w:val="000000"/>
        </w:rPr>
        <w:t>a pirmajā daļā</w:t>
      </w:r>
      <w:r w:rsidRPr="00E94FCE">
        <w:rPr>
          <w:color w:val="000000"/>
        </w:rPr>
        <w:t xml:space="preserve"> </w:t>
      </w:r>
      <w:r>
        <w:rPr>
          <w:color w:val="000000"/>
        </w:rPr>
        <w:t>noteikts</w:t>
      </w:r>
      <w:r w:rsidRPr="00E94FCE">
        <w:rPr>
          <w:color w:val="000000"/>
        </w:rPr>
        <w:t>, ka turpmāk pašvaldībām piederošas vai tās nomātās dzīvojamās telpas īres maksa tiek noteikta kā atlīdzīb</w:t>
      </w:r>
      <w:r w:rsidR="00B557ED">
        <w:rPr>
          <w:color w:val="000000"/>
        </w:rPr>
        <w:t>a</w:t>
      </w:r>
      <w:r w:rsidRPr="00E94FCE">
        <w:rPr>
          <w:color w:val="000000"/>
        </w:rPr>
        <w:t xml:space="preserve"> par lietas lietošanu. Tas nozīmē, ka īres maksai jāatbilst vai vismaz maksimāli jābūt pietuvinātai tirgus cenai</w:t>
      </w:r>
      <w:r>
        <w:rPr>
          <w:color w:val="000000"/>
        </w:rPr>
        <w:t xml:space="preserve">, kas, iespējams, var sadārdzināt īres izmaksas par pašvaldības mājokļiem. Savukārt attiecībā uz mājokļa pārvaldīšanas izdevumiem pašvaldības joprojām saglabā tiesības izdot saistošos noteikumus, </w:t>
      </w:r>
      <w:r w:rsidRPr="00E94FCE">
        <w:rPr>
          <w:color w:val="000000"/>
        </w:rPr>
        <w:t xml:space="preserve">kuros nosaka maznodrošinātu personu kategorijas un kārtību, kādā šīs personas var tikt atbrīvotas no šādiem izdevumiem </w:t>
      </w:r>
      <w:r>
        <w:rPr>
          <w:color w:val="000000"/>
        </w:rPr>
        <w:t>(</w:t>
      </w:r>
      <w:r w:rsidRPr="00E94FCE">
        <w:rPr>
          <w:color w:val="000000"/>
        </w:rPr>
        <w:t>30.</w:t>
      </w:r>
      <w:r w:rsidR="00D54545">
        <w:rPr>
          <w:color w:val="000000"/>
        </w:rPr>
        <w:t xml:space="preserve"> </w:t>
      </w:r>
      <w:r w:rsidRPr="00E94FCE">
        <w:rPr>
          <w:color w:val="000000"/>
        </w:rPr>
        <w:t>pan</w:t>
      </w:r>
      <w:r>
        <w:rPr>
          <w:color w:val="000000"/>
        </w:rPr>
        <w:t>ta otrā daļa)</w:t>
      </w:r>
      <w:r w:rsidRPr="00E94FCE">
        <w:rPr>
          <w:color w:val="000000"/>
        </w:rPr>
        <w:t xml:space="preserve">. </w:t>
      </w:r>
    </w:p>
    <w:p w:rsidR="009B0D76" w:rsidRDefault="009B0D76" w:rsidP="00064C1E">
      <w:pPr>
        <w:rPr>
          <w:color w:val="000000"/>
        </w:rPr>
      </w:pPr>
    </w:p>
    <w:p w:rsidR="009B0D76" w:rsidRDefault="009B0D76" w:rsidP="00922A20">
      <w:r>
        <w:t>04.06.1997. likuma „Par nekustamā īpašuma nodokli”</w:t>
      </w:r>
      <w:r>
        <w:rPr>
          <w:rStyle w:val="FootnoteReference"/>
        </w:rPr>
        <w:footnoteReference w:id="279"/>
      </w:r>
      <w:r>
        <w:t xml:space="preserve"> 5.pantā ir noteikti atvieglojumi nekustamā īpašuma nodokļa maksātājiem, kas rada tiešu ietekmi uz vienlīdzīgu iespēju nodrošināšanu mājokļa pieejamības jomā (ietekme uz izdevumiem par mājokli noteiktām mērķa grupām), un tāpēc uzskatāmi par nozīmīgiem šī Izvērtējuma kontekstā. Saskaņā ar likumu p</w:t>
      </w:r>
      <w:r w:rsidRPr="00CD40BE">
        <w:rPr>
          <w:bCs/>
        </w:rPr>
        <w:t xml:space="preserve">ašvaldības nosaka nekustamā īpašuma nodokļa atvieglojumu nosacījumus un arī objektus, uz kuriem šī nodokļa atvieglojumi ir attiecināmi. </w:t>
      </w:r>
      <w:r w:rsidRPr="008E4EB0">
        <w:t xml:space="preserve">Likumā ir paredzēts, ka, nosakot nekustamā īpašuma nodokļa atvieglojumus kopsakarā ar nodokļa likmi vai likmēm, pašvaldība ievēro sociālās atbildības principu, saskaņā ar kuru tā it īpaši ņem vērā nodokļa ietekmi uz sociāli mazaizsargāto un trūcīgo </w:t>
      </w:r>
      <w:r w:rsidRPr="008E4EB0">
        <w:lastRenderedPageBreak/>
        <w:t>iedzīvotāju grupām</w:t>
      </w:r>
      <w:r>
        <w:t xml:space="preserve"> (3.</w:t>
      </w:r>
      <w:r w:rsidRPr="00FA041E">
        <w:rPr>
          <w:vertAlign w:val="superscript"/>
        </w:rPr>
        <w:t>1</w:t>
      </w:r>
      <w:r>
        <w:t xml:space="preserve"> panta ceturtā daļa)</w:t>
      </w:r>
      <w:r w:rsidRPr="008E4EB0">
        <w:t>.</w:t>
      </w:r>
      <w:r>
        <w:t xml:space="preserve"> Likums nosaka šādas atbalstāmās mērķa grupas un atvieglojuma apmērus:</w:t>
      </w:r>
    </w:p>
    <w:p w:rsidR="009B0D76" w:rsidRDefault="009B0D76" w:rsidP="003F469F">
      <w:pPr>
        <w:pStyle w:val="ListParagraph"/>
        <w:numPr>
          <w:ilvl w:val="0"/>
          <w:numId w:val="122"/>
        </w:numPr>
        <w:spacing w:line="276" w:lineRule="auto"/>
        <w:jc w:val="both"/>
        <w:rPr>
          <w:bCs/>
          <w:iCs/>
        </w:rPr>
      </w:pPr>
      <w:r>
        <w:rPr>
          <w:bCs/>
          <w:iCs/>
        </w:rPr>
        <w:t>trūcīgas personas (atvieglojums 90% apmērā no aprēķinātās nodokļa summas);</w:t>
      </w:r>
    </w:p>
    <w:p w:rsidR="009B0D76" w:rsidRDefault="009B0D76" w:rsidP="003F469F">
      <w:pPr>
        <w:pStyle w:val="ListParagraph"/>
        <w:numPr>
          <w:ilvl w:val="0"/>
          <w:numId w:val="122"/>
        </w:numPr>
        <w:spacing w:line="276" w:lineRule="auto"/>
        <w:jc w:val="both"/>
        <w:rPr>
          <w:bCs/>
          <w:iCs/>
        </w:rPr>
      </w:pPr>
      <w:r>
        <w:rPr>
          <w:bCs/>
          <w:iCs/>
        </w:rPr>
        <w:t>maznodrošinātas personas vai ģimenes (atvieglojums līdz 90% no aprēķinātās nodokļa summas);</w:t>
      </w:r>
    </w:p>
    <w:p w:rsidR="009B0D76" w:rsidRDefault="009B0D76" w:rsidP="003F469F">
      <w:pPr>
        <w:pStyle w:val="ListParagraph"/>
        <w:numPr>
          <w:ilvl w:val="0"/>
          <w:numId w:val="122"/>
        </w:numPr>
        <w:spacing w:line="276" w:lineRule="auto"/>
        <w:jc w:val="both"/>
        <w:rPr>
          <w:bCs/>
          <w:iCs/>
        </w:rPr>
      </w:pPr>
      <w:r>
        <w:rPr>
          <w:bCs/>
          <w:iCs/>
        </w:rPr>
        <w:t xml:space="preserve">personām, kurām attiecīgajā taksācijas gadā ir trīs vai vairāk bērni vecumā līdz </w:t>
      </w:r>
      <w:r w:rsidRPr="0093169A">
        <w:rPr>
          <w:bCs/>
          <w:iCs/>
        </w:rPr>
        <w:t>18 gadiem (arī aizbildnībā esoši vai audžuģimenē ievietoti bērni) vai bērni līdz 24 gadu vecumam, kuri iegūst vispārējo, profesionālo vai augstāko izglītību</w:t>
      </w:r>
      <w:r>
        <w:rPr>
          <w:bCs/>
          <w:iCs/>
        </w:rPr>
        <w:t xml:space="preserve"> (</w:t>
      </w:r>
      <w:r w:rsidRPr="0093169A">
        <w:rPr>
          <w:bCs/>
          <w:iCs/>
        </w:rPr>
        <w:t>nod</w:t>
      </w:r>
      <w:r>
        <w:rPr>
          <w:bCs/>
          <w:iCs/>
        </w:rPr>
        <w:t>okļa summa ir samazināma par 50%</w:t>
      </w:r>
      <w:r w:rsidRPr="0093169A">
        <w:rPr>
          <w:bCs/>
          <w:iCs/>
        </w:rPr>
        <w:t xml:space="preserve"> no aprēķinātās nodokļa summas, bet ne vairāk par 500 </w:t>
      </w:r>
      <w:r w:rsidR="00D54545">
        <w:rPr>
          <w:bCs/>
          <w:iCs/>
        </w:rPr>
        <w:t>EUR</w:t>
      </w:r>
      <w:r>
        <w:rPr>
          <w:bCs/>
          <w:iCs/>
        </w:rPr>
        <w:t>);</w:t>
      </w:r>
    </w:p>
    <w:p w:rsidR="009B0D76" w:rsidRPr="00BB2EAC" w:rsidRDefault="009B0D76" w:rsidP="003F469F">
      <w:pPr>
        <w:pStyle w:val="ListParagraph"/>
        <w:numPr>
          <w:ilvl w:val="0"/>
          <w:numId w:val="122"/>
        </w:numPr>
        <w:spacing w:line="276" w:lineRule="auto"/>
        <w:jc w:val="both"/>
        <w:rPr>
          <w:bCs/>
          <w:iCs/>
        </w:rPr>
      </w:pPr>
      <w:r>
        <w:rPr>
          <w:bCs/>
          <w:iCs/>
        </w:rPr>
        <w:t>politiski represētas personas (nodokļa atvieglojums par 50% no aprēķinātās summas).</w:t>
      </w:r>
    </w:p>
    <w:p w:rsidR="009B0D76" w:rsidRDefault="009B0D76" w:rsidP="00922A20">
      <w:r>
        <w:t xml:space="preserve">Likums nosaka tiesības pašvaldībām paplašināt atbalstāmo personu loku un atvieglojumu apmēru, nosakot to saistošajos noteikumos. Likums paredz, ka </w:t>
      </w:r>
      <w:r w:rsidRPr="00BB2EAC">
        <w:t>atvieglojumus atsevišķām nekustamā īpašuma nodokļa maksātāju kategorijām pašvaldības var noteikt 90, 70, 50 vai 25 procentu apmērā no nekustamā īpašuma nodokļa summas.</w:t>
      </w:r>
      <w:r>
        <w:t xml:space="preserve"> Pašvaldību saistošo noteikumu apsekojuma rezultāti par atvieglojumiem nekustamā īpašuma nodokļa maksātājiem ir apkopoti 3.2.3. sadaļā, kā arī 6. un 7. pielikumā. </w:t>
      </w:r>
    </w:p>
    <w:p w:rsidR="009B0D76" w:rsidRDefault="009B0D76" w:rsidP="00922A20"/>
    <w:p w:rsidR="009B0D76" w:rsidRPr="00A2350E" w:rsidRDefault="009B0D76" w:rsidP="00922A20">
      <w:r w:rsidRPr="00A2350E">
        <w:t>20.06.2006. MK noteikumi Nr. 495 „Likuma „Par nekustamā īpašuma nodokli” normu piemērošanas kārtība” attiecībā uz nekustamā īpašuma nodokļa atvieglojumiem trūcīgām un maznodrošinātām personām nosaka, ka</w:t>
      </w:r>
      <w:r w:rsidR="00EC4311">
        <w:t>,</w:t>
      </w:r>
      <w:r w:rsidRPr="00A2350E">
        <w:t xml:space="preserve"> ja par taksācijas gadu kopējā aprēķinātā nodokļa summa pēc atvieglojumu piemērošanas ir mazāka par septiņiem </w:t>
      </w:r>
      <w:r w:rsidR="00235F1B">
        <w:t>EUR,</w:t>
      </w:r>
      <w:r w:rsidRPr="00A2350E">
        <w:t xml:space="preserve"> trūcīgām un maznodrošinātām personām pašvaldība aprēķina nodokli, nepiemērojot minimālo nodokļa maksājumu - septiņi </w:t>
      </w:r>
      <w:r w:rsidR="00235F1B">
        <w:t xml:space="preserve">EUR </w:t>
      </w:r>
      <w:r>
        <w:t>(</w:t>
      </w:r>
      <w:r w:rsidRPr="00A2350E">
        <w:t>23.</w:t>
      </w:r>
      <w:r w:rsidRPr="00A2350E">
        <w:rPr>
          <w:vertAlign w:val="superscript"/>
        </w:rPr>
        <w:t>2</w:t>
      </w:r>
      <w:r w:rsidRPr="00A2350E">
        <w:t xml:space="preserve"> punkts</w:t>
      </w:r>
      <w:r>
        <w:t>).</w:t>
      </w:r>
    </w:p>
    <w:p w:rsidR="009B0D76" w:rsidRDefault="009B0D76" w:rsidP="00922A20"/>
    <w:p w:rsidR="009B0D76" w:rsidRDefault="009B0D76" w:rsidP="00922A20">
      <w:r>
        <w:t xml:space="preserve">4.06.2009. </w:t>
      </w:r>
      <w:r w:rsidRPr="00B905B7">
        <w:t>Dzīvojamo māju pārvaldīšanas likums</w:t>
      </w:r>
      <w:r>
        <w:rPr>
          <w:rStyle w:val="FootnoteReference"/>
        </w:rPr>
        <w:footnoteReference w:id="280"/>
      </w:r>
      <w:r>
        <w:t xml:space="preserve"> Izvērtējuma kontekstā ir vērā ņemams tiktāl, ciktāl tas regulē jautājumus, kas saistīti ar mājokļa kvalitāti. Likums nosaka dzīvojamās mājas īpašnieka atbildību un obligāti veicamās pārvaldības darbības, kas, cita starpā, ir saistītas arī ar dzīvojamās mājas uzturēšanu (sanitāro apkopi, </w:t>
      </w:r>
      <w:r w:rsidRPr="00225331">
        <w:t>siltumenerģijas, arī dabasgāzes, piegād</w:t>
      </w:r>
      <w:r>
        <w:t>i</w:t>
      </w:r>
      <w:r w:rsidRPr="00225331">
        <w:t>, ūdensapgād</w:t>
      </w:r>
      <w:r>
        <w:t>i</w:t>
      </w:r>
      <w:r w:rsidRPr="00225331">
        <w:t xml:space="preserve"> un kanalizācijas pakalpojumu nodrošināšan</w:t>
      </w:r>
      <w:r>
        <w:t xml:space="preserve">u, sadzīves atkritumu izvešanu, elektroenerģijas nodrošināšanu </w:t>
      </w:r>
      <w:r w:rsidRPr="00225331">
        <w:t xml:space="preserve">dzīvojamās mājas kopīpašumā esošajai daļai, dzīvojamās mājas energoefektivitātei izvirzīto minimālo prasību izpildes nodrošināšanu) (6.panta otrā daļa). </w:t>
      </w:r>
      <w:r>
        <w:t>Otrs likums, kas nosaka mājokļa (dzīvokļa) īpašnieka pienākumus saistībā ar mājokļa uzturēšanu, ir Dzīvokļa īpašuma likums</w:t>
      </w:r>
      <w:r w:rsidRPr="004407BF">
        <w:rPr>
          <w:vertAlign w:val="superscript"/>
        </w:rPr>
        <w:footnoteReference w:id="281"/>
      </w:r>
      <w:r>
        <w:t xml:space="preserve">, taču pēc būtības tas neraksturo atbalsta mērķa grupas vai atbalsta veidus mājokļa jomā.  </w:t>
      </w:r>
    </w:p>
    <w:p w:rsidR="009B0D76" w:rsidRDefault="009B0D76" w:rsidP="00922A20">
      <w:pPr>
        <w:pStyle w:val="ListParagraph"/>
        <w:spacing w:line="276" w:lineRule="auto"/>
        <w:jc w:val="both"/>
      </w:pPr>
    </w:p>
    <w:p w:rsidR="009B0D76" w:rsidRDefault="009B0D76" w:rsidP="00922A20">
      <w:r w:rsidRPr="00147261">
        <w:rPr>
          <w:rFonts w:eastAsia="Times New Roman"/>
        </w:rPr>
        <w:t>05.05.2005. Elektroenerģijas tirgus likuma</w:t>
      </w:r>
      <w:r w:rsidRPr="00147261">
        <w:rPr>
          <w:rFonts w:eastAsia="Times New Roman"/>
          <w:vertAlign w:val="superscript"/>
        </w:rPr>
        <w:footnoteReference w:id="282"/>
      </w:r>
      <w:r w:rsidRPr="00147261">
        <w:rPr>
          <w:rFonts w:eastAsia="Times New Roman"/>
        </w:rPr>
        <w:t xml:space="preserve"> 1.panta otrās daļas otrajā punktā </w:t>
      </w:r>
      <w:r>
        <w:rPr>
          <w:rFonts w:eastAsia="Times New Roman"/>
        </w:rPr>
        <w:t xml:space="preserve">(17.09.2015. un 19.05.2016. grozījumi) </w:t>
      </w:r>
      <w:r w:rsidRPr="00147261">
        <w:rPr>
          <w:rFonts w:eastAsia="Times New Roman"/>
        </w:rPr>
        <w:t>ir definētas</w:t>
      </w:r>
      <w:r>
        <w:t xml:space="preserve"> elektroenerģijas pakalpojumu saņēmēju atbalstāmās mērķa grupas jeb t.s. aizsargātie lietotāji – </w:t>
      </w:r>
      <w:r w:rsidRPr="00147261">
        <w:t>trūcīga vai maznodrošināta ģimene (persona), daudzbērnu ģimene vai ģimene (persona), kuras aprūpē ir bērns ar invaliditāti, vai persona ar I invaliditātes grupu, kura izlieto elektroenerģiju savā mājsaimniecībā pašas vajadzībām (galapatēriņam)</w:t>
      </w:r>
      <w:r>
        <w:t>. 33.</w:t>
      </w:r>
      <w:r w:rsidRPr="00D61F85">
        <w:rPr>
          <w:vertAlign w:val="superscript"/>
        </w:rPr>
        <w:t>1</w:t>
      </w:r>
      <w:r>
        <w:t xml:space="preserve"> pants nosaka elektroenerģijas tirdzniecības nosacījumus šīm grupām. J</w:t>
      </w:r>
      <w:r w:rsidRPr="00A025CA">
        <w:t xml:space="preserve">a ģimenē ar </w:t>
      </w:r>
      <w:r>
        <w:t>trīs</w:t>
      </w:r>
      <w:r w:rsidRPr="00A025CA">
        <w:t xml:space="preserve"> un vairāk </w:t>
      </w:r>
      <w:r w:rsidRPr="00A025CA">
        <w:lastRenderedPageBreak/>
        <w:t>bērniem viens vai vairāki bērni ir vecumā no 18 līdz 24 gadiem un turpina mācīties, tad arī šī ģimene var saņemt atbalstu.</w:t>
      </w:r>
      <w:r>
        <w:t xml:space="preserve"> </w:t>
      </w:r>
      <w:r w:rsidRPr="00D61F85">
        <w:t xml:space="preserve">Trūcīga vai maznodrošināta ģimene (persona) aizsargātā lietotāja tirdzniecības pakalpojumu saņem, ja trūcīgas vai maznodrošinātas ģimenes (personas) statuss tai piešķirts iepriekšējā kalendārajā mēnesī. Daudzbērnu ģimene, ģimene, kuras aprūpē ir bērns ar invaliditāti, vai persona ar I invaliditātes grupu aizsargātā lietotāja tirdzniecības pakalpojumu saņem kalendārā gada ietvaros. Ja ģimene (persona) atbilst vairāk nekā vienai pazīmei, kas dod tiesības saņemt aizsargātā lietotāja statusu, aizsargātā lietotāja tirdzniecības pakalpojums tai tiek sniegts atbilstoši pazīmei, kas paredz labvēlīgākos pakalpojuma saņemšanas nosacījumus. </w:t>
      </w:r>
      <w:r w:rsidRPr="00EF56E5">
        <w:t>12.07.2016. MK noteikumi Nr. 459 „Aizsargātā lietotāja tirdzniecības pakalpojuma sniegšanas, obligātā iepirkuma komponentes un sadales sistēmas pakalpojuma kompensēšanas kārtība”</w:t>
      </w:r>
      <w:r>
        <w:t xml:space="preserve"> nosaka kārtību, kādā aizsargātie lietotāji </w:t>
      </w:r>
      <w:r w:rsidRPr="00D61F85">
        <w:t xml:space="preserve">piesakās aizsargātā lietotāja tirdzniecības pakalpojuma </w:t>
      </w:r>
      <w:r>
        <w:t xml:space="preserve">(elektroenerģijas tirdzniecība aizsargātam lietotājam) </w:t>
      </w:r>
      <w:r w:rsidRPr="00D61F85">
        <w:t>saņemšanai</w:t>
      </w:r>
      <w:r>
        <w:t>, kā arī sniedzamā atbalsta – elektroenerģijas patēriņa likmi par vienu kilovatstundu - apmērus vienā kalendārajā mēnesī:</w:t>
      </w:r>
    </w:p>
    <w:p w:rsidR="009B0D76" w:rsidRPr="00A025CA" w:rsidRDefault="009B0D76" w:rsidP="003F469F">
      <w:pPr>
        <w:pStyle w:val="ListParagraph"/>
        <w:numPr>
          <w:ilvl w:val="0"/>
          <w:numId w:val="123"/>
        </w:numPr>
        <w:spacing w:line="276" w:lineRule="auto"/>
        <w:jc w:val="both"/>
        <w:rPr>
          <w:rFonts w:eastAsia="Calibri"/>
        </w:rPr>
      </w:pPr>
      <w:r w:rsidRPr="00A025CA">
        <w:rPr>
          <w:rFonts w:eastAsia="Calibri"/>
        </w:rPr>
        <w:t>trūcīgai vai maznodrošinātai ģimenei (personai), ģimenei (personai), kuras aprūpē ir bērns ar invaliditāti, vai personai ar I invaliditātes grupu</w:t>
      </w:r>
      <w:r w:rsidR="00EC4311">
        <w:rPr>
          <w:rFonts w:eastAsia="Calibri"/>
        </w:rPr>
        <w:t xml:space="preserve"> </w:t>
      </w:r>
      <w:r w:rsidRPr="00A025CA">
        <w:rPr>
          <w:rFonts w:eastAsia="Calibri"/>
        </w:rPr>
        <w:t>– ne vairāk kā 100 kilovatstundu elektroenerģijas tirdzniecība par cenu 0,0131 </w:t>
      </w:r>
      <w:r w:rsidR="00235F1B">
        <w:rPr>
          <w:rFonts w:eastAsia="Calibri"/>
        </w:rPr>
        <w:t xml:space="preserve">EUR </w:t>
      </w:r>
      <w:r w:rsidRPr="00A025CA">
        <w:rPr>
          <w:rFonts w:eastAsia="Calibri"/>
        </w:rPr>
        <w:t>par vienu kilovatstundu;</w:t>
      </w:r>
    </w:p>
    <w:p w:rsidR="009B0D76" w:rsidRPr="00A025CA" w:rsidRDefault="009B0D76" w:rsidP="003F469F">
      <w:pPr>
        <w:pStyle w:val="ListParagraph"/>
        <w:numPr>
          <w:ilvl w:val="0"/>
          <w:numId w:val="123"/>
        </w:numPr>
        <w:spacing w:line="276" w:lineRule="auto"/>
        <w:jc w:val="both"/>
        <w:rPr>
          <w:rFonts w:eastAsia="Calibri"/>
        </w:rPr>
      </w:pPr>
      <w:r w:rsidRPr="00A025CA">
        <w:rPr>
          <w:rFonts w:eastAsia="Calibri"/>
        </w:rPr>
        <w:t>daudzbērnu ģimenei</w:t>
      </w:r>
      <w:r w:rsidR="00EC4311">
        <w:rPr>
          <w:rFonts w:eastAsia="Calibri"/>
        </w:rPr>
        <w:t xml:space="preserve"> </w:t>
      </w:r>
      <w:r w:rsidRPr="00A025CA">
        <w:rPr>
          <w:rFonts w:eastAsia="Calibri"/>
        </w:rPr>
        <w:t>– ne vairāk kā 300 kilovatstundu elektroenerģijas tirdzniecība par cenu 0,0131 </w:t>
      </w:r>
      <w:r w:rsidR="00235F1B">
        <w:rPr>
          <w:rFonts w:eastAsia="Calibri"/>
        </w:rPr>
        <w:t xml:space="preserve">EUR </w:t>
      </w:r>
      <w:r w:rsidRPr="00A025CA">
        <w:rPr>
          <w:rFonts w:eastAsia="Calibri"/>
        </w:rPr>
        <w:t>par vienu kilovatstundu.</w:t>
      </w:r>
    </w:p>
    <w:p w:rsidR="003E5F80" w:rsidRDefault="003E5F80" w:rsidP="00922A20"/>
    <w:p w:rsidR="009B0D76" w:rsidRDefault="009B0D76" w:rsidP="00922A20">
      <w:r w:rsidRPr="00F756F1">
        <w:t>Trūcīgām un maznodrošinātām personām </w:t>
      </w:r>
      <w:r>
        <w:t xml:space="preserve">šim </w:t>
      </w:r>
      <w:r w:rsidRPr="00F756F1">
        <w:rPr>
          <w:bCs/>
        </w:rPr>
        <w:t>atbalstam nav jāpiesakās</w:t>
      </w:r>
      <w:r w:rsidRPr="00F756F1">
        <w:t> – nepieciešamos datus snie</w:t>
      </w:r>
      <w:r w:rsidR="00C63F7D">
        <w:t>dz</w:t>
      </w:r>
      <w:r w:rsidRPr="00F756F1">
        <w:t xml:space="preserve"> pašvaldības sociālais dienests un atbalsts </w:t>
      </w:r>
      <w:r w:rsidR="00C63F7D">
        <w:t>tiek</w:t>
      </w:r>
      <w:r w:rsidRPr="00F756F1">
        <w:t xml:space="preserve"> piešķirts automātiski nākamajā mēnesī pēc trūcīgas vai maznodrošinātas personas statusa saņemšanas. Daudzbērnu ģimenēm, lai saņemtu šo atbalstu, ir nepieciešams pieteikties pie elektroenerģijas </w:t>
      </w:r>
      <w:r w:rsidRPr="00F756F1">
        <w:rPr>
          <w:rFonts w:hint="eastAsia"/>
        </w:rPr>
        <w:t>tirgotāja</w:t>
      </w:r>
      <w:r w:rsidRPr="00F756F1">
        <w:t xml:space="preserve">, un atbalsts tiek piešķirts līdz </w:t>
      </w:r>
      <w:r w:rsidRPr="00F756F1">
        <w:rPr>
          <w:rFonts w:hint="eastAsia"/>
        </w:rPr>
        <w:t>kalendārā</w:t>
      </w:r>
      <w:r w:rsidRPr="00F756F1">
        <w:t xml:space="preserve"> gada beigām. </w:t>
      </w:r>
      <w:r>
        <w:t>Ģ</w:t>
      </w:r>
      <w:r w:rsidRPr="00D61F85">
        <w:t>imen</w:t>
      </w:r>
      <w:r>
        <w:t>ēm</w:t>
      </w:r>
      <w:r w:rsidRPr="00D61F85">
        <w:t>, kur</w:t>
      </w:r>
      <w:r>
        <w:t>u</w:t>
      </w:r>
      <w:r w:rsidRPr="00D61F85">
        <w:t xml:space="preserve"> aprūpē ir bērns ar invaliditāti, vai person</w:t>
      </w:r>
      <w:r>
        <w:t>ām</w:t>
      </w:r>
      <w:r w:rsidRPr="00D61F85">
        <w:t xml:space="preserve"> ar I invaliditātes grupu</w:t>
      </w:r>
      <w:r>
        <w:t xml:space="preserve"> arī ir jāpiesakās šim atbalstam, taču atbalsts tiek sniegts </w:t>
      </w:r>
      <w:r w:rsidRPr="00F756F1">
        <w:t>no mēneša, kurā iesniegts pieteikums atbalsta saņemšanai, neatkarīgi no pieteikšanās datuma.</w:t>
      </w:r>
    </w:p>
    <w:p w:rsidR="009B0D76" w:rsidRDefault="009B0D76" w:rsidP="00064C1E"/>
    <w:p w:rsidR="009B0D76" w:rsidRPr="00D539AB" w:rsidRDefault="009B0D76" w:rsidP="00064C1E">
      <w:pPr>
        <w:pStyle w:val="tv213"/>
        <w:shd w:val="clear" w:color="auto" w:fill="FFFFFF"/>
        <w:spacing w:before="0" w:beforeAutospacing="0" w:after="0" w:afterAutospacing="0"/>
        <w:jc w:val="both"/>
      </w:pPr>
      <w:r>
        <w:t xml:space="preserve">26.07.2010. </w:t>
      </w:r>
      <w:r w:rsidR="00EC4311">
        <w:t>Maksātnespējas likuma</w:t>
      </w:r>
      <w:r>
        <w:rPr>
          <w:rStyle w:val="FootnoteReference"/>
          <w:rFonts w:eastAsiaTheme="majorEastAsia"/>
        </w:rPr>
        <w:footnoteReference w:id="283"/>
      </w:r>
      <w:r>
        <w:t xml:space="preserve"> tiesību normas, kas ir saistītas ar Izvērtējuma tēmu mājokļa jomā, ir saistītas ar fizisko personu iespējām saglabāt mājokli parādu gadījumā (pēc būtības šīs tiesību normas aizsargā iedzīvotājus no riska palikt bez mājokļa, ja ir iestājies fiziskas personas maksātnespējas gadījums). Likuma 148. pants nosaka, ka fiziskās personas maksātnespējas procesā var vienoties ar kreditoru </w:t>
      </w:r>
      <w:r w:rsidRPr="00877671">
        <w:t xml:space="preserve">par to, ka netiek pārdots </w:t>
      </w:r>
      <w:r w:rsidRPr="00D539AB">
        <w:t>parādniekam piederošais mājoklis, kas ir ieķīlāts par labu nodrošinātajam kreditoram. Ja ar parādnieku kopā mājoklī, kura kadastrālā vērtība nepārsniedz 142 287 </w:t>
      </w:r>
      <w:r w:rsidR="00235F1B">
        <w:t>EUR,</w:t>
      </w:r>
      <w:r w:rsidRPr="00D539AB">
        <w:t xml:space="preserve"> dzīvo tā apgādībā esošas personas un šis mājoklis ar parādnieku kopā dzīvojošajām un tā apgādībā esošajām personām ir deklarētā dzīvesvieta, šāda mājokļa pārdošanu izsolē ir iespējams atlikt uz laiku līdz vienam gadam no fiziskās personas maksātnespējas procesa pasludināšanas dienas, lai parādnieks sameklētu citu</w:t>
      </w:r>
      <w:r>
        <w:t>. Savukārt, 150.pants par fiziskās personas saistību dzēšanas plānu nosaka, ka šajā plānā tiek norādīts „</w:t>
      </w:r>
      <w:r w:rsidRPr="00147261">
        <w:t xml:space="preserve">parādnieka ienākumu apmērs, kas nepieciešams viņa mājokļa īrei vai lietojuma procentu maksājumiem nodrošinātajam kreditoram, ja parādnieks ir vienojies ar viņu par vienīgā mājokļa saglabāšanu” (otrās daļas piektais punkts). </w:t>
      </w:r>
    </w:p>
    <w:p w:rsidR="009B0D76" w:rsidRDefault="009B0D76" w:rsidP="00064C1E"/>
    <w:p w:rsidR="009B0D76" w:rsidRDefault="009B0D76" w:rsidP="00922A20">
      <w:r>
        <w:lastRenderedPageBreak/>
        <w:t xml:space="preserve">Aprakstot tiesiskajā regulējumā noteiktos atbalsta pasākumus un mērķa grupas mājokļa pieejamības nodrošināšanai, svarīgi ir pieminēt t.s. mājokļa garantiju programmu. Padziļināti šī atbalsta instrumenta izvērtējums mājokļa jomā ir veikts </w:t>
      </w:r>
      <w:r w:rsidRPr="00D55883">
        <w:rPr>
          <w:rFonts w:eastAsia="Times New Roman"/>
          <w:lang w:eastAsia="zh-CN"/>
        </w:rPr>
        <w:t>“Ģimenes valsts politikas pamatnostādņu 2011. – 2017.</w:t>
      </w:r>
      <w:r w:rsidR="00DE1C08">
        <w:rPr>
          <w:rFonts w:eastAsia="Times New Roman"/>
          <w:lang w:eastAsia="zh-CN"/>
        </w:rPr>
        <w:t xml:space="preserve"> </w:t>
      </w:r>
      <w:r w:rsidRPr="00D55883">
        <w:rPr>
          <w:rFonts w:eastAsia="Times New Roman"/>
          <w:lang w:eastAsia="zh-CN"/>
        </w:rPr>
        <w:t xml:space="preserve">gadam </w:t>
      </w:r>
      <w:r w:rsidR="00B2596F">
        <w:rPr>
          <w:rFonts w:eastAsia="Times New Roman"/>
          <w:i/>
          <w:lang w:eastAsia="zh-CN"/>
        </w:rPr>
        <w:t>ex-</w:t>
      </w:r>
      <w:r w:rsidRPr="00EB63A4">
        <w:rPr>
          <w:rFonts w:eastAsia="Times New Roman"/>
          <w:i/>
          <w:lang w:eastAsia="zh-CN"/>
        </w:rPr>
        <w:t>post</w:t>
      </w:r>
      <w:r w:rsidRPr="00D55883">
        <w:rPr>
          <w:rFonts w:eastAsia="Times New Roman"/>
          <w:lang w:eastAsia="zh-CN"/>
        </w:rPr>
        <w:t xml:space="preserve"> novērtējumā”</w:t>
      </w:r>
      <w:r>
        <w:rPr>
          <w:rStyle w:val="FootnoteReference"/>
        </w:rPr>
        <w:footnoteReference w:id="284"/>
      </w:r>
      <w:r>
        <w:t>. Tiesību akti, kas regulē šo programmu, ir aplūkoti arī 3.2.1.</w:t>
      </w:r>
      <w:r w:rsidR="00B977DD">
        <w:t>sadaļā</w:t>
      </w:r>
      <w:r>
        <w:t xml:space="preserve"> par politikas plānošanas dokumentiem un tajos identificētajām problēmām. Tiesiskā regulējuma par valsts atbalstu mājokļa jomā apraksta kontekstā atkārtoti jāuzsver galvenās šīs programmas mērķa grupas, kuras var saņemt valsts garantiju mājokļa iegādei vai būvniecībai:</w:t>
      </w:r>
    </w:p>
    <w:p w:rsidR="009B0D76" w:rsidRDefault="009B0D76" w:rsidP="003F469F">
      <w:pPr>
        <w:pStyle w:val="ListParagraph"/>
        <w:numPr>
          <w:ilvl w:val="0"/>
          <w:numId w:val="125"/>
        </w:numPr>
        <w:spacing w:line="276" w:lineRule="auto"/>
        <w:jc w:val="both"/>
      </w:pPr>
      <w:r>
        <w:t xml:space="preserve">personas, </w:t>
      </w:r>
      <w:r w:rsidRPr="007F48F9">
        <w:t>ar kurām kopā dzīvo un kuru apgādībā ir vismaz viens bērns, kas nav sasniedzis 24 gadu vecumu</w:t>
      </w:r>
      <w:r>
        <w:t xml:space="preserve"> (šai mērķa grupai darījuma summa nepārsniedz </w:t>
      </w:r>
      <w:r w:rsidRPr="00E84E96">
        <w:t>200 000 </w:t>
      </w:r>
      <w:r w:rsidR="00235F1B">
        <w:t xml:space="preserve">EUR </w:t>
      </w:r>
      <w:r>
        <w:t>– šī ir maksimālā iespējamā summa, ja uz atbalstu pretendē ģimene ar trīs un vairāk bērniem</w:t>
      </w:r>
      <w:r w:rsidRPr="00E84E96">
        <w:t>)</w:t>
      </w:r>
      <w:r w:rsidRPr="007F48F9">
        <w:t>;</w:t>
      </w:r>
    </w:p>
    <w:p w:rsidR="009B0D76" w:rsidRPr="00E84E96" w:rsidRDefault="009B0D76" w:rsidP="003F469F">
      <w:pPr>
        <w:pStyle w:val="ListParagraph"/>
        <w:numPr>
          <w:ilvl w:val="0"/>
          <w:numId w:val="125"/>
        </w:numPr>
        <w:spacing w:line="276" w:lineRule="auto"/>
        <w:jc w:val="both"/>
      </w:pPr>
      <w:r>
        <w:t xml:space="preserve">personas, </w:t>
      </w:r>
      <w:r w:rsidRPr="007F48F9">
        <w:t>kuras ieguvušas vidējo profesionālo vai augstāko izglītību un kuras nepārsniedz 35 gadu vecumu</w:t>
      </w:r>
      <w:r>
        <w:t xml:space="preserve"> (</w:t>
      </w:r>
      <w:r w:rsidRPr="009F0C6E">
        <w:t>jaunajiem speciālistiem tiek noteikts garantijas apmērs, proti, personas varēs saņemt garantiju</w:t>
      </w:r>
      <w:r>
        <w:t>,</w:t>
      </w:r>
      <w:r w:rsidRPr="009F0C6E">
        <w:t xml:space="preserve"> kas nepārsniedz 20% no aizdevuma summas, </w:t>
      </w:r>
      <w:r w:rsidRPr="009F0C6E">
        <w:rPr>
          <w:color w:val="000000"/>
        </w:rPr>
        <w:t xml:space="preserve">bet ne vairāk kā 50 000 </w:t>
      </w:r>
      <w:r w:rsidR="00235F1B">
        <w:rPr>
          <w:color w:val="000000"/>
        </w:rPr>
        <w:t>EUR.</w:t>
      </w:r>
      <w:r>
        <w:t>)</w:t>
      </w:r>
      <w:r w:rsidRPr="007F48F9">
        <w:t>.</w:t>
      </w:r>
    </w:p>
    <w:p w:rsidR="009B0D76" w:rsidRDefault="009B0D76" w:rsidP="00064C1E">
      <w:pPr>
        <w:rPr>
          <w:rFonts w:eastAsia="Times New Roman"/>
        </w:rPr>
      </w:pPr>
    </w:p>
    <w:p w:rsidR="009B0D76" w:rsidRDefault="009B0D76" w:rsidP="00064C1E">
      <w:pPr>
        <w:rPr>
          <w:rFonts w:ascii="Arial" w:hAnsi="Arial" w:cs="Arial"/>
          <w:b/>
          <w:bCs/>
          <w:color w:val="414142"/>
          <w:sz w:val="20"/>
          <w:szCs w:val="20"/>
        </w:rPr>
      </w:pPr>
      <w:r>
        <w:t xml:space="preserve">Atsevišķa tiesību aktu grupa regulē valsts atbalstu mājokļa pieejamībai sociālās politikas kontekstā. Aprakstā nav iekļauti </w:t>
      </w:r>
      <w:r w:rsidRPr="00795844">
        <w:t>sociālās aprūpes un sociālās rehabilitācijas institūciju pakalpojumi</w:t>
      </w:r>
      <w:r>
        <w:t>, bet gan tikai tie atbalsta veidi (šajā gadījumā mājokļu tipi) un atbalstāmās grupas, kurām sniegtais atbalsts nodrošina patstāvīgas dzīves apstākļus</w:t>
      </w:r>
      <w:r>
        <w:rPr>
          <w:rFonts w:ascii="Arial" w:hAnsi="Arial" w:cs="Arial"/>
          <w:b/>
          <w:bCs/>
          <w:color w:val="414142"/>
          <w:sz w:val="20"/>
          <w:szCs w:val="20"/>
        </w:rPr>
        <w:t xml:space="preserve">. </w:t>
      </w:r>
    </w:p>
    <w:p w:rsidR="009B0D76" w:rsidRDefault="009B0D76" w:rsidP="00064C1E">
      <w:pPr>
        <w:rPr>
          <w:rFonts w:ascii="Arial" w:hAnsi="Arial" w:cs="Arial"/>
          <w:b/>
          <w:bCs/>
          <w:color w:val="414142"/>
          <w:sz w:val="20"/>
          <w:szCs w:val="20"/>
        </w:rPr>
      </w:pPr>
    </w:p>
    <w:p w:rsidR="00C63F7D" w:rsidRDefault="009B0D76" w:rsidP="00064C1E">
      <w:r>
        <w:t xml:space="preserve">31.10.2002. </w:t>
      </w:r>
      <w:r w:rsidRPr="00E46054">
        <w:t>Sociālo pakalpojum</w:t>
      </w:r>
      <w:r>
        <w:t>u un sociālās palīdzības likums</w:t>
      </w:r>
      <w:r>
        <w:rPr>
          <w:rStyle w:val="FootnoteReference"/>
        </w:rPr>
        <w:footnoteReference w:id="285"/>
      </w:r>
      <w:r>
        <w:t xml:space="preserve"> (9.pants) nosaka, ka p</w:t>
      </w:r>
      <w:r w:rsidRPr="00860EF1">
        <w:t xml:space="preserve">ašvaldībai, kuras teritorijā ir deklarētā personas dzīvesvieta, ir pienākums nodrošināt personai iespēju saņemt tās vajadzībām atbilstošus sociālos pakalpojumus un sociālo palīdzību. Savukārt likuma 1.pantā kā viena no cilvēka pamatvajadzībām ir noteikta arī mājoklis. </w:t>
      </w:r>
      <w:r>
        <w:t xml:space="preserve">Attiecībā uz sociālo palīdzību mājokļa jomā likums nosaka, ka pašvaldība </w:t>
      </w:r>
      <w:r w:rsidRPr="00062361">
        <w:t xml:space="preserve">no pamatbudžeta izmaksā dzīvokļa pabalstu, </w:t>
      </w:r>
      <w:r w:rsidR="00C63F7D">
        <w:t xml:space="preserve">neprecizējot gan tā saturu, </w:t>
      </w:r>
      <w:r w:rsidRPr="00062361">
        <w:t xml:space="preserve">līdz ar to nosakot dzīvokļa pabalstu kā vienu no sociālās palīdzības </w:t>
      </w:r>
      <w:r w:rsidR="00C85101">
        <w:t xml:space="preserve">pabalstu </w:t>
      </w:r>
      <w:r w:rsidRPr="00062361">
        <w:t xml:space="preserve">veidiem. </w:t>
      </w:r>
      <w:r w:rsidR="00C63F7D">
        <w:t xml:space="preserve">Dzīvokļa pabalsta saturs ir skaidrots likumā „Par palīdzību dzīvokļa jautājumu risināšanā”(sk. iepriekš). </w:t>
      </w:r>
      <w:r w:rsidRPr="00062361">
        <w:t>Pabalsts garantētā minimālā ienākuma līmeņa nodrošināšanai un dzīvokļa pabalsts ir pamata sociālā</w:t>
      </w:r>
      <w:r w:rsidR="00C85101">
        <w:t>s</w:t>
      </w:r>
      <w:r w:rsidRPr="00062361">
        <w:t xml:space="preserve"> palīdzība</w:t>
      </w:r>
      <w:r w:rsidR="00C85101">
        <w:t>s pabalsti</w:t>
      </w:r>
      <w:r w:rsidRPr="00062361">
        <w:t xml:space="preserve"> tādā nozīmē, ka tikai tad, ja ir apmierināts pamatots pašvaldības iedzīvotāju pieprasījums pēc pabalsta garantētā minimālā ienākumu līmeņa nodrošināšanai un dzīvokļa pabalsta, pašvaldība, izvērtējot ģimenes (personas) ienākumus, ir tiesīga no pašvaldības pamatbudžeta izmaksāt arī citus </w:t>
      </w:r>
      <w:r w:rsidR="00C85101">
        <w:t xml:space="preserve">sociālās palīdzības </w:t>
      </w:r>
      <w:r w:rsidRPr="00062361">
        <w:t>pabalstus ģimenes (personas) pamatvajadzību apmierināšanai (35.</w:t>
      </w:r>
      <w:r w:rsidR="00D54545">
        <w:t xml:space="preserve"> </w:t>
      </w:r>
      <w:r w:rsidRPr="00062361">
        <w:t>pants).</w:t>
      </w:r>
      <w:r>
        <w:t xml:space="preserve"> Tā kā sociālās palīdzības mērķis ir sniegt </w:t>
      </w:r>
      <w:r w:rsidRPr="00062361">
        <w:t xml:space="preserve">materiālu atbalstu trūcīgām, maznodrošinātām un krīzes situācijā nonākušām ģimenēm (personām), tad šī likuma izpratnē tās ir arī </w:t>
      </w:r>
      <w:r>
        <w:t xml:space="preserve">galvenās </w:t>
      </w:r>
      <w:r w:rsidRPr="00062361">
        <w:t xml:space="preserve">atbalsta saņēmēju mērķa grupas mājokļa jomā. </w:t>
      </w:r>
    </w:p>
    <w:p w:rsidR="009B0D76" w:rsidRDefault="009B0D76" w:rsidP="00064C1E"/>
    <w:p w:rsidR="009B0D76" w:rsidRDefault="009B0D76" w:rsidP="00922A20">
      <w:r>
        <w:t>Likuma 3.</w:t>
      </w:r>
      <w:r w:rsidR="00D54545">
        <w:t xml:space="preserve"> </w:t>
      </w:r>
      <w:r>
        <w:t>pants detalizēt</w:t>
      </w:r>
      <w:r w:rsidR="00C548CE">
        <w:t>i</w:t>
      </w:r>
      <w:r>
        <w:t xml:space="preserve"> nosaka personas (pēc būtības personu pazīmes, pēc kurām iespējams noteikt jau </w:t>
      </w:r>
      <w:r w:rsidR="007713CF">
        <w:t>konkrētas</w:t>
      </w:r>
      <w:r>
        <w:t xml:space="preserve"> grupas), kurām ir tiesības uz sociālajiem pakalpojumiem un sociālo palīdzību, t.sk. atbalstu mājokļa jomā: </w:t>
      </w:r>
    </w:p>
    <w:p w:rsidR="009B0D76" w:rsidRPr="00624B6D" w:rsidRDefault="009B0D76" w:rsidP="003F469F">
      <w:pPr>
        <w:pStyle w:val="ListParagraph"/>
        <w:numPr>
          <w:ilvl w:val="0"/>
          <w:numId w:val="127"/>
        </w:numPr>
        <w:spacing w:line="276" w:lineRule="auto"/>
        <w:jc w:val="both"/>
        <w:rPr>
          <w:rFonts w:eastAsia="Calibri"/>
        </w:rPr>
      </w:pPr>
      <w:r w:rsidRPr="00624B6D">
        <w:rPr>
          <w:rFonts w:eastAsia="Calibri"/>
        </w:rPr>
        <w:t>Latvijas pilsoņi un nepilsoņi un viņu ģimenes locekļi</w:t>
      </w:r>
      <w:r>
        <w:rPr>
          <w:rFonts w:eastAsia="Calibri"/>
        </w:rPr>
        <w:t xml:space="preserve"> (pēc būtības visi Latvijas iedzīvotāji)</w:t>
      </w:r>
      <w:r w:rsidRPr="00624B6D">
        <w:rPr>
          <w:rFonts w:eastAsia="Calibri"/>
        </w:rPr>
        <w:t>;</w:t>
      </w:r>
    </w:p>
    <w:p w:rsidR="009B0D76" w:rsidRPr="00624B6D" w:rsidRDefault="009B0D76" w:rsidP="003F469F">
      <w:pPr>
        <w:pStyle w:val="ListParagraph"/>
        <w:numPr>
          <w:ilvl w:val="0"/>
          <w:numId w:val="127"/>
        </w:numPr>
        <w:spacing w:line="276" w:lineRule="auto"/>
        <w:jc w:val="both"/>
        <w:rPr>
          <w:rFonts w:eastAsia="Calibri"/>
        </w:rPr>
      </w:pPr>
      <w:r w:rsidRPr="00624B6D">
        <w:rPr>
          <w:rFonts w:eastAsia="Calibri"/>
        </w:rPr>
        <w:lastRenderedPageBreak/>
        <w:t xml:space="preserve">ārzemnieki, kuriem izsniegta pastāvīgās uzturēšanās atļauja vai piešķirts </w:t>
      </w:r>
      <w:r>
        <w:rPr>
          <w:rFonts w:eastAsia="Calibri"/>
        </w:rPr>
        <w:t>ES</w:t>
      </w:r>
      <w:r w:rsidRPr="00624B6D">
        <w:rPr>
          <w:rFonts w:eastAsia="Calibri"/>
        </w:rPr>
        <w:t xml:space="preserve"> pastāvīgā iedzīvotāja statuss Latvijas Republikā, un viņu ģimenes locekļi;</w:t>
      </w:r>
    </w:p>
    <w:p w:rsidR="009B0D76" w:rsidRPr="00624B6D" w:rsidRDefault="009B0D76" w:rsidP="003F469F">
      <w:pPr>
        <w:pStyle w:val="ListParagraph"/>
        <w:numPr>
          <w:ilvl w:val="0"/>
          <w:numId w:val="127"/>
        </w:numPr>
        <w:spacing w:line="276" w:lineRule="auto"/>
        <w:jc w:val="both"/>
        <w:rPr>
          <w:rFonts w:eastAsia="Calibri"/>
        </w:rPr>
      </w:pPr>
      <w:r>
        <w:rPr>
          <w:rFonts w:eastAsia="Calibri"/>
        </w:rPr>
        <w:t>ES</w:t>
      </w:r>
      <w:r w:rsidRPr="00624B6D">
        <w:rPr>
          <w:rFonts w:eastAsia="Calibri"/>
        </w:rPr>
        <w:t xml:space="preserve"> dalībvalstu, Eiropas Ekonomikas zonas valstu un Šveices Konfederācijas pilsoņi (likums nosaka gan vēl papildus nosacījumu šai grupai attiecībā uz uzturēšanās ilgumu un darba tiesiskajām attiecībām);</w:t>
      </w:r>
    </w:p>
    <w:p w:rsidR="009B0D76" w:rsidRPr="00624B6D" w:rsidRDefault="009B0D76" w:rsidP="003F469F">
      <w:pPr>
        <w:pStyle w:val="ListParagraph"/>
        <w:numPr>
          <w:ilvl w:val="0"/>
          <w:numId w:val="127"/>
        </w:numPr>
        <w:spacing w:line="276" w:lineRule="auto"/>
        <w:jc w:val="both"/>
        <w:rPr>
          <w:rFonts w:eastAsia="Calibri"/>
        </w:rPr>
      </w:pPr>
      <w:r w:rsidRPr="00624B6D">
        <w:rPr>
          <w:rFonts w:eastAsia="Calibri"/>
        </w:rPr>
        <w:t xml:space="preserve">patversmes un naktspatversmes pakalpojumus, kā arī pašvaldības </w:t>
      </w:r>
      <w:r w:rsidR="007713CF" w:rsidRPr="00624B6D">
        <w:rPr>
          <w:rFonts w:eastAsia="Calibri"/>
        </w:rPr>
        <w:t>piešķirtu</w:t>
      </w:r>
      <w:r w:rsidRPr="00624B6D">
        <w:rPr>
          <w:rFonts w:eastAsia="Calibri"/>
        </w:rPr>
        <w:t xml:space="preserve"> dzīvokļa pabalstu ir tiesības saņemt arī personām ar alternatīvo statusu un viņu ģimenes locekļiem.</w:t>
      </w:r>
    </w:p>
    <w:p w:rsidR="009B0D76" w:rsidRDefault="009B0D76" w:rsidP="00922A20"/>
    <w:p w:rsidR="009B0D76" w:rsidRDefault="009B0D76" w:rsidP="00922A20">
      <w:r>
        <w:t xml:space="preserve">Papildus </w:t>
      </w:r>
      <w:r w:rsidRPr="00E46054">
        <w:t>Sociālo pakalpojum</w:t>
      </w:r>
      <w:r>
        <w:t>u un sociālās palīdzības likums ļauj identificēt atbalstu mājokļa jautājumos specifiskām grupām, t.sk.:</w:t>
      </w:r>
    </w:p>
    <w:p w:rsidR="009B0D76" w:rsidRPr="00795844" w:rsidRDefault="009B0D76" w:rsidP="003F469F">
      <w:pPr>
        <w:pStyle w:val="ListParagraph"/>
        <w:numPr>
          <w:ilvl w:val="0"/>
          <w:numId w:val="126"/>
        </w:numPr>
        <w:spacing w:line="276" w:lineRule="auto"/>
        <w:jc w:val="both"/>
        <w:rPr>
          <w:rFonts w:eastAsia="Calibri"/>
        </w:rPr>
      </w:pPr>
      <w:r w:rsidRPr="00795844">
        <w:rPr>
          <w:rFonts w:eastAsia="Calibri"/>
        </w:rPr>
        <w:t>personām ar garīga rakstura traucējumiem, kurām ir objektīvas grūtības dzīvot patstāvīgi, bet nav nepieciešama atrašanās ilgstošas sociālās aprūpes un sociālās rehabilitācijas institūcijā; mājoklis ir nodrošināms grupu mājā (dzīvoklī)</w:t>
      </w:r>
      <w:r>
        <w:rPr>
          <w:rFonts w:eastAsia="Calibri"/>
        </w:rPr>
        <w:t xml:space="preserve"> </w:t>
      </w:r>
      <w:r>
        <w:t>(</w:t>
      </w:r>
      <w:r w:rsidRPr="00795844">
        <w:t>27.</w:t>
      </w:r>
      <w:r w:rsidRPr="00795844">
        <w:rPr>
          <w:vertAlign w:val="superscript"/>
        </w:rPr>
        <w:t>1</w:t>
      </w:r>
      <w:r w:rsidRPr="00795844">
        <w:t> pants</w:t>
      </w:r>
      <w:r>
        <w:t>)</w:t>
      </w:r>
      <w:r w:rsidRPr="00795844">
        <w:rPr>
          <w:rFonts w:eastAsia="Calibri"/>
        </w:rPr>
        <w:t>;</w:t>
      </w:r>
    </w:p>
    <w:p w:rsidR="009B0D76" w:rsidRDefault="009B0D76" w:rsidP="003F469F">
      <w:pPr>
        <w:pStyle w:val="ListParagraph"/>
        <w:numPr>
          <w:ilvl w:val="0"/>
          <w:numId w:val="126"/>
        </w:numPr>
        <w:spacing w:line="276" w:lineRule="auto"/>
        <w:jc w:val="both"/>
        <w:rPr>
          <w:rFonts w:eastAsia="Calibri"/>
        </w:rPr>
      </w:pPr>
      <w:r w:rsidRPr="00795844">
        <w:rPr>
          <w:rFonts w:eastAsia="Calibri"/>
        </w:rPr>
        <w:t>personām ar smagiem funkcionāliem traucējumiem nodrošina iespēj</w:t>
      </w:r>
      <w:r>
        <w:rPr>
          <w:rFonts w:eastAsia="Calibri"/>
        </w:rPr>
        <w:t xml:space="preserve">u dzīvot servisa dzīvoklī, nodrošinot </w:t>
      </w:r>
      <w:r w:rsidRPr="00795844">
        <w:rPr>
          <w:rFonts w:eastAsia="Calibri"/>
        </w:rPr>
        <w:t>neatkarīgas dzīves iespējas un palielinot šīs personas sociālās funkcionēšanas un pašaprūpes spējas</w:t>
      </w:r>
      <w:r>
        <w:rPr>
          <w:rFonts w:eastAsia="Calibri"/>
        </w:rPr>
        <w:t xml:space="preserve"> </w:t>
      </w:r>
      <w:r>
        <w:t>(</w:t>
      </w:r>
      <w:r w:rsidRPr="00795844">
        <w:t>27.</w:t>
      </w:r>
      <w:r w:rsidRPr="00795844">
        <w:rPr>
          <w:vertAlign w:val="superscript"/>
        </w:rPr>
        <w:t>1</w:t>
      </w:r>
      <w:r w:rsidRPr="00795844">
        <w:t> pants</w:t>
      </w:r>
      <w:r>
        <w:t>)</w:t>
      </w:r>
      <w:r>
        <w:rPr>
          <w:rFonts w:eastAsia="Calibri"/>
        </w:rPr>
        <w:t>;</w:t>
      </w:r>
    </w:p>
    <w:p w:rsidR="009B0D76" w:rsidRDefault="009B0D76" w:rsidP="003F469F">
      <w:pPr>
        <w:pStyle w:val="ListParagraph"/>
        <w:numPr>
          <w:ilvl w:val="0"/>
          <w:numId w:val="126"/>
        </w:numPr>
        <w:spacing w:line="276" w:lineRule="auto"/>
        <w:jc w:val="both"/>
        <w:rPr>
          <w:rFonts w:eastAsia="Calibri"/>
        </w:rPr>
      </w:pPr>
      <w:r>
        <w:rPr>
          <w:rFonts w:eastAsia="Calibri"/>
        </w:rPr>
        <w:t xml:space="preserve">bezpajumtniekiem jeb personām bez noteiktas dzīves vietas ir iespēja saņemt patversmes vai nakts patversmes pakalpojumus, saņemot </w:t>
      </w:r>
      <w:r w:rsidRPr="00062361">
        <w:rPr>
          <w:rFonts w:eastAsia="Calibri"/>
        </w:rPr>
        <w:t>īslaicīgas uzturēšanās iespējas, uzturu, personiskās higiēnas iespējas un sociālā darba speciālistu pakalpojumus</w:t>
      </w:r>
      <w:r>
        <w:rPr>
          <w:rFonts w:eastAsia="Calibri"/>
        </w:rPr>
        <w:t>; (1.pants) (papildus šīs grupas situācija mājokļa jomā ir aplūkota 3.4. sadaļā).</w:t>
      </w:r>
    </w:p>
    <w:p w:rsidR="00C63F7D" w:rsidRDefault="00C63F7D" w:rsidP="00922A20"/>
    <w:p w:rsidR="009B0D76" w:rsidRDefault="009B0D76" w:rsidP="00922A20">
      <w:r>
        <w:t xml:space="preserve">Saistībā ar iespējām dzīvot grupu mājā jāmin arī </w:t>
      </w:r>
      <w:r w:rsidRPr="00EF56E5">
        <w:t>04.12.2007. MK noteikumi Nr. 849 “Noteikumi par dienas centru, grupu māju (dzīvokļu) un pusceļa māju izveidošanas un uzturēšanas izdevumu līdzfinansēšanu”</w:t>
      </w:r>
      <w:r>
        <w:rPr>
          <w:rStyle w:val="FootnoteReference"/>
        </w:rPr>
        <w:footnoteReference w:id="286"/>
      </w:r>
      <w:r>
        <w:t xml:space="preserve">, kuru 25. pantā noteikts, ka </w:t>
      </w:r>
      <w:r w:rsidR="00EC4311">
        <w:t>i</w:t>
      </w:r>
      <w:r w:rsidRPr="00967077">
        <w:t>zdevumus par grupu dzīvokļa pakalpojumu sedz no pašvaldības budžeta</w:t>
      </w:r>
      <w:r>
        <w:t xml:space="preserve">. Atbalstu grupu māju izveidošanā un uzturēšanā sniedz arī valsts atbilstoši Sociālo </w:t>
      </w:r>
      <w:r w:rsidRPr="00E46054">
        <w:t>pakalpojum</w:t>
      </w:r>
      <w:r>
        <w:t xml:space="preserve">u un sociālās palīdzības likuma 13.panta piektajā un sestajā daļā noteiktajam (attiecībā uz uzturēšanās izdevumiem šādā mājoklī valsts sedz 50 procentus no vienai personai </w:t>
      </w:r>
      <w:r w:rsidRPr="00967077">
        <w:t>paredzētajām ilgstošas sociālās aprūpes un sociālās rehabilitācijas institūcijas uzturēšanas izmaksām tām personām ar garīga rakstura traucējumiem, kuras atgriežas no ilgstošas sociālās aprūpes un sociālās rehabilitācijas institūcijām)</w:t>
      </w:r>
      <w:r>
        <w:t xml:space="preserve">. </w:t>
      </w:r>
    </w:p>
    <w:p w:rsidR="0087222F" w:rsidRDefault="0087222F" w:rsidP="00922A20"/>
    <w:p w:rsidR="009B0D76" w:rsidRDefault="009B0D76" w:rsidP="00922A20">
      <w:r>
        <w:t>01.01.2011. Invaliditātes likums</w:t>
      </w:r>
      <w:r>
        <w:rPr>
          <w:rStyle w:val="FootnoteReference"/>
        </w:rPr>
        <w:footnoteReference w:id="287"/>
      </w:r>
      <w:r>
        <w:t xml:space="preserve"> nosaka invaliditātes seku mazināšanas pasākumus, t.sk. </w:t>
      </w:r>
      <w:r w:rsidRPr="00062361">
        <w:t>nodrošinot iespēju saņemt atbalstu viena mājokļa pielāgošanai personām ar I grupas invaliditāti, personām ar II grupas redzes vai dzirdes invaliditāti un personām līdz 18 gadu vecumam, kurām noteiktas medicīniskās indikācijas bērna ar invaliditāti īpašas kopšanas nepieciešamībai</w:t>
      </w:r>
      <w:r w:rsidR="007C28AD">
        <w:t>.</w:t>
      </w:r>
    </w:p>
    <w:p w:rsidR="009B0D76" w:rsidRDefault="009B0D76" w:rsidP="00922A20"/>
    <w:p w:rsidR="009B0D76" w:rsidRDefault="009B0D76" w:rsidP="00922A20">
      <w:r w:rsidRPr="005A79CF">
        <w:t>2017.</w:t>
      </w:r>
      <w:r w:rsidR="00D54545">
        <w:t xml:space="preserve"> </w:t>
      </w:r>
      <w:r w:rsidRPr="005A79CF">
        <w:t>gada septembrī publicētais Ekonomiskās sadarbības un attīstības organizācijas (OECD) ekonomikas pārskats par Latviju</w:t>
      </w:r>
      <w:r>
        <w:rPr>
          <w:rStyle w:val="FootnoteReference"/>
        </w:rPr>
        <w:footnoteReference w:id="288"/>
      </w:r>
      <w:r w:rsidRPr="005A79CF">
        <w:t xml:space="preserve"> liecina, ka Latvijas valsts izdevumi sociālajiem mājokļiem un mājokļu pabalsti mājsaimniecībām ar zemu ienākumu līmeni ir vieni no zemākajiem OECD. </w:t>
      </w:r>
      <w:r>
        <w:t>Ziņojumā pausta nostāja, ka m</w:t>
      </w:r>
      <w:r w:rsidRPr="005A79CF">
        <w:t xml:space="preserve">ājokļu pabalsti maznodrošinātām personu kategorijām, apmaksājot īri </w:t>
      </w:r>
      <w:r w:rsidRPr="005A79CF">
        <w:lastRenderedPageBreak/>
        <w:t>privātajā sektorā, nebūs efektīvi tik ilgi, kamēr privātais mājokļu tirgus nebūs pienācīgi attīstīts. Tādējādi tuvākajā laikā kā risinājums būtu nepieciešams pietiekams sociālo mājokļu daudzums, lai uzlabotu mājokļu pieejamību mājsaimniecībām ar zemiem ienākumiem.</w:t>
      </w:r>
      <w:r w:rsidRPr="005A79CF">
        <w:rPr>
          <w:rStyle w:val="FootnoteReference"/>
          <w:sz w:val="20"/>
          <w:szCs w:val="20"/>
        </w:rPr>
        <w:footnoteReference w:id="289"/>
      </w:r>
      <w:r>
        <w:t xml:space="preserve"> </w:t>
      </w:r>
    </w:p>
    <w:p w:rsidR="009B0D76" w:rsidRDefault="009B0D76" w:rsidP="00922A20"/>
    <w:p w:rsidR="009B0D76" w:rsidRDefault="009B0D76" w:rsidP="00922A20">
      <w:r>
        <w:t>Latvijas valsts sociālās politikas dienas kārtībā jautājums par sociālo māju uzturēšanu nonāca 1997.</w:t>
      </w:r>
      <w:r w:rsidR="00D54545">
        <w:t xml:space="preserve"> </w:t>
      </w:r>
      <w:r>
        <w:t xml:space="preserve">gadā, kad tika pieņems likums “Par sociālajiem dzīvokļiem un sociālajām dzīvojamām mājām” (12.06.1997.). Likums nosaka </w:t>
      </w:r>
      <w:r w:rsidRPr="000A0FCC">
        <w:t>personu loku, kuras ir tiesīgas īrēt sociālos dzīvokļus, kā arī kārtību, kādā tiek sniegta sociālā palīdzība, izīrējot sociālos dzīvokļus</w:t>
      </w:r>
      <w:r>
        <w:t>. Likums līdz šim ir grozīts vien trīs reizes (13.11.2008., 14.01.2010. un 11.10.2018.), turklāt būtiskākie grozījumi ir tieši 2018.</w:t>
      </w:r>
      <w:r w:rsidR="00D54545">
        <w:t xml:space="preserve"> </w:t>
      </w:r>
      <w:r>
        <w:t>gadā veiktie, kas stājās spēkā 2019.</w:t>
      </w:r>
      <w:r w:rsidR="00D54545">
        <w:t xml:space="preserve"> </w:t>
      </w:r>
      <w:r>
        <w:t>gada 1.</w:t>
      </w:r>
      <w:r w:rsidR="00D54545">
        <w:t xml:space="preserve"> </w:t>
      </w:r>
      <w:r>
        <w:t>janvārī ar mērķi veicināt personu ar invaliditāti sociālo iekļaušanos</w:t>
      </w:r>
      <w:r>
        <w:rPr>
          <w:rStyle w:val="FootnoteReference"/>
        </w:rPr>
        <w:footnoteReference w:id="290"/>
      </w:r>
      <w:r>
        <w:t xml:space="preserve">. Ja līdz šim sociālā māja varēja būt māja, kurā ir tikai pašvaldības īpašumā vai nomā esoši sociālie dzīvokļi, tad līdz ar jaunajiem grozījumiem tā var būt arī </w:t>
      </w:r>
      <w:r w:rsidRPr="000A0FCC">
        <w:t>biedrības vai nodibinājuma, kas dibināts ar mērķi aizstāvēt personu ar invaliditāti intereses, īpašumā esoša dzīvojamā māja</w:t>
      </w:r>
      <w:r>
        <w:t xml:space="preserve">, kura ir pielāgota personām ar visa veida invaliditāti un kurā dzīvokļi tiek izīrēti ar īres maksas atvieglojumiem. </w:t>
      </w:r>
      <w:r w:rsidRPr="000A0FCC">
        <w:t xml:space="preserve"> </w:t>
      </w:r>
      <w:r>
        <w:t xml:space="preserve">Šādas sociālās mājas var tikt izveidotas pēc pašvaldības deleģējuma nevalstiskajām organizācijām. </w:t>
      </w:r>
    </w:p>
    <w:p w:rsidR="009B0D76" w:rsidRDefault="009B0D76" w:rsidP="00922A20"/>
    <w:p w:rsidR="009B0D76" w:rsidRPr="00BD6968" w:rsidRDefault="009B0D76" w:rsidP="00922A20">
      <w:r>
        <w:t>Sociālā dzīvokļa kā mājokļa pieejamības atbalsta instr</w:t>
      </w:r>
      <w:r w:rsidR="007713CF">
        <w:t>u</w:t>
      </w:r>
      <w:r>
        <w:t>menta būtība ir samazināti izdevumi par mājokli. Likuma 12. pants nosaka, ka s</w:t>
      </w:r>
      <w:r w:rsidRPr="0032523D">
        <w:t>ociālā dzīvokļa īres maksu nosaka attiecīgā pašvaldība</w:t>
      </w:r>
      <w:r>
        <w:t>, un šai maksai j</w:t>
      </w:r>
      <w:r w:rsidRPr="0032523D">
        <w:t>ābūt zemākai par īres maksu, kas noteikta attiecīgās kategorijas pašvaldības dzīvokļiem. Pašvaldība var arī segt daļu no maksas par komunālajiem pakalpojumiem.</w:t>
      </w:r>
      <w:r>
        <w:t xml:space="preserve"> </w:t>
      </w:r>
      <w:r w:rsidRPr="00BD6968">
        <w:t>30.06.1998. MK noteikumi Nr. 233 „Noteikumi par dokumentiem, kas apliecina personas (ģimenes) tiesības īrēt sociālo dzīvokli, un dzīvokļa kopējās platības normām”</w:t>
      </w:r>
      <w:r w:rsidRPr="00B2596F">
        <w:rPr>
          <w:vertAlign w:val="superscript"/>
        </w:rPr>
        <w:footnoteReference w:id="291"/>
      </w:r>
      <w:r w:rsidRPr="00BD6968">
        <w:t xml:space="preserve"> nosaka, ka sociālā dzīvokļa statusu var noteikt dzīvoklim, kura kopējā platība nepārsniedz 20 m</w:t>
      </w:r>
      <w:r w:rsidRPr="00B2596F">
        <w:rPr>
          <w:vertAlign w:val="superscript"/>
        </w:rPr>
        <w:t>2</w:t>
      </w:r>
      <w:r w:rsidRPr="00BD6968">
        <w:t> uz pirmo personu un 15 m2 uz katru nākamo personu dzīvokli, kurā dzīvo vairākas personas, un 35 m</w:t>
      </w:r>
      <w:r w:rsidRPr="00B2596F">
        <w:rPr>
          <w:vertAlign w:val="superscript"/>
        </w:rPr>
        <w:t>2</w:t>
      </w:r>
      <w:r w:rsidRPr="00BD6968">
        <w:t xml:space="preserve"> vienistabas dzīvoklim, kurā dzīvo viena persona.</w:t>
      </w:r>
    </w:p>
    <w:p w:rsidR="009B0D76" w:rsidRDefault="009B0D76" w:rsidP="00922A20"/>
    <w:p w:rsidR="009B0D76" w:rsidRDefault="009B0D76" w:rsidP="00922A20">
      <w:r>
        <w:t xml:space="preserve">Likuma 3.pants nosaka, ka  tiesības īrēt sociālo dzīvokli ir šādām personu grupām (atbalsta saņēmēju mērķa grupas): </w:t>
      </w:r>
    </w:p>
    <w:p w:rsidR="009B0D76" w:rsidRDefault="009B0D76" w:rsidP="003F469F">
      <w:pPr>
        <w:pStyle w:val="ListParagraph"/>
        <w:numPr>
          <w:ilvl w:val="0"/>
          <w:numId w:val="128"/>
        </w:numPr>
        <w:spacing w:line="276" w:lineRule="auto"/>
        <w:jc w:val="both"/>
      </w:pPr>
      <w:r>
        <w:t xml:space="preserve">maznodrošinātām (atbilstoši likuma “Par palīdzību dzīvokļa jautājumu risināšanā” noteikumiem) un trūcīgām personām (atbilstoši Sociālo pakalpojumu un sociālās palīdzības likuma noteikumiem), kuras ir </w:t>
      </w:r>
      <w:r w:rsidRPr="00535185">
        <w:t>izteiku</w:t>
      </w:r>
      <w:r>
        <w:t>šas</w:t>
      </w:r>
      <w:r w:rsidRPr="00535185">
        <w:t xml:space="preserve"> vēlēšanos īrēt sociālo dzīvokli</w:t>
      </w:r>
      <w:r>
        <w:t>;</w:t>
      </w:r>
    </w:p>
    <w:p w:rsidR="009B0D76" w:rsidRDefault="009B0D76" w:rsidP="003F469F">
      <w:pPr>
        <w:pStyle w:val="ListParagraph"/>
        <w:numPr>
          <w:ilvl w:val="0"/>
          <w:numId w:val="128"/>
        </w:numPr>
        <w:spacing w:line="276" w:lineRule="auto"/>
        <w:jc w:val="both"/>
      </w:pPr>
      <w:r w:rsidRPr="00535185">
        <w:t>bāre</w:t>
      </w:r>
      <w:r>
        <w:t xml:space="preserve">ņiem, kas </w:t>
      </w:r>
      <w:r w:rsidRPr="00535185">
        <w:t>nav nodrošināt</w:t>
      </w:r>
      <w:r>
        <w:t>i</w:t>
      </w:r>
      <w:r w:rsidRPr="00535185">
        <w:t xml:space="preserve"> ar dzīvojamo telpu</w:t>
      </w:r>
      <w:r>
        <w:t xml:space="preserve">; </w:t>
      </w:r>
    </w:p>
    <w:p w:rsidR="009B0D76" w:rsidRPr="008875E9" w:rsidRDefault="009B0D76" w:rsidP="003F469F">
      <w:pPr>
        <w:pStyle w:val="ListParagraph"/>
        <w:numPr>
          <w:ilvl w:val="0"/>
          <w:numId w:val="128"/>
        </w:numPr>
        <w:spacing w:line="276" w:lineRule="auto"/>
        <w:jc w:val="both"/>
      </w:pPr>
      <w:r>
        <w:t>personām</w:t>
      </w:r>
      <w:r w:rsidRPr="008875E9">
        <w:t xml:space="preserve"> ar invaliditāti; </w:t>
      </w:r>
    </w:p>
    <w:p w:rsidR="009B0D76" w:rsidRDefault="009B0D76" w:rsidP="003F469F">
      <w:pPr>
        <w:pStyle w:val="ListParagraph"/>
        <w:numPr>
          <w:ilvl w:val="0"/>
          <w:numId w:val="128"/>
        </w:numPr>
        <w:spacing w:line="276" w:lineRule="auto"/>
        <w:jc w:val="both"/>
      </w:pPr>
      <w:r w:rsidRPr="008875E9">
        <w:t>personām, kuras aprūpē bērnu ar invaliditāti vai pilngadīgu personu ar invaliditāti</w:t>
      </w:r>
      <w:r>
        <w:t>.</w:t>
      </w:r>
      <w:r w:rsidRPr="008875E9">
        <w:t xml:space="preserve">  </w:t>
      </w:r>
    </w:p>
    <w:p w:rsidR="009B0D76" w:rsidRDefault="009B0D76" w:rsidP="00064C1E">
      <w:r>
        <w:t xml:space="preserve">Bez minētajām grupām pašvaldība var noteikt </w:t>
      </w:r>
      <w:r w:rsidRPr="008875E9">
        <w:t>atvieglotus nosacījumus personas (ģimenes) atzīšanai par tiesīgu īrēt sociālo dzīvokli</w:t>
      </w:r>
      <w:r>
        <w:t>.</w:t>
      </w:r>
    </w:p>
    <w:p w:rsidR="00266C8E" w:rsidRDefault="00266C8E" w:rsidP="00064C1E"/>
    <w:p w:rsidR="009B0D76" w:rsidRDefault="009B0D76" w:rsidP="003945E0">
      <w:pPr>
        <w:pStyle w:val="Heading3"/>
      </w:pPr>
      <w:bookmarkStart w:id="583" w:name="_Toc6841622"/>
      <w:r>
        <w:lastRenderedPageBreak/>
        <w:t>Pašvaldību noteiktie atvieglojumi trūcīgām un maznodrošinātām personām, kā arī nabadzības riskam pakļautajām iedzīvotāju grupām mājokļa pieejamības jomā</w:t>
      </w:r>
      <w:bookmarkEnd w:id="573"/>
      <w:bookmarkEnd w:id="583"/>
      <w:r>
        <w:t xml:space="preserve">   </w:t>
      </w:r>
    </w:p>
    <w:p w:rsidR="009B0D76" w:rsidRDefault="009B0D76" w:rsidP="00064C1E">
      <w:r w:rsidRPr="00E75D7D">
        <w:t>Bals</w:t>
      </w:r>
      <w:r>
        <w:t xml:space="preserve">toties uz vortālā </w:t>
      </w:r>
      <w:r w:rsidRPr="00E75D7D">
        <w:rPr>
          <w:i/>
        </w:rPr>
        <w:t>likumi.lv</w:t>
      </w:r>
      <w:r>
        <w:t xml:space="preserve"> un pašvaldību interneta vietnēs </w:t>
      </w:r>
      <w:r w:rsidRPr="00E75D7D">
        <w:t>publiski pieej</w:t>
      </w:r>
      <w:r>
        <w:t xml:space="preserve">amiem pašvaldību saistošajiem noteikumiem, </w:t>
      </w:r>
      <w:r w:rsidRPr="008A0525">
        <w:t>ir veikt</w:t>
      </w:r>
      <w:r>
        <w:t>s</w:t>
      </w:r>
      <w:r w:rsidRPr="008A0525">
        <w:t xml:space="preserve"> </w:t>
      </w:r>
      <w:r w:rsidRPr="00195270">
        <w:t>119</w:t>
      </w:r>
      <w:r w:rsidRPr="008A0525">
        <w:t xml:space="preserve"> pašvaldību</w:t>
      </w:r>
      <w:r>
        <w:t xml:space="preserve"> apsekojums ar mērķi veikt</w:t>
      </w:r>
      <w:r w:rsidRPr="008A0525">
        <w:t xml:space="preserve"> saistošo noteikumu </w:t>
      </w:r>
      <w:r w:rsidRPr="007713CF">
        <w:t xml:space="preserve">analīzi par pieejamajiem atvieglojumiem dažādām iedzīvotāju grupām mājokļa jomā (sk. </w:t>
      </w:r>
      <w:r w:rsidR="00E32403">
        <w:t>12</w:t>
      </w:r>
      <w:r w:rsidRPr="007713CF">
        <w:t xml:space="preserve">.pielikumu). Šajā sadaļā ir apkopoti pašvaldību dokumentu analīzes rezultāti par pašvaldībās noteiktajiem atvieglojumu veidiem un mērķa grupām, kurām tie ir pieejami. </w:t>
      </w:r>
    </w:p>
    <w:p w:rsidR="00632157" w:rsidRDefault="00632157" w:rsidP="00064C1E"/>
    <w:p w:rsidR="00632157" w:rsidRDefault="00632157" w:rsidP="00064C1E">
      <w:r w:rsidRPr="00454E1F">
        <w:rPr>
          <w:b/>
        </w:rPr>
        <w:t xml:space="preserve">14 pašvaldībās nav </w:t>
      </w:r>
      <w:r w:rsidR="00963138">
        <w:rPr>
          <w:b/>
        </w:rPr>
        <w:t>identificēti atsevišķi saistošie</w:t>
      </w:r>
      <w:r w:rsidRPr="00454E1F">
        <w:rPr>
          <w:b/>
        </w:rPr>
        <w:t xml:space="preserve"> noteikum</w:t>
      </w:r>
      <w:r w:rsidR="00963138">
        <w:rPr>
          <w:b/>
        </w:rPr>
        <w:t>i</w:t>
      </w:r>
      <w:r w:rsidRPr="00454E1F">
        <w:rPr>
          <w:b/>
        </w:rPr>
        <w:t>, kas noteiktu palīdzību dzīvokļa jautājuma risināšanā</w:t>
      </w:r>
      <w:r w:rsidRPr="00541A06">
        <w:t xml:space="preserve"> (Aglonas novads, Amatas novads, Carnikavas novads, </w:t>
      </w:r>
      <w:r>
        <w:t xml:space="preserve">Cesvaines novads, </w:t>
      </w:r>
      <w:r w:rsidRPr="00541A06">
        <w:t xml:space="preserve">Ērgļu novads, </w:t>
      </w:r>
      <w:r>
        <w:t xml:space="preserve">Iecavas novads, </w:t>
      </w:r>
      <w:r w:rsidRPr="00541A06">
        <w:t>Mērsraga novads, Naukšēnu novads, Pār</w:t>
      </w:r>
      <w:r>
        <w:t xml:space="preserve">gaujas novads, Ropažu novads, Rūjienas novads, Salacgrīvas novads, </w:t>
      </w:r>
      <w:r w:rsidRPr="00541A06">
        <w:t>Vaiņodes novads</w:t>
      </w:r>
      <w:r>
        <w:t>, Varakļānu novads</w:t>
      </w:r>
      <w:r w:rsidRPr="00541A06">
        <w:t>)</w:t>
      </w:r>
      <w:r>
        <w:t>. Kā skaidroja n</w:t>
      </w:r>
      <w:r w:rsidRPr="00B91E4B">
        <w:t>orādītās pašvaldīb</w:t>
      </w:r>
      <w:r>
        <w:t>a</w:t>
      </w:r>
      <w:r w:rsidRPr="00B91E4B">
        <w:t>s</w:t>
      </w:r>
      <w:r>
        <w:t>,</w:t>
      </w:r>
      <w:r w:rsidRPr="00B91E4B">
        <w:t xml:space="preserve"> palīdzība tiek nodrošināta </w:t>
      </w:r>
      <w:r>
        <w:t>l</w:t>
      </w:r>
      <w:r w:rsidRPr="00454E1F">
        <w:t>ikuma</w:t>
      </w:r>
      <w:r w:rsidR="00D54545">
        <w:t xml:space="preserve"> “Par palīdzību dzīvokļa jautājumu risināšanā”</w:t>
      </w:r>
      <w:r>
        <w:t xml:space="preserve"> </w:t>
      </w:r>
      <w:r w:rsidRPr="00B91E4B">
        <w:t>ietvaros.</w:t>
      </w:r>
      <w:r>
        <w:t xml:space="preserve"> Savukārt Garkalnes novadā ir saistošie noteikumi, kas nosaka palīdzību, taču tie nav publisk</w:t>
      </w:r>
      <w:r w:rsidR="00D54545">
        <w:t>i</w:t>
      </w:r>
      <w:r>
        <w:t xml:space="preserve"> pieejami.</w:t>
      </w:r>
    </w:p>
    <w:p w:rsidR="009B0D76" w:rsidRDefault="009B0D76" w:rsidP="00064C1E"/>
    <w:p w:rsidR="009B0D76" w:rsidRDefault="009B0D76" w:rsidP="00064C1E">
      <w:r w:rsidRPr="00E46054">
        <w:t xml:space="preserve">Pašvaldību sniegtos atvieglojumu veidus mājokļu jomā, iespējams iedalīt piecās grupās: (1) atbalsts, kas saistīts ar dzīvojamās telpas nodrošināšanu, (2) </w:t>
      </w:r>
      <w:r w:rsidR="00963138">
        <w:t>pabalsts</w:t>
      </w:r>
      <w:r w:rsidRPr="00E46054">
        <w:t xml:space="preserve"> </w:t>
      </w:r>
      <w:r w:rsidR="00266C8E">
        <w:t>dzīvojamās telpas atbrīvošanai</w:t>
      </w:r>
      <w:r w:rsidRPr="00E46054">
        <w:t xml:space="preserve">, (3) </w:t>
      </w:r>
      <w:r w:rsidR="00963138">
        <w:t xml:space="preserve">pabalsts ar </w:t>
      </w:r>
      <w:r w:rsidRPr="00E46054">
        <w:t>mājokļa izmantošanu saistīto izdevumu (īre, apkure, apsaimniekošana, pakalpojumi) segšan</w:t>
      </w:r>
      <w:r w:rsidR="00963138">
        <w:t>ai</w:t>
      </w:r>
      <w:r w:rsidRPr="00E46054">
        <w:t xml:space="preserve">, (4) </w:t>
      </w:r>
      <w:r w:rsidR="00963138">
        <w:t>pabalsts</w:t>
      </w:r>
      <w:r w:rsidR="00266C8E">
        <w:t xml:space="preserve"> sadzīves apstākļu uzlabošan</w:t>
      </w:r>
      <w:r w:rsidR="00963138">
        <w:t>ai</w:t>
      </w:r>
      <w:r w:rsidRPr="00E46054">
        <w:t xml:space="preserve"> mājoklī un (5) atbalsts saistībā ar nekustamā īpašuma uzturēšanu.</w:t>
      </w:r>
      <w:r>
        <w:t xml:space="preserve"> Turpinājumā par katru no atbalsta</w:t>
      </w:r>
      <w:r w:rsidR="00963138">
        <w:t>, t.sk. pabalstu,</w:t>
      </w:r>
      <w:r>
        <w:t xml:space="preserve"> grupām atsevišķi. </w:t>
      </w:r>
    </w:p>
    <w:p w:rsidR="0047599C" w:rsidRPr="00E46054" w:rsidRDefault="0047599C" w:rsidP="00064C1E"/>
    <w:p w:rsidR="009B0D76" w:rsidRPr="003E0BA4" w:rsidRDefault="009B0D76" w:rsidP="00922A20">
      <w:pPr>
        <w:pStyle w:val="virsrakstslvl4"/>
      </w:pPr>
      <w:r w:rsidRPr="00B96D0E">
        <w:t>Atbalsts, kas saistīts ar dzīvojamās telpas nodrošināšanu (palīdzība dzīvokļa/ mājokļa jautājumu risināšanā)</w:t>
      </w:r>
    </w:p>
    <w:p w:rsidR="009B0D76" w:rsidRPr="00E46054" w:rsidRDefault="009B0D76" w:rsidP="00922A20">
      <w:pPr>
        <w:rPr>
          <w:rFonts w:eastAsia="Times New Roman"/>
        </w:rPr>
      </w:pPr>
      <w:r w:rsidRPr="0089562F">
        <w:t xml:space="preserve">Atbalsts tiek sniegts saskaņā ar likumu </w:t>
      </w:r>
      <w:r w:rsidRPr="0089562F">
        <w:rPr>
          <w:iCs/>
        </w:rPr>
        <w:t>„</w:t>
      </w:r>
      <w:r w:rsidRPr="00F02963">
        <w:rPr>
          <w:iCs/>
        </w:rPr>
        <w:t>Par dzīvojamo telpu īri</w:t>
      </w:r>
      <w:r w:rsidR="00A65EC3">
        <w:rPr>
          <w:iCs/>
        </w:rPr>
        <w:t>”</w:t>
      </w:r>
      <w:r w:rsidRPr="0089562F">
        <w:rPr>
          <w:iCs/>
        </w:rPr>
        <w:t>, likumu „</w:t>
      </w:r>
      <w:r w:rsidRPr="00F02963">
        <w:rPr>
          <w:iCs/>
        </w:rPr>
        <w:t>Par sociālajiem dzīvokļiem un sociālajām dzīvojamām mājām</w:t>
      </w:r>
      <w:r w:rsidRPr="0089562F">
        <w:rPr>
          <w:iCs/>
        </w:rPr>
        <w:t>" </w:t>
      </w:r>
      <w:r w:rsidRPr="0089562F">
        <w:t xml:space="preserve">un </w:t>
      </w:r>
      <w:r w:rsidRPr="0089562F">
        <w:rPr>
          <w:iCs/>
        </w:rPr>
        <w:t>likumu „</w:t>
      </w:r>
      <w:r w:rsidRPr="00F02963">
        <w:rPr>
          <w:iCs/>
        </w:rPr>
        <w:t>Par palīdzību dzīvokļa jautājumu risināšanā</w:t>
      </w:r>
      <w:r>
        <w:t>”</w:t>
      </w:r>
      <w:r w:rsidRPr="00E46054">
        <w:rPr>
          <w:iCs/>
        </w:rPr>
        <w:t xml:space="preserve">. </w:t>
      </w:r>
      <w:r>
        <w:rPr>
          <w:iCs/>
        </w:rPr>
        <w:t>P</w:t>
      </w:r>
      <w:r w:rsidRPr="00E46054">
        <w:rPr>
          <w:iCs/>
        </w:rPr>
        <w:t>ašvaldības nodrošina šādus atvieglojumu veidus:</w:t>
      </w:r>
    </w:p>
    <w:p w:rsidR="009B0D76" w:rsidRPr="00E46054" w:rsidRDefault="009B0D76" w:rsidP="003F469F">
      <w:pPr>
        <w:pStyle w:val="ListParagraph"/>
        <w:numPr>
          <w:ilvl w:val="0"/>
          <w:numId w:val="58"/>
        </w:numPr>
        <w:spacing w:line="276" w:lineRule="auto"/>
        <w:jc w:val="both"/>
      </w:pPr>
      <w:r w:rsidRPr="00E46054">
        <w:t xml:space="preserve">izīrē </w:t>
      </w:r>
      <w:r w:rsidRPr="00E46054">
        <w:rPr>
          <w:bCs/>
        </w:rPr>
        <w:t>pašvaldībai piederošu vai uz likumīga pamata pašvaldības lietojumā esošu dzīvojamo telpu;</w:t>
      </w:r>
    </w:p>
    <w:p w:rsidR="009B0D76" w:rsidRPr="00E46054" w:rsidRDefault="009B0D76" w:rsidP="003F469F">
      <w:pPr>
        <w:pStyle w:val="ListParagraph"/>
        <w:numPr>
          <w:ilvl w:val="0"/>
          <w:numId w:val="58"/>
        </w:numPr>
        <w:spacing w:line="276" w:lineRule="auto"/>
        <w:jc w:val="both"/>
        <w:rPr>
          <w:bCs/>
        </w:rPr>
      </w:pPr>
      <w:r w:rsidRPr="00E46054">
        <w:rPr>
          <w:bCs/>
        </w:rPr>
        <w:t>izīrē sociālo dzīvokli,</w:t>
      </w:r>
    </w:p>
    <w:p w:rsidR="009B0D76" w:rsidRPr="00E46054" w:rsidRDefault="009B0D76" w:rsidP="003F469F">
      <w:pPr>
        <w:pStyle w:val="ListParagraph"/>
        <w:numPr>
          <w:ilvl w:val="0"/>
          <w:numId w:val="58"/>
        </w:numPr>
        <w:spacing w:line="276" w:lineRule="auto"/>
        <w:jc w:val="both"/>
        <w:rPr>
          <w:bCs/>
        </w:rPr>
      </w:pPr>
      <w:r w:rsidRPr="00E46054">
        <w:rPr>
          <w:bCs/>
        </w:rPr>
        <w:t>izīrē dzīvojamo telpu kvalificētam speciālistam;</w:t>
      </w:r>
    </w:p>
    <w:p w:rsidR="009B0D76" w:rsidRPr="00E46054" w:rsidRDefault="009B0D76" w:rsidP="003F469F">
      <w:pPr>
        <w:pStyle w:val="ListParagraph"/>
        <w:numPr>
          <w:ilvl w:val="0"/>
          <w:numId w:val="58"/>
        </w:numPr>
        <w:spacing w:line="276" w:lineRule="auto"/>
        <w:jc w:val="both"/>
        <w:rPr>
          <w:bCs/>
        </w:rPr>
      </w:pPr>
      <w:r w:rsidRPr="00E46054">
        <w:rPr>
          <w:bCs/>
        </w:rPr>
        <w:t>nodrošināšana ar pagaidu dzīvojamo telpu;</w:t>
      </w:r>
    </w:p>
    <w:p w:rsidR="009B0D76" w:rsidRPr="00E46054" w:rsidRDefault="009B0D76" w:rsidP="003F469F">
      <w:pPr>
        <w:pStyle w:val="ListParagraph"/>
        <w:numPr>
          <w:ilvl w:val="0"/>
          <w:numId w:val="58"/>
        </w:numPr>
        <w:spacing w:line="276" w:lineRule="auto"/>
        <w:jc w:val="both"/>
        <w:rPr>
          <w:bCs/>
        </w:rPr>
      </w:pPr>
      <w:r w:rsidRPr="00E46054">
        <w:rPr>
          <w:bCs/>
        </w:rPr>
        <w:t>sniedz palīdzību īrētās pašvaldībai piederošās vai tās nomātās dzīvojamās telpas apmaiņā pret citu īrējamu pašvaldībai piederošu vai tās nomātu dzīvojamo telpu.</w:t>
      </w:r>
    </w:p>
    <w:p w:rsidR="009B0D76" w:rsidRDefault="009B0D76" w:rsidP="00922A20">
      <w:pPr>
        <w:rPr>
          <w:bCs/>
        </w:rPr>
      </w:pPr>
    </w:p>
    <w:p w:rsidR="009B0D76" w:rsidRDefault="009B0D76" w:rsidP="00922A20">
      <w:pPr>
        <w:rPr>
          <w:bCs/>
        </w:rPr>
      </w:pPr>
      <w:r w:rsidRPr="00E46054">
        <w:rPr>
          <w:bCs/>
        </w:rPr>
        <w:t>Pārsvarā pašvaldībās minētie atvieglojum</w:t>
      </w:r>
      <w:r>
        <w:rPr>
          <w:bCs/>
        </w:rPr>
        <w:t>u</w:t>
      </w:r>
      <w:r w:rsidRPr="00E46054">
        <w:rPr>
          <w:bCs/>
        </w:rPr>
        <w:t xml:space="preserve"> veidi tiek noteikti vienā </w:t>
      </w:r>
      <w:r>
        <w:rPr>
          <w:bCs/>
        </w:rPr>
        <w:t>tiesību aktā (saistošajos noteikumos)</w:t>
      </w:r>
      <w:r w:rsidRPr="00E46054">
        <w:rPr>
          <w:bCs/>
        </w:rPr>
        <w:t xml:space="preserve">, taču ir pašvaldības, kas atbalstu sociālā dzīvokļa izīrēšanā un atbalstu dzīvojamās telpas izīrēšanā kvalificētam speciālistam nosaka atsevišķos saistošajos noteikumos. Būtiski norādīt, </w:t>
      </w:r>
      <w:r>
        <w:rPr>
          <w:bCs/>
        </w:rPr>
        <w:t xml:space="preserve">ka </w:t>
      </w:r>
      <w:r w:rsidRPr="00E46054">
        <w:rPr>
          <w:bCs/>
        </w:rPr>
        <w:t xml:space="preserve">atsevišķās pašvaldībās tika konstatēts, ka trūkst saistošo noteikumu, kas noteiktu iepriekš minētos atvieglojumu veidus. Piemēram, Carnikavas, Garkalnes, Ērgļu un Iecavas novados nav saistošo noteikumu, kas noteiktu palīdzību dzīvokļa/ mājokļa jautājumu risināšanā, Grobiņas novadā – nav saistošo noteikumu, kas noteiktu atbalstu sociālā dzīvokļa izīrēšanā. Tāpat arī ne visu novadu </w:t>
      </w:r>
      <w:r w:rsidRPr="00E46054">
        <w:rPr>
          <w:bCs/>
        </w:rPr>
        <w:lastRenderedPageBreak/>
        <w:t xml:space="preserve">saistošajos noteikumos ir noteikts atbalsts kvalificētiem speciālistiem dzīvojamās telpas izīrēšanā. </w:t>
      </w:r>
      <w:r>
        <w:rPr>
          <w:bCs/>
        </w:rPr>
        <w:t>Viens no iespējamiem skaidrojumiem ir tāds</w:t>
      </w:r>
      <w:r w:rsidRPr="00E46054">
        <w:rPr>
          <w:bCs/>
        </w:rPr>
        <w:t xml:space="preserve">, ka ne visos novados </w:t>
      </w:r>
      <w:r>
        <w:rPr>
          <w:bCs/>
        </w:rPr>
        <w:t xml:space="preserve">kvalificētu </w:t>
      </w:r>
      <w:r w:rsidRPr="00E46054">
        <w:rPr>
          <w:bCs/>
        </w:rPr>
        <w:t>speciālistu piesaiste ir aktuāl</w:t>
      </w:r>
      <w:r>
        <w:rPr>
          <w:bCs/>
        </w:rPr>
        <w:t>s</w:t>
      </w:r>
      <w:r w:rsidRPr="00E46054">
        <w:rPr>
          <w:bCs/>
        </w:rPr>
        <w:t xml:space="preserve"> jautājum</w:t>
      </w:r>
      <w:r>
        <w:rPr>
          <w:bCs/>
        </w:rPr>
        <w:t>s</w:t>
      </w:r>
      <w:r w:rsidRPr="00E46054">
        <w:rPr>
          <w:bCs/>
        </w:rPr>
        <w:t xml:space="preserve">. </w:t>
      </w:r>
    </w:p>
    <w:p w:rsidR="009B0D76" w:rsidRDefault="009B0D76" w:rsidP="00064C1E">
      <w:pPr>
        <w:rPr>
          <w:bCs/>
        </w:rPr>
      </w:pPr>
    </w:p>
    <w:p w:rsidR="009B0D76" w:rsidRDefault="009B0D76" w:rsidP="00064C1E">
      <w:r w:rsidRPr="00E46054">
        <w:rPr>
          <w:bCs/>
        </w:rPr>
        <w:t xml:space="preserve">Atbalsts, kas saistīts ar dzīvojamās telpas nodrošināšanu </w:t>
      </w:r>
      <w:r>
        <w:rPr>
          <w:bCs/>
        </w:rPr>
        <w:t>prioritāri</w:t>
      </w:r>
      <w:r w:rsidRPr="00E46054">
        <w:rPr>
          <w:bCs/>
        </w:rPr>
        <w:t xml:space="preserve"> tiek sniegts </w:t>
      </w:r>
      <w:r>
        <w:rPr>
          <w:bCs/>
        </w:rPr>
        <w:t xml:space="preserve">likuma </w:t>
      </w:r>
      <w:r w:rsidRPr="00E46054">
        <w:t xml:space="preserve">„Par palīdzību dzīvokļa jautājumu risināšanā” 14.pantā minētajām iedzīvotāju grupām, </w:t>
      </w:r>
      <w:r>
        <w:t xml:space="preserve">savukārt, </w:t>
      </w:r>
      <w:r w:rsidRPr="00E46054">
        <w:t xml:space="preserve">vispārējā kārtībā - atkarībā no katras pašvaldības noteiktajām mērķa grupām un tām izvirzītajiem nosacījumiem. </w:t>
      </w:r>
      <w:r w:rsidRPr="000B7409">
        <w:t>Piemēram, Līvānu un Ludzas pašvaldībās tiek sniegts atbalsts jaunajām ģimenēm. Līvānu pašvaldībā  palīdzība tiek sniegta jaunajām ģimenēm, kuras laulību ir reģistrējušas līdz 30 gadu vecumam, bet Ludzas pašvaldībā – jaunajai ģimenei, kurā viens no bērna vecākiem (aizbildņiem) ir vecumā līdz 30 gadiem. Savukārt Cēsu pašvaldībā tiek sniegts atbalsts daudzbērnu ģimenēm, kurām nepieder nekustamais īpašums un bērnu vecākiem vismaz pēdējos 12 mēnešus ir darba tiesiskās attiecības. Kā stāsta viena no ekspertēm, šāds atbalsta instruments daudzbērnu ģimenēm izveidots, j</w:t>
      </w:r>
      <w:r w:rsidR="00E32403">
        <w:t xml:space="preserve">o pēc skolu slēgšanas pagastos </w:t>
      </w:r>
      <w:r w:rsidRPr="000B7409">
        <w:t xml:space="preserve">daudzas ģimenes </w:t>
      </w:r>
      <w:r>
        <w:t>nolēmušas</w:t>
      </w:r>
      <w:r w:rsidRPr="000B7409">
        <w:t xml:space="preserve"> meklēt dzīvesvietu pilsētā</w:t>
      </w:r>
      <w:r w:rsidRPr="007713CF">
        <w:t xml:space="preserve">. </w:t>
      </w:r>
      <w:r w:rsidR="00952201" w:rsidRPr="007713CF">
        <w:t xml:space="preserve">Būtiski norādīt, ka citu pašvaldību starpā izceļas Tukuma novads, kas ģimenēm, kuru aprūpē ir viens </w:t>
      </w:r>
      <w:r w:rsidR="00DD0313" w:rsidRPr="007713CF">
        <w:t>vai vairāki nepilngadīgi bērni</w:t>
      </w:r>
      <w:r w:rsidR="00952201" w:rsidRPr="007713CF">
        <w:t>, un kura</w:t>
      </w:r>
      <w:r w:rsidR="00DD0313" w:rsidRPr="007713CF">
        <w:t>s</w:t>
      </w:r>
      <w:r w:rsidR="00952201" w:rsidRPr="007713CF">
        <w:t xml:space="preserve"> vēlas atgriezties no dzīvesvietas cit</w:t>
      </w:r>
      <w:r w:rsidR="00DD0313" w:rsidRPr="007713CF">
        <w:t>ā valsts teritorijā uz Latviju</w:t>
      </w:r>
      <w:r w:rsidR="00110156" w:rsidRPr="007713CF">
        <w:t xml:space="preserve"> un par savu dzīvesvietu ir izvēlējušās Tukuma novadu</w:t>
      </w:r>
      <w:r w:rsidR="00DD0313" w:rsidRPr="007713CF">
        <w:t>, piešķir reemigrācijas pabalstu. Pabalsts tiek piešķirts vienīgā mājokļa iegādei vai faktisko īres izdevumu segšanai līdz diviem mēnešiem, ja ģimene attiecīgajā īpašumā ir deklarējusi dzīvesvietu. Ar</w:t>
      </w:r>
      <w:r w:rsidR="00110156" w:rsidRPr="007713CF">
        <w:t>ī citās pašvaldībās</w:t>
      </w:r>
      <w:r w:rsidR="004F230B" w:rsidRPr="007713CF">
        <w:t xml:space="preserve"> mājokļa jomā</w:t>
      </w:r>
      <w:r w:rsidR="00110156" w:rsidRPr="007713CF">
        <w:t xml:space="preserve"> tiek sniegts atbalsts ģimenē</w:t>
      </w:r>
      <w:r w:rsidR="004F230B" w:rsidRPr="007713CF">
        <w:t xml:space="preserve">m, kas atgriežas no ārvalstīm, </w:t>
      </w:r>
      <w:r w:rsidR="00110156" w:rsidRPr="007713CF">
        <w:t xml:space="preserve">par ko liecina nodibinājuma „Baltic Institute of Social Sciences” 2017. gadā veiktais pētījums </w:t>
      </w:r>
      <w:r w:rsidR="00110156" w:rsidRPr="007713CF">
        <w:rPr>
          <w:bCs/>
        </w:rPr>
        <w:t>„Pašvaldību politikas instrumenti aizbraukušo iedzīvotāju remigrācijas veicināšanai”</w:t>
      </w:r>
      <w:r w:rsidR="004F230B" w:rsidRPr="007713CF">
        <w:rPr>
          <w:rStyle w:val="FootnoteReference"/>
          <w:bCs/>
        </w:rPr>
        <w:footnoteReference w:id="292"/>
      </w:r>
      <w:r w:rsidR="004F230B" w:rsidRPr="007713CF">
        <w:rPr>
          <w:bCs/>
        </w:rPr>
        <w:t xml:space="preserve">, </w:t>
      </w:r>
      <w:r w:rsidR="00110156" w:rsidRPr="007713CF">
        <w:t>taču Tukumu pašvaldī</w:t>
      </w:r>
      <w:r w:rsidR="004F230B" w:rsidRPr="007713CF">
        <w:t>ba ir vienīgā, kas šādu atbalsta</w:t>
      </w:r>
      <w:r w:rsidR="00110156" w:rsidRPr="007713CF">
        <w:t xml:space="preserve"> veidu ir nostiprinājusi savos saistošajos noteikumos.</w:t>
      </w:r>
      <w:r w:rsidR="00110156" w:rsidRPr="004F230B">
        <w:t xml:space="preserve"> </w:t>
      </w:r>
    </w:p>
    <w:p w:rsidR="009B0D76" w:rsidRPr="00D3739C" w:rsidRDefault="00963138" w:rsidP="00C33A64">
      <w:pPr>
        <w:pStyle w:val="virsrakstslvl4"/>
      </w:pPr>
      <w:bookmarkStart w:id="584" w:name="_Toc529180394"/>
      <w:bookmarkStart w:id="585" w:name="_Toc531694169"/>
      <w:bookmarkStart w:id="586" w:name="_Toc531856274"/>
      <w:bookmarkStart w:id="587" w:name="_Toc531860063"/>
      <w:bookmarkStart w:id="588" w:name="_Toc535742202"/>
      <w:bookmarkStart w:id="589" w:name="_Toc535916190"/>
      <w:bookmarkStart w:id="590" w:name="_Toc535922838"/>
      <w:bookmarkStart w:id="591" w:name="_Toc535935140"/>
      <w:bookmarkStart w:id="592" w:name="_Toc868854"/>
      <w:bookmarkStart w:id="593" w:name="_Toc2761121"/>
      <w:bookmarkStart w:id="594" w:name="_Toc2848218"/>
      <w:bookmarkStart w:id="595" w:name="_Toc6219262"/>
      <w:bookmarkStart w:id="596" w:name="_Toc6220205"/>
      <w:bookmarkStart w:id="597" w:name="_Toc6841623"/>
      <w:r w:rsidRPr="00D3739C">
        <w:t>Pabalsts</w:t>
      </w:r>
      <w:r w:rsidR="009B0D76" w:rsidRPr="00D3739C">
        <w:t xml:space="preserve"> dzīvojamās telpas atbrīvošan</w:t>
      </w:r>
      <w:bookmarkEnd w:id="584"/>
      <w:bookmarkEnd w:id="585"/>
      <w:bookmarkEnd w:id="586"/>
      <w:bookmarkEnd w:id="587"/>
      <w:bookmarkEnd w:id="588"/>
      <w:bookmarkEnd w:id="589"/>
      <w:bookmarkEnd w:id="590"/>
      <w:bookmarkEnd w:id="591"/>
      <w:bookmarkEnd w:id="592"/>
      <w:bookmarkEnd w:id="593"/>
      <w:bookmarkEnd w:id="594"/>
      <w:r w:rsidR="00266C8E" w:rsidRPr="00D3739C">
        <w:t>ai</w:t>
      </w:r>
      <w:bookmarkEnd w:id="595"/>
      <w:bookmarkEnd w:id="596"/>
      <w:bookmarkEnd w:id="597"/>
      <w:r w:rsidR="009B0D76" w:rsidRPr="00D3739C">
        <w:t xml:space="preserve"> </w:t>
      </w:r>
    </w:p>
    <w:p w:rsidR="00632157" w:rsidRDefault="001810B1" w:rsidP="00064C1E">
      <w:pPr>
        <w:rPr>
          <w:iCs/>
        </w:rPr>
      </w:pPr>
      <w:r>
        <w:rPr>
          <w:iCs/>
        </w:rPr>
        <w:t>Pabalsts</w:t>
      </w:r>
      <w:r w:rsidR="009B0D76" w:rsidRPr="00E46054">
        <w:rPr>
          <w:iCs/>
        </w:rPr>
        <w:t xml:space="preserve"> </w:t>
      </w:r>
      <w:r w:rsidR="009B0D76">
        <w:rPr>
          <w:iCs/>
        </w:rPr>
        <w:t xml:space="preserve">saistībā ar dzīvojamās telpas atbrīvošanu </w:t>
      </w:r>
      <w:r w:rsidR="009B0D76" w:rsidRPr="00E46054">
        <w:rPr>
          <w:iCs/>
        </w:rPr>
        <w:t xml:space="preserve">tiek sniegts saskaņā ar likumu </w:t>
      </w:r>
      <w:r w:rsidR="009B0D76" w:rsidRPr="003E0BA4">
        <w:rPr>
          <w:iCs/>
        </w:rPr>
        <w:t>„Par palīdzību</w:t>
      </w:r>
      <w:r w:rsidR="009B0D76">
        <w:rPr>
          <w:iCs/>
        </w:rPr>
        <w:t xml:space="preserve"> dzīvokļa jautājumu risināšanā” (26.</w:t>
      </w:r>
      <w:r w:rsidR="009B0D76" w:rsidRPr="00B267EC">
        <w:rPr>
          <w:iCs/>
          <w:vertAlign w:val="superscript"/>
        </w:rPr>
        <w:t>1</w:t>
      </w:r>
      <w:r w:rsidR="009B0D76">
        <w:rPr>
          <w:iCs/>
        </w:rPr>
        <w:t xml:space="preserve"> pants). </w:t>
      </w:r>
      <w:r w:rsidR="00632157">
        <w:rPr>
          <w:b/>
        </w:rPr>
        <w:t>10</w:t>
      </w:r>
      <w:r w:rsidR="00632157" w:rsidRPr="00454E1F">
        <w:rPr>
          <w:b/>
        </w:rPr>
        <w:t xml:space="preserve"> pašvaldībās tiek piešķirts vienreizējais dzīvojamās telpas atbrīvošanas pabalsts</w:t>
      </w:r>
      <w:r w:rsidR="00632157">
        <w:t xml:space="preserve"> (Garkalnes novads, Kandavas novads, </w:t>
      </w:r>
      <w:r w:rsidR="00632157" w:rsidRPr="00E92592">
        <w:rPr>
          <w:bCs/>
        </w:rPr>
        <w:t xml:space="preserve">Madonas novadā, </w:t>
      </w:r>
      <w:r w:rsidR="00632157">
        <w:t>Saulkrastu novads, Siguldas novads, Smiltenes novads, Tukuma novads, Valmieras novads, Jūrmalas pilsēta, Rīga</w:t>
      </w:r>
      <w:r w:rsidR="00632157">
        <w:rPr>
          <w:rStyle w:val="FootnoteReference"/>
        </w:rPr>
        <w:footnoteReference w:id="293"/>
      </w:r>
      <w:r w:rsidR="00632157">
        <w:t xml:space="preserve">). </w:t>
      </w:r>
    </w:p>
    <w:p w:rsidR="00632157" w:rsidRDefault="00632157" w:rsidP="00064C1E">
      <w:pPr>
        <w:rPr>
          <w:iCs/>
        </w:rPr>
      </w:pPr>
    </w:p>
    <w:p w:rsidR="009B0D76" w:rsidRPr="00632157" w:rsidRDefault="009B0D76" w:rsidP="00064C1E">
      <w:pPr>
        <w:rPr>
          <w:iCs/>
        </w:rPr>
      </w:pPr>
      <w:r w:rsidRPr="00E46054">
        <w:rPr>
          <w:bCs/>
        </w:rPr>
        <w:t>Pabalsts tiek piešķirts personām, kas atbrīvo dzīvojamo telpu, kura atrodas denacionalizētā vai likumīgajam īpašniekam atdotā mājā un kuru tās ir lietojušas līdz īpašuma tiesību atjaunošanai, vai arī minētās</w:t>
      </w:r>
      <w:r>
        <w:rPr>
          <w:bCs/>
        </w:rPr>
        <w:t xml:space="preserve"> </w:t>
      </w:r>
      <w:r w:rsidRPr="00E46054">
        <w:rPr>
          <w:bCs/>
        </w:rPr>
        <w:t>personas tiek izliktas no dzīvojamās telpas likuma „Par dzīvojamo telpu īri</w:t>
      </w:r>
      <w:r>
        <w:rPr>
          <w:bCs/>
        </w:rPr>
        <w:t>”</w:t>
      </w:r>
      <w:r w:rsidRPr="00E46054">
        <w:rPr>
          <w:bCs/>
        </w:rPr>
        <w:t xml:space="preserve"> 28.</w:t>
      </w:r>
      <w:r w:rsidRPr="00E46054">
        <w:rPr>
          <w:bCs/>
          <w:vertAlign w:val="superscript"/>
        </w:rPr>
        <w:t>2</w:t>
      </w:r>
      <w:r w:rsidRPr="00E46054">
        <w:rPr>
          <w:bCs/>
        </w:rPr>
        <w:t>, 28.</w:t>
      </w:r>
      <w:r w:rsidRPr="00E46054">
        <w:rPr>
          <w:bCs/>
          <w:vertAlign w:val="superscript"/>
        </w:rPr>
        <w:t>4</w:t>
      </w:r>
      <w:r w:rsidRPr="00E46054">
        <w:rPr>
          <w:bCs/>
        </w:rPr>
        <w:t xml:space="preserve"> un 28.</w:t>
      </w:r>
      <w:r w:rsidRPr="00E46054">
        <w:rPr>
          <w:bCs/>
          <w:vertAlign w:val="superscript"/>
        </w:rPr>
        <w:t xml:space="preserve">5 </w:t>
      </w:r>
      <w:r w:rsidRPr="00E46054">
        <w:rPr>
          <w:bCs/>
        </w:rPr>
        <w:t xml:space="preserve">pantā paredzētajos gadījumos. Personas, kuras ir saņēmušas </w:t>
      </w:r>
      <w:r>
        <w:rPr>
          <w:bCs/>
        </w:rPr>
        <w:t xml:space="preserve">dzīvojamās telpas </w:t>
      </w:r>
      <w:r w:rsidRPr="00E46054">
        <w:rPr>
          <w:bCs/>
        </w:rPr>
        <w:t>atbrīvošanas pabalstu, zaudē tiesības saņemt likuma „Par palīdzību dzīvokļa jautājumu risināšanā</w:t>
      </w:r>
      <w:r w:rsidR="001810B1">
        <w:rPr>
          <w:bCs/>
        </w:rPr>
        <w:t>”</w:t>
      </w:r>
      <w:r w:rsidRPr="00E46054">
        <w:rPr>
          <w:bCs/>
        </w:rPr>
        <w:t xml:space="preserve"> 3.panta 1. u</w:t>
      </w:r>
      <w:r>
        <w:rPr>
          <w:bCs/>
        </w:rPr>
        <w:t>n 2.punktā paredzēto palīdzību.</w:t>
      </w:r>
      <w:r w:rsidRPr="00E46054">
        <w:rPr>
          <w:bCs/>
        </w:rPr>
        <w:t xml:space="preserve"> Atbrīvošanas pabalsta reģistrā tiek iekļautas tikai tās personas, kuru īpašumā nav citas</w:t>
      </w:r>
      <w:r>
        <w:rPr>
          <w:bCs/>
        </w:rPr>
        <w:t xml:space="preserve"> </w:t>
      </w:r>
      <w:r w:rsidRPr="00E46054">
        <w:rPr>
          <w:bCs/>
        </w:rPr>
        <w:t xml:space="preserve">dzīvojamās telpas (dzīvojamās mājas) </w:t>
      </w:r>
      <w:r>
        <w:rPr>
          <w:bCs/>
        </w:rPr>
        <w:t xml:space="preserve">LR </w:t>
      </w:r>
      <w:r w:rsidRPr="00E46054">
        <w:rPr>
          <w:bCs/>
        </w:rPr>
        <w:t xml:space="preserve">teritorijā </w:t>
      </w:r>
      <w:r w:rsidRPr="00E46054">
        <w:rPr>
          <w:bCs/>
          <w:iCs/>
        </w:rPr>
        <w:t xml:space="preserve">un tām nepieder īpašums, kuru var izmantot ienākumu gūšanai. Pabalsta apmērs pašvaldībās tiek noteikts pēc personu skaita ģimenē, pēc ienākuma līmeņa uz vienu personu ģimenē </w:t>
      </w:r>
      <w:r>
        <w:rPr>
          <w:bCs/>
          <w:iCs/>
        </w:rPr>
        <w:t>un/</w:t>
      </w:r>
      <w:r w:rsidRPr="00E46054">
        <w:rPr>
          <w:bCs/>
          <w:iCs/>
        </w:rPr>
        <w:t xml:space="preserve">vai dzīvokļa </w:t>
      </w:r>
      <w:r>
        <w:rPr>
          <w:bCs/>
          <w:iCs/>
        </w:rPr>
        <w:t>labiekārtotī</w:t>
      </w:r>
      <w:r w:rsidRPr="00E46054">
        <w:rPr>
          <w:bCs/>
          <w:iCs/>
        </w:rPr>
        <w:t xml:space="preserve">bas līmeņa. </w:t>
      </w:r>
    </w:p>
    <w:p w:rsidR="009B0D76" w:rsidRDefault="009B0D76" w:rsidP="00064C1E">
      <w:pPr>
        <w:rPr>
          <w:bCs/>
          <w:iCs/>
        </w:rPr>
      </w:pPr>
    </w:p>
    <w:p w:rsidR="009B0D76" w:rsidRDefault="009B0D76" w:rsidP="00064C1E">
      <w:r w:rsidRPr="002D2286">
        <w:rPr>
          <w:bCs/>
        </w:rPr>
        <w:t xml:space="preserve">Likumprojekta „Grozījumi likumā „Par palīdzību dzīvokļa jautājumu risināšanā”” sākotnējās ietekmes novērtējuma ziņojumā (anotācijā) (likumprojekts izstrādāts, ņemot vērā nepieciešamību saskaņot likumu „Par palīdzību dzīvokļa jautājumu risināšanā” ar likumprojektu „Dzīvojamo telpu īres likums”) norādīts, ka plānots grozīt likuma „Par palīdzību dzīvokļa jautājumu risināšanā” </w:t>
      </w:r>
      <w:r w:rsidRPr="002D2286">
        <w:rPr>
          <w:iCs/>
        </w:rPr>
        <w:t>26.</w:t>
      </w:r>
      <w:r w:rsidRPr="002D2286">
        <w:rPr>
          <w:iCs/>
          <w:vertAlign w:val="superscript"/>
        </w:rPr>
        <w:t>1</w:t>
      </w:r>
      <w:r w:rsidRPr="002D2286">
        <w:rPr>
          <w:iCs/>
        </w:rPr>
        <w:t xml:space="preserve"> pantu. Saskaņā ar 2019.</w:t>
      </w:r>
      <w:r w:rsidR="00DE1C08">
        <w:rPr>
          <w:iCs/>
        </w:rPr>
        <w:t xml:space="preserve"> </w:t>
      </w:r>
      <w:r w:rsidRPr="002D2286">
        <w:rPr>
          <w:iCs/>
        </w:rPr>
        <w:t>gada janvārī spēkā esošo tiesisko regulējumu</w:t>
      </w:r>
      <w:r w:rsidRPr="002D2286">
        <w:t xml:space="preserve"> „uz dzīvojamās telpas atbrīvošanas pabalstu var pretendēt, cita starpā, arī personas, kuras atrodas denacionalizētā vai likumīgajam īpašniekam atdotā mājā un kuru tās ir lietojušas līdz īpašuma tiesību atjaunošanai, vai arī minētās personas tiek izliktas no dzīvojamās telpas gadījumā, ja dzīvojamā telpa nepieciešama denacionalizētās vai likumīgajam īpašniekam atdotās dzīvojamās mājas īpašniekam”</w:t>
      </w:r>
      <w:r w:rsidRPr="002D2286">
        <w:rPr>
          <w:rStyle w:val="FootnoteReference"/>
        </w:rPr>
        <w:footnoteReference w:id="294"/>
      </w:r>
      <w:r w:rsidRPr="002D2286">
        <w:t xml:space="preserve">. Jaunais “Dzīvojamo telpu īres likums” neparedz tādu īres likuma uzteikuma pamatu, kāds ir paredzēts </w:t>
      </w:r>
      <w:r>
        <w:t xml:space="preserve">augstāk citētajā </w:t>
      </w:r>
      <w:r w:rsidRPr="002D2286">
        <w:t>likuma “Par dzīvojamo telpu īri ” 28.</w:t>
      </w:r>
      <w:r w:rsidRPr="002D2286">
        <w:rPr>
          <w:vertAlign w:val="superscript"/>
        </w:rPr>
        <w:t>5</w:t>
      </w:r>
      <w:r w:rsidRPr="002D2286">
        <w:t xml:space="preserve"> pantā. Līdz ar to šāds pamats netiks paredzēts arī  </w:t>
      </w:r>
      <w:r w:rsidRPr="002D2286">
        <w:rPr>
          <w:bCs/>
        </w:rPr>
        <w:t xml:space="preserve">likumā „Par palīdzību dzīvokļa jautājumu risināšanā”. Lai tiktu ievērots tiesiskās paļāvības princips, kā norādīts likumprojekta „Grozījumi likumā „Par palīdzību dzīvokļa jautājumu risināšanā”” anotācijā, personai, kura līdz šim pretendējusi uz pabalstu, </w:t>
      </w:r>
      <w:r w:rsidRPr="002D2286">
        <w:t>pamatojoties uz likuma “Par dzīvojamo telpu īri” 28.</w:t>
      </w:r>
      <w:r w:rsidRPr="002D2286">
        <w:rPr>
          <w:vertAlign w:val="superscript"/>
        </w:rPr>
        <w:t>5</w:t>
      </w:r>
      <w:r w:rsidRPr="002D2286">
        <w:t xml:space="preserve"> pantu, un ir bijusi reģistrēta dzīvojamās telpas atbrīvošanas pabalsta saņemšanai, šīs tiesības ir</w:t>
      </w:r>
      <w:r>
        <w:t xml:space="preserve"> saglabājamas</w:t>
      </w:r>
      <w:r w:rsidRPr="00EC1E83">
        <w:t>, ievērojot pašvaldības saistošos noteikumus</w:t>
      </w:r>
      <w:r>
        <w:t>.</w:t>
      </w:r>
    </w:p>
    <w:p w:rsidR="009B0D76" w:rsidRDefault="001810B1" w:rsidP="00632157">
      <w:pPr>
        <w:pStyle w:val="virsrakstslvl3"/>
        <w:jc w:val="both"/>
      </w:pPr>
      <w:bookmarkStart w:id="598" w:name="_Toc535742203"/>
      <w:bookmarkStart w:id="599" w:name="_Toc535916191"/>
      <w:bookmarkStart w:id="600" w:name="_Toc535922839"/>
      <w:bookmarkStart w:id="601" w:name="_Toc535935141"/>
      <w:bookmarkStart w:id="602" w:name="_Toc868855"/>
      <w:r>
        <w:t>Pabalsts</w:t>
      </w:r>
      <w:r w:rsidR="009B0D76" w:rsidRPr="00CD40BE">
        <w:t xml:space="preserve"> ar mājokļa izmantošanu saistīto izdevumu (īre, apkure, apsaimniekošana, pakalpojumi) segšan</w:t>
      </w:r>
      <w:r>
        <w:t>ai</w:t>
      </w:r>
      <w:r w:rsidR="009B0D76" w:rsidRPr="00CD40BE">
        <w:t xml:space="preserve"> (t.sk. sociālā palīdzība)</w:t>
      </w:r>
      <w:bookmarkEnd w:id="598"/>
      <w:bookmarkEnd w:id="599"/>
      <w:bookmarkEnd w:id="600"/>
      <w:bookmarkEnd w:id="601"/>
      <w:bookmarkEnd w:id="602"/>
    </w:p>
    <w:p w:rsidR="009B0D76" w:rsidRPr="00E46054" w:rsidRDefault="009B0D76" w:rsidP="00922A20">
      <w:pPr>
        <w:rPr>
          <w:iCs/>
        </w:rPr>
      </w:pPr>
      <w:r>
        <w:t xml:space="preserve">Šis </w:t>
      </w:r>
      <w:r w:rsidR="001810B1">
        <w:t>pabalsta</w:t>
      </w:r>
      <w:r>
        <w:t xml:space="preserve"> veids </w:t>
      </w:r>
      <w:r w:rsidRPr="00E46054">
        <w:t xml:space="preserve">tiek sniegts saskaņā ar </w:t>
      </w:r>
      <w:r>
        <w:t xml:space="preserve">likumu „Par pašvaldībām” un </w:t>
      </w:r>
      <w:r w:rsidRPr="00E46054">
        <w:t xml:space="preserve">„Sociālo pakalpojumu un sociālās palīdzības likums”. </w:t>
      </w:r>
      <w:r>
        <w:rPr>
          <w:iCs/>
        </w:rPr>
        <w:t>P</w:t>
      </w:r>
      <w:r w:rsidRPr="00E46054">
        <w:rPr>
          <w:iCs/>
        </w:rPr>
        <w:t xml:space="preserve">ašvaldības </w:t>
      </w:r>
      <w:r>
        <w:rPr>
          <w:iCs/>
        </w:rPr>
        <w:t xml:space="preserve">iedzīvotājiem </w:t>
      </w:r>
      <w:r w:rsidRPr="00E46054">
        <w:rPr>
          <w:iCs/>
        </w:rPr>
        <w:t>nodrošina šādus atvieglojumu veidus:</w:t>
      </w:r>
    </w:p>
    <w:p w:rsidR="009B0D76" w:rsidRPr="00E46054" w:rsidRDefault="009B0D76" w:rsidP="003F469F">
      <w:pPr>
        <w:pStyle w:val="ListParagraph"/>
        <w:numPr>
          <w:ilvl w:val="0"/>
          <w:numId w:val="61"/>
        </w:numPr>
        <w:spacing w:line="276" w:lineRule="auto"/>
        <w:jc w:val="both"/>
        <w:rPr>
          <w:iCs/>
        </w:rPr>
      </w:pPr>
      <w:r w:rsidRPr="00E46054">
        <w:rPr>
          <w:iCs/>
        </w:rPr>
        <w:t>izmaksā dzīvokļa pabalstu;</w:t>
      </w:r>
    </w:p>
    <w:p w:rsidR="009B0D76" w:rsidRDefault="009B0D76" w:rsidP="003F469F">
      <w:pPr>
        <w:pStyle w:val="ListParagraph"/>
        <w:numPr>
          <w:ilvl w:val="0"/>
          <w:numId w:val="61"/>
        </w:numPr>
        <w:spacing w:line="276" w:lineRule="auto"/>
        <w:jc w:val="both"/>
        <w:rPr>
          <w:iCs/>
        </w:rPr>
      </w:pPr>
      <w:r w:rsidRPr="00E46054">
        <w:rPr>
          <w:iCs/>
        </w:rPr>
        <w:t>izmaksā dzīvokļa pabalstu (piešķir atlaidi) sociālā dzīvokļa īrniekam;</w:t>
      </w:r>
    </w:p>
    <w:p w:rsidR="00E92592" w:rsidRPr="00E46054" w:rsidRDefault="00E92592" w:rsidP="003F469F">
      <w:pPr>
        <w:pStyle w:val="ListParagraph"/>
        <w:numPr>
          <w:ilvl w:val="0"/>
          <w:numId w:val="61"/>
        </w:numPr>
        <w:spacing w:line="276" w:lineRule="auto"/>
        <w:jc w:val="both"/>
        <w:rPr>
          <w:iCs/>
        </w:rPr>
      </w:pPr>
      <w:r>
        <w:rPr>
          <w:iCs/>
        </w:rPr>
        <w:t>izmaksā  pabalstu dzīvokļa parāda segšanai (atsevišķā pašvaldībā);</w:t>
      </w:r>
    </w:p>
    <w:p w:rsidR="009B0D76" w:rsidRDefault="009B0D76" w:rsidP="003F469F">
      <w:pPr>
        <w:pStyle w:val="ListParagraph"/>
        <w:numPr>
          <w:ilvl w:val="0"/>
          <w:numId w:val="61"/>
        </w:numPr>
        <w:spacing w:line="276" w:lineRule="auto"/>
        <w:jc w:val="both"/>
        <w:rPr>
          <w:iCs/>
        </w:rPr>
      </w:pPr>
      <w:r w:rsidRPr="00E46054">
        <w:rPr>
          <w:iCs/>
        </w:rPr>
        <w:t>izmaksā dzīvokļa pabalstu bārenim un bez vecāku gādības palikušam bērnam;</w:t>
      </w:r>
    </w:p>
    <w:p w:rsidR="00DC4F5A" w:rsidRPr="00E92592" w:rsidRDefault="00DC4F5A" w:rsidP="003F469F">
      <w:pPr>
        <w:pStyle w:val="ListParagraph"/>
        <w:numPr>
          <w:ilvl w:val="0"/>
          <w:numId w:val="61"/>
        </w:numPr>
        <w:spacing w:line="276" w:lineRule="auto"/>
        <w:jc w:val="both"/>
        <w:rPr>
          <w:iCs/>
        </w:rPr>
      </w:pPr>
      <w:r w:rsidRPr="00E92592">
        <w:rPr>
          <w:iCs/>
        </w:rPr>
        <w:t>izmaksā pabalstu ar dzīvojamās telpas īri saistīto ikmēneša izdevumu segšanai</w:t>
      </w:r>
      <w:r w:rsidR="007E018E" w:rsidRPr="00E92592">
        <w:rPr>
          <w:iCs/>
        </w:rPr>
        <w:t xml:space="preserve"> (bērnam bārenim un bez vecāku gādības palikušam bērnam</w:t>
      </w:r>
      <w:r w:rsidR="00E92592">
        <w:rPr>
          <w:iCs/>
        </w:rPr>
        <w:t>, atsevišķā pašvaldībā</w:t>
      </w:r>
      <w:r w:rsidR="007E018E" w:rsidRPr="00E92592">
        <w:rPr>
          <w:iCs/>
        </w:rPr>
        <w:t>);</w:t>
      </w:r>
    </w:p>
    <w:p w:rsidR="009B0D76" w:rsidRPr="000B7409" w:rsidRDefault="009B0D76" w:rsidP="003F469F">
      <w:pPr>
        <w:pStyle w:val="ListParagraph"/>
        <w:numPr>
          <w:ilvl w:val="0"/>
          <w:numId w:val="61"/>
        </w:numPr>
        <w:spacing w:line="276" w:lineRule="auto"/>
        <w:jc w:val="both"/>
        <w:rPr>
          <w:iCs/>
        </w:rPr>
      </w:pPr>
      <w:r w:rsidRPr="000B7409">
        <w:rPr>
          <w:iCs/>
        </w:rPr>
        <w:t>izmaksā pabalstu ūdens patēriņa skaitītāju uzstādīšanai vai nomaiņai;</w:t>
      </w:r>
    </w:p>
    <w:p w:rsidR="009B0D76" w:rsidRPr="000B7409" w:rsidRDefault="009B0D76" w:rsidP="003F469F">
      <w:pPr>
        <w:pStyle w:val="ListParagraph"/>
        <w:numPr>
          <w:ilvl w:val="0"/>
          <w:numId w:val="61"/>
        </w:numPr>
        <w:spacing w:line="276" w:lineRule="auto"/>
        <w:jc w:val="both"/>
        <w:rPr>
          <w:iCs/>
        </w:rPr>
      </w:pPr>
      <w:r w:rsidRPr="000B7409">
        <w:rPr>
          <w:iCs/>
        </w:rPr>
        <w:t>izmaksā pabalstu īres izdevumu segšanai (atsevišķā pašvaldībā);</w:t>
      </w:r>
    </w:p>
    <w:p w:rsidR="009B0D76" w:rsidRPr="000B7409" w:rsidRDefault="009B0D76" w:rsidP="003F469F">
      <w:pPr>
        <w:pStyle w:val="ListParagraph"/>
        <w:numPr>
          <w:ilvl w:val="0"/>
          <w:numId w:val="61"/>
        </w:numPr>
        <w:spacing w:line="276" w:lineRule="auto"/>
        <w:jc w:val="both"/>
        <w:rPr>
          <w:iCs/>
        </w:rPr>
      </w:pPr>
      <w:r w:rsidRPr="000B7409">
        <w:rPr>
          <w:iCs/>
        </w:rPr>
        <w:t>izmaksā pabalstu apkurei vai kurināmā iegādes izdevumu apmaksai vientuļiem pensionāriem un personām ar invaliditāti kopš bērnības (atsevišķā pašvaldībā).</w:t>
      </w:r>
    </w:p>
    <w:p w:rsidR="00974002" w:rsidRDefault="00974002" w:rsidP="00922A20">
      <w:pPr>
        <w:rPr>
          <w:b/>
          <w:iCs/>
        </w:rPr>
      </w:pPr>
    </w:p>
    <w:p w:rsidR="00A65EC3" w:rsidRPr="00A65EC3" w:rsidRDefault="00A65EC3" w:rsidP="00A65EC3">
      <w:pPr>
        <w:pStyle w:val="Default"/>
        <w:spacing w:line="276" w:lineRule="auto"/>
        <w:jc w:val="both"/>
      </w:pPr>
      <w:r w:rsidRPr="00A65EC3">
        <w:rPr>
          <w:rFonts w:eastAsia="Calibri"/>
          <w:iCs/>
          <w:color w:val="auto"/>
          <w:lang w:eastAsia="lv-LV"/>
        </w:rPr>
        <w:t>Dzīvokļa pabalsta definīcija un tiesiskais regulējums ir ietverts likumā „Par palīdzību dzīvokļa jautājumu risināšanā”, kurā noteikts, ka „</w:t>
      </w:r>
      <w:r w:rsidRPr="00A65EC3">
        <w:t>dzīvokļa pabalsts ir pabalsts dzīvojamās telpas īres maksas un maksas par pakalpojumiem, kas saistīti ar dzīvojamās telpas lietošanu, segšanai„ (3.</w:t>
      </w:r>
      <w:r w:rsidR="00D54545">
        <w:t xml:space="preserve"> </w:t>
      </w:r>
      <w:r w:rsidRPr="00A65EC3">
        <w:t>panta 5.</w:t>
      </w:r>
      <w:r w:rsidR="00D54545">
        <w:t xml:space="preserve"> </w:t>
      </w:r>
      <w:r w:rsidRPr="00A65EC3">
        <w:t>punkts). Likuma 25.</w:t>
      </w:r>
      <w:r w:rsidR="00D54545">
        <w:t xml:space="preserve"> </w:t>
      </w:r>
      <w:r w:rsidRPr="00A65EC3">
        <w:t xml:space="preserve">pantā noteiks, ka „pašvaldībai ir tiesības domes saistošajos noteikumos noteiktajā kārtībā un apmērā maksāt dzīvokļa pabalstu personām, kas denacionalizētā vai likumīgajam īpašniekam atdotā mājā lieto dzīvojamo telpu, kuru tās ir lietojušas līdz īpašuma tiesību </w:t>
      </w:r>
      <w:r w:rsidRPr="00A65EC3">
        <w:lastRenderedPageBreak/>
        <w:t xml:space="preserve">atjaunošanai. Pašvaldības dome saistošajos noteikumos var noteikt arī citas personu kategorijas, kurām ir tiesības saņemt dzīvokļa pabalstu”.  </w:t>
      </w:r>
    </w:p>
    <w:p w:rsidR="00A65EC3" w:rsidRDefault="00A65EC3" w:rsidP="00A65EC3">
      <w:pPr>
        <w:pStyle w:val="Default"/>
        <w:spacing w:line="276" w:lineRule="auto"/>
        <w:jc w:val="both"/>
        <w:rPr>
          <w:sz w:val="23"/>
          <w:szCs w:val="23"/>
        </w:rPr>
      </w:pPr>
    </w:p>
    <w:p w:rsidR="00A65EC3" w:rsidRDefault="009B0D76" w:rsidP="00A65EC3">
      <w:pPr>
        <w:pStyle w:val="Default"/>
        <w:spacing w:line="276" w:lineRule="auto"/>
        <w:jc w:val="both"/>
        <w:rPr>
          <w:iCs/>
        </w:rPr>
      </w:pPr>
      <w:r w:rsidRPr="00E46054">
        <w:rPr>
          <w:iCs/>
        </w:rPr>
        <w:t>Dzīvokļa pabalsta nosaukums pašvaldību saistošajos noteikumos atšķir</w:t>
      </w:r>
      <w:r w:rsidR="00A65EC3">
        <w:rPr>
          <w:iCs/>
        </w:rPr>
        <w:t>a</w:t>
      </w:r>
      <w:r w:rsidRPr="00E46054">
        <w:rPr>
          <w:iCs/>
        </w:rPr>
        <w:t>s</w:t>
      </w:r>
      <w:r w:rsidR="00F90925">
        <w:rPr>
          <w:iCs/>
        </w:rPr>
        <w:t xml:space="preserve"> (sk. </w:t>
      </w:r>
      <w:r w:rsidR="00AD3EDD">
        <w:rPr>
          <w:iCs/>
        </w:rPr>
        <w:fldChar w:fldCharType="begin"/>
      </w:r>
      <w:r w:rsidR="00A46B54">
        <w:rPr>
          <w:iCs/>
        </w:rPr>
        <w:instrText xml:space="preserve"> REF _Ref6496782 \h </w:instrText>
      </w:r>
      <w:r w:rsidR="00AD3EDD">
        <w:rPr>
          <w:iCs/>
        </w:rPr>
      </w:r>
      <w:r w:rsidR="00AD3EDD">
        <w:rPr>
          <w:iCs/>
        </w:rPr>
        <w:fldChar w:fldCharType="separate"/>
      </w:r>
      <w:r w:rsidR="00224B50">
        <w:rPr>
          <w:noProof/>
        </w:rPr>
        <w:t>3</w:t>
      </w:r>
      <w:r w:rsidR="00224B50">
        <w:t>.</w:t>
      </w:r>
      <w:r w:rsidR="00224B50">
        <w:rPr>
          <w:noProof/>
        </w:rPr>
        <w:t>2</w:t>
      </w:r>
      <w:r w:rsidR="00AD3EDD">
        <w:rPr>
          <w:iCs/>
        </w:rPr>
        <w:fldChar w:fldCharType="end"/>
      </w:r>
      <w:r w:rsidR="00F90925">
        <w:rPr>
          <w:iCs/>
        </w:rPr>
        <w:t>. tabulu)</w:t>
      </w:r>
      <w:r w:rsidR="007E44E9">
        <w:rPr>
          <w:iCs/>
        </w:rPr>
        <w:t>. D</w:t>
      </w:r>
      <w:r w:rsidRPr="00E46054">
        <w:rPr>
          <w:iCs/>
        </w:rPr>
        <w:t>ažās pašvaldībā</w:t>
      </w:r>
      <w:r w:rsidR="00387EF2">
        <w:rPr>
          <w:iCs/>
        </w:rPr>
        <w:t>s</w:t>
      </w:r>
      <w:r w:rsidRPr="00E46054">
        <w:rPr>
          <w:iCs/>
        </w:rPr>
        <w:t xml:space="preserve"> </w:t>
      </w:r>
      <w:r w:rsidR="00387EF2">
        <w:rPr>
          <w:iCs/>
        </w:rPr>
        <w:t xml:space="preserve">saistošo noteikumu </w:t>
      </w:r>
      <w:r>
        <w:rPr>
          <w:iCs/>
        </w:rPr>
        <w:t>nosaukumā</w:t>
      </w:r>
      <w:r w:rsidRPr="00E46054">
        <w:rPr>
          <w:iCs/>
        </w:rPr>
        <w:t xml:space="preserve"> tiek minēta arī mērķa grupa (</w:t>
      </w:r>
      <w:r>
        <w:rPr>
          <w:iCs/>
        </w:rPr>
        <w:t xml:space="preserve">piemēram, </w:t>
      </w:r>
      <w:r w:rsidRPr="00E46054">
        <w:rPr>
          <w:iCs/>
        </w:rPr>
        <w:t>pensijas vecuma persona, persona ar invaliditāti) un pabalsta mērķis (</w:t>
      </w:r>
      <w:r>
        <w:rPr>
          <w:iCs/>
        </w:rPr>
        <w:t xml:space="preserve">piemēram, </w:t>
      </w:r>
      <w:r w:rsidRPr="00E46054">
        <w:rPr>
          <w:iCs/>
        </w:rPr>
        <w:t>cietā kurināmā apmaksai, siltumenerģijas apmaksai un tml</w:t>
      </w:r>
      <w:r w:rsidRPr="00890A4B">
        <w:rPr>
          <w:iCs/>
        </w:rPr>
        <w:t>.).</w:t>
      </w:r>
      <w:r w:rsidR="00890A4B" w:rsidRPr="00890A4B">
        <w:rPr>
          <w:iCs/>
        </w:rPr>
        <w:t xml:space="preserve"> </w:t>
      </w:r>
      <w:r w:rsidRPr="00890A4B">
        <w:rPr>
          <w:iCs/>
        </w:rPr>
        <w:t xml:space="preserve">Tādēļ būtiski norādīt, ka saistošo noteikumu apkopojuma tabulā (sk. </w:t>
      </w:r>
      <w:r w:rsidR="00A65EC3">
        <w:rPr>
          <w:iCs/>
        </w:rPr>
        <w:t>12</w:t>
      </w:r>
      <w:r w:rsidRPr="00890A4B">
        <w:rPr>
          <w:iCs/>
        </w:rPr>
        <w:t>.</w:t>
      </w:r>
      <w:r w:rsidR="00D54545">
        <w:rPr>
          <w:iCs/>
        </w:rPr>
        <w:t xml:space="preserve"> </w:t>
      </w:r>
      <w:r w:rsidRPr="00890A4B">
        <w:rPr>
          <w:iCs/>
        </w:rPr>
        <w:t>pielikumu) norādīts tāds nosaukums, kāds tas ir minēts konkrētajos saistošajos noteikumos.</w:t>
      </w:r>
      <w:r w:rsidRPr="00E46054">
        <w:rPr>
          <w:iCs/>
        </w:rPr>
        <w:t xml:space="preserve"> </w:t>
      </w:r>
    </w:p>
    <w:bookmarkStart w:id="603" w:name="_Ref6496782"/>
    <w:p w:rsidR="003F6CFE" w:rsidRDefault="00AD3EDD" w:rsidP="003945E0">
      <w:pPr>
        <w:pStyle w:val="Caption"/>
        <w:outlineLvl w:val="0"/>
      </w:pPr>
      <w:r>
        <w:fldChar w:fldCharType="begin"/>
      </w:r>
      <w:r w:rsidR="00A46B54">
        <w:instrText xml:space="preserve"> STYLEREF 1 \s </w:instrText>
      </w:r>
      <w:r>
        <w:fldChar w:fldCharType="separate"/>
      </w:r>
      <w:bookmarkStart w:id="604" w:name="_Toc6857680"/>
      <w:r w:rsidR="00224B50">
        <w:rPr>
          <w:noProof/>
        </w:rPr>
        <w:t>3</w:t>
      </w:r>
      <w:r>
        <w:fldChar w:fldCharType="end"/>
      </w:r>
      <w:r w:rsidR="00A46B54">
        <w:t>.</w:t>
      </w:r>
      <w:r>
        <w:fldChar w:fldCharType="begin"/>
      </w:r>
      <w:r w:rsidR="000F1524">
        <w:instrText xml:space="preserve"> SEQ Tabula \* ARABIC \s 1 </w:instrText>
      </w:r>
      <w:r>
        <w:fldChar w:fldCharType="separate"/>
      </w:r>
      <w:r w:rsidR="00224B50">
        <w:rPr>
          <w:noProof/>
        </w:rPr>
        <w:t>2</w:t>
      </w:r>
      <w:r>
        <w:rPr>
          <w:noProof/>
        </w:rPr>
        <w:fldChar w:fldCharType="end"/>
      </w:r>
      <w:bookmarkEnd w:id="603"/>
      <w:r w:rsidR="00266C8E">
        <w:t>. tabula. Dzīvokļa pabalsta nosaukumi pašvaldību saistošajos noteikumos</w:t>
      </w:r>
      <w:bookmarkEnd w:id="604"/>
    </w:p>
    <w:tbl>
      <w:tblPr>
        <w:tblStyle w:val="TableGrid"/>
        <w:tblW w:w="0" w:type="auto"/>
        <w:tblLook w:val="04A0"/>
      </w:tblPr>
      <w:tblGrid>
        <w:gridCol w:w="9682"/>
      </w:tblGrid>
      <w:tr w:rsidR="00266C8E" w:rsidRPr="00F90925" w:rsidTr="006106B3">
        <w:tc>
          <w:tcPr>
            <w:tcW w:w="9682" w:type="dxa"/>
            <w:shd w:val="clear" w:color="auto" w:fill="B8CCE4" w:themeFill="accent1" w:themeFillTint="66"/>
          </w:tcPr>
          <w:p w:rsidR="00266C8E" w:rsidRPr="00F90925" w:rsidRDefault="00266C8E" w:rsidP="00C85EB4">
            <w:pPr>
              <w:spacing w:before="120" w:after="120"/>
              <w:jc w:val="center"/>
              <w:rPr>
                <w:sz w:val="22"/>
                <w:szCs w:val="22"/>
              </w:rPr>
            </w:pPr>
            <w:r w:rsidRPr="00F90925">
              <w:rPr>
                <w:b/>
                <w:sz w:val="22"/>
                <w:szCs w:val="22"/>
              </w:rPr>
              <w:t>Dzīvokļa pabalsta nosaukumu piemēri</w:t>
            </w:r>
            <w:r w:rsidRPr="00F90925">
              <w:rPr>
                <w:sz w:val="22"/>
                <w:szCs w:val="22"/>
              </w:rPr>
              <w:t xml:space="preserve"> (grupēti pēc konkrētā pabalsta veida</w:t>
            </w:r>
            <w:r w:rsidR="00950B38">
              <w:rPr>
                <w:sz w:val="22"/>
                <w:szCs w:val="22"/>
              </w:rPr>
              <w:t>/ mērķa</w:t>
            </w:r>
            <w:r w:rsidRPr="00F90925">
              <w:rPr>
                <w:sz w:val="22"/>
                <w:szCs w:val="22"/>
              </w:rPr>
              <w:t>)</w:t>
            </w:r>
          </w:p>
        </w:tc>
      </w:tr>
      <w:tr w:rsidR="003F6CFE" w:rsidRPr="00F90925" w:rsidTr="00266C8E">
        <w:tc>
          <w:tcPr>
            <w:tcW w:w="9682" w:type="dxa"/>
          </w:tcPr>
          <w:p w:rsidR="003F6CFE" w:rsidRPr="00F90925" w:rsidRDefault="003F6CFE" w:rsidP="003F469F">
            <w:pPr>
              <w:pStyle w:val="ListParagraph"/>
              <w:numPr>
                <w:ilvl w:val="0"/>
                <w:numId w:val="149"/>
              </w:numPr>
              <w:spacing w:line="276" w:lineRule="auto"/>
              <w:ind w:left="714" w:hanging="357"/>
              <w:jc w:val="both"/>
              <w:rPr>
                <w:sz w:val="22"/>
                <w:szCs w:val="22"/>
              </w:rPr>
            </w:pPr>
            <w:r w:rsidRPr="00F90925">
              <w:rPr>
                <w:sz w:val="22"/>
                <w:szCs w:val="22"/>
              </w:rPr>
              <w:t>mājokļa pabalsts;</w:t>
            </w:r>
          </w:p>
          <w:p w:rsidR="003F6CFE" w:rsidRPr="00F90925" w:rsidRDefault="003F6CFE" w:rsidP="003F469F">
            <w:pPr>
              <w:pStyle w:val="ListParagraph"/>
              <w:numPr>
                <w:ilvl w:val="0"/>
                <w:numId w:val="149"/>
              </w:numPr>
              <w:spacing w:line="276" w:lineRule="auto"/>
              <w:ind w:left="714" w:hanging="357"/>
              <w:jc w:val="both"/>
              <w:rPr>
                <w:sz w:val="22"/>
                <w:szCs w:val="22"/>
              </w:rPr>
            </w:pPr>
            <w:r w:rsidRPr="00F90925">
              <w:rPr>
                <w:sz w:val="22"/>
                <w:szCs w:val="22"/>
              </w:rPr>
              <w:t>vienreizējs dzīvokļa pabalsts;</w:t>
            </w:r>
          </w:p>
        </w:tc>
      </w:tr>
      <w:tr w:rsidR="003F6CFE" w:rsidRPr="00F90925" w:rsidTr="00266C8E">
        <w:tc>
          <w:tcPr>
            <w:tcW w:w="9682" w:type="dxa"/>
          </w:tcPr>
          <w:p w:rsidR="003F6CFE" w:rsidRPr="00F90925" w:rsidRDefault="003F6CFE" w:rsidP="003F469F">
            <w:pPr>
              <w:pStyle w:val="ListParagraph"/>
              <w:numPr>
                <w:ilvl w:val="0"/>
                <w:numId w:val="149"/>
              </w:numPr>
              <w:spacing w:line="276" w:lineRule="auto"/>
              <w:ind w:left="714" w:hanging="357"/>
              <w:jc w:val="both"/>
              <w:rPr>
                <w:sz w:val="22"/>
                <w:szCs w:val="22"/>
              </w:rPr>
            </w:pPr>
            <w:r w:rsidRPr="00F90925">
              <w:rPr>
                <w:sz w:val="22"/>
                <w:szCs w:val="22"/>
              </w:rPr>
              <w:t>vienreizējs dzīvokļa pabalsts atsevišķi dzīvojošiem vientuļajiem pensionāriem, nestrādājošām personām ar I un II grupas invaliditāti;</w:t>
            </w:r>
          </w:p>
          <w:p w:rsidR="003F6CFE" w:rsidRPr="00F90925" w:rsidRDefault="003F6CFE" w:rsidP="003F469F">
            <w:pPr>
              <w:pStyle w:val="ListParagraph"/>
              <w:numPr>
                <w:ilvl w:val="0"/>
                <w:numId w:val="149"/>
              </w:numPr>
              <w:spacing w:line="276" w:lineRule="auto"/>
              <w:ind w:left="714" w:hanging="357"/>
              <w:jc w:val="both"/>
              <w:rPr>
                <w:sz w:val="22"/>
                <w:szCs w:val="22"/>
              </w:rPr>
            </w:pPr>
            <w:r w:rsidRPr="00F90925">
              <w:rPr>
                <w:sz w:val="22"/>
                <w:szCs w:val="22"/>
              </w:rPr>
              <w:t>dzīvokļa pabalsts pensionāriem un personām ar invaliditāti;</w:t>
            </w:r>
          </w:p>
        </w:tc>
      </w:tr>
      <w:tr w:rsidR="003F6CFE" w:rsidRPr="00F90925" w:rsidTr="00266C8E">
        <w:tc>
          <w:tcPr>
            <w:tcW w:w="9682" w:type="dxa"/>
          </w:tcPr>
          <w:p w:rsidR="003F6CFE" w:rsidRPr="00F90925" w:rsidRDefault="003F6CFE" w:rsidP="003F469F">
            <w:pPr>
              <w:pStyle w:val="ListParagraph"/>
              <w:numPr>
                <w:ilvl w:val="0"/>
                <w:numId w:val="149"/>
              </w:numPr>
              <w:spacing w:line="276" w:lineRule="auto"/>
              <w:ind w:left="714" w:hanging="357"/>
              <w:jc w:val="both"/>
              <w:rPr>
                <w:sz w:val="22"/>
                <w:szCs w:val="22"/>
              </w:rPr>
            </w:pPr>
            <w:r w:rsidRPr="00F90925">
              <w:rPr>
                <w:sz w:val="22"/>
                <w:szCs w:val="22"/>
              </w:rPr>
              <w:t>palīdzība sociālā dzīvokļa īres maksas un maksas par komunālajiem pakalpojumiem segšanai;</w:t>
            </w:r>
          </w:p>
          <w:p w:rsidR="003F6CFE" w:rsidRPr="00F90925" w:rsidRDefault="003F6CFE" w:rsidP="003F469F">
            <w:pPr>
              <w:pStyle w:val="ListParagraph"/>
              <w:numPr>
                <w:ilvl w:val="0"/>
                <w:numId w:val="149"/>
              </w:numPr>
              <w:spacing w:line="276" w:lineRule="auto"/>
              <w:ind w:left="714" w:hanging="357"/>
              <w:jc w:val="both"/>
              <w:rPr>
                <w:sz w:val="22"/>
                <w:szCs w:val="22"/>
              </w:rPr>
            </w:pPr>
            <w:r w:rsidRPr="00F90925">
              <w:rPr>
                <w:sz w:val="22"/>
                <w:szCs w:val="22"/>
              </w:rPr>
              <w:t>dzīvokļa pabalsts sociālā dzīvokļa īrniekam;</w:t>
            </w:r>
          </w:p>
          <w:p w:rsidR="003F6CFE" w:rsidRPr="00F90925" w:rsidRDefault="003F6CFE" w:rsidP="003F469F">
            <w:pPr>
              <w:pStyle w:val="ListParagraph"/>
              <w:numPr>
                <w:ilvl w:val="0"/>
                <w:numId w:val="149"/>
              </w:numPr>
              <w:spacing w:line="276" w:lineRule="auto"/>
              <w:ind w:left="714" w:hanging="357"/>
              <w:jc w:val="both"/>
              <w:rPr>
                <w:sz w:val="22"/>
                <w:szCs w:val="22"/>
              </w:rPr>
            </w:pPr>
            <w:r w:rsidRPr="00F90925">
              <w:rPr>
                <w:sz w:val="22"/>
                <w:szCs w:val="22"/>
              </w:rPr>
              <w:t>pabalsts - atlaide sociālā dzīvokļa (sociālās istabas) īrniekiem;</w:t>
            </w:r>
          </w:p>
        </w:tc>
      </w:tr>
      <w:tr w:rsidR="003F6CFE" w:rsidRPr="00F90925" w:rsidTr="00266C8E">
        <w:tc>
          <w:tcPr>
            <w:tcW w:w="9682" w:type="dxa"/>
          </w:tcPr>
          <w:p w:rsidR="003F6CFE" w:rsidRPr="00F90925" w:rsidRDefault="003F6CFE" w:rsidP="003F469F">
            <w:pPr>
              <w:pStyle w:val="ListParagraph"/>
              <w:numPr>
                <w:ilvl w:val="0"/>
                <w:numId w:val="149"/>
              </w:numPr>
              <w:spacing w:line="276" w:lineRule="auto"/>
              <w:ind w:left="714" w:hanging="357"/>
              <w:jc w:val="both"/>
              <w:rPr>
                <w:sz w:val="22"/>
                <w:szCs w:val="22"/>
              </w:rPr>
            </w:pPr>
            <w:r w:rsidRPr="00F90925">
              <w:rPr>
                <w:sz w:val="22"/>
                <w:szCs w:val="22"/>
              </w:rPr>
              <w:t>dzīvokļa (mājokļa) pabalsts (personām, kuru apdzīvojamās platības tiek apkurinātas centralizēti);</w:t>
            </w:r>
          </w:p>
          <w:p w:rsidR="003F6CFE" w:rsidRPr="00F90925" w:rsidRDefault="003F6CFE" w:rsidP="003F469F">
            <w:pPr>
              <w:pStyle w:val="ListParagraph"/>
              <w:numPr>
                <w:ilvl w:val="0"/>
                <w:numId w:val="149"/>
              </w:numPr>
              <w:spacing w:line="276" w:lineRule="auto"/>
              <w:ind w:left="714" w:hanging="357"/>
              <w:jc w:val="both"/>
              <w:rPr>
                <w:sz w:val="22"/>
                <w:szCs w:val="22"/>
              </w:rPr>
            </w:pPr>
            <w:r w:rsidRPr="00F90925">
              <w:rPr>
                <w:sz w:val="22"/>
                <w:szCs w:val="22"/>
              </w:rPr>
              <w:t>dzīvokļa (mājokļa) pabalsts (personām, kuru apdzīvojamās platības tiek apsaimniekotas un apkurinātas individuāli ar malku vai citu kurināmo);</w:t>
            </w:r>
          </w:p>
          <w:p w:rsidR="003F6CFE" w:rsidRPr="00F90925" w:rsidRDefault="003F6CFE" w:rsidP="003F469F">
            <w:pPr>
              <w:pStyle w:val="ListParagraph"/>
              <w:numPr>
                <w:ilvl w:val="0"/>
                <w:numId w:val="149"/>
              </w:numPr>
              <w:spacing w:line="276" w:lineRule="auto"/>
              <w:ind w:left="714" w:hanging="357"/>
              <w:jc w:val="both"/>
              <w:rPr>
                <w:sz w:val="22"/>
                <w:szCs w:val="22"/>
              </w:rPr>
            </w:pPr>
            <w:r w:rsidRPr="00F90925">
              <w:rPr>
                <w:sz w:val="22"/>
                <w:szCs w:val="22"/>
              </w:rPr>
              <w:t xml:space="preserve">dzīvokļa pabalsts ģimenei, kura dzīvo daudzdzīvokļu mājā ar centralizētu apkuri jeb siltumpiegādi; </w:t>
            </w:r>
          </w:p>
          <w:p w:rsidR="003F6CFE" w:rsidRPr="00F90925" w:rsidRDefault="003F6CFE" w:rsidP="003F469F">
            <w:pPr>
              <w:pStyle w:val="ListParagraph"/>
              <w:numPr>
                <w:ilvl w:val="0"/>
                <w:numId w:val="149"/>
              </w:numPr>
              <w:spacing w:line="276" w:lineRule="auto"/>
              <w:ind w:left="714" w:hanging="357"/>
              <w:jc w:val="both"/>
              <w:rPr>
                <w:sz w:val="22"/>
                <w:szCs w:val="22"/>
              </w:rPr>
            </w:pPr>
            <w:r w:rsidRPr="00F90925">
              <w:rPr>
                <w:sz w:val="22"/>
                <w:szCs w:val="22"/>
              </w:rPr>
              <w:t>dzīvokļa pabalsts ģimenei, kura dzīvo mājā ar lokālu apkuri jeb siltumapgādi, kurināmā iegādei;</w:t>
            </w:r>
          </w:p>
        </w:tc>
      </w:tr>
      <w:tr w:rsidR="003F6CFE" w:rsidRPr="00F90925" w:rsidTr="00266C8E">
        <w:tc>
          <w:tcPr>
            <w:tcW w:w="9682" w:type="dxa"/>
          </w:tcPr>
          <w:p w:rsidR="003F6CFE" w:rsidRPr="00F90925" w:rsidRDefault="003F6CFE" w:rsidP="003F469F">
            <w:pPr>
              <w:pStyle w:val="ListParagraph"/>
              <w:numPr>
                <w:ilvl w:val="0"/>
                <w:numId w:val="149"/>
              </w:numPr>
              <w:spacing w:line="276" w:lineRule="auto"/>
              <w:ind w:left="714" w:hanging="357"/>
              <w:jc w:val="both"/>
              <w:rPr>
                <w:sz w:val="22"/>
                <w:szCs w:val="22"/>
              </w:rPr>
            </w:pPr>
            <w:r w:rsidRPr="00F90925">
              <w:rPr>
                <w:sz w:val="22"/>
                <w:szCs w:val="22"/>
              </w:rPr>
              <w:t>vienreizējs pabalsts mājokļa remontam;</w:t>
            </w:r>
          </w:p>
          <w:p w:rsidR="003F6CFE" w:rsidRPr="00F90925" w:rsidRDefault="003F6CFE" w:rsidP="003F469F">
            <w:pPr>
              <w:pStyle w:val="ListParagraph"/>
              <w:numPr>
                <w:ilvl w:val="0"/>
                <w:numId w:val="149"/>
              </w:numPr>
              <w:spacing w:line="276" w:lineRule="auto"/>
              <w:ind w:left="714" w:hanging="357"/>
              <w:jc w:val="both"/>
              <w:rPr>
                <w:sz w:val="22"/>
                <w:szCs w:val="22"/>
              </w:rPr>
            </w:pPr>
            <w:r w:rsidRPr="00F90925">
              <w:rPr>
                <w:sz w:val="22"/>
                <w:szCs w:val="22"/>
              </w:rPr>
              <w:t>vienreizējs pabalsts dzīvojamo telpu remontam;</w:t>
            </w:r>
          </w:p>
          <w:p w:rsidR="003F6CFE" w:rsidRPr="00F90925" w:rsidRDefault="003F6CFE" w:rsidP="003F469F">
            <w:pPr>
              <w:pStyle w:val="ListParagraph"/>
              <w:numPr>
                <w:ilvl w:val="0"/>
                <w:numId w:val="149"/>
              </w:numPr>
              <w:spacing w:line="276" w:lineRule="auto"/>
              <w:ind w:left="714" w:hanging="357"/>
              <w:jc w:val="both"/>
              <w:rPr>
                <w:sz w:val="22"/>
                <w:szCs w:val="22"/>
              </w:rPr>
            </w:pPr>
            <w:r w:rsidRPr="00F90925">
              <w:rPr>
                <w:sz w:val="22"/>
                <w:szCs w:val="22"/>
              </w:rPr>
              <w:t>vienreizējs pabalsts mājokļa pieslēgšanai pie inženiertīkliem;</w:t>
            </w:r>
          </w:p>
          <w:p w:rsidR="003F6CFE" w:rsidRPr="00F90925" w:rsidRDefault="003F6CFE" w:rsidP="003F469F">
            <w:pPr>
              <w:pStyle w:val="ListParagraph"/>
              <w:numPr>
                <w:ilvl w:val="0"/>
                <w:numId w:val="149"/>
              </w:numPr>
              <w:spacing w:line="276" w:lineRule="auto"/>
              <w:ind w:left="714" w:hanging="357"/>
              <w:jc w:val="both"/>
              <w:rPr>
                <w:sz w:val="22"/>
                <w:szCs w:val="22"/>
              </w:rPr>
            </w:pPr>
            <w:r w:rsidRPr="00F90925">
              <w:rPr>
                <w:sz w:val="22"/>
                <w:szCs w:val="22"/>
              </w:rPr>
              <w:t>vienreizējs pabalsts dzīvojamās telpas vai dzīvojamās mājas remontam;</w:t>
            </w:r>
          </w:p>
        </w:tc>
      </w:tr>
      <w:tr w:rsidR="003F6CFE" w:rsidRPr="00F90925" w:rsidTr="00266C8E">
        <w:tc>
          <w:tcPr>
            <w:tcW w:w="9682" w:type="dxa"/>
          </w:tcPr>
          <w:p w:rsidR="003F6CFE" w:rsidRPr="00F90925" w:rsidRDefault="003F6CFE" w:rsidP="003F469F">
            <w:pPr>
              <w:pStyle w:val="ListParagraph"/>
              <w:numPr>
                <w:ilvl w:val="0"/>
                <w:numId w:val="149"/>
              </w:numPr>
              <w:spacing w:line="276" w:lineRule="auto"/>
              <w:ind w:left="714" w:hanging="357"/>
              <w:jc w:val="both"/>
              <w:rPr>
                <w:sz w:val="22"/>
                <w:szCs w:val="22"/>
              </w:rPr>
            </w:pPr>
            <w:r w:rsidRPr="00F90925">
              <w:rPr>
                <w:sz w:val="22"/>
                <w:szCs w:val="22"/>
              </w:rPr>
              <w:t>pabalsts malkas iegādei vai apkures izdevumu daļējai segšanai personām ar invaliditāti;</w:t>
            </w:r>
          </w:p>
          <w:p w:rsidR="003F6CFE" w:rsidRPr="00F90925" w:rsidRDefault="003F6CFE" w:rsidP="003F469F">
            <w:pPr>
              <w:pStyle w:val="ListParagraph"/>
              <w:numPr>
                <w:ilvl w:val="0"/>
                <w:numId w:val="149"/>
              </w:numPr>
              <w:spacing w:line="276" w:lineRule="auto"/>
              <w:ind w:left="714" w:hanging="357"/>
              <w:jc w:val="both"/>
              <w:rPr>
                <w:sz w:val="22"/>
                <w:szCs w:val="22"/>
              </w:rPr>
            </w:pPr>
            <w:r w:rsidRPr="00F90925">
              <w:rPr>
                <w:sz w:val="22"/>
                <w:szCs w:val="22"/>
              </w:rPr>
              <w:t>centralizētās apkures izdevumu pabalsts (dzīvokļa pabalsts);</w:t>
            </w:r>
          </w:p>
          <w:p w:rsidR="003F6CFE" w:rsidRPr="00F90925" w:rsidRDefault="003F6CFE" w:rsidP="003F469F">
            <w:pPr>
              <w:pStyle w:val="ListParagraph"/>
              <w:numPr>
                <w:ilvl w:val="0"/>
                <w:numId w:val="149"/>
              </w:numPr>
              <w:spacing w:line="276" w:lineRule="auto"/>
              <w:ind w:left="714" w:hanging="357"/>
              <w:jc w:val="both"/>
              <w:rPr>
                <w:sz w:val="22"/>
                <w:szCs w:val="22"/>
              </w:rPr>
            </w:pPr>
            <w:r w:rsidRPr="00F90925">
              <w:rPr>
                <w:sz w:val="22"/>
                <w:szCs w:val="22"/>
              </w:rPr>
              <w:t>pabalsts kurināmā iegādei (dzīvokļa pabalsts);</w:t>
            </w:r>
          </w:p>
          <w:p w:rsidR="003F6CFE" w:rsidRPr="00F90925" w:rsidRDefault="003F6CFE" w:rsidP="003F469F">
            <w:pPr>
              <w:pStyle w:val="ListParagraph"/>
              <w:numPr>
                <w:ilvl w:val="0"/>
                <w:numId w:val="149"/>
              </w:numPr>
              <w:spacing w:line="276" w:lineRule="auto"/>
              <w:ind w:left="714" w:hanging="357"/>
              <w:jc w:val="both"/>
              <w:rPr>
                <w:sz w:val="22"/>
                <w:szCs w:val="22"/>
              </w:rPr>
            </w:pPr>
            <w:r w:rsidRPr="00F90925">
              <w:rPr>
                <w:sz w:val="22"/>
                <w:szCs w:val="22"/>
              </w:rPr>
              <w:t>pabalsts komunālo maksājumu parādu dzēšanai;</w:t>
            </w:r>
          </w:p>
          <w:p w:rsidR="003F6CFE" w:rsidRPr="00F90925" w:rsidRDefault="003F6CFE" w:rsidP="003F469F">
            <w:pPr>
              <w:pStyle w:val="ListParagraph"/>
              <w:numPr>
                <w:ilvl w:val="0"/>
                <w:numId w:val="149"/>
              </w:numPr>
              <w:spacing w:line="276" w:lineRule="auto"/>
              <w:ind w:left="714" w:hanging="357"/>
              <w:jc w:val="both"/>
              <w:rPr>
                <w:sz w:val="22"/>
                <w:szCs w:val="22"/>
              </w:rPr>
            </w:pPr>
            <w:r w:rsidRPr="00F90925">
              <w:rPr>
                <w:sz w:val="22"/>
                <w:szCs w:val="22"/>
              </w:rPr>
              <w:t>pabalsts apkurei vai kurināmā iegādes izdevumu apmaksai vientuļiem pensionāriem un personām ar invaliditāti kopš bērnības.</w:t>
            </w:r>
          </w:p>
        </w:tc>
      </w:tr>
    </w:tbl>
    <w:p w:rsidR="003F6CFE" w:rsidRDefault="003F6CFE" w:rsidP="00922A20">
      <w:pPr>
        <w:rPr>
          <w:iCs/>
        </w:rPr>
      </w:pPr>
    </w:p>
    <w:p w:rsidR="009B0D76" w:rsidRDefault="009B0D76" w:rsidP="00922A20">
      <w:pPr>
        <w:rPr>
          <w:iCs/>
        </w:rPr>
      </w:pPr>
      <w:r w:rsidRPr="00E46054">
        <w:rPr>
          <w:iCs/>
        </w:rPr>
        <w:t xml:space="preserve">Dzīvokļa pabalsts pašvaldībās visbiežāk ir paredzēts īres, apkures un apsaimniekošanas izdevumu segšanai, taču atsevišķās pašvaldībās tas tiek izmaksāts </w:t>
      </w:r>
      <w:r>
        <w:rPr>
          <w:iCs/>
        </w:rPr>
        <w:t>tikai apkures izdevumu segšanai</w:t>
      </w:r>
      <w:r w:rsidRPr="00E46054">
        <w:rPr>
          <w:iCs/>
        </w:rPr>
        <w:t xml:space="preserve"> vai pat tikai cietā kurināmā iegādei. Ja pabalsts paredzēts cietā kurināmā iegādei, tad tas parasti tiek izmaksāts vienu reizi kalendārā gada laikā un var tikt izmaksāts arī natūrā. Tāpat ir pašvaldības, </w:t>
      </w:r>
      <w:r>
        <w:rPr>
          <w:iCs/>
        </w:rPr>
        <w:t>kurās</w:t>
      </w:r>
      <w:r w:rsidRPr="00E46054">
        <w:rPr>
          <w:iCs/>
        </w:rPr>
        <w:t xml:space="preserve"> dzīvokļa pabalsts tiek izmaksāts</w:t>
      </w:r>
      <w:r>
        <w:rPr>
          <w:iCs/>
        </w:rPr>
        <w:t xml:space="preserve"> konkrētā</w:t>
      </w:r>
      <w:r w:rsidRPr="00E46054">
        <w:rPr>
          <w:iCs/>
        </w:rPr>
        <w:t xml:space="preserve"> pakalpojuma sniedzējam</w:t>
      </w:r>
      <w:r>
        <w:rPr>
          <w:iCs/>
        </w:rPr>
        <w:t>,</w:t>
      </w:r>
      <w:r w:rsidRPr="00E46054">
        <w:rPr>
          <w:iCs/>
        </w:rPr>
        <w:t xml:space="preserve"> nevis tā saņēmējam. Dzīvokļa pabalstu pamatā tiesīgas saņemt trūcīgas </w:t>
      </w:r>
      <w:r w:rsidR="00C85101" w:rsidRPr="00E46054">
        <w:rPr>
          <w:iCs/>
        </w:rPr>
        <w:t xml:space="preserve">ģimenes </w:t>
      </w:r>
      <w:r w:rsidRPr="00E46054">
        <w:rPr>
          <w:iCs/>
        </w:rPr>
        <w:t>(</w:t>
      </w:r>
      <w:r w:rsidR="00C85101" w:rsidRPr="00E46054">
        <w:rPr>
          <w:iCs/>
        </w:rPr>
        <w:t>personas</w:t>
      </w:r>
      <w:r w:rsidRPr="00E46054">
        <w:rPr>
          <w:iCs/>
        </w:rPr>
        <w:t xml:space="preserve">) un maznodrošinātas </w:t>
      </w:r>
      <w:r w:rsidR="00C85101">
        <w:rPr>
          <w:iCs/>
        </w:rPr>
        <w:t>ģimenes</w:t>
      </w:r>
      <w:r w:rsidR="00C85101" w:rsidRPr="00E46054">
        <w:rPr>
          <w:iCs/>
        </w:rPr>
        <w:t xml:space="preserve"> </w:t>
      </w:r>
      <w:r w:rsidR="00DC4F5A">
        <w:rPr>
          <w:iCs/>
        </w:rPr>
        <w:t>(</w:t>
      </w:r>
      <w:r w:rsidR="00C85101" w:rsidRPr="00E46054">
        <w:rPr>
          <w:iCs/>
        </w:rPr>
        <w:t>personas</w:t>
      </w:r>
      <w:r w:rsidR="00DC4F5A">
        <w:rPr>
          <w:iCs/>
        </w:rPr>
        <w:t>)</w:t>
      </w:r>
      <w:r w:rsidRPr="00E46054">
        <w:rPr>
          <w:iCs/>
        </w:rPr>
        <w:t>, atsevišķās pašvaldībās noteiktas arī citas iedzīvotāju grupas (</w:t>
      </w:r>
      <w:r>
        <w:rPr>
          <w:iCs/>
        </w:rPr>
        <w:t xml:space="preserve">piemēram, </w:t>
      </w:r>
      <w:r w:rsidRPr="00E46054">
        <w:rPr>
          <w:iCs/>
        </w:rPr>
        <w:t xml:space="preserve">atsevišķi dzīvojošas </w:t>
      </w:r>
      <w:r w:rsidRPr="00E46054">
        <w:rPr>
          <w:iCs/>
        </w:rPr>
        <w:lastRenderedPageBreak/>
        <w:t xml:space="preserve">personas ar invaliditāti, atsevišķi dzīvojošas pensijas vecuma personas, daudzbērnu ģimenes), taču šādos gadījumos pabalsta saņemšanas nosacījumos tiek noteikts konkrēts personas ienākumu līmenis. </w:t>
      </w:r>
      <w:r>
        <w:rPr>
          <w:iCs/>
        </w:rPr>
        <w:t>Jāpiebilst</w:t>
      </w:r>
      <w:r w:rsidRPr="00E46054">
        <w:rPr>
          <w:iCs/>
        </w:rPr>
        <w:t xml:space="preserve">, ka atsevišķās pašvaldībās dzīvokļa pabalstu tiesīgas saņemt tikai trūcīgas </w:t>
      </w:r>
      <w:r w:rsidR="00C85101" w:rsidRPr="00E46054">
        <w:rPr>
          <w:iCs/>
        </w:rPr>
        <w:t xml:space="preserve">ģimenes </w:t>
      </w:r>
      <w:r w:rsidRPr="00E46054">
        <w:rPr>
          <w:iCs/>
        </w:rPr>
        <w:t>(</w:t>
      </w:r>
      <w:r w:rsidR="00C85101" w:rsidRPr="00E46054">
        <w:rPr>
          <w:iCs/>
        </w:rPr>
        <w:t>personas</w:t>
      </w:r>
      <w:r w:rsidRPr="00E46054">
        <w:rPr>
          <w:iCs/>
        </w:rPr>
        <w:t xml:space="preserve">). Dzīvokļa pabalsta </w:t>
      </w:r>
      <w:r>
        <w:rPr>
          <w:iCs/>
        </w:rPr>
        <w:t>vidējo</w:t>
      </w:r>
      <w:r w:rsidRPr="00E46054">
        <w:rPr>
          <w:iCs/>
        </w:rPr>
        <w:t xml:space="preserve"> apmēru ir grūti noteikt, jo tā apmēri vari</w:t>
      </w:r>
      <w:r>
        <w:rPr>
          <w:iCs/>
        </w:rPr>
        <w:t>ē</w:t>
      </w:r>
      <w:r w:rsidRPr="00E46054">
        <w:rPr>
          <w:iCs/>
        </w:rPr>
        <w:t xml:space="preserve"> starp mērķa grupām, pabalsta izmaksas mērķiem un pašvaldībām, kas nodrošina </w:t>
      </w:r>
      <w:r>
        <w:rPr>
          <w:iCs/>
        </w:rPr>
        <w:t xml:space="preserve">šādu </w:t>
      </w:r>
      <w:r w:rsidRPr="00E46054">
        <w:rPr>
          <w:iCs/>
        </w:rPr>
        <w:t>pabalstu.</w:t>
      </w:r>
    </w:p>
    <w:p w:rsidR="009C06E7" w:rsidRDefault="009C06E7" w:rsidP="00922A20">
      <w:pPr>
        <w:rPr>
          <w:iCs/>
        </w:rPr>
      </w:pPr>
    </w:p>
    <w:p w:rsidR="009B0D76" w:rsidRPr="00E46054" w:rsidRDefault="009B0D76" w:rsidP="00064C1E">
      <w:pPr>
        <w:rPr>
          <w:iCs/>
        </w:rPr>
      </w:pPr>
      <w:r w:rsidRPr="00E46054">
        <w:rPr>
          <w:iCs/>
        </w:rPr>
        <w:t xml:space="preserve">Atsevišķās pašvaldībās tiek piešķirts </w:t>
      </w:r>
      <w:r w:rsidRPr="00AD7FC8">
        <w:rPr>
          <w:b/>
          <w:iCs/>
        </w:rPr>
        <w:t>dzīvokļa pabalsts (atlaide) sociālā dzīvokļa īrniekam</w:t>
      </w:r>
      <w:r w:rsidRPr="00E46054">
        <w:rPr>
          <w:iCs/>
        </w:rPr>
        <w:t>. Pabalstu tiesīgi saņemt sociālā dzīvokļa īrnieki – trūcīgas personas, maznodrošinātas personas un sociāli mazaizsargātas personas. Pabalsta apmērs variē starp pašvaldībām, parasti pašvaldības nosaka</w:t>
      </w:r>
      <w:r>
        <w:rPr>
          <w:iCs/>
        </w:rPr>
        <w:t>,</w:t>
      </w:r>
      <w:r w:rsidRPr="00E46054">
        <w:rPr>
          <w:iCs/>
        </w:rPr>
        <w:t xml:space="preserve"> kādu daļu no konkrētā izdevuma veida (īre, apkure, komunālie pakalpojumi) tās apmaksā sociālā dzīvokļa īrniekam.</w:t>
      </w:r>
      <w:r w:rsidR="00462293">
        <w:rPr>
          <w:iCs/>
        </w:rPr>
        <w:t xml:space="preserve"> Savukārt Ogres novada pašvaldībā sociālā dzīvokļa īrniekiem, trūcīgām un maznodrošinātām personām (ģimenēm) var tikt piešķirts </w:t>
      </w:r>
      <w:r w:rsidR="00462293" w:rsidRPr="00462293">
        <w:rPr>
          <w:b/>
          <w:iCs/>
        </w:rPr>
        <w:t>pabalsts dzīvokļa parādu segšanai</w:t>
      </w:r>
      <w:r w:rsidR="00462293">
        <w:rPr>
          <w:iCs/>
        </w:rPr>
        <w:t>.</w:t>
      </w:r>
    </w:p>
    <w:p w:rsidR="009B0D76" w:rsidRPr="00E46054" w:rsidRDefault="009B0D76" w:rsidP="00064C1E">
      <w:pPr>
        <w:rPr>
          <w:iCs/>
        </w:rPr>
      </w:pPr>
    </w:p>
    <w:p w:rsidR="009B0D76" w:rsidRDefault="009B0D76" w:rsidP="00064C1E">
      <w:pPr>
        <w:rPr>
          <w:iCs/>
        </w:rPr>
      </w:pPr>
      <w:r w:rsidRPr="00462293">
        <w:rPr>
          <w:b/>
          <w:iCs/>
        </w:rPr>
        <w:t>Dzīvokļa pabalsts bārenim un bez vecāku gādības palikušam bērnam</w:t>
      </w:r>
      <w:r w:rsidRPr="00462293">
        <w:rPr>
          <w:iCs/>
        </w:rPr>
        <w:t xml:space="preserve"> tiek piešķirts bez </w:t>
      </w:r>
      <w:r w:rsidR="00047EE7" w:rsidRPr="00462293">
        <w:rPr>
          <w:iCs/>
        </w:rPr>
        <w:t>materiālā stāvokļa izvērtēšanas, 11 pašvaldībās (Jelgavas</w:t>
      </w:r>
      <w:r w:rsidR="00692EC2" w:rsidRPr="00462293">
        <w:rPr>
          <w:iCs/>
        </w:rPr>
        <w:t xml:space="preserve"> novads</w:t>
      </w:r>
      <w:r w:rsidR="00047EE7" w:rsidRPr="00462293">
        <w:rPr>
          <w:iCs/>
        </w:rPr>
        <w:t>, Kokneses</w:t>
      </w:r>
      <w:r w:rsidR="00692EC2" w:rsidRPr="00462293">
        <w:rPr>
          <w:iCs/>
        </w:rPr>
        <w:t xml:space="preserve"> novads</w:t>
      </w:r>
      <w:r w:rsidR="00047EE7" w:rsidRPr="00462293">
        <w:rPr>
          <w:iCs/>
        </w:rPr>
        <w:t>, Lubānas</w:t>
      </w:r>
      <w:r w:rsidR="00692EC2" w:rsidRPr="00462293">
        <w:rPr>
          <w:iCs/>
        </w:rPr>
        <w:t xml:space="preserve"> novads</w:t>
      </w:r>
      <w:r w:rsidR="00047EE7" w:rsidRPr="00462293">
        <w:rPr>
          <w:iCs/>
        </w:rPr>
        <w:t>, Naukšēnu</w:t>
      </w:r>
      <w:r w:rsidR="00692EC2" w:rsidRPr="00462293">
        <w:rPr>
          <w:iCs/>
        </w:rPr>
        <w:t xml:space="preserve"> novads</w:t>
      </w:r>
      <w:r w:rsidR="00047EE7" w:rsidRPr="00462293">
        <w:rPr>
          <w:iCs/>
        </w:rPr>
        <w:t>, Preiļu</w:t>
      </w:r>
      <w:r w:rsidR="00692EC2" w:rsidRPr="00462293">
        <w:rPr>
          <w:iCs/>
        </w:rPr>
        <w:t xml:space="preserve"> novads</w:t>
      </w:r>
      <w:r w:rsidR="00047EE7" w:rsidRPr="00462293">
        <w:rPr>
          <w:iCs/>
        </w:rPr>
        <w:t>, Inčukalna</w:t>
      </w:r>
      <w:r w:rsidR="00692EC2" w:rsidRPr="00462293">
        <w:rPr>
          <w:iCs/>
        </w:rPr>
        <w:t xml:space="preserve"> novads</w:t>
      </w:r>
      <w:r w:rsidR="00047EE7" w:rsidRPr="00462293">
        <w:rPr>
          <w:iCs/>
        </w:rPr>
        <w:t>, Jaunjelgavas</w:t>
      </w:r>
      <w:r w:rsidR="00692EC2" w:rsidRPr="00462293">
        <w:rPr>
          <w:iCs/>
        </w:rPr>
        <w:t xml:space="preserve"> novads</w:t>
      </w:r>
      <w:r w:rsidR="00047EE7" w:rsidRPr="00462293">
        <w:rPr>
          <w:iCs/>
        </w:rPr>
        <w:t>, Skrīveru</w:t>
      </w:r>
      <w:r w:rsidR="00692EC2" w:rsidRPr="00462293">
        <w:rPr>
          <w:iCs/>
        </w:rPr>
        <w:t xml:space="preserve"> novads</w:t>
      </w:r>
      <w:r w:rsidR="00047EE7" w:rsidRPr="00462293">
        <w:rPr>
          <w:iCs/>
        </w:rPr>
        <w:t>, Vārkavas</w:t>
      </w:r>
      <w:r w:rsidR="00692EC2" w:rsidRPr="00462293">
        <w:rPr>
          <w:iCs/>
        </w:rPr>
        <w:t xml:space="preserve"> novads</w:t>
      </w:r>
      <w:r w:rsidR="00047EE7" w:rsidRPr="00462293">
        <w:rPr>
          <w:iCs/>
        </w:rPr>
        <w:t xml:space="preserve">, </w:t>
      </w:r>
      <w:r w:rsidR="00692EC2" w:rsidRPr="00462293">
        <w:rPr>
          <w:iCs/>
        </w:rPr>
        <w:t>Vecpiebal</w:t>
      </w:r>
      <w:r w:rsidR="002355AD">
        <w:rPr>
          <w:iCs/>
        </w:rPr>
        <w:t>gas novads un Ventspils novads)</w:t>
      </w:r>
      <w:r w:rsidR="00692EC2" w:rsidRPr="00462293">
        <w:rPr>
          <w:iCs/>
        </w:rPr>
        <w:t xml:space="preserve"> </w:t>
      </w:r>
      <w:r w:rsidR="00047EE7" w:rsidRPr="00462293">
        <w:rPr>
          <w:iCs/>
        </w:rPr>
        <w:t>no 115 apsekotajām pašvaldībām</w:t>
      </w:r>
      <w:r w:rsidR="002355AD">
        <w:rPr>
          <w:iCs/>
        </w:rPr>
        <w:t xml:space="preserve"> </w:t>
      </w:r>
      <w:r w:rsidR="005A31DC">
        <w:rPr>
          <w:iCs/>
        </w:rPr>
        <w:t xml:space="preserve">dzīvokļa </w:t>
      </w:r>
      <w:r w:rsidR="00692EC2" w:rsidRPr="00462293">
        <w:rPr>
          <w:iCs/>
        </w:rPr>
        <w:t>pabalsts netika konstatēts.</w:t>
      </w:r>
      <w:r w:rsidR="00692EC2">
        <w:rPr>
          <w:iCs/>
        </w:rPr>
        <w:t xml:space="preserve"> </w:t>
      </w:r>
      <w:r w:rsidRPr="00E46054">
        <w:rPr>
          <w:iCs/>
        </w:rPr>
        <w:t>Dzīvokļa pabalstu ir tiesības saņemt pilngadību sasniegušiem bērniem bāreņiem un bez vecāku gādības palikušajiem bērniem</w:t>
      </w:r>
      <w:r>
        <w:rPr>
          <w:iCs/>
        </w:rPr>
        <w:t>,</w:t>
      </w:r>
      <w:r w:rsidRPr="00E46054">
        <w:rPr>
          <w:iCs/>
        </w:rPr>
        <w:t xml:space="preserve"> par kuru ārpusģimenes aprūpi lēmumu pieņēmusi konkrētās pašvaldības bāriņtiesa. Dzīvokļa pabalsts bērniem bāreņiem un bez vecāku gādības palikušajiem bērniem tiek piešķirts, lai segtu dzīvojamās telpas īres vai pārvaldīšanas maksu un maksu par pakalpojumiem, kas saistīti ar dzīvojamās telpas lietošanu. </w:t>
      </w:r>
      <w:r w:rsidRPr="00E46054">
        <w:rPr>
          <w:bCs/>
        </w:rPr>
        <w:t xml:space="preserve">Pabalsts tiek aprēķināts pēc pašvaldībā noteiktiem pabalsta aprēķināšanas normatīviem, bet nepārsniedzot </w:t>
      </w:r>
      <w:r>
        <w:rPr>
          <w:bCs/>
        </w:rPr>
        <w:t xml:space="preserve">dzīvokļa </w:t>
      </w:r>
      <w:r w:rsidRPr="00E46054">
        <w:rPr>
          <w:bCs/>
        </w:rPr>
        <w:t xml:space="preserve">faktiskos izdevumus. </w:t>
      </w:r>
      <w:r>
        <w:rPr>
          <w:iCs/>
        </w:rPr>
        <w:t>Tas nozīmē, ka</w:t>
      </w:r>
      <w:r w:rsidRPr="00E46054">
        <w:rPr>
          <w:iCs/>
        </w:rPr>
        <w:t xml:space="preserve"> dzīvokļa pabalsta a</w:t>
      </w:r>
      <w:r>
        <w:rPr>
          <w:iCs/>
        </w:rPr>
        <w:t>pm</w:t>
      </w:r>
      <w:r w:rsidRPr="00E46054">
        <w:rPr>
          <w:iCs/>
        </w:rPr>
        <w:t xml:space="preserve">ērs nav fiksēts un variē starp </w:t>
      </w:r>
      <w:r w:rsidRPr="00462293">
        <w:rPr>
          <w:iCs/>
        </w:rPr>
        <w:t>pašvaldībām. Pabalsts var tikt izmaksāts gan atvieglojumu saņēmējam, gan pakalpojumu sniedzējam.</w:t>
      </w:r>
      <w:r w:rsidR="00692EC2" w:rsidRPr="00462293">
        <w:rPr>
          <w:iCs/>
        </w:rPr>
        <w:t xml:space="preserve"> Zilupes novadā, līdzās dzīvokļa pabalstam no</w:t>
      </w:r>
      <w:r w:rsidR="00462293" w:rsidRPr="00462293">
        <w:rPr>
          <w:iCs/>
        </w:rPr>
        <w:t xml:space="preserve">teikts </w:t>
      </w:r>
      <w:r w:rsidR="00462293" w:rsidRPr="00462293">
        <w:rPr>
          <w:b/>
          <w:iCs/>
        </w:rPr>
        <w:t xml:space="preserve">pabalsts </w:t>
      </w:r>
      <w:r w:rsidR="00692EC2" w:rsidRPr="00462293">
        <w:rPr>
          <w:b/>
          <w:iCs/>
        </w:rPr>
        <w:t>ar dzīvojamās telpas īri saistīto ikmēneša izdevumu segšanai</w:t>
      </w:r>
      <w:r w:rsidR="00692EC2" w:rsidRPr="00462293">
        <w:rPr>
          <w:iCs/>
        </w:rPr>
        <w:t>, kas paredzēts bērniem bāreņiem un bez vecāku gādības palikušajiem bērniem līdz tie tiek nodrošināti ar dzīvojamo telpu.</w:t>
      </w:r>
    </w:p>
    <w:p w:rsidR="00632157" w:rsidRDefault="00632157" w:rsidP="00064C1E">
      <w:pPr>
        <w:rPr>
          <w:iCs/>
        </w:rPr>
      </w:pPr>
    </w:p>
    <w:p w:rsidR="00632157" w:rsidRDefault="00632157" w:rsidP="00632157">
      <w:r w:rsidRPr="00454E1F">
        <w:rPr>
          <w:b/>
        </w:rPr>
        <w:t xml:space="preserve">8 pašvaldībās nav </w:t>
      </w:r>
      <w:r w:rsidR="005A31DC">
        <w:rPr>
          <w:b/>
        </w:rPr>
        <w:t>identificēti saistošie</w:t>
      </w:r>
      <w:r w:rsidRPr="00454E1F">
        <w:rPr>
          <w:b/>
        </w:rPr>
        <w:t xml:space="preserve"> noteikum</w:t>
      </w:r>
      <w:r w:rsidR="005A31DC">
        <w:rPr>
          <w:b/>
        </w:rPr>
        <w:t>i</w:t>
      </w:r>
      <w:r w:rsidRPr="00454E1F">
        <w:rPr>
          <w:b/>
        </w:rPr>
        <w:t>, kas noteiktu dzīvokļa pabalstu bērniem bāreņiem un bez vecāku gādības palikušajiem bērniem</w:t>
      </w:r>
      <w:r>
        <w:t xml:space="preserve"> (Aizputes novads, Brocēnu novads, Ikšķiles novads, Inčukalna novads, Jaunjelgavas novads, Lubānas novads, Naukšēnu novads, Vecpiebalgas novads). Norādītajās pašvaldībās palīdzība tiek nodrošināta </w:t>
      </w:r>
      <w:r w:rsidR="00D310F8">
        <w:t xml:space="preserve">likuma </w:t>
      </w:r>
      <w:r>
        <w:t>„</w:t>
      </w:r>
      <w:r w:rsidRPr="00454E1F">
        <w:t>Par  palīdzību  dzīvokļa  jautājumu  risināšanā</w:t>
      </w:r>
      <w:r>
        <w:t>” ietvaros.</w:t>
      </w:r>
    </w:p>
    <w:p w:rsidR="009B0D76" w:rsidRPr="00E46054" w:rsidRDefault="009B0D76" w:rsidP="00064C1E">
      <w:pPr>
        <w:rPr>
          <w:bCs/>
          <w:i/>
        </w:rPr>
      </w:pPr>
    </w:p>
    <w:p w:rsidR="009B0D76" w:rsidRPr="00E46054" w:rsidRDefault="009B0D76" w:rsidP="00064C1E">
      <w:pPr>
        <w:rPr>
          <w:bCs/>
        </w:rPr>
      </w:pPr>
      <w:r w:rsidRPr="00E46054">
        <w:rPr>
          <w:bCs/>
        </w:rPr>
        <w:t xml:space="preserve">Divās no analizētajām pašvaldībām – Jelgavā un Liepājā – </w:t>
      </w:r>
      <w:r>
        <w:rPr>
          <w:bCs/>
        </w:rPr>
        <w:t>ir pieejams</w:t>
      </w:r>
      <w:r w:rsidRPr="00E46054">
        <w:rPr>
          <w:bCs/>
        </w:rPr>
        <w:t xml:space="preserve"> </w:t>
      </w:r>
      <w:r w:rsidR="003F6CFE">
        <w:rPr>
          <w:b/>
          <w:iCs/>
        </w:rPr>
        <w:t>p</w:t>
      </w:r>
      <w:r w:rsidRPr="00974759">
        <w:rPr>
          <w:b/>
          <w:iCs/>
        </w:rPr>
        <w:t>abalsts ūdens patēriņa skaitītāju uzstādīšanai un/ vai nomaiņai</w:t>
      </w:r>
      <w:r w:rsidRPr="00974759">
        <w:rPr>
          <w:i/>
          <w:iCs/>
        </w:rPr>
        <w:t>.</w:t>
      </w:r>
      <w:r w:rsidRPr="00E46054">
        <w:rPr>
          <w:b/>
          <w:i/>
          <w:iCs/>
        </w:rPr>
        <w:t xml:space="preserve"> </w:t>
      </w:r>
      <w:r>
        <w:rPr>
          <w:bCs/>
        </w:rPr>
        <w:t>Konkrēts p</w:t>
      </w:r>
      <w:r w:rsidRPr="00E46054">
        <w:rPr>
          <w:bCs/>
        </w:rPr>
        <w:t>abalsta apmērs</w:t>
      </w:r>
      <w:r>
        <w:rPr>
          <w:bCs/>
        </w:rPr>
        <w:t xml:space="preserve"> divu minēto pašvaldību</w:t>
      </w:r>
      <w:r w:rsidRPr="00E46054">
        <w:rPr>
          <w:bCs/>
        </w:rPr>
        <w:t xml:space="preserve"> saistošajos noteikumos nav noteikts. Sociālais dienests piešķirtā pabalsta summu pārskaita pakalpojuma sniedzējam.</w:t>
      </w:r>
      <w:r>
        <w:rPr>
          <w:bCs/>
        </w:rPr>
        <w:t xml:space="preserve"> </w:t>
      </w:r>
      <w:r w:rsidRPr="00E46054">
        <w:rPr>
          <w:bCs/>
        </w:rPr>
        <w:t xml:space="preserve">Pabalstu tiesīgas saņemt šādas </w:t>
      </w:r>
      <w:r>
        <w:rPr>
          <w:bCs/>
        </w:rPr>
        <w:t>iedzīvotāju</w:t>
      </w:r>
      <w:r w:rsidRPr="00E46054">
        <w:rPr>
          <w:bCs/>
        </w:rPr>
        <w:t xml:space="preserve"> </w:t>
      </w:r>
      <w:r>
        <w:rPr>
          <w:bCs/>
        </w:rPr>
        <w:t>grupas</w:t>
      </w:r>
      <w:r w:rsidRPr="00E46054">
        <w:rPr>
          <w:bCs/>
        </w:rPr>
        <w:t>:</w:t>
      </w:r>
    </w:p>
    <w:p w:rsidR="009B0D76" w:rsidRPr="00E46054" w:rsidRDefault="009B0D76" w:rsidP="003F469F">
      <w:pPr>
        <w:numPr>
          <w:ilvl w:val="0"/>
          <w:numId w:val="57"/>
        </w:numPr>
        <w:rPr>
          <w:bCs/>
        </w:rPr>
      </w:pPr>
      <w:r w:rsidRPr="00E46054">
        <w:rPr>
          <w:bCs/>
        </w:rPr>
        <w:t>ģimene, kura audzina četrus vai vairāk bērnus;</w:t>
      </w:r>
    </w:p>
    <w:p w:rsidR="009B0D76" w:rsidRPr="00E46054" w:rsidRDefault="009B0D76" w:rsidP="003F469F">
      <w:pPr>
        <w:numPr>
          <w:ilvl w:val="0"/>
          <w:numId w:val="57"/>
        </w:numPr>
        <w:rPr>
          <w:bCs/>
        </w:rPr>
      </w:pPr>
      <w:r w:rsidRPr="00E46054">
        <w:rPr>
          <w:bCs/>
        </w:rPr>
        <w:t>daudzbērnu ģimene, kurā vecāks viens audzina bērnus;</w:t>
      </w:r>
    </w:p>
    <w:p w:rsidR="009B0D76" w:rsidRPr="00E46054" w:rsidRDefault="009B0D76" w:rsidP="003F469F">
      <w:pPr>
        <w:numPr>
          <w:ilvl w:val="0"/>
          <w:numId w:val="57"/>
        </w:numPr>
        <w:rPr>
          <w:bCs/>
        </w:rPr>
      </w:pPr>
      <w:r w:rsidRPr="00E46054">
        <w:rPr>
          <w:bCs/>
        </w:rPr>
        <w:t>ģimene, kura audzina bērnu ar invaliditāti;</w:t>
      </w:r>
    </w:p>
    <w:p w:rsidR="009B0D76" w:rsidRPr="00E46054" w:rsidRDefault="009B0D76" w:rsidP="003F469F">
      <w:pPr>
        <w:numPr>
          <w:ilvl w:val="0"/>
          <w:numId w:val="57"/>
        </w:numPr>
        <w:rPr>
          <w:bCs/>
        </w:rPr>
      </w:pPr>
      <w:r w:rsidRPr="00E46054">
        <w:rPr>
          <w:bCs/>
        </w:rPr>
        <w:t>ģimene, kura audzina aizbildnībā esošu bērnu;</w:t>
      </w:r>
    </w:p>
    <w:p w:rsidR="009B0D76" w:rsidRPr="00E46054" w:rsidRDefault="009B0D76" w:rsidP="003F469F">
      <w:pPr>
        <w:numPr>
          <w:ilvl w:val="0"/>
          <w:numId w:val="57"/>
        </w:numPr>
        <w:rPr>
          <w:bCs/>
        </w:rPr>
      </w:pPr>
      <w:r w:rsidRPr="00E46054">
        <w:rPr>
          <w:bCs/>
        </w:rPr>
        <w:lastRenderedPageBreak/>
        <w:t>ģimene, kura audzina bērnu un vienam vai abiem vecākiem ir noteikta II invaliditātes grupa;</w:t>
      </w:r>
    </w:p>
    <w:p w:rsidR="009B0D76" w:rsidRPr="00E46054" w:rsidRDefault="009B0D76" w:rsidP="003F469F">
      <w:pPr>
        <w:numPr>
          <w:ilvl w:val="0"/>
          <w:numId w:val="57"/>
        </w:numPr>
        <w:rPr>
          <w:bCs/>
        </w:rPr>
      </w:pPr>
      <w:r w:rsidRPr="00E46054">
        <w:rPr>
          <w:bCs/>
        </w:rPr>
        <w:t>persona, kurai noteikta I invaliditātes grupa;</w:t>
      </w:r>
    </w:p>
    <w:p w:rsidR="009B0D76" w:rsidRPr="00E46054" w:rsidRDefault="009B0D76" w:rsidP="003F469F">
      <w:pPr>
        <w:numPr>
          <w:ilvl w:val="0"/>
          <w:numId w:val="57"/>
        </w:numPr>
        <w:rPr>
          <w:bCs/>
        </w:rPr>
      </w:pPr>
      <w:r w:rsidRPr="00E46054">
        <w:rPr>
          <w:bCs/>
        </w:rPr>
        <w:t>atsevišķi dzīvojoša persona, kurai noteikta II invaliditātes grupa;</w:t>
      </w:r>
    </w:p>
    <w:p w:rsidR="009B0D76" w:rsidRPr="00E46054" w:rsidRDefault="009B0D76" w:rsidP="003F469F">
      <w:pPr>
        <w:numPr>
          <w:ilvl w:val="0"/>
          <w:numId w:val="57"/>
        </w:numPr>
        <w:rPr>
          <w:bCs/>
        </w:rPr>
      </w:pPr>
      <w:r w:rsidRPr="00E46054">
        <w:rPr>
          <w:bCs/>
        </w:rPr>
        <w:t>nestrādājošai politiski represētai persona, kura sasniegusi valsts vecuma pensijas saņemšanai nepieciešamo vecumu;</w:t>
      </w:r>
    </w:p>
    <w:p w:rsidR="009B0D76" w:rsidRPr="00E46054" w:rsidRDefault="009B0D76" w:rsidP="003F469F">
      <w:pPr>
        <w:numPr>
          <w:ilvl w:val="0"/>
          <w:numId w:val="57"/>
        </w:numPr>
        <w:rPr>
          <w:bCs/>
        </w:rPr>
      </w:pPr>
      <w:r w:rsidRPr="00E46054">
        <w:rPr>
          <w:bCs/>
        </w:rPr>
        <w:t xml:space="preserve">persona, kura ir </w:t>
      </w:r>
      <w:r w:rsidR="00FF664D">
        <w:rPr>
          <w:bCs/>
        </w:rPr>
        <w:t>ČEAS</w:t>
      </w:r>
      <w:r w:rsidRPr="00E46054">
        <w:rPr>
          <w:bCs/>
        </w:rPr>
        <w:t xml:space="preserve"> avārijas seku likvidēšanas dalībnieks;</w:t>
      </w:r>
    </w:p>
    <w:p w:rsidR="009B0D76" w:rsidRPr="00E46054" w:rsidRDefault="009B0D76" w:rsidP="003F469F">
      <w:pPr>
        <w:numPr>
          <w:ilvl w:val="0"/>
          <w:numId w:val="57"/>
        </w:numPr>
        <w:rPr>
          <w:bCs/>
        </w:rPr>
      </w:pPr>
      <w:r w:rsidRPr="00E46054">
        <w:rPr>
          <w:bCs/>
        </w:rPr>
        <w:t>atsevišķi dzīvojoša valsts vecuma pensijas saņemšanai nepieciešamo vecumu sasniegusi persona, kurai noteikts trūcīgas personas statuss;</w:t>
      </w:r>
    </w:p>
    <w:p w:rsidR="009B0D76" w:rsidRPr="00E46054" w:rsidRDefault="009B0D76" w:rsidP="003F469F">
      <w:pPr>
        <w:numPr>
          <w:ilvl w:val="0"/>
          <w:numId w:val="57"/>
        </w:numPr>
        <w:rPr>
          <w:bCs/>
        </w:rPr>
      </w:pPr>
      <w:r w:rsidRPr="00E46054">
        <w:rPr>
          <w:bCs/>
        </w:rPr>
        <w:t>valsts vecuma pensijas saņemšanai nepieciešamo vecumu sasniegusi persona, kurai nav likumīgo apgādnieku un kura saņem Sociālā dienesta biroja sniegto aprūpes mājās pakalpojumu;</w:t>
      </w:r>
    </w:p>
    <w:p w:rsidR="009B0D76" w:rsidRPr="00E46054" w:rsidRDefault="009B0D76" w:rsidP="003F469F">
      <w:pPr>
        <w:numPr>
          <w:ilvl w:val="0"/>
          <w:numId w:val="57"/>
        </w:numPr>
        <w:rPr>
          <w:bCs/>
        </w:rPr>
      </w:pPr>
      <w:r w:rsidRPr="00E46054">
        <w:rPr>
          <w:bCs/>
        </w:rPr>
        <w:t>atsevišķi dzīvojoša</w:t>
      </w:r>
      <w:r w:rsidR="00B2596F">
        <w:rPr>
          <w:bCs/>
        </w:rPr>
        <w:t xml:space="preserve"> </w:t>
      </w:r>
      <w:r w:rsidRPr="00E46054">
        <w:rPr>
          <w:bCs/>
        </w:rPr>
        <w:t>80 gadu vecumu sasniegu</w:t>
      </w:r>
      <w:r w:rsidR="002355AD">
        <w:rPr>
          <w:bCs/>
        </w:rPr>
        <w:t xml:space="preserve">si </w:t>
      </w:r>
      <w:r w:rsidRPr="00E46054">
        <w:rPr>
          <w:bCs/>
        </w:rPr>
        <w:t>persona.</w:t>
      </w:r>
    </w:p>
    <w:p w:rsidR="009B0D76" w:rsidRPr="007D6307" w:rsidRDefault="005A31DC" w:rsidP="00C33A64">
      <w:pPr>
        <w:pStyle w:val="virsrakstslvl4"/>
      </w:pPr>
      <w:bookmarkStart w:id="605" w:name="_Toc531694171"/>
      <w:bookmarkStart w:id="606" w:name="_Toc531856276"/>
      <w:bookmarkStart w:id="607" w:name="_Toc531860065"/>
      <w:bookmarkStart w:id="608" w:name="_Toc535742204"/>
      <w:bookmarkStart w:id="609" w:name="_Toc535916192"/>
      <w:bookmarkStart w:id="610" w:name="_Toc535922840"/>
      <w:bookmarkStart w:id="611" w:name="_Toc535935142"/>
      <w:bookmarkStart w:id="612" w:name="_Toc868856"/>
      <w:bookmarkStart w:id="613" w:name="_Toc2761122"/>
      <w:bookmarkStart w:id="614" w:name="_Toc2848219"/>
      <w:bookmarkStart w:id="615" w:name="_Toc6219263"/>
      <w:bookmarkStart w:id="616" w:name="_Toc6220206"/>
      <w:bookmarkStart w:id="617" w:name="_Toc6841624"/>
      <w:r>
        <w:t>Pabalsts</w:t>
      </w:r>
      <w:r w:rsidR="009B0D76" w:rsidRPr="007D6307">
        <w:t xml:space="preserve"> sadzīves apstākļu uzlabošan</w:t>
      </w:r>
      <w:r>
        <w:t>ai</w:t>
      </w:r>
      <w:r w:rsidR="009B0D76" w:rsidRPr="007D6307">
        <w:t xml:space="preserve"> mājoklī</w:t>
      </w:r>
      <w:bookmarkEnd w:id="605"/>
      <w:bookmarkEnd w:id="606"/>
      <w:bookmarkEnd w:id="607"/>
      <w:bookmarkEnd w:id="608"/>
      <w:bookmarkEnd w:id="609"/>
      <w:bookmarkEnd w:id="610"/>
      <w:bookmarkEnd w:id="611"/>
      <w:bookmarkEnd w:id="612"/>
      <w:bookmarkEnd w:id="613"/>
      <w:bookmarkEnd w:id="614"/>
      <w:bookmarkEnd w:id="615"/>
      <w:bookmarkEnd w:id="616"/>
      <w:bookmarkEnd w:id="617"/>
      <w:r w:rsidR="009B0D76" w:rsidRPr="007D6307">
        <w:t xml:space="preserve"> </w:t>
      </w:r>
    </w:p>
    <w:p w:rsidR="009B0D76" w:rsidRPr="00E46054" w:rsidRDefault="005A31DC" w:rsidP="00922A20">
      <w:pPr>
        <w:rPr>
          <w:iCs/>
        </w:rPr>
      </w:pPr>
      <w:r>
        <w:t>Pabalsts sadzīves apstākļu uzlabošanai</w:t>
      </w:r>
      <w:r w:rsidR="009B0D76" w:rsidRPr="00CD40BE">
        <w:t xml:space="preserve"> mājoklī</w:t>
      </w:r>
      <w:r w:rsidR="009B0D76" w:rsidRPr="00CD40BE">
        <w:rPr>
          <w:bCs/>
          <w:iCs/>
        </w:rPr>
        <w:t xml:space="preserve"> tiek nodrošināts saskaņā ar likumu </w:t>
      </w:r>
      <w:r w:rsidR="009B0D76" w:rsidRPr="00CD40BE">
        <w:t>„Par palīdzību dzīvokļa jautājumu risināšanā” (3.</w:t>
      </w:r>
      <w:r w:rsidR="00D54545">
        <w:t xml:space="preserve"> </w:t>
      </w:r>
      <w:r w:rsidR="009B0D76" w:rsidRPr="00CD40BE">
        <w:t>panta 6.</w:t>
      </w:r>
      <w:r w:rsidR="00B2596F">
        <w:t xml:space="preserve"> </w:t>
      </w:r>
      <w:r w:rsidR="009B0D76" w:rsidRPr="00CD40BE">
        <w:t>un 8.</w:t>
      </w:r>
      <w:r w:rsidR="00D54545">
        <w:t xml:space="preserve"> </w:t>
      </w:r>
      <w:r w:rsidR="009B0D76" w:rsidRPr="00CD40BE">
        <w:t>punkts un 26.</w:t>
      </w:r>
      <w:r w:rsidR="00B2596F">
        <w:t xml:space="preserve"> </w:t>
      </w:r>
      <w:r w:rsidR="009B0D76" w:rsidRPr="00CD40BE">
        <w:t>un 27.</w:t>
      </w:r>
      <w:r w:rsidR="00D54545">
        <w:t xml:space="preserve"> </w:t>
      </w:r>
      <w:r w:rsidR="009B0D76" w:rsidRPr="00CD40BE">
        <w:t xml:space="preserve">pants). Tas ir paredzēts mājokļa remontam un/ vai pieslēgšanai </w:t>
      </w:r>
      <w:r w:rsidR="009B0D76" w:rsidRPr="00CD40BE">
        <w:rPr>
          <w:bCs/>
        </w:rPr>
        <w:t xml:space="preserve">pie inženiertīkliem. </w:t>
      </w:r>
      <w:r>
        <w:rPr>
          <w:bCs/>
        </w:rPr>
        <w:t>Pabalsts</w:t>
      </w:r>
      <w:r w:rsidR="009B0D76" w:rsidRPr="00CD40BE">
        <w:rPr>
          <w:bCs/>
        </w:rPr>
        <w:t xml:space="preserve"> var tikt </w:t>
      </w:r>
      <w:r>
        <w:rPr>
          <w:bCs/>
        </w:rPr>
        <w:t>piešķirts</w:t>
      </w:r>
      <w:r w:rsidR="009B0D76" w:rsidRPr="00CD40BE">
        <w:rPr>
          <w:bCs/>
        </w:rPr>
        <w:t xml:space="preserve"> kā daļa no dzīvokļa</w:t>
      </w:r>
      <w:r w:rsidR="009B0D76">
        <w:rPr>
          <w:bCs/>
        </w:rPr>
        <w:t xml:space="preserve"> pabalsta.</w:t>
      </w:r>
      <w:r w:rsidR="009B0D76" w:rsidRPr="00E46054">
        <w:rPr>
          <w:iCs/>
        </w:rPr>
        <w:t xml:space="preserve"> </w:t>
      </w:r>
      <w:r w:rsidR="009B0D76">
        <w:rPr>
          <w:iCs/>
        </w:rPr>
        <w:t>No apsekotajām pašvaldībām š</w:t>
      </w:r>
      <w:r w:rsidR="009B0D76" w:rsidRPr="00E46054">
        <w:rPr>
          <w:iCs/>
        </w:rPr>
        <w:t xml:space="preserve">āds </w:t>
      </w:r>
      <w:r>
        <w:rPr>
          <w:iCs/>
        </w:rPr>
        <w:t>pabalsts</w:t>
      </w:r>
      <w:r w:rsidR="009B0D76" w:rsidRPr="00E46054">
        <w:rPr>
          <w:iCs/>
        </w:rPr>
        <w:t xml:space="preserve"> tiek nodrošināts </w:t>
      </w:r>
      <w:r w:rsidR="009B0D76">
        <w:rPr>
          <w:iCs/>
        </w:rPr>
        <w:t xml:space="preserve">trijās - </w:t>
      </w:r>
      <w:r w:rsidR="009B0D76" w:rsidRPr="00E46054">
        <w:rPr>
          <w:iCs/>
        </w:rPr>
        <w:t>Liepājas pilsētas pašval</w:t>
      </w:r>
      <w:r w:rsidR="009B0D76">
        <w:rPr>
          <w:iCs/>
        </w:rPr>
        <w:t xml:space="preserve">dībā, </w:t>
      </w:r>
      <w:r w:rsidR="009B0D76" w:rsidRPr="00E46054">
        <w:rPr>
          <w:iCs/>
        </w:rPr>
        <w:t>Babītes un Garkalnes novad</w:t>
      </w:r>
      <w:r>
        <w:rPr>
          <w:iCs/>
        </w:rPr>
        <w:t>a</w:t>
      </w:r>
      <w:r w:rsidR="009B0D76" w:rsidRPr="00E46054">
        <w:rPr>
          <w:iCs/>
        </w:rPr>
        <w:t xml:space="preserve"> pašvaldībās. Liepājas pilsētā, kurā pabalsts paredzēts tikai audžuģimenēm, pabalsta maksimālais apmērs ir 1500 </w:t>
      </w:r>
      <w:r w:rsidR="00235F1B">
        <w:rPr>
          <w:iCs/>
        </w:rPr>
        <w:t>EUR,</w:t>
      </w:r>
      <w:r w:rsidR="009B0D76" w:rsidRPr="00E46054">
        <w:rPr>
          <w:iCs/>
        </w:rPr>
        <w:t xml:space="preserve"> Babītes novadā </w:t>
      </w:r>
      <w:r w:rsidR="009B0D76">
        <w:rPr>
          <w:iCs/>
        </w:rPr>
        <w:t>–</w:t>
      </w:r>
      <w:r w:rsidR="009B0D76" w:rsidRPr="00E46054">
        <w:rPr>
          <w:iCs/>
        </w:rPr>
        <w:t xml:space="preserve"> 2135</w:t>
      </w:r>
      <w:r w:rsidR="009B0D76">
        <w:rPr>
          <w:iCs/>
        </w:rPr>
        <w:t xml:space="preserve"> </w:t>
      </w:r>
      <w:r w:rsidR="00235F1B">
        <w:rPr>
          <w:iCs/>
        </w:rPr>
        <w:t>EUR,</w:t>
      </w:r>
      <w:r w:rsidR="009B0D76" w:rsidRPr="00E46054">
        <w:rPr>
          <w:iCs/>
        </w:rPr>
        <w:t xml:space="preserve"> bet Garkalnes novada pašvaldībā </w:t>
      </w:r>
      <w:r w:rsidR="009B0D76">
        <w:rPr>
          <w:iCs/>
        </w:rPr>
        <w:t>–</w:t>
      </w:r>
      <w:r w:rsidR="009B0D76" w:rsidRPr="00E46054">
        <w:rPr>
          <w:iCs/>
        </w:rPr>
        <w:t xml:space="preserve"> 711</w:t>
      </w:r>
      <w:r w:rsidR="009B0D76">
        <w:rPr>
          <w:iCs/>
        </w:rPr>
        <w:t>,</w:t>
      </w:r>
      <w:r w:rsidR="009B0D76" w:rsidRPr="00E46054">
        <w:rPr>
          <w:iCs/>
        </w:rPr>
        <w:t xml:space="preserve">44 </w:t>
      </w:r>
      <w:r w:rsidR="00235F1B">
        <w:rPr>
          <w:iCs/>
        </w:rPr>
        <w:t xml:space="preserve">EUR </w:t>
      </w:r>
      <w:r w:rsidR="009B0D76" w:rsidRPr="00E46054">
        <w:rPr>
          <w:iCs/>
        </w:rPr>
        <w:t>apmērā.</w:t>
      </w:r>
      <w:r w:rsidR="009B0D76">
        <w:rPr>
          <w:iCs/>
        </w:rPr>
        <w:t xml:space="preserve"> </w:t>
      </w:r>
      <w:r w:rsidR="009B0D76" w:rsidRPr="00E46054">
        <w:rPr>
          <w:iCs/>
        </w:rPr>
        <w:t xml:space="preserve">Pabalstu tiesīgas saņemt šādas iedzīvotāju </w:t>
      </w:r>
      <w:r w:rsidR="009B0D76">
        <w:rPr>
          <w:iCs/>
        </w:rPr>
        <w:t>grupas</w:t>
      </w:r>
      <w:r w:rsidR="009B0D76" w:rsidRPr="00E46054">
        <w:rPr>
          <w:iCs/>
        </w:rPr>
        <w:t>:</w:t>
      </w:r>
    </w:p>
    <w:p w:rsidR="009B0D76" w:rsidRPr="00E46054" w:rsidRDefault="009B0D76" w:rsidP="003F469F">
      <w:pPr>
        <w:numPr>
          <w:ilvl w:val="0"/>
          <w:numId w:val="62"/>
        </w:numPr>
      </w:pPr>
      <w:r w:rsidRPr="00E46054">
        <w:t>trūcīgas ģimenes (personas);</w:t>
      </w:r>
    </w:p>
    <w:p w:rsidR="009B0D76" w:rsidRPr="00E46054" w:rsidRDefault="009B0D76" w:rsidP="003F469F">
      <w:pPr>
        <w:numPr>
          <w:ilvl w:val="0"/>
          <w:numId w:val="62"/>
        </w:numPr>
      </w:pPr>
      <w:r w:rsidRPr="00E46054">
        <w:t>maznodrošinātas ģimenes (personas);</w:t>
      </w:r>
    </w:p>
    <w:p w:rsidR="009B0D76" w:rsidRPr="00E46054" w:rsidRDefault="009B0D76" w:rsidP="003F469F">
      <w:pPr>
        <w:pStyle w:val="ListParagraph"/>
        <w:numPr>
          <w:ilvl w:val="0"/>
          <w:numId w:val="62"/>
        </w:numPr>
        <w:spacing w:line="276" w:lineRule="auto"/>
        <w:jc w:val="both"/>
        <w:rPr>
          <w:iCs/>
        </w:rPr>
      </w:pPr>
      <w:r w:rsidRPr="00E46054">
        <w:rPr>
          <w:iCs/>
        </w:rPr>
        <w:t>audžuģimene</w:t>
      </w:r>
      <w:r>
        <w:rPr>
          <w:iCs/>
        </w:rPr>
        <w:t>s</w:t>
      </w:r>
      <w:r w:rsidRPr="00E46054">
        <w:rPr>
          <w:iCs/>
        </w:rPr>
        <w:t xml:space="preserve"> (Liepājas pilsēta);</w:t>
      </w:r>
    </w:p>
    <w:p w:rsidR="009B0D76" w:rsidRPr="00E46054" w:rsidRDefault="009B0D76" w:rsidP="003F469F">
      <w:pPr>
        <w:pStyle w:val="ListParagraph"/>
        <w:numPr>
          <w:ilvl w:val="0"/>
          <w:numId w:val="62"/>
        </w:numPr>
        <w:spacing w:line="276" w:lineRule="auto"/>
        <w:jc w:val="both"/>
        <w:rPr>
          <w:iCs/>
        </w:rPr>
      </w:pPr>
      <w:r w:rsidRPr="00E46054">
        <w:rPr>
          <w:iCs/>
        </w:rPr>
        <w:t>ģimene</w:t>
      </w:r>
      <w:r>
        <w:rPr>
          <w:iCs/>
        </w:rPr>
        <w:t>s</w:t>
      </w:r>
      <w:r w:rsidRPr="00E46054">
        <w:rPr>
          <w:iCs/>
        </w:rPr>
        <w:t>, kurā</w:t>
      </w:r>
      <w:r>
        <w:rPr>
          <w:iCs/>
        </w:rPr>
        <w:t>s</w:t>
      </w:r>
      <w:r w:rsidRPr="00E46054">
        <w:rPr>
          <w:iCs/>
        </w:rPr>
        <w:t xml:space="preserve"> ir trīs vai vairāk nepilngadīgi bērni; </w:t>
      </w:r>
    </w:p>
    <w:p w:rsidR="009B0D76" w:rsidRPr="00E46054" w:rsidRDefault="009B0D76" w:rsidP="003F469F">
      <w:pPr>
        <w:pStyle w:val="ListParagraph"/>
        <w:numPr>
          <w:ilvl w:val="0"/>
          <w:numId w:val="62"/>
        </w:numPr>
        <w:spacing w:line="276" w:lineRule="auto"/>
        <w:jc w:val="both"/>
        <w:rPr>
          <w:iCs/>
        </w:rPr>
      </w:pPr>
      <w:r w:rsidRPr="00E46054">
        <w:rPr>
          <w:iCs/>
        </w:rPr>
        <w:t>ģimen</w:t>
      </w:r>
      <w:r>
        <w:rPr>
          <w:iCs/>
        </w:rPr>
        <w:t>es</w:t>
      </w:r>
      <w:r w:rsidRPr="00E46054">
        <w:rPr>
          <w:iCs/>
        </w:rPr>
        <w:t>, kurā</w:t>
      </w:r>
      <w:r>
        <w:rPr>
          <w:iCs/>
        </w:rPr>
        <w:t>s</w:t>
      </w:r>
      <w:r w:rsidRPr="00E46054">
        <w:rPr>
          <w:iCs/>
        </w:rPr>
        <w:t xml:space="preserve"> ir bērns </w:t>
      </w:r>
      <w:r>
        <w:rPr>
          <w:iCs/>
        </w:rPr>
        <w:t>ar invaliditāti</w:t>
      </w:r>
      <w:r w:rsidRPr="00E46054">
        <w:rPr>
          <w:iCs/>
        </w:rPr>
        <w:t xml:space="preserve">; </w:t>
      </w:r>
    </w:p>
    <w:p w:rsidR="009B0D76" w:rsidRDefault="009B0D76" w:rsidP="003F469F">
      <w:pPr>
        <w:pStyle w:val="ListParagraph"/>
        <w:numPr>
          <w:ilvl w:val="0"/>
          <w:numId w:val="62"/>
        </w:numPr>
        <w:spacing w:line="276" w:lineRule="auto"/>
        <w:jc w:val="both"/>
        <w:rPr>
          <w:iCs/>
        </w:rPr>
      </w:pPr>
      <w:r w:rsidRPr="00E46054">
        <w:rPr>
          <w:iCs/>
        </w:rPr>
        <w:t>ģimen</w:t>
      </w:r>
      <w:r>
        <w:rPr>
          <w:iCs/>
        </w:rPr>
        <w:t>es</w:t>
      </w:r>
      <w:r w:rsidRPr="00E46054">
        <w:rPr>
          <w:iCs/>
        </w:rPr>
        <w:t>, kurā</w:t>
      </w:r>
      <w:r>
        <w:rPr>
          <w:iCs/>
        </w:rPr>
        <w:t>s</w:t>
      </w:r>
      <w:r w:rsidRPr="00E46054">
        <w:rPr>
          <w:iCs/>
        </w:rPr>
        <w:t xml:space="preserve"> ir tikai vecuma vai invaliditātes pensijas vai valsts sociālā nodrošinājuma pabalsta saņēmēji un nav nevienas personas darbspējīgā vecumā.</w:t>
      </w:r>
    </w:p>
    <w:p w:rsidR="009B0D76" w:rsidRPr="007D6307" w:rsidRDefault="009B0D76" w:rsidP="00C33A64">
      <w:pPr>
        <w:pStyle w:val="virsrakstslvl4"/>
      </w:pPr>
      <w:bookmarkStart w:id="618" w:name="_Toc531694172"/>
      <w:bookmarkStart w:id="619" w:name="_Toc531856277"/>
      <w:bookmarkStart w:id="620" w:name="_Toc531860066"/>
      <w:bookmarkStart w:id="621" w:name="_Toc535742205"/>
      <w:bookmarkStart w:id="622" w:name="_Toc535916193"/>
      <w:bookmarkStart w:id="623" w:name="_Toc535922841"/>
      <w:bookmarkStart w:id="624" w:name="_Toc535935143"/>
      <w:bookmarkStart w:id="625" w:name="_Toc868857"/>
      <w:bookmarkStart w:id="626" w:name="_Toc2761123"/>
      <w:bookmarkStart w:id="627" w:name="_Toc2848220"/>
      <w:bookmarkStart w:id="628" w:name="_Toc6219264"/>
      <w:bookmarkStart w:id="629" w:name="_Toc6220207"/>
      <w:bookmarkStart w:id="630" w:name="_Toc6841625"/>
      <w:r w:rsidRPr="007D6307">
        <w:t xml:space="preserve">Atbalsts, kas saistīts ar nekustamā īpašuma </w:t>
      </w:r>
      <w:bookmarkEnd w:id="618"/>
      <w:bookmarkEnd w:id="619"/>
      <w:bookmarkEnd w:id="620"/>
      <w:r w:rsidRPr="007D6307">
        <w:t>nodokli</w:t>
      </w:r>
      <w:bookmarkEnd w:id="621"/>
      <w:bookmarkEnd w:id="622"/>
      <w:bookmarkEnd w:id="623"/>
      <w:bookmarkEnd w:id="624"/>
      <w:bookmarkEnd w:id="625"/>
      <w:bookmarkEnd w:id="626"/>
      <w:bookmarkEnd w:id="627"/>
      <w:bookmarkEnd w:id="628"/>
      <w:bookmarkEnd w:id="629"/>
      <w:bookmarkEnd w:id="630"/>
      <w:r w:rsidRPr="007D6307">
        <w:t xml:space="preserve"> </w:t>
      </w:r>
    </w:p>
    <w:p w:rsidR="009B0D76" w:rsidRDefault="009B0D76" w:rsidP="00064C1E">
      <w:pPr>
        <w:rPr>
          <w:bCs/>
          <w:iCs/>
        </w:rPr>
      </w:pPr>
      <w:r w:rsidRPr="004A70DA">
        <w:rPr>
          <w:bCs/>
        </w:rPr>
        <w:t xml:space="preserve">Tiesiskais regulējums, kas </w:t>
      </w:r>
      <w:r>
        <w:rPr>
          <w:bCs/>
        </w:rPr>
        <w:t xml:space="preserve">kopumā </w:t>
      </w:r>
      <w:r w:rsidRPr="004A70DA">
        <w:rPr>
          <w:bCs/>
        </w:rPr>
        <w:t xml:space="preserve">nosaka atvieglojumus saistībā ar nekustamā īpašuma nodokļa maksājumiem, ir raksturots 3.2.2. sadaļā. Pašvaldību saistošo noteikumu apkopojums attiecībā uz šo atbalsta veidu ļauj </w:t>
      </w:r>
      <w:r>
        <w:rPr>
          <w:bCs/>
        </w:rPr>
        <w:t>konstatēt, ka</w:t>
      </w:r>
      <w:r w:rsidRPr="004A70DA">
        <w:rPr>
          <w:bCs/>
        </w:rPr>
        <w:t xml:space="preserve"> n</w:t>
      </w:r>
      <w:r w:rsidRPr="004A70DA">
        <w:rPr>
          <w:bCs/>
          <w:iCs/>
        </w:rPr>
        <w:t>ekustāmā īpašuma nodokļu atvieglojumu apmēri variē starp nodokļu maksātāju kategorijām un pašvaldībām atbilstoši likumā „Par nekustamā īpašuma nodokli” ietvertajām normām (no 25% līdz pat 90%).</w:t>
      </w:r>
      <w:r>
        <w:rPr>
          <w:bCs/>
          <w:iCs/>
        </w:rPr>
        <w:t xml:space="preserve"> </w:t>
      </w:r>
      <w:r w:rsidR="001531A8">
        <w:rPr>
          <w:bCs/>
          <w:iCs/>
        </w:rPr>
        <w:t>P</w:t>
      </w:r>
      <w:r>
        <w:rPr>
          <w:bCs/>
          <w:iCs/>
        </w:rPr>
        <w:t>amatā</w:t>
      </w:r>
      <w:r w:rsidRPr="00E46054">
        <w:rPr>
          <w:bCs/>
          <w:iCs/>
        </w:rPr>
        <w:t xml:space="preserve"> atvieglojumi tiek piešķirti trūcīgām personām (ģimenēm), maznodrošinātām personām (ģimenēm), personām ar invaliditāti (I, II grupa, bērns ar invaliditāti), pensijas vecumu sasniegušām personām un ģimenēm ar bērniem. </w:t>
      </w:r>
      <w:r w:rsidRPr="00CD40BE">
        <w:rPr>
          <w:bCs/>
        </w:rPr>
        <w:t>Raksturīgi nekustamā</w:t>
      </w:r>
      <w:r>
        <w:rPr>
          <w:bCs/>
          <w:iCs/>
        </w:rPr>
        <w:t xml:space="preserve"> īpašuma nodokļa atvieglojumu nosacījumi ir</w:t>
      </w:r>
      <w:r w:rsidRPr="00E46054">
        <w:rPr>
          <w:bCs/>
          <w:iCs/>
        </w:rPr>
        <w:t xml:space="preserve"> ienākumu līmenis uz vienu personu, nepilngadīgo bērnu skaits ģimenē un tas</w:t>
      </w:r>
      <w:r>
        <w:rPr>
          <w:bCs/>
          <w:iCs/>
        </w:rPr>
        <w:t>,</w:t>
      </w:r>
      <w:r w:rsidRPr="00E46054">
        <w:rPr>
          <w:bCs/>
          <w:iCs/>
        </w:rPr>
        <w:t xml:space="preserve"> vai persona ir vientuļa.</w:t>
      </w:r>
    </w:p>
    <w:p w:rsidR="00182D32" w:rsidRDefault="00182D32" w:rsidP="00922A20">
      <w:pPr>
        <w:rPr>
          <w:bCs/>
          <w:iCs/>
        </w:rPr>
      </w:pPr>
    </w:p>
    <w:p w:rsidR="009B0D76" w:rsidRPr="00E46054" w:rsidRDefault="009B0D76" w:rsidP="00922A20">
      <w:pPr>
        <w:rPr>
          <w:bCs/>
          <w:iCs/>
        </w:rPr>
      </w:pPr>
      <w:r>
        <w:rPr>
          <w:bCs/>
          <w:iCs/>
        </w:rPr>
        <w:t>Apkopojot pašvaldību dokumentu analīzes rezultātus, var izdalīt šādas iedzīvotāju grupas, kurām tiek piešķirti n</w:t>
      </w:r>
      <w:r w:rsidRPr="00E46054">
        <w:rPr>
          <w:bCs/>
          <w:iCs/>
        </w:rPr>
        <w:t>ekustamā īpašuma nodokļu atvieglojum</w:t>
      </w:r>
      <w:r>
        <w:rPr>
          <w:bCs/>
          <w:iCs/>
        </w:rPr>
        <w:t>i:</w:t>
      </w:r>
    </w:p>
    <w:p w:rsidR="009B0D76" w:rsidRPr="000B7409" w:rsidRDefault="009B0D76" w:rsidP="003F469F">
      <w:pPr>
        <w:pStyle w:val="ListParagraph"/>
        <w:numPr>
          <w:ilvl w:val="0"/>
          <w:numId w:val="56"/>
        </w:numPr>
        <w:spacing w:line="276" w:lineRule="auto"/>
        <w:jc w:val="both"/>
        <w:rPr>
          <w:bCs/>
          <w:iCs/>
        </w:rPr>
      </w:pPr>
      <w:r w:rsidRPr="000B7409">
        <w:rPr>
          <w:bCs/>
          <w:iCs/>
        </w:rPr>
        <w:lastRenderedPageBreak/>
        <w:t>personām, kurām piešķirts trūcīgas personas statuss;</w:t>
      </w:r>
    </w:p>
    <w:p w:rsidR="009B0D76" w:rsidRPr="000B7409" w:rsidRDefault="009B0D76" w:rsidP="003F469F">
      <w:pPr>
        <w:pStyle w:val="ListParagraph"/>
        <w:numPr>
          <w:ilvl w:val="0"/>
          <w:numId w:val="56"/>
        </w:numPr>
        <w:spacing w:line="276" w:lineRule="auto"/>
        <w:jc w:val="both"/>
        <w:rPr>
          <w:bCs/>
          <w:iCs/>
        </w:rPr>
      </w:pPr>
      <w:r w:rsidRPr="000B7409">
        <w:rPr>
          <w:bCs/>
          <w:iCs/>
        </w:rPr>
        <w:t>personām, kurām piešķirts maznodrošinātas personas statuss;</w:t>
      </w:r>
    </w:p>
    <w:p w:rsidR="009B0D76" w:rsidRPr="000B7409" w:rsidRDefault="009B0D76" w:rsidP="003F469F">
      <w:pPr>
        <w:pStyle w:val="ListParagraph"/>
        <w:numPr>
          <w:ilvl w:val="0"/>
          <w:numId w:val="56"/>
        </w:numPr>
        <w:spacing w:line="276" w:lineRule="auto"/>
        <w:jc w:val="both"/>
        <w:rPr>
          <w:bCs/>
          <w:iCs/>
        </w:rPr>
      </w:pPr>
      <w:r w:rsidRPr="000B7409">
        <w:rPr>
          <w:bCs/>
          <w:iCs/>
        </w:rPr>
        <w:t xml:space="preserve">personām ar invaliditāti (I un II grupa), vientuļām personām ar I vai II grupas invaliditāti, nestrādājošām personām ar III grupas invaliditāti, bērnam ar invaliditāti (vai personai, kurai ir kopīga deklarētā dzīvesvieta ar bērnu </w:t>
      </w:r>
      <w:r w:rsidR="00917A17">
        <w:rPr>
          <w:bCs/>
          <w:iCs/>
        </w:rPr>
        <w:t>ar invaliditāti</w:t>
      </w:r>
      <w:r w:rsidRPr="000B7409">
        <w:rPr>
          <w:bCs/>
          <w:iCs/>
        </w:rPr>
        <w:t>, personai, kuras aizgādībā ir bērns ar invaliditāti);</w:t>
      </w:r>
    </w:p>
    <w:p w:rsidR="009B0D76" w:rsidRPr="000B7409" w:rsidRDefault="009B0D76" w:rsidP="003F469F">
      <w:pPr>
        <w:pStyle w:val="ListParagraph"/>
        <w:numPr>
          <w:ilvl w:val="0"/>
          <w:numId w:val="56"/>
        </w:numPr>
        <w:spacing w:line="276" w:lineRule="auto"/>
        <w:jc w:val="both"/>
        <w:rPr>
          <w:bCs/>
          <w:iCs/>
        </w:rPr>
      </w:pPr>
      <w:r w:rsidRPr="000B7409">
        <w:rPr>
          <w:bCs/>
          <w:iCs/>
        </w:rPr>
        <w:t>vientuļajiem pensionāriem, nestrādājošiem pensionāriem ar noteiktu ienākumu līmeni; (pensionāriem, kuri sasnieguši 65 gadu vecumu, pensionāriem vecumā virs 70 gadiem);</w:t>
      </w:r>
    </w:p>
    <w:p w:rsidR="009B0D76" w:rsidRPr="000B7409" w:rsidRDefault="009B0D76" w:rsidP="003F469F">
      <w:pPr>
        <w:pStyle w:val="ListParagraph"/>
        <w:numPr>
          <w:ilvl w:val="0"/>
          <w:numId w:val="56"/>
        </w:numPr>
        <w:spacing w:line="276" w:lineRule="auto"/>
        <w:jc w:val="both"/>
        <w:rPr>
          <w:bCs/>
          <w:iCs/>
        </w:rPr>
      </w:pPr>
      <w:r w:rsidRPr="000B7409">
        <w:rPr>
          <w:bCs/>
          <w:iCs/>
        </w:rPr>
        <w:t>ģimenēm ar nepil</w:t>
      </w:r>
      <w:r w:rsidR="008F0CC3">
        <w:rPr>
          <w:bCs/>
          <w:iCs/>
        </w:rPr>
        <w:t>ngadīgiem bērniem;</w:t>
      </w:r>
    </w:p>
    <w:p w:rsidR="009B0D76" w:rsidRPr="000B7409" w:rsidRDefault="009B0D76" w:rsidP="003F469F">
      <w:pPr>
        <w:pStyle w:val="ListParagraph"/>
        <w:numPr>
          <w:ilvl w:val="0"/>
          <w:numId w:val="56"/>
        </w:numPr>
        <w:spacing w:line="276" w:lineRule="auto"/>
        <w:jc w:val="both"/>
        <w:rPr>
          <w:bCs/>
          <w:iCs/>
        </w:rPr>
      </w:pPr>
      <w:r w:rsidRPr="000B7409">
        <w:rPr>
          <w:bCs/>
          <w:iCs/>
        </w:rPr>
        <w:t xml:space="preserve">daudzbērnu ģimenēm (personām, kuru ģimenēs ir </w:t>
      </w:r>
      <w:r w:rsidR="00D54545">
        <w:rPr>
          <w:bCs/>
          <w:iCs/>
        </w:rPr>
        <w:t>trīs</w:t>
      </w:r>
      <w:r w:rsidRPr="000B7409">
        <w:rPr>
          <w:bCs/>
          <w:iCs/>
        </w:rPr>
        <w:t xml:space="preserve"> un vairāk bērni, personām, kuru ģimenēs ir seši un vairāk  nepilngadīgi bērni, tai skaitā aizbildņiem);</w:t>
      </w:r>
    </w:p>
    <w:p w:rsidR="009B0D76" w:rsidRPr="000B7409" w:rsidRDefault="009B0D76" w:rsidP="003F469F">
      <w:pPr>
        <w:pStyle w:val="ListParagraph"/>
        <w:numPr>
          <w:ilvl w:val="0"/>
          <w:numId w:val="56"/>
        </w:numPr>
        <w:spacing w:line="276" w:lineRule="auto"/>
        <w:jc w:val="both"/>
        <w:rPr>
          <w:bCs/>
          <w:iCs/>
        </w:rPr>
      </w:pPr>
      <w:r w:rsidRPr="000B7409">
        <w:rPr>
          <w:bCs/>
          <w:iCs/>
        </w:rPr>
        <w:t>personām, kuru aprūpē ir bērns, kas saņem apgādnieka zaudējuma pensiju;</w:t>
      </w:r>
    </w:p>
    <w:p w:rsidR="009B0D76" w:rsidRPr="000B7409" w:rsidRDefault="009B0D76" w:rsidP="003F469F">
      <w:pPr>
        <w:pStyle w:val="ListParagraph"/>
        <w:numPr>
          <w:ilvl w:val="0"/>
          <w:numId w:val="56"/>
        </w:numPr>
        <w:spacing w:line="276" w:lineRule="auto"/>
        <w:jc w:val="both"/>
        <w:rPr>
          <w:bCs/>
          <w:iCs/>
        </w:rPr>
      </w:pPr>
      <w:r w:rsidRPr="000B7409">
        <w:rPr>
          <w:bCs/>
          <w:iCs/>
        </w:rPr>
        <w:t>personām pēc pilngadības sasniegšanas, kuras saņ</w:t>
      </w:r>
      <w:r w:rsidR="008F0CC3">
        <w:rPr>
          <w:bCs/>
          <w:iCs/>
        </w:rPr>
        <w:t>em apgādnieka zaudējuma pensiju;</w:t>
      </w:r>
    </w:p>
    <w:p w:rsidR="009B0D76" w:rsidRPr="000B7409" w:rsidRDefault="009B0D76" w:rsidP="003F469F">
      <w:pPr>
        <w:pStyle w:val="ListParagraph"/>
        <w:numPr>
          <w:ilvl w:val="0"/>
          <w:numId w:val="56"/>
        </w:numPr>
        <w:spacing w:line="276" w:lineRule="auto"/>
        <w:jc w:val="both"/>
        <w:rPr>
          <w:bCs/>
          <w:iCs/>
        </w:rPr>
      </w:pPr>
      <w:r w:rsidRPr="000B7409">
        <w:rPr>
          <w:bCs/>
          <w:iCs/>
        </w:rPr>
        <w:t>pirmspensijas vecuma bezdarbniekiem;</w:t>
      </w:r>
    </w:p>
    <w:p w:rsidR="009B0D76" w:rsidRPr="000B7409" w:rsidRDefault="009B0D76" w:rsidP="003F469F">
      <w:pPr>
        <w:pStyle w:val="ListParagraph"/>
        <w:numPr>
          <w:ilvl w:val="0"/>
          <w:numId w:val="56"/>
        </w:numPr>
        <w:spacing w:line="276" w:lineRule="auto"/>
        <w:jc w:val="both"/>
        <w:rPr>
          <w:bCs/>
          <w:iCs/>
        </w:rPr>
      </w:pPr>
      <w:r w:rsidRPr="000B7409">
        <w:rPr>
          <w:bCs/>
          <w:iCs/>
        </w:rPr>
        <w:t>politiski represētām personām;</w:t>
      </w:r>
    </w:p>
    <w:p w:rsidR="009B0D76" w:rsidRPr="000B7409" w:rsidRDefault="009B0D76" w:rsidP="003F469F">
      <w:pPr>
        <w:pStyle w:val="ListParagraph"/>
        <w:numPr>
          <w:ilvl w:val="0"/>
          <w:numId w:val="56"/>
        </w:numPr>
        <w:spacing w:line="276" w:lineRule="auto"/>
        <w:jc w:val="both"/>
        <w:rPr>
          <w:bCs/>
          <w:iCs/>
        </w:rPr>
      </w:pPr>
      <w:r w:rsidRPr="000B7409">
        <w:rPr>
          <w:bCs/>
          <w:iCs/>
        </w:rPr>
        <w:t>nacionālās pretošanās kustības dalībniekiem;</w:t>
      </w:r>
    </w:p>
    <w:p w:rsidR="009B0D76" w:rsidRPr="000B7409" w:rsidRDefault="00FF664D" w:rsidP="003F469F">
      <w:pPr>
        <w:pStyle w:val="ListParagraph"/>
        <w:numPr>
          <w:ilvl w:val="0"/>
          <w:numId w:val="56"/>
        </w:numPr>
        <w:spacing w:line="276" w:lineRule="auto"/>
        <w:jc w:val="both"/>
        <w:rPr>
          <w:bCs/>
          <w:iCs/>
        </w:rPr>
      </w:pPr>
      <w:r>
        <w:rPr>
          <w:bCs/>
          <w:iCs/>
        </w:rPr>
        <w:t>ČEAS</w:t>
      </w:r>
      <w:r w:rsidR="009B0D76" w:rsidRPr="000B7409">
        <w:rPr>
          <w:bCs/>
          <w:iCs/>
        </w:rPr>
        <w:t xml:space="preserve"> seku likvidācijas dalībniekiem;</w:t>
      </w:r>
    </w:p>
    <w:p w:rsidR="009B0D76" w:rsidRPr="000B7409" w:rsidRDefault="009B0D76" w:rsidP="003F469F">
      <w:pPr>
        <w:pStyle w:val="ListParagraph"/>
        <w:numPr>
          <w:ilvl w:val="0"/>
          <w:numId w:val="56"/>
        </w:numPr>
        <w:spacing w:line="276" w:lineRule="auto"/>
        <w:jc w:val="both"/>
        <w:rPr>
          <w:bCs/>
          <w:iCs/>
        </w:rPr>
      </w:pPr>
      <w:r w:rsidRPr="000B7409">
        <w:rPr>
          <w:bCs/>
          <w:iCs/>
        </w:rPr>
        <w:t>Afganistānas kara dalībniekiem;</w:t>
      </w:r>
    </w:p>
    <w:p w:rsidR="009B0D76" w:rsidRPr="000B7409" w:rsidRDefault="009B0D76" w:rsidP="003F469F">
      <w:pPr>
        <w:pStyle w:val="ListParagraph"/>
        <w:numPr>
          <w:ilvl w:val="0"/>
          <w:numId w:val="56"/>
        </w:numPr>
        <w:spacing w:line="276" w:lineRule="auto"/>
        <w:jc w:val="both"/>
        <w:rPr>
          <w:bCs/>
          <w:iCs/>
        </w:rPr>
      </w:pPr>
      <w:r w:rsidRPr="000B7409">
        <w:rPr>
          <w:bCs/>
          <w:iCs/>
        </w:rPr>
        <w:t>personām, kam piešķirts 1991.</w:t>
      </w:r>
      <w:r w:rsidR="00D54545">
        <w:rPr>
          <w:bCs/>
          <w:iCs/>
        </w:rPr>
        <w:t xml:space="preserve"> </w:t>
      </w:r>
      <w:r w:rsidRPr="000B7409">
        <w:rPr>
          <w:bCs/>
          <w:iCs/>
        </w:rPr>
        <w:t>gada barikāžu dalībnieka statuss;</w:t>
      </w:r>
    </w:p>
    <w:p w:rsidR="009B0D76" w:rsidRPr="000B7409" w:rsidRDefault="009B0D76" w:rsidP="003F469F">
      <w:pPr>
        <w:pStyle w:val="ListParagraph"/>
        <w:numPr>
          <w:ilvl w:val="0"/>
          <w:numId w:val="56"/>
        </w:numPr>
        <w:spacing w:line="276" w:lineRule="auto"/>
        <w:jc w:val="both"/>
        <w:rPr>
          <w:bCs/>
          <w:iCs/>
        </w:rPr>
      </w:pPr>
      <w:r w:rsidRPr="000B7409">
        <w:rPr>
          <w:bCs/>
          <w:iCs/>
        </w:rPr>
        <w:t>dzīvojamo māju/ dzīvokļu īpašniekiem</w:t>
      </w:r>
      <w:r>
        <w:rPr>
          <w:bCs/>
          <w:iCs/>
        </w:rPr>
        <w:t>, kuri ir veikuši mājas energoefektivitātes uzlabojumus</w:t>
      </w:r>
      <w:r>
        <w:rPr>
          <w:rStyle w:val="FootnoteReference"/>
          <w:rFonts w:eastAsiaTheme="majorEastAsia"/>
          <w:iCs/>
        </w:rPr>
        <w:footnoteReference w:id="295"/>
      </w:r>
      <w:r w:rsidRPr="000B7409">
        <w:rPr>
          <w:bCs/>
          <w:iCs/>
        </w:rPr>
        <w:t>;</w:t>
      </w:r>
    </w:p>
    <w:p w:rsidR="009B0D76" w:rsidRDefault="009B0D76" w:rsidP="003F469F">
      <w:pPr>
        <w:pStyle w:val="ListParagraph"/>
        <w:numPr>
          <w:ilvl w:val="0"/>
          <w:numId w:val="56"/>
        </w:numPr>
        <w:spacing w:line="276" w:lineRule="auto"/>
        <w:jc w:val="both"/>
        <w:rPr>
          <w:bCs/>
          <w:iCs/>
        </w:rPr>
      </w:pPr>
      <w:r w:rsidRPr="000B7409">
        <w:rPr>
          <w:bCs/>
          <w:iCs/>
        </w:rPr>
        <w:t>fiziskām personām</w:t>
      </w:r>
      <w:r>
        <w:rPr>
          <w:bCs/>
          <w:iCs/>
        </w:rPr>
        <w:t>, kas veikušas mājokļa labiekārtošanas darbus</w:t>
      </w:r>
      <w:r>
        <w:rPr>
          <w:rStyle w:val="FootnoteReference"/>
          <w:rFonts w:eastAsiaTheme="majorEastAsia"/>
          <w:iCs/>
        </w:rPr>
        <w:footnoteReference w:id="296"/>
      </w:r>
      <w:r>
        <w:rPr>
          <w:bCs/>
          <w:iCs/>
        </w:rPr>
        <w:t>;</w:t>
      </w:r>
    </w:p>
    <w:p w:rsidR="009B0D76" w:rsidRPr="000B7409" w:rsidRDefault="009B0D76" w:rsidP="003F469F">
      <w:pPr>
        <w:pStyle w:val="ListParagraph"/>
        <w:numPr>
          <w:ilvl w:val="0"/>
          <w:numId w:val="56"/>
        </w:numPr>
        <w:spacing w:line="276" w:lineRule="auto"/>
        <w:jc w:val="both"/>
        <w:rPr>
          <w:bCs/>
          <w:iCs/>
        </w:rPr>
      </w:pPr>
      <w:r>
        <w:rPr>
          <w:bCs/>
          <w:iCs/>
        </w:rPr>
        <w:t>fiziskām personām, kuru mājoklis ir cietis krīzes situācijā</w:t>
      </w:r>
      <w:r>
        <w:rPr>
          <w:rStyle w:val="FootnoteReference"/>
          <w:rFonts w:eastAsiaTheme="majorEastAsia"/>
          <w:iCs/>
        </w:rPr>
        <w:footnoteReference w:id="297"/>
      </w:r>
      <w:r>
        <w:rPr>
          <w:bCs/>
          <w:iCs/>
        </w:rPr>
        <w:t>.</w:t>
      </w:r>
    </w:p>
    <w:p w:rsidR="00632157" w:rsidRDefault="00632157" w:rsidP="00B358A2"/>
    <w:p w:rsidR="00632157" w:rsidRDefault="00632157" w:rsidP="00B358A2">
      <w:r w:rsidRPr="00454E1F">
        <w:rPr>
          <w:b/>
        </w:rPr>
        <w:t xml:space="preserve">21 pašvaldībā nav </w:t>
      </w:r>
      <w:r w:rsidR="005A31DC">
        <w:rPr>
          <w:b/>
        </w:rPr>
        <w:t>identificēti saistošie noteikumi</w:t>
      </w:r>
      <w:r w:rsidRPr="00454E1F">
        <w:rPr>
          <w:b/>
        </w:rPr>
        <w:t>, kas noteiktu nekustamā īpašuma nodokļa atvieglojumus</w:t>
      </w:r>
      <w:r>
        <w:t xml:space="preserve"> (Aglonas novads, Apes novads, Cesvaines novads, Ērgļu novads, Jaunpiebalgas novads, Kārsavas novads, Ķeguma novads, Līvānu novads, Lubānas novads, Mazsalacas novads, Naukšēnu novads, Neretas novads, Nīcas novads, Priekules novads, Rēzeknes novads, Salas novads, Sējas novads, Strenču novads, Vecumnieku novads, Viesītes novads, Viļānu novads).</w:t>
      </w:r>
    </w:p>
    <w:p w:rsidR="009B0D76" w:rsidRDefault="009B0D76" w:rsidP="00B358A2">
      <w:r>
        <w:lastRenderedPageBreak/>
        <w:t>Pašvaldību dokumentu analīzes par atvieglojumiem mājokļu jomā gaitā tika konstatētas vairākas problēmas saistībā ar tiesību aktu pieejamību un to pasniegšanas veidu, kas var radīt informācijas pieejamības grūtības arī iedzīvotājiem – šo atbalsta</w:t>
      </w:r>
      <w:r w:rsidR="005A31DC">
        <w:t>, t.sk. pabalstu,</w:t>
      </w:r>
      <w:r>
        <w:t xml:space="preserve"> veidu saņēmēju mērķa grupām:</w:t>
      </w:r>
    </w:p>
    <w:p w:rsidR="009B0D76" w:rsidRPr="005455F3" w:rsidRDefault="009B0D76" w:rsidP="003F469F">
      <w:pPr>
        <w:pStyle w:val="ListParagraph"/>
        <w:numPr>
          <w:ilvl w:val="0"/>
          <w:numId w:val="59"/>
        </w:numPr>
        <w:spacing w:line="276" w:lineRule="auto"/>
        <w:jc w:val="both"/>
      </w:pPr>
      <w:r>
        <w:t>vairāku pašvaldību mājas lapās netika atrasti saistošie noteikumi par atvieglojumu veidiem, kas ir noteikti ar likumu (sazinoties ar pašvaldībām, tika noskaidrots, ka šādu noteikumu nav, jo šāds at</w:t>
      </w:r>
      <w:r w:rsidRPr="005455F3">
        <w:t>vi</w:t>
      </w:r>
      <w:r>
        <w:t>e</w:t>
      </w:r>
      <w:r w:rsidRPr="005455F3">
        <w:t xml:space="preserve">glojums netiek sniegts vai tiek sniegts saskaņā ar likumu, </w:t>
      </w:r>
      <w:r>
        <w:t xml:space="preserve">tā skaidrojot iemeslu, kāpēc šie tiesību akti </w:t>
      </w:r>
      <w:r w:rsidRPr="005455F3">
        <w:t xml:space="preserve">nav ievietoti </w:t>
      </w:r>
      <w:r>
        <w:t>pašvaldības interneta vietnē)</w:t>
      </w:r>
      <w:r w:rsidRPr="005455F3">
        <w:t>;</w:t>
      </w:r>
    </w:p>
    <w:p w:rsidR="009B0D76" w:rsidRPr="00C83087" w:rsidRDefault="009B0D76" w:rsidP="003F469F">
      <w:pPr>
        <w:pStyle w:val="ListParagraph"/>
        <w:numPr>
          <w:ilvl w:val="0"/>
          <w:numId w:val="59"/>
        </w:numPr>
        <w:spacing w:line="276" w:lineRule="auto"/>
        <w:jc w:val="both"/>
      </w:pPr>
      <w:r>
        <w:t>vairākās pašvaldību interneta vietnēs nav</w:t>
      </w:r>
      <w:r w:rsidRPr="0040559B">
        <w:t xml:space="preserve"> </w:t>
      </w:r>
      <w:r>
        <w:t xml:space="preserve">pieejamas </w:t>
      </w:r>
      <w:r w:rsidRPr="0040559B">
        <w:t>saistošo noteikumu konsolidētās versijas</w:t>
      </w:r>
      <w:r>
        <w:t>, kas būtiski apgrūtina to kvalitatīvu izvērtējumu un pilnīgas informācijas pieejamību;</w:t>
      </w:r>
    </w:p>
    <w:p w:rsidR="009B0D76" w:rsidRDefault="009B0D76" w:rsidP="003F469F">
      <w:pPr>
        <w:pStyle w:val="ListParagraph"/>
        <w:numPr>
          <w:ilvl w:val="0"/>
          <w:numId w:val="60"/>
        </w:numPr>
        <w:spacing w:line="276" w:lineRule="auto"/>
        <w:jc w:val="both"/>
      </w:pPr>
      <w:r>
        <w:t>dažu pašvaldību</w:t>
      </w:r>
      <w:r w:rsidRPr="00C83087">
        <w:t xml:space="preserve"> saistošajos noteikumos dublējas sniegtie atbalsta veidi</w:t>
      </w:r>
      <w:r>
        <w:t>, līdz ar to pašvaldības sniegtos atvieglojumus nepieciešams salīdzināt, lai saprastu, uz kādām mērķa grupām katrs no tiem attiecas un kāds ir to apmērs.</w:t>
      </w:r>
    </w:p>
    <w:p w:rsidR="004135AA" w:rsidRDefault="004135AA" w:rsidP="003945E0">
      <w:pPr>
        <w:pStyle w:val="Heading2"/>
      </w:pPr>
      <w:bookmarkStart w:id="631" w:name="_Toc6841626"/>
      <w:r>
        <w:t>Vispārējās situācijas mājokļa jomā raksturojums saistībā ar mājokļa un ar to saistīto pakalpojumu pieejamību</w:t>
      </w:r>
      <w:bookmarkEnd w:id="631"/>
    </w:p>
    <w:p w:rsidR="007D5427" w:rsidRPr="006A431A" w:rsidRDefault="007D5427" w:rsidP="003945E0">
      <w:pPr>
        <w:pStyle w:val="Heading3"/>
      </w:pPr>
      <w:bookmarkStart w:id="632" w:name="_Toc6841627"/>
      <w:r w:rsidRPr="008138B4">
        <w:t xml:space="preserve">Galvenie izaicinājumi un problēmas mājokļa jomā: ekspertu interviju </w:t>
      </w:r>
      <w:r>
        <w:t xml:space="preserve">un sekundāro datu analīzes </w:t>
      </w:r>
      <w:r w:rsidRPr="008138B4">
        <w:t>starprezultāti</w:t>
      </w:r>
      <w:bookmarkEnd w:id="632"/>
    </w:p>
    <w:p w:rsidR="00FB0896" w:rsidRDefault="00FB0896" w:rsidP="00064C1E">
      <w:r>
        <w:t xml:space="preserve">Raugoties uz mājokļa jomu kopumā, divas galvenās problēmas ekspertu vērtējumā ir </w:t>
      </w:r>
      <w:r w:rsidRPr="00E43354">
        <w:rPr>
          <w:b/>
        </w:rPr>
        <w:t>dzīvojamā fonda neatbilstība pieprasījumam</w:t>
      </w:r>
      <w:r>
        <w:t xml:space="preserve"> (mājokļu trūkums) un </w:t>
      </w:r>
      <w:r w:rsidRPr="00E43354">
        <w:rPr>
          <w:b/>
        </w:rPr>
        <w:t>dzīvojamā fonda neapmierinošais tehniskais stāvoklis</w:t>
      </w:r>
      <w:r>
        <w:t xml:space="preserve">, kas, savukārt, ir tieši saistīts ar dzīvojamā fonda novecošanos. No šīm bāzes problēmām tālāk izriet pārējās – dzīvojamā fonda atjaunošanas un būvniecības problēmas, mājokļu īres tirgus nesakārtotība, rindas uz pašvaldības mājokļiem. </w:t>
      </w:r>
    </w:p>
    <w:p w:rsidR="00E37008" w:rsidRDefault="00E37008" w:rsidP="00064C1E"/>
    <w:p w:rsidR="00BC18EB" w:rsidRPr="00BC18EB" w:rsidRDefault="007D5427" w:rsidP="00007649">
      <w:r w:rsidRPr="00BC18EB">
        <w:t>Mājokļu jomas problēmas, kā skaidroja viens no</w:t>
      </w:r>
      <w:r w:rsidR="00FB0896" w:rsidRPr="00BC18EB">
        <w:t xml:space="preserve"> šī Izvērtējuma ietvaros</w:t>
      </w:r>
      <w:r w:rsidRPr="00BC18EB">
        <w:t xml:space="preserve"> intervētajiem ekspertiem, sakņojas, pirmkārt, </w:t>
      </w:r>
      <w:r w:rsidRPr="00BC18EB">
        <w:rPr>
          <w:b/>
        </w:rPr>
        <w:t>valsts, pašvaldību un privātā sektora atbildības un funkciju sadalījumā</w:t>
      </w:r>
      <w:r w:rsidRPr="00BC18EB">
        <w:t xml:space="preserve">, otrkārt, </w:t>
      </w:r>
      <w:r w:rsidRPr="00BC18EB">
        <w:rPr>
          <w:b/>
        </w:rPr>
        <w:t>denacionalizācijas un tai sekojošajā privatizācijas procesā</w:t>
      </w:r>
      <w:r w:rsidRPr="00BC18EB">
        <w:t xml:space="preserve">. Teorētiski šie procesi paredzēja, ka viss dzīvojamais fonds pāriet privātajā īpašumā, padarot mājokļa jomu par brīvā tirgus jomu. </w:t>
      </w:r>
      <w:r w:rsidR="00BC18EB" w:rsidRPr="00BC18EB">
        <w:t>Vienlaikus š</w:t>
      </w:r>
      <w:r w:rsidR="00C37D0D" w:rsidRPr="00BC18EB">
        <w:t>ajos apstākļos p</w:t>
      </w:r>
      <w:r w:rsidRPr="00BC18EB">
        <w:t xml:space="preserve">ašvaldībām ir noteikta </w:t>
      </w:r>
      <w:r w:rsidR="0011256B" w:rsidRPr="00BC18EB">
        <w:t>autonomā</w:t>
      </w:r>
      <w:r w:rsidRPr="00BC18EB">
        <w:t xml:space="preserve"> funkcija mājokļa jomā, kas nosaka nepieciešamību </w:t>
      </w:r>
      <w:r w:rsidR="00BC18EB" w:rsidRPr="00BC18EB">
        <w:t>pašvaldībai risināt mājokļa pieejamības jautājumu, piedāvājot pašvaldības īpašumā esošu dzīvojamo platīb</w:t>
      </w:r>
      <w:r w:rsidR="00BC18EB">
        <w:t>u</w:t>
      </w:r>
      <w:r w:rsidR="00AD5316" w:rsidRPr="00AD5316">
        <w:t xml:space="preserve"> </w:t>
      </w:r>
      <w:r w:rsidR="00AD5316" w:rsidRPr="00BC18EB">
        <w:t>likumā noteiktajām sociālajām grupām</w:t>
      </w:r>
      <w:r w:rsidR="00BC18EB">
        <w:t>, kas</w:t>
      </w:r>
      <w:r w:rsidR="00AD5316">
        <w:t>, savukārt,</w:t>
      </w:r>
      <w:r w:rsidR="00BC18EB">
        <w:t xml:space="preserve"> nozīmē nepieciešamību pēc pašvaldības dzīvojamā fonda, </w:t>
      </w:r>
      <w:r w:rsidR="00BC18EB" w:rsidRPr="00BC18EB">
        <w:t>vai rodot citus risinājumus, piemēram, kā norādīja LDDK eksperts, iepērkot īres pakalpojumus</w:t>
      </w:r>
      <w:r w:rsidR="00BC18EB">
        <w:t xml:space="preserve">. </w:t>
      </w:r>
      <w:r w:rsidR="00BC18EB" w:rsidRPr="00BC18EB">
        <w:t xml:space="preserve"> </w:t>
      </w:r>
    </w:p>
    <w:p w:rsidR="00BC18EB" w:rsidRPr="00BC18EB" w:rsidRDefault="00BC18EB" w:rsidP="00007649"/>
    <w:p w:rsidR="00007649" w:rsidRPr="00412C0F" w:rsidRDefault="00007649" w:rsidP="00007649">
      <w:r w:rsidRPr="00BC18EB">
        <w:t xml:space="preserve">Daļas ekspertu skatījumā </w:t>
      </w:r>
      <w:r w:rsidRPr="00BC18EB">
        <w:rPr>
          <w:b/>
        </w:rPr>
        <w:t>pašvaldībām ir jāplāno budžeta līdzekļi</w:t>
      </w:r>
      <w:r w:rsidRPr="00BC18EB">
        <w:t xml:space="preserve"> </w:t>
      </w:r>
      <w:r w:rsidRPr="00BC18EB">
        <w:rPr>
          <w:b/>
        </w:rPr>
        <w:t>dzīvojamā fonda attīstībai un</w:t>
      </w:r>
      <w:r w:rsidRPr="005D49E8">
        <w:rPr>
          <w:b/>
        </w:rPr>
        <w:t xml:space="preserve"> pilnveidošanai</w:t>
      </w:r>
      <w:r w:rsidRPr="00C5784F">
        <w:t xml:space="preserve">, jārisina jautājums par jaunu mājokļu būvniecību, kas nenotiek finanšu resursu trūkuma dēļ. </w:t>
      </w:r>
      <w:r>
        <w:t xml:space="preserve">Savukārt, otra daļa ekspertu uzskata, ka </w:t>
      </w:r>
      <w:r w:rsidRPr="00C5784F">
        <w:t xml:space="preserve">jaunu mājokļu būvniecība </w:t>
      </w:r>
      <w:r>
        <w:t xml:space="preserve">nav </w:t>
      </w:r>
      <w:r w:rsidRPr="00C5784F">
        <w:t xml:space="preserve">pašvaldību uzdevums. Tika pausta nostāja, galvenokārt no pašvaldību puses, ka valstij </w:t>
      </w:r>
      <w:r w:rsidR="006F1A8E">
        <w:t>būtu</w:t>
      </w:r>
      <w:r w:rsidRPr="00C5784F">
        <w:t xml:space="preserve"> jāsniedz atbalsts pašvaldībām šajā ziņā</w:t>
      </w:r>
      <w:r>
        <w:t>, t.sk. dotāciju veidā</w:t>
      </w:r>
      <w:r w:rsidRPr="00C5784F">
        <w:t xml:space="preserve">. </w:t>
      </w:r>
      <w:r w:rsidR="00ED23CE" w:rsidRPr="00CA4F69">
        <w:rPr>
          <w:rFonts w:eastAsia="SimSun"/>
          <w:lang w:eastAsia="zh-CN"/>
        </w:rPr>
        <w:t xml:space="preserve">Valsts budžeta mērķdotāciju piešķiršanas nosacījumus un kārtību nosaka </w:t>
      </w:r>
      <w:r w:rsidR="00ED23CE">
        <w:rPr>
          <w:rFonts w:eastAsia="SimSun"/>
          <w:lang w:eastAsia="zh-CN"/>
        </w:rPr>
        <w:t xml:space="preserve">05.04.2005. MK </w:t>
      </w:r>
      <w:r w:rsidR="00ED23CE" w:rsidRPr="00CA4F69">
        <w:rPr>
          <w:rFonts w:eastAsia="SimSun"/>
          <w:lang w:eastAsia="zh-CN"/>
        </w:rPr>
        <w:t xml:space="preserve">noteikumi Nr. 237 „Kārtība, kādā pašvaldībām piešķiramas valsts mērķdotācijas </w:t>
      </w:r>
      <w:r w:rsidR="00ED23CE" w:rsidRPr="00D233AB">
        <w:rPr>
          <w:rFonts w:eastAsia="SimSun"/>
          <w:lang w:eastAsia="zh-CN"/>
        </w:rPr>
        <w:t>dzīvokļa jautājumu risināšanai</w:t>
      </w:r>
      <w:r w:rsidR="00ED23CE" w:rsidRPr="00412C0F">
        <w:rPr>
          <w:rFonts w:eastAsia="SimSun"/>
          <w:lang w:eastAsia="zh-CN"/>
        </w:rPr>
        <w:t>”</w:t>
      </w:r>
      <w:r w:rsidR="00ED23CE" w:rsidRPr="00412C0F">
        <w:rPr>
          <w:rStyle w:val="FootnoteReference"/>
          <w:rFonts w:eastAsia="SimSun"/>
          <w:lang w:eastAsia="zh-CN"/>
        </w:rPr>
        <w:footnoteReference w:id="298"/>
      </w:r>
      <w:r w:rsidR="00ED23CE" w:rsidRPr="00412C0F">
        <w:rPr>
          <w:rFonts w:eastAsia="SimSun"/>
          <w:lang w:eastAsia="zh-CN"/>
        </w:rPr>
        <w:t xml:space="preserve">. Kā norāda EM: „Pašvaldības īres namu </w:t>
      </w:r>
      <w:r w:rsidR="00ED23CE" w:rsidRPr="00412C0F">
        <w:rPr>
          <w:rFonts w:eastAsia="SimSun"/>
          <w:lang w:eastAsia="zh-CN"/>
        </w:rPr>
        <w:lastRenderedPageBreak/>
        <w:t>būvniecībai ir paredzētas mērķdotācijas pašvaldībām 30% apmērā no būvniecības izmaksām, taču minētajiem pasākumiem kopš 2009.</w:t>
      </w:r>
      <w:r w:rsidR="00DE1C08" w:rsidRPr="00412C0F">
        <w:rPr>
          <w:rFonts w:eastAsia="SimSun"/>
          <w:lang w:eastAsia="zh-CN"/>
        </w:rPr>
        <w:t xml:space="preserve"> </w:t>
      </w:r>
      <w:r w:rsidR="00ED23CE" w:rsidRPr="00412C0F">
        <w:rPr>
          <w:rFonts w:eastAsia="SimSun"/>
          <w:lang w:eastAsia="zh-CN"/>
        </w:rPr>
        <w:t>gada valsts budžeta finansējums nav ticis piešķirts.”</w:t>
      </w:r>
      <w:r w:rsidR="00412C0F" w:rsidRPr="00412C0F">
        <w:rPr>
          <w:rStyle w:val="FootnoteReference"/>
          <w:rFonts w:eastAsia="SimSun"/>
          <w:lang w:eastAsia="zh-CN"/>
        </w:rPr>
        <w:footnoteReference w:id="299"/>
      </w:r>
      <w:r w:rsidR="00ED23CE" w:rsidRPr="00412C0F">
        <w:rPr>
          <w:rFonts w:eastAsia="SimSun"/>
          <w:lang w:eastAsia="zh-CN"/>
        </w:rPr>
        <w:t xml:space="preserve"> </w:t>
      </w:r>
      <w:r w:rsidR="00712E89" w:rsidRPr="00412C0F">
        <w:rPr>
          <w:rFonts w:eastAsia="SimSun"/>
          <w:lang w:eastAsia="zh-CN"/>
        </w:rPr>
        <w:t>No ekspertu</w:t>
      </w:r>
      <w:r w:rsidR="00712E89">
        <w:rPr>
          <w:rFonts w:eastAsia="SimSun"/>
          <w:lang w:eastAsia="zh-CN"/>
        </w:rPr>
        <w:t xml:space="preserve"> puses tika pausta arī nostāja, ka dotāciju piešķiršana šādiem mērķiem pašvaldībām neesot pamatota, ņemot vērā, ka valsts ir deleģējusi pašvaldībām tiesības saņemt noteiktus nodokļu ieņēmumus, pašvaldību ieņēmumi pakāpeniski pieaugot, kamēr izdevumi sociālajām vajadzībām samazinoties, turklāt pašvaldības ik gadu pārdodot vairākus dzīvokļus īpašumu izsolēs. Citi</w:t>
      </w:r>
      <w:r w:rsidR="006F1A8E">
        <w:rPr>
          <w:rFonts w:eastAsia="SimSun"/>
          <w:lang w:eastAsia="zh-CN"/>
        </w:rPr>
        <w:t xml:space="preserve"> intervētie eksperti, analizēj</w:t>
      </w:r>
      <w:r w:rsidR="00ED23CE">
        <w:rPr>
          <w:rFonts w:eastAsia="SimSun"/>
          <w:lang w:eastAsia="zh-CN"/>
        </w:rPr>
        <w:t xml:space="preserve">ot </w:t>
      </w:r>
      <w:r w:rsidR="00712E89">
        <w:rPr>
          <w:rFonts w:eastAsia="SimSun"/>
          <w:lang w:eastAsia="zh-CN"/>
        </w:rPr>
        <w:t>dzīvojamā fonda attīstības</w:t>
      </w:r>
      <w:r w:rsidR="00ED23CE">
        <w:rPr>
          <w:rFonts w:eastAsia="SimSun"/>
          <w:lang w:eastAsia="zh-CN"/>
        </w:rPr>
        <w:t xml:space="preserve"> problēmu, norād</w:t>
      </w:r>
      <w:r w:rsidR="00712E89">
        <w:rPr>
          <w:rFonts w:eastAsia="SimSun"/>
          <w:lang w:eastAsia="zh-CN"/>
        </w:rPr>
        <w:t>īja</w:t>
      </w:r>
      <w:r w:rsidR="00ED23CE">
        <w:rPr>
          <w:rFonts w:eastAsia="SimSun"/>
          <w:lang w:eastAsia="zh-CN"/>
        </w:rPr>
        <w:t>, ka n</w:t>
      </w:r>
      <w:r w:rsidRPr="00007649">
        <w:t>ormatīvajā regulējumā noteiktie ierobežojumi pašvaldībām īstenot uzņēmējdarbību rada šķēršļus mājokļa jautājumu risināšanā. Ekspertu intervijās šajā kontekstā tika diskutēts par īres namu būvniecību, kas pakāpeniski Latvijā sāk attīstīties, neraugoties uz šai iniciatīvai kopumā nelabvēlīgiem apstākļiem un nosacījumiem</w:t>
      </w:r>
      <w:r w:rsidR="000F442F">
        <w:t xml:space="preserve"> (būvniecības izmaksas, aizdevumu termiņi un likmes, iedzīvotāju maksātspēja u.c.)</w:t>
      </w:r>
      <w:r w:rsidRPr="00007649">
        <w:t>. Tāpēc, piemēram, Valmieras pašvaldības iniciatīvu īres namu būvniecībā atsevišķi eksperti vērtē kā riskantu, ja vien tai nav valsts vai starptautisko finanšu instrumentu atbalsta</w:t>
      </w:r>
      <w:r w:rsidRPr="00412C0F">
        <w:t>. LR Tiesībsarga rekomendācija šajā kontekstā ir sekojoša: „(..) pašvaldībām, realizējot vienu no to autonomajām funkcijām sniegt palīdzību iedzīvotājiem dzīvokļa jautājumu risināšanā, gadskārtējā budžeta ietvaros ir jāparedz naudas līdzekļi dzīvojamā fonda attīstībai, īpaši veicinot sociālo dzīvokļu pieejamību mazāk aizsargātajām personu grupām. Tāpat ir jāgādā par savu iedzīvotāju tiesību uz mājokli standartu ievērošanu (..).”</w:t>
      </w:r>
      <w:r w:rsidRPr="00412C0F">
        <w:rPr>
          <w:vertAlign w:val="superscript"/>
        </w:rPr>
        <w:footnoteReference w:id="300"/>
      </w:r>
      <w:r w:rsidR="00927EFA" w:rsidRPr="00412C0F">
        <w:rPr>
          <w:vertAlign w:val="superscript"/>
        </w:rPr>
        <w:t xml:space="preserve"> </w:t>
      </w:r>
    </w:p>
    <w:p w:rsidR="00ED23CE" w:rsidRPr="00412C0F" w:rsidRDefault="00ED23CE" w:rsidP="00007649"/>
    <w:p w:rsidR="0066684F" w:rsidRDefault="003A63D6" w:rsidP="00ED23CE">
      <w:pPr>
        <w:pStyle w:val="tv213"/>
        <w:shd w:val="clear" w:color="auto" w:fill="FFFFFF"/>
        <w:tabs>
          <w:tab w:val="left" w:pos="993"/>
        </w:tabs>
        <w:spacing w:before="0" w:beforeAutospacing="0" w:after="0" w:afterAutospacing="0"/>
        <w:jc w:val="both"/>
      </w:pPr>
      <w:r w:rsidRPr="00412C0F">
        <w:t>Izvērtējuma veikšanas laikā (02.10.2018.) MK konceptuāli atbalstīja EM piedāvājumu</w:t>
      </w:r>
      <w:r w:rsidRPr="00412C0F">
        <w:rPr>
          <w:rStyle w:val="FootnoteReference"/>
        </w:rPr>
        <w:footnoteReference w:id="301"/>
      </w:r>
      <w:r w:rsidRPr="00412C0F">
        <w:t xml:space="preserve"> radīt</w:t>
      </w:r>
      <w:r>
        <w:t xml:space="preserve"> </w:t>
      </w:r>
      <w:r w:rsidRPr="009F2017">
        <w:rPr>
          <w:b/>
        </w:rPr>
        <w:t>atbalsta programmu pašvaldībām īres namu būvniecībai</w:t>
      </w:r>
      <w:r w:rsidR="00ED23CE">
        <w:rPr>
          <w:b/>
        </w:rPr>
        <w:t xml:space="preserve">, </w:t>
      </w:r>
      <w:r w:rsidR="00ED23CE" w:rsidRPr="00E9202C">
        <w:t>ievieš</w:t>
      </w:r>
      <w:r w:rsidR="00ED23CE">
        <w:t>ot</w:t>
      </w:r>
      <w:r w:rsidR="00ED23CE" w:rsidRPr="00E9202C">
        <w:t xml:space="preserve"> palīdzības mehānism</w:t>
      </w:r>
      <w:r w:rsidR="00ED23CE">
        <w:t>u</w:t>
      </w:r>
      <w:r w:rsidR="00ED23CE" w:rsidRPr="00E9202C">
        <w:t>:</w:t>
      </w:r>
      <w:r w:rsidR="00ED23CE">
        <w:t xml:space="preserve"> 1) </w:t>
      </w:r>
      <w:r w:rsidR="00ED23CE" w:rsidRPr="00D133C2">
        <w:t xml:space="preserve">grantu veidā </w:t>
      </w:r>
      <w:r w:rsidR="00ED23CE">
        <w:t xml:space="preserve">10% apmērā, kuru piešķirs EM, 2) </w:t>
      </w:r>
      <w:r w:rsidR="00ED23CE" w:rsidRPr="00D133C2">
        <w:t>finanšu instrumenta mezanīna aizdevuma veidā</w:t>
      </w:r>
      <w:r w:rsidR="00ED23CE">
        <w:t xml:space="preserve"> 30% apmērā, kuru piešķirs</w:t>
      </w:r>
      <w:r w:rsidR="00ED23CE">
        <w:rPr>
          <w:bCs/>
          <w:color w:val="000000"/>
        </w:rPr>
        <w:t xml:space="preserve"> attīstības finanšu institūcija “Altum”</w:t>
      </w:r>
      <w:r w:rsidR="00ED23CE">
        <w:t>. Tas nozīmē, ka p</w:t>
      </w:r>
      <w:r w:rsidRPr="00305929">
        <w:t>rogrammas ietvaros pašvaldību kapitālsabiedrības varēs saņemt ilgtermiņa aizdevumus daudzdzīvokļu dzīvojamo māju būvniecībai reģionos</w:t>
      </w:r>
      <w:r>
        <w:t xml:space="preserve">. </w:t>
      </w:r>
      <w:r w:rsidR="009F2017">
        <w:t xml:space="preserve">Programmas pamatojums balstīts uz trīs problēmām: 1) </w:t>
      </w:r>
      <w:r w:rsidR="009F2017" w:rsidRPr="00CA4F69">
        <w:t xml:space="preserve">zemi iedzīvotāju ienākumi liedz </w:t>
      </w:r>
      <w:r w:rsidR="009F2017">
        <w:t>pieeju būvniecības standartiem atbilstošam</w:t>
      </w:r>
      <w:r w:rsidR="009F2017" w:rsidRPr="00CA4F69">
        <w:t xml:space="preserve"> mājokli</w:t>
      </w:r>
      <w:r w:rsidR="009F2017">
        <w:t>m</w:t>
      </w:r>
      <w:r w:rsidR="009F2017" w:rsidRPr="00CA4F69">
        <w:t>;</w:t>
      </w:r>
      <w:r w:rsidR="009F2017">
        <w:t xml:space="preserve"> 2) p</w:t>
      </w:r>
      <w:r w:rsidR="009F2017" w:rsidRPr="00CA4F69">
        <w:t>rivāto investīciju trūkums īres namu celtniecībai reģionos;</w:t>
      </w:r>
      <w:r w:rsidR="009F2017">
        <w:t xml:space="preserve"> 3) </w:t>
      </w:r>
      <w:r w:rsidR="009F2017" w:rsidRPr="00CA4F69">
        <w:t>ierobežota iedzīvotāju mobilitāte</w:t>
      </w:r>
      <w:r w:rsidR="009F2017">
        <w:t>. Vienlaikus</w:t>
      </w:r>
      <w:r w:rsidR="0066684F">
        <w:t xml:space="preserve"> ekspertu vidū </w:t>
      </w:r>
      <w:r w:rsidR="009F2017">
        <w:t>pastāv viedoklis</w:t>
      </w:r>
      <w:r w:rsidR="0066684F">
        <w:t>, ka šādas programmas īstenošana ir vērtējama kā tieša publi</w:t>
      </w:r>
      <w:r w:rsidR="00B2596F">
        <w:t>sk</w:t>
      </w:r>
      <w:r w:rsidR="0066684F">
        <w:t>ā sektora iejaukšanās mājokļu tirgū (privātajā sektorā), veicot subsidētu mājokļu būvi. Saskaņā ar šo viedokli „</w:t>
      </w:r>
      <w:r w:rsidR="0066684F" w:rsidRPr="0066684F">
        <w:t>Publiskajam sektoram iesaistīties tirgū vajadzētu tikai, lai novērstu tirgus nepilnību situācijās, kad tirgus nav spējīgs nodrošināt sabiedrības interešu īstenošanu attiecīgajā jomā”</w:t>
      </w:r>
      <w:r w:rsidR="00ED23CE">
        <w:rPr>
          <w:rStyle w:val="FootnoteReference"/>
        </w:rPr>
        <w:footnoteReference w:id="302"/>
      </w:r>
      <w:r w:rsidR="0066684F" w:rsidRPr="0066684F">
        <w:t xml:space="preserve">. </w:t>
      </w:r>
      <w:r w:rsidR="003F6C16">
        <w:t xml:space="preserve">Šī iniciatīva un diskusija </w:t>
      </w:r>
      <w:r w:rsidR="00ED23CE">
        <w:t>ir vērst</w:t>
      </w:r>
      <w:r w:rsidR="003F6C16">
        <w:t>a</w:t>
      </w:r>
      <w:r w:rsidR="00ED23CE">
        <w:t xml:space="preserve"> uz publi</w:t>
      </w:r>
      <w:r w:rsidR="00B2596F">
        <w:t>sk</w:t>
      </w:r>
      <w:r w:rsidR="00ED23CE">
        <w:t>ā un privātā sektora funkciju un atbildību sadalījumu mājokļa pieejamības problēmu risināšanā, attīstot dzīvojamo fondu.</w:t>
      </w:r>
      <w:r w:rsidR="00EB097A">
        <w:t xml:space="preserve"> Par programmas projekta virzību sk. arī 3.2.1. sadaļu. </w:t>
      </w:r>
      <w:r w:rsidR="00ED23CE">
        <w:t xml:space="preserve"> </w:t>
      </w:r>
      <w:r w:rsidR="0066684F">
        <w:t xml:space="preserve"> </w:t>
      </w:r>
    </w:p>
    <w:p w:rsidR="00387EF2" w:rsidRDefault="007D5427" w:rsidP="00387EF2">
      <w:pPr>
        <w:pStyle w:val="Default"/>
        <w:spacing w:line="276" w:lineRule="auto"/>
        <w:jc w:val="both"/>
      </w:pPr>
      <w:r w:rsidRPr="00387EF2">
        <w:t xml:space="preserve">Raugoties no nevienlīdzības mājokļu pieejamības jomā perspektīvas, eksperti skaidroja jau specifiskākas problēmas. Pirmkārt, </w:t>
      </w:r>
      <w:r w:rsidRPr="00387EF2">
        <w:rPr>
          <w:b/>
        </w:rPr>
        <w:t xml:space="preserve">pašvaldību starpā pastāv vērā ņemamas atšķirības, kā tiek </w:t>
      </w:r>
      <w:r w:rsidRPr="00387EF2">
        <w:rPr>
          <w:b/>
        </w:rPr>
        <w:lastRenderedPageBreak/>
        <w:t>noteikta un sniegta palīdzība mājokļa jomā</w:t>
      </w:r>
      <w:r w:rsidRPr="00387EF2">
        <w:t xml:space="preserve"> (t.s</w:t>
      </w:r>
      <w:r w:rsidR="00387EF2" w:rsidRPr="00387EF2">
        <w:t>k</w:t>
      </w:r>
      <w:r w:rsidRPr="00387EF2">
        <w:t xml:space="preserve">. dzīvokļa pabalsts). </w:t>
      </w:r>
      <w:r w:rsidR="00387EF2" w:rsidRPr="00387EF2">
        <w:t>Šī problēma konstatēta arī Valsts kontroles revīzijā 2014.</w:t>
      </w:r>
      <w:r w:rsidR="00DE1C08">
        <w:t xml:space="preserve"> </w:t>
      </w:r>
      <w:r w:rsidR="00387EF2" w:rsidRPr="00387EF2">
        <w:t>gadā, kur</w:t>
      </w:r>
      <w:r w:rsidR="00387EF2">
        <w:t>, balstoties uz 10 pašvaldību padziļinātu izpēti,</w:t>
      </w:r>
      <w:r w:rsidR="00387EF2" w:rsidRPr="00387EF2">
        <w:t xml:space="preserve"> secināts, ka: „pašvaldībās nepastāv vienota pieeja dzīvokļa pabalsta piešķiršanai, gan definējot ģimenes (personas), kas ir tiesīgas saņemt dzīvokļa pabalstu, gan arī nosakot pabalsta saturu, apmēru un pabalsta saņemšanas ierobežojumus”</w:t>
      </w:r>
      <w:r w:rsidR="00387EF2" w:rsidRPr="00387EF2">
        <w:rPr>
          <w:rStyle w:val="FootnoteReference"/>
        </w:rPr>
        <w:footnoteReference w:id="303"/>
      </w:r>
      <w:r w:rsidR="00387EF2" w:rsidRPr="00387EF2">
        <w:t xml:space="preserve">. </w:t>
      </w:r>
    </w:p>
    <w:p w:rsidR="00387EF2" w:rsidRDefault="00387EF2" w:rsidP="00387EF2">
      <w:pPr>
        <w:pStyle w:val="Default"/>
        <w:spacing w:line="276" w:lineRule="auto"/>
        <w:jc w:val="both"/>
      </w:pPr>
    </w:p>
    <w:p w:rsidR="00374224" w:rsidRDefault="00387EF2" w:rsidP="00D55DEB">
      <w:pPr>
        <w:pStyle w:val="Default"/>
        <w:spacing w:line="276" w:lineRule="auto"/>
        <w:jc w:val="both"/>
        <w:rPr>
          <w:sz w:val="23"/>
          <w:szCs w:val="23"/>
        </w:rPr>
      </w:pPr>
      <w:r w:rsidRPr="00D55DEB">
        <w:t>S</w:t>
      </w:r>
      <w:r w:rsidR="007D5427" w:rsidRPr="00D55DEB">
        <w:t>ociālo pakalpojumu un sociālās palīdzības likumā nav ietverta dzīvokļa pabalsta definīcija, bet ir noteikts, ka dzīvokļa pabalsts ir viens no trim pašvaldību obligāti nodrošināmiem sociālās palīdzības pabalstu veidiem, kas tiek izmaksāts no pašvaldības pamatbudžeta (35.</w:t>
      </w:r>
      <w:r w:rsidR="00D54545">
        <w:t xml:space="preserve"> </w:t>
      </w:r>
      <w:r w:rsidR="007D5427" w:rsidRPr="00D55DEB">
        <w:t>panta pirmā, otrā un trešā daļa), kā arī ietverts deleģējums pašvaldībām saistošajos noteikumos noteikt dzīvokļa pabalsta apmēru, izmaksas kārtību un personas, kuras ir tiesīgas saņemt šo pabalstu (35.</w:t>
      </w:r>
      <w:r w:rsidR="00D54545">
        <w:t xml:space="preserve"> </w:t>
      </w:r>
      <w:r w:rsidR="007D5427" w:rsidRPr="00D55DEB">
        <w:t xml:space="preserve">panta piektā daļa). </w:t>
      </w:r>
      <w:r w:rsidR="00A65EC3" w:rsidRPr="00D55DEB">
        <w:t>Dzīvokļa pabalsta definīcija ir ie</w:t>
      </w:r>
      <w:r w:rsidR="00B2596F">
        <w:t>tv</w:t>
      </w:r>
      <w:r w:rsidR="00A65EC3" w:rsidRPr="00D55DEB">
        <w:t xml:space="preserve">erta likumā „Par palīdzību dzīvokļa jautājumu risināšanā” </w:t>
      </w:r>
      <w:r w:rsidRPr="00D55DEB">
        <w:t>(3.</w:t>
      </w:r>
      <w:r w:rsidR="00D54545">
        <w:t xml:space="preserve"> </w:t>
      </w:r>
      <w:r w:rsidRPr="00D55DEB">
        <w:t>panta 5.</w:t>
      </w:r>
      <w:r w:rsidR="00D54545">
        <w:t xml:space="preserve"> </w:t>
      </w:r>
      <w:r w:rsidRPr="00D55DEB">
        <w:t>punkts), nosakot, ka „dzīvokļa pabalsts ir pabalsts dzīvojamās telpas īres maksas un maksas par pakalpojumiem, kas saistīti ar dzīvojamās telpas lietošanu, segšanai”. Kā norādīts Valsts kontroles revīzijas ziņojumā, Sociālo pakalpojumu un sociālās palīdzības likums nosaka, ka dzīvokļa pabalsts ir sociālās palīdzības veids, kas ir jāsniedz tikai trūcīgām un maznodrošinātām ģimenēm (personām), kuru ienākumi un materiālais stāvoklis nav pietiekams pamatvajadzību nodrošināšanai, bet atbilstoši likumam „Par palīdzību dzīvokļa jautājumu risināšanā” – arī citām personām, piemēram, denacionalizēto māju īrniekiem, politiski represētām personām, neatkarīgi no to ienākumu un materiālā stāvokļa līmeņa.</w:t>
      </w:r>
      <w:r w:rsidR="00D55DEB">
        <w:rPr>
          <w:rStyle w:val="FootnoteReference"/>
          <w:sz w:val="23"/>
          <w:szCs w:val="23"/>
        </w:rPr>
        <w:footnoteReference w:id="304"/>
      </w:r>
      <w:r w:rsidRPr="00387EF2">
        <w:rPr>
          <w:sz w:val="23"/>
          <w:szCs w:val="23"/>
        </w:rPr>
        <w:t xml:space="preserve"> </w:t>
      </w:r>
      <w:r w:rsidR="00374224" w:rsidRPr="002941BF">
        <w:t>Vienotas pieejas trūkuma rezultātā veidojas situācija, ka</w:t>
      </w:r>
      <w:r w:rsidR="00374224">
        <w:rPr>
          <w:sz w:val="23"/>
          <w:szCs w:val="23"/>
        </w:rPr>
        <w:t xml:space="preserve"> </w:t>
      </w:r>
      <w:r w:rsidR="00374224" w:rsidRPr="00374224">
        <w:t xml:space="preserve">ģimenēm (personām) ar līdzvērtīgu ienākumu un materiālā stāvokļa līmeni </w:t>
      </w:r>
      <w:r w:rsidR="00374224">
        <w:t>nav nod</w:t>
      </w:r>
      <w:r w:rsidR="00E6496D">
        <w:t>ro</w:t>
      </w:r>
      <w:r w:rsidR="00374224">
        <w:t xml:space="preserve">šinātas vienlīdzīgas iespējas </w:t>
      </w:r>
      <w:r w:rsidR="00374224" w:rsidRPr="00374224">
        <w:t>saņemt dzīvokļa pabalstu</w:t>
      </w:r>
      <w:r w:rsidR="00374224">
        <w:t>.</w:t>
      </w:r>
    </w:p>
    <w:p w:rsidR="00374224" w:rsidRDefault="00374224" w:rsidP="00D55DEB">
      <w:pPr>
        <w:pStyle w:val="Default"/>
        <w:spacing w:line="276" w:lineRule="auto"/>
        <w:jc w:val="both"/>
        <w:rPr>
          <w:sz w:val="23"/>
          <w:szCs w:val="23"/>
        </w:rPr>
      </w:pPr>
    </w:p>
    <w:p w:rsidR="007D5427" w:rsidRDefault="005D49E8" w:rsidP="00374224">
      <w:pPr>
        <w:pStyle w:val="Default"/>
        <w:spacing w:line="276" w:lineRule="auto"/>
        <w:jc w:val="both"/>
      </w:pPr>
      <w:r w:rsidRPr="00387EF2">
        <w:t xml:space="preserve">Vienlaikus atsevišķi </w:t>
      </w:r>
      <w:r w:rsidR="00D55DEB">
        <w:t xml:space="preserve">Izvērtējumā intervētie </w:t>
      </w:r>
      <w:r w:rsidRPr="00387EF2">
        <w:t xml:space="preserve">eksperti uzskata, ka vienota pieeja </w:t>
      </w:r>
      <w:r w:rsidR="00387EF2" w:rsidRPr="00387EF2">
        <w:t>attiecībā uz dzīvokļa pabalsta sniegšan</w:t>
      </w:r>
      <w:r w:rsidR="002505E4">
        <w:t>a</w:t>
      </w:r>
      <w:r w:rsidR="00387EF2" w:rsidRPr="00387EF2">
        <w:t xml:space="preserve">s kārtību </w:t>
      </w:r>
      <w:r w:rsidRPr="00387EF2">
        <w:t>nav atbalstāma, jo situācija katrā pašvaldībā gan attiecībā uz dzīvojamo fondu, gan atbalstāmajām mērķa grupām var atšķirties.</w:t>
      </w:r>
      <w:r w:rsidR="00374224">
        <w:t xml:space="preserve"> Saskaņā ar šādu nostāju pašvaldībām </w:t>
      </w:r>
      <w:r w:rsidR="00E6496D">
        <w:t>būtu</w:t>
      </w:r>
      <w:r w:rsidR="00374224">
        <w:t xml:space="preserve"> saglabājama rīcības brīvība </w:t>
      </w:r>
      <w:r w:rsidR="00374224" w:rsidRPr="00374224">
        <w:t>noteikt dzīvokļa pabalsta veidus, apmēru, izmaksas kārtību un personas, kuras ir tiesīgas tos saņemt</w:t>
      </w:r>
      <w:r w:rsidR="00374224">
        <w:t xml:space="preserve">. </w:t>
      </w:r>
      <w:r w:rsidR="007D5427" w:rsidRPr="00387EF2">
        <w:t xml:space="preserve">Izvērtējumā </w:t>
      </w:r>
      <w:r w:rsidR="00327422" w:rsidRPr="00387EF2">
        <w:t>ir</w:t>
      </w:r>
      <w:r w:rsidR="007D5427" w:rsidRPr="00387EF2">
        <w:t xml:space="preserve"> veikts visu 119 pašvaldību saistošo noteikumu apsekojums ar mērķi apkopot informāciju par pašvaldību sniegto atbalstu mājokļa jomā (skat. </w:t>
      </w:r>
      <w:r w:rsidR="009563D2" w:rsidRPr="00387EF2">
        <w:t>12</w:t>
      </w:r>
      <w:r w:rsidR="007D5427" w:rsidRPr="00387EF2">
        <w:t>. pielikumu), t.sk. par to, kā tiek noteikts un izmaksāts dzīvokļa pabalsts</w:t>
      </w:r>
      <w:r w:rsidR="007D5427">
        <w:t xml:space="preserve">. </w:t>
      </w:r>
    </w:p>
    <w:p w:rsidR="00374224" w:rsidRDefault="00374224" w:rsidP="00064C1E"/>
    <w:p w:rsidR="009F2017" w:rsidRDefault="007D5427" w:rsidP="00064C1E">
      <w:r>
        <w:t xml:space="preserve">Otrkārt, nozīmīga </w:t>
      </w:r>
      <w:r w:rsidRPr="002505E4">
        <w:rPr>
          <w:b/>
        </w:rPr>
        <w:t>problēma ir mājokļa izdevumi</w:t>
      </w:r>
      <w:r w:rsidR="002941BF">
        <w:t xml:space="preserve"> tām iedzīvotāju gru</w:t>
      </w:r>
      <w:r w:rsidR="009E5D47">
        <w:t xml:space="preserve">pām, kurām tie veido vairāk nekā 20-30% no </w:t>
      </w:r>
      <w:r w:rsidRPr="00E43354">
        <w:t>kopējiem mājsaimniecības ienākumiem (skat. statistikas datu analīzi par šo rādītāju</w:t>
      </w:r>
      <w:r w:rsidR="002505E4">
        <w:t xml:space="preserve"> 3.3.8. sadaļā</w:t>
      </w:r>
      <w:r w:rsidRPr="00E43354">
        <w:t>).</w:t>
      </w:r>
      <w:r w:rsidRPr="005C59C3">
        <w:t xml:space="preserve"> Eksperti kā galveno riska</w:t>
      </w:r>
      <w:r>
        <w:t xml:space="preserve"> grupu šajā kontekstā minēja pensijas vecuma iedzīvotājus</w:t>
      </w:r>
      <w:r w:rsidR="009E5D47">
        <w:t xml:space="preserve"> un atsevišķi dzīvojošas personas</w:t>
      </w:r>
      <w:r>
        <w:t xml:space="preserve">. Šo atzinumu apstiprina arī veiktā statistikas datu analīze. </w:t>
      </w:r>
      <w:r w:rsidR="00974002">
        <w:t>EM</w:t>
      </w:r>
      <w:r w:rsidR="002C5DCE">
        <w:t>, izvērtējot mājokļa pieejamības situāciju no iedzīvotāju ienākumu un izdevumu perspektīvas, secinājusi, ka</w:t>
      </w:r>
      <w:r w:rsidR="009F2017">
        <w:t>,</w:t>
      </w:r>
      <w:r w:rsidR="002C5DCE">
        <w:t xml:space="preserve"> „</w:t>
      </w:r>
      <w:r w:rsidR="009F2017" w:rsidRPr="00CA4F69">
        <w:t xml:space="preserve">lai mājsaimniecība varētu atļauties īrēt būvniecības un energoefektivitātes prasībām </w:t>
      </w:r>
      <w:r w:rsidR="009F2017">
        <w:t xml:space="preserve">atbilstošu </w:t>
      </w:r>
      <w:r w:rsidR="009F2017" w:rsidRPr="00CA4F69">
        <w:t>dzīvokli ievērojot minēto izdevumu proporciju par mājokli no rīcīb</w:t>
      </w:r>
      <w:r w:rsidR="008F0CC3">
        <w:t>ā</w:t>
      </w:r>
      <w:r w:rsidR="009F2017" w:rsidRPr="00CA4F69">
        <w:t xml:space="preserve"> esošajiem ienākumiem</w:t>
      </w:r>
      <w:r w:rsidR="009F2017">
        <w:t xml:space="preserve"> [30% </w:t>
      </w:r>
      <w:r w:rsidR="009F2017" w:rsidRPr="00ED61BF">
        <w:t>no mājsaimniecības kopējiem ienākumiem</w:t>
      </w:r>
      <w:r w:rsidR="009F2017">
        <w:t>]</w:t>
      </w:r>
      <w:r w:rsidR="009F2017" w:rsidRPr="00CA4F69">
        <w:t xml:space="preserve">, mājsaimniecības </w:t>
      </w:r>
      <w:r w:rsidR="009F2017">
        <w:t xml:space="preserve">ieņēmumiem ir </w:t>
      </w:r>
      <w:r w:rsidR="009F2017" w:rsidRPr="00CA4F69">
        <w:t>jābūt sākot no 1</w:t>
      </w:r>
      <w:r w:rsidR="009F2017">
        <w:t>600</w:t>
      </w:r>
      <w:r w:rsidR="009F2017" w:rsidRPr="00CA4F69">
        <w:t xml:space="preserve"> </w:t>
      </w:r>
      <w:r w:rsidR="009F2017" w:rsidRPr="00453886">
        <w:rPr>
          <w:i/>
        </w:rPr>
        <w:t>euro</w:t>
      </w:r>
      <w:r w:rsidR="009F2017" w:rsidRPr="00CA4F69">
        <w:t>.</w:t>
      </w:r>
      <w:r w:rsidR="009F2017">
        <w:t xml:space="preserve"> </w:t>
      </w:r>
      <w:r w:rsidR="009F2017" w:rsidRPr="009F2017">
        <w:rPr>
          <w:b/>
        </w:rPr>
        <w:t xml:space="preserve">Iespēja īrēt mājokli, kas atbilst mūsdienu būvniecības standartiem un </w:t>
      </w:r>
      <w:r w:rsidR="009F2017" w:rsidRPr="009F2017">
        <w:rPr>
          <w:b/>
        </w:rPr>
        <w:lastRenderedPageBreak/>
        <w:t>energoefektivitātes prasībām, ir liegta 80% mājsaimniecību</w:t>
      </w:r>
      <w:r w:rsidR="009F2017" w:rsidRPr="00CA4F69">
        <w:t xml:space="preserve">, </w:t>
      </w:r>
      <w:r w:rsidR="009F2017">
        <w:t>jo to</w:t>
      </w:r>
      <w:r w:rsidR="009F2017" w:rsidRPr="00CA4F69">
        <w:t xml:space="preserve"> ienākumi ir zemāki par </w:t>
      </w:r>
      <w:r w:rsidR="009F2017">
        <w:t xml:space="preserve">1600 </w:t>
      </w:r>
      <w:r w:rsidR="009F2017" w:rsidRPr="00D233AB">
        <w:rPr>
          <w:i/>
        </w:rPr>
        <w:t>euro</w:t>
      </w:r>
      <w:r w:rsidR="009F2017">
        <w:t xml:space="preserve"> mēnesī.</w:t>
      </w:r>
      <w:r w:rsidR="009F2017" w:rsidRPr="00CA4F69">
        <w:t xml:space="preserve"> Papildus jāņem vērā, ka 50% mājsaimniecību ienākumi mēnesī nepārsniedz 700 EUR mēnesī, tātad pusei no Latvijas mājsaimniecībām mēneša ienākumi būtu jādubulto, lai tās spētu atļauties īrēt mājokli, kas atbilst mūsdienu </w:t>
      </w:r>
      <w:r w:rsidR="009F2017">
        <w:t>būvniecības</w:t>
      </w:r>
      <w:r w:rsidR="009F2017" w:rsidRPr="00CA4F69">
        <w:t xml:space="preserve"> standart</w:t>
      </w:r>
      <w:r w:rsidR="009F2017">
        <w:t>ie</w:t>
      </w:r>
      <w:r w:rsidR="009F2017" w:rsidRPr="00CA4F69">
        <w:t>m un energoefektivitātes prasībām</w:t>
      </w:r>
      <w:r w:rsidR="009F2017">
        <w:t>”</w:t>
      </w:r>
      <w:r w:rsidR="009F2017">
        <w:rPr>
          <w:rStyle w:val="FootnoteReference"/>
        </w:rPr>
        <w:footnoteReference w:id="305"/>
      </w:r>
      <w:r w:rsidR="009F2017" w:rsidRPr="00CA4F69">
        <w:t>.</w:t>
      </w:r>
    </w:p>
    <w:p w:rsidR="00F126BF" w:rsidRDefault="00F126BF" w:rsidP="00064C1E"/>
    <w:p w:rsidR="002D2BB7" w:rsidRDefault="007D5427" w:rsidP="00064C1E">
      <w:r w:rsidRPr="00C22380">
        <w:t xml:space="preserve">Treškārt, mājokļa pieejamības problēmas rada tas, ka Latvijā </w:t>
      </w:r>
      <w:r w:rsidRPr="005D49E8">
        <w:rPr>
          <w:b/>
        </w:rPr>
        <w:t>ir augsts to iedzīvotāju īpatsvars, kas dzīvo privātos mājokļos</w:t>
      </w:r>
      <w:r w:rsidR="00A32D3A">
        <w:rPr>
          <w:b/>
        </w:rPr>
        <w:t xml:space="preserve"> </w:t>
      </w:r>
      <w:r w:rsidR="00A32D3A">
        <w:t>tādā nozīmē, ka daļai iedzīvotāju ar zemiem ienākumiem ir vai var rasties grūtības segt mājokļa uzturēšanas izdevumus, t.sk. tos, kas saistīti ar mājokļa tehnisko stāvokli.</w:t>
      </w:r>
      <w:r w:rsidR="00A32D3A">
        <w:rPr>
          <w:b/>
        </w:rPr>
        <w:t xml:space="preserve"> </w:t>
      </w:r>
      <w:r w:rsidR="002D2BB7" w:rsidRPr="00C22380">
        <w:t>OECD 2017.</w:t>
      </w:r>
      <w:r w:rsidR="00D54545">
        <w:t xml:space="preserve"> </w:t>
      </w:r>
      <w:r w:rsidR="002D2BB7" w:rsidRPr="00C22380">
        <w:t>gada ziņojumā par Latvijas ekonomisko izvērtējumu norādīts,</w:t>
      </w:r>
      <w:r w:rsidR="002D2BB7">
        <w:t xml:space="preserve"> ka tikai neliels mājsaimniecību īpatsvars īrē savu mājokli</w:t>
      </w:r>
      <w:r w:rsidR="007062A0">
        <w:t xml:space="preserve">. 81% iedzīvotāju, t.sk. ar zemiem ienākumiem, dzīvo privātā īpašumā esošos mājokļos. </w:t>
      </w:r>
      <w:r w:rsidR="00C22380">
        <w:t>OECD ekspertu vērtējumā ir nepietiekami attīstīts mājokļu īres tirgus, nav sakārtots normatīvais regulējums šajā jomā</w:t>
      </w:r>
      <w:r w:rsidR="00C22380">
        <w:rPr>
          <w:rStyle w:val="FootnoteReference"/>
        </w:rPr>
        <w:footnoteReference w:id="306"/>
      </w:r>
      <w:r w:rsidR="00C22380">
        <w:t xml:space="preserve">. Nacionālie eksperti skaidro, ka privātais mājoklis var kļūt par apgrūtinājumu, kuru </w:t>
      </w:r>
      <w:r w:rsidR="007062A0">
        <w:t>iedzīvotāji</w:t>
      </w:r>
      <w:r w:rsidR="00C22380">
        <w:t xml:space="preserve"> nespēj patstāvīgi atrisināt, nonākot arvien lielākās grūtībās (piemēram, mainās mājsaimniecības ienākumi, iespējas segt mājokļa izdevumus, mājokļa tehniskais stāvoklis pasliktinās, taču to nav iespējams realizēt u.tml.). Mājokļa īres gadījumā iespējas risināt šādas situācijas ir vienkāršākas, jo nav īpašuma saistību. Vienlaikus jāņem vērā, ka īres mājokļu piedāvājums daudzās pašvaldībās ir neatbilstošs pieprasījumam, ko lielā mērā ietekmē arī jau pieminētais dzīvojamā fonda neapmierinošais tehniskais stāvoklis.</w:t>
      </w:r>
      <w:r w:rsidR="00A2096C">
        <w:t xml:space="preserve"> </w:t>
      </w:r>
      <w:r w:rsidR="00E6496D">
        <w:t>Nozīmīgas</w:t>
      </w:r>
      <w:r w:rsidR="00A2096C">
        <w:t xml:space="preserve"> problēmas, kas izriet no tā, ka lielākā daļa mājokļu ir privātais</w:t>
      </w:r>
      <w:r w:rsidR="008D6552">
        <w:t xml:space="preserve"> īpašums, kā norādīja viens no I</w:t>
      </w:r>
      <w:r w:rsidR="00A2096C">
        <w:t xml:space="preserve">zvērtējumā iesaistītajiem ekspertiem, ir apgrūtinātā iedzīvotāju mobilitāte, piemēram, darba vietas maiņas gadījumā, kā arī apgrūtināta mājokļu aprite, kas, savukārt, saistīta ar iedzīvotāju ienākuma nodokļa likmēm par nekustamo īpašumu, t.sk. par ienākumiem, kas gūti no sev piederoša dzīvokļa izīrēšanas, un zemesgrāmatas nodevu likmēm. </w:t>
      </w:r>
    </w:p>
    <w:p w:rsidR="005903D4" w:rsidRDefault="005903D4" w:rsidP="00064C1E"/>
    <w:p w:rsidR="007D5427" w:rsidRDefault="00E923B8" w:rsidP="00064C1E">
      <w:r>
        <w:t>Ceturtkārt, i</w:t>
      </w:r>
      <w:r w:rsidR="007D5427">
        <w:t xml:space="preserve">edzīvotāju </w:t>
      </w:r>
      <w:r w:rsidR="007D5427" w:rsidRPr="00E43354">
        <w:rPr>
          <w:b/>
        </w:rPr>
        <w:t>rindas uz pašvaldības mājokli</w:t>
      </w:r>
      <w:r w:rsidR="007D5427">
        <w:t xml:space="preserve">, kaut arī pēdējos gados ir samazinājušās, ne vienmēr atspoguļojot reālo situāciju, kam ekspertu vērtējumā var būt vairāki iemesli. Pirmkārt, ne visiem rindā reģistrētajiem iedzīvotājiem ir reāla vajadzība pēc mājokļa. Pēc būtības cilvēks mājokļa jautājumu ir atrisinājis, taču, zinot savas tiesības pretendēt uz pašvaldības mājokli, saglabā savu vietu rindā. Otrkārt, iedzīvotājus neapmierina pašvaldības piedāvātie mājokļi: to stāvoklis, labiekārtotība, atrašanās vieta (lauku teritorijās), atbilstība iedzīvotāju specifiskām vajadzībām (piemēram, personām ar invaliditāti, īpaši kustību traucējumu gadījumos), tāpēc iedzīvotāji no tiem atsakās, saglabājot vietu gaidītāju rindā uz sev piemērotu mājokli. Tā rezultātā veidojas situācija, ka rinda uz mājokli saglabājas, neraugoties uz to, ka pašvaldībai ir brīvi mājokļi. Šajā gadījumā pamata problēma ir pašvaldību </w:t>
      </w:r>
      <w:r w:rsidR="007D5427" w:rsidRPr="004F5B9D">
        <w:t xml:space="preserve">dzīvojamā fonda kvalitāte. </w:t>
      </w:r>
      <w:r w:rsidR="007D5427">
        <w:t xml:space="preserve">Treškārt, rindā jeb reģistros uz pašvaldības dzīvojamo platību, kā skaidroja pašvaldību pārstāvji, pēc būtības būtu reģistrējams plašāks iedzīvotāju loks, taču pašvaldības, apzinoties reālās iespējas palīdzēt mājokļa jautājumu risināšanā, nevēlas to darīt. Vēl viens iemesls ir tas, ka pašvaldības ir ieinteresētas paturēt rezervē daļu </w:t>
      </w:r>
      <w:r w:rsidR="007D5427">
        <w:lastRenderedPageBreak/>
        <w:t xml:space="preserve">dzīvojamā fonda iedzīvotāju grupām, kuras vēlas piesaistīt pašvaldībai, piedāvājot labvēlīgus dzīves apstākļus, t.sk. mājokli. </w:t>
      </w:r>
    </w:p>
    <w:p w:rsidR="00A20695" w:rsidRDefault="00A20695" w:rsidP="00064C1E"/>
    <w:p w:rsidR="003A63D6" w:rsidRPr="00A46B54" w:rsidRDefault="006551C1" w:rsidP="00584ECA">
      <w:r w:rsidRPr="00584ECA">
        <w:t xml:space="preserve">Rindu uz pašvaldības mājokli kontekstā atsevišķi tika uzsvērta problēma par </w:t>
      </w:r>
      <w:r w:rsidRPr="00584ECA">
        <w:rPr>
          <w:b/>
        </w:rPr>
        <w:t>garajām rindām uz sociālajiem dzīvokļiem</w:t>
      </w:r>
      <w:r w:rsidRPr="00584ECA">
        <w:t xml:space="preserve"> administratīvajās teritorijās, kurās ir augstāks darba tirgus pieprasījums.</w:t>
      </w:r>
      <w:r w:rsidR="002941BF">
        <w:t xml:space="preserve"> </w:t>
      </w:r>
      <w:r w:rsidR="00584ECA" w:rsidRPr="00584ECA">
        <w:t xml:space="preserve">Kā norādīts </w:t>
      </w:r>
      <w:r w:rsidR="00584ECA">
        <w:t xml:space="preserve">19.01.2018. </w:t>
      </w:r>
      <w:r w:rsidR="00584ECA" w:rsidRPr="00584ECA">
        <w:t xml:space="preserve">LDDK atzinumā EM </w:t>
      </w:r>
      <w:r w:rsidR="00584ECA">
        <w:t>p</w:t>
      </w:r>
      <w:r w:rsidR="00584ECA" w:rsidRPr="00584ECA">
        <w:t xml:space="preserve">ar </w:t>
      </w:r>
      <w:r w:rsidR="00584ECA" w:rsidRPr="00F2152F">
        <w:t>likumprojektu</w:t>
      </w:r>
      <w:r w:rsidR="00584ECA">
        <w:t xml:space="preserve"> </w:t>
      </w:r>
      <w:r w:rsidR="00584ECA" w:rsidRPr="00F2152F">
        <w:t>"</w:t>
      </w:r>
      <w:r w:rsidR="00584ECA" w:rsidRPr="00584ECA">
        <w:t>Grozījumi likumā “Par palīdzību dzīvokļa jautājumu risināšanā”</w:t>
      </w:r>
      <w:r w:rsidR="00584ECA" w:rsidRPr="00F2152F">
        <w:t>”</w:t>
      </w:r>
      <w:r w:rsidR="00584ECA">
        <w:t xml:space="preserve"> </w:t>
      </w:r>
      <w:r w:rsidR="00584ECA" w:rsidRPr="00584ECA">
        <w:t>(VSS - 1074)</w:t>
      </w:r>
      <w:r w:rsidR="00584ECA">
        <w:t>, „</w:t>
      </w:r>
      <w:r w:rsidR="00584ECA">
        <w:rPr>
          <w:bCs/>
        </w:rPr>
        <w:t>P</w:t>
      </w:r>
      <w:r w:rsidR="00584ECA" w:rsidRPr="00F2152F">
        <w:rPr>
          <w:bCs/>
        </w:rPr>
        <w:t xml:space="preserve">iemēram, Rīgas pašvaldības Dzīvokļu rindu 1.reģistrā, kurā reģistrētas personas </w:t>
      </w:r>
      <w:r w:rsidR="00584ECA" w:rsidRPr="00F2152F">
        <w:t>sociālā dzīvokļa vai sociālās dzīvojamās telpas izīrēšanai</w:t>
      </w:r>
      <w:r w:rsidR="00584ECA">
        <w:t xml:space="preserve"> [19.01.2018.]</w:t>
      </w:r>
      <w:r w:rsidR="00584ECA" w:rsidRPr="00F2152F">
        <w:t xml:space="preserve"> </w:t>
      </w:r>
      <w:r w:rsidR="00584ECA">
        <w:t xml:space="preserve">bija reģistrētas </w:t>
      </w:r>
      <w:r w:rsidR="00584ECA" w:rsidRPr="00F2152F">
        <w:rPr>
          <w:rStyle w:val="txt11black"/>
        </w:rPr>
        <w:t>1269 personas. Persona ar pirmo kārtas numuru gaida rindā no 2005.</w:t>
      </w:r>
      <w:r w:rsidR="00D54545">
        <w:rPr>
          <w:rStyle w:val="txt11black"/>
        </w:rPr>
        <w:t xml:space="preserve"> </w:t>
      </w:r>
      <w:r w:rsidR="00584ECA" w:rsidRPr="00F2152F">
        <w:rPr>
          <w:rStyle w:val="txt11black"/>
        </w:rPr>
        <w:t>gada 30.</w:t>
      </w:r>
      <w:r w:rsidR="00D54545">
        <w:rPr>
          <w:rStyle w:val="txt11black"/>
        </w:rPr>
        <w:t xml:space="preserve"> </w:t>
      </w:r>
      <w:r w:rsidR="00584ECA" w:rsidRPr="00F2152F">
        <w:rPr>
          <w:rStyle w:val="txt11black"/>
        </w:rPr>
        <w:t>maija (</w:t>
      </w:r>
      <w:r w:rsidR="00584ECA">
        <w:rPr>
          <w:rStyle w:val="txt11black"/>
        </w:rPr>
        <w:t>..</w:t>
      </w:r>
      <w:r w:rsidR="00584ECA" w:rsidRPr="00F2152F">
        <w:rPr>
          <w:rStyle w:val="txt11black"/>
        </w:rPr>
        <w:t>).</w:t>
      </w:r>
      <w:r w:rsidR="00584ECA">
        <w:rPr>
          <w:rStyle w:val="txt11black"/>
        </w:rPr>
        <w:t xml:space="preserve"> </w:t>
      </w:r>
      <w:r w:rsidR="00584ECA" w:rsidRPr="00F2152F">
        <w:rPr>
          <w:rStyle w:val="txt11black"/>
        </w:rPr>
        <w:t>Šajā rindā gaidīšanas laikam nevajadzētu pārsniegt vienu trīs mēnešus. Šobrīd tas pārsniedz 12 gadus.</w:t>
      </w:r>
      <w:r w:rsidR="00584ECA">
        <w:rPr>
          <w:rStyle w:val="txt11black"/>
        </w:rPr>
        <w:t>”</w:t>
      </w:r>
      <w:r w:rsidR="00584ECA">
        <w:rPr>
          <w:rStyle w:val="FootnoteReference"/>
        </w:rPr>
        <w:footnoteReference w:id="307"/>
      </w:r>
      <w:r w:rsidR="00A30956">
        <w:rPr>
          <w:rStyle w:val="txt11black"/>
        </w:rPr>
        <w:t xml:space="preserve"> Vienlaikus LDDK eksperti skaidro, ka rinda daļēji ir mākslīgi veidota (līdzīgi, kā tas ir uz pašvaldības dzīvojamo platību kopumā), jo „</w:t>
      </w:r>
      <w:r w:rsidR="00A30956" w:rsidRPr="00F2152F">
        <w:t xml:space="preserve">pastāv iespēja iegūt beztermiņa īres telpas par tirgum neatbilstošu cenu. </w:t>
      </w:r>
      <w:r w:rsidR="00A30956">
        <w:t>(..)</w:t>
      </w:r>
      <w:r w:rsidR="00A30956" w:rsidRPr="00F2152F">
        <w:t xml:space="preserve"> tiem, kam sociālās dzīvojamās telpas tik tiešām ir nepieciešamas, gaida vienā rindā ar beztermiņa īres telpu kārotājiem. D</w:t>
      </w:r>
      <w:r w:rsidR="00A30956" w:rsidRPr="00F2152F">
        <w:rPr>
          <w:rStyle w:val="txt11black"/>
        </w:rPr>
        <w:t xml:space="preserve">aļa no personām atrodas šajā rindā nevis tādēļ, ka </w:t>
      </w:r>
      <w:r w:rsidR="00A30956" w:rsidRPr="00F2152F">
        <w:t>mājsaimniecība ir krīzes situācijā, bet tādēļ, ka šādā veidā ir iespējams tikt pie stabila beztermiņa īres līguma par ievērojami zemākām cenām, nekā tās ir īres tirgū</w:t>
      </w:r>
      <w:r w:rsidR="00A30956">
        <w:t>”</w:t>
      </w:r>
      <w:r w:rsidR="00A30956">
        <w:rPr>
          <w:rStyle w:val="FootnoteReference"/>
        </w:rPr>
        <w:footnoteReference w:id="308"/>
      </w:r>
      <w:r w:rsidR="00A30956" w:rsidRPr="00F2152F">
        <w:t>.</w:t>
      </w:r>
      <w:r w:rsidR="00A30956">
        <w:t xml:space="preserve"> Secināms, ka būtiska </w:t>
      </w:r>
      <w:r w:rsidR="00A30956" w:rsidRPr="00A30956">
        <w:rPr>
          <w:b/>
        </w:rPr>
        <w:t>problēma ir ne vien sociālās dzīvojamās telpas pieprasījuma neatbilstība piedāvājumam, bet arī zemas īres cenas mājokļu pieejamība</w:t>
      </w:r>
      <w:r w:rsidR="00A30956">
        <w:t xml:space="preserve">, kā rezultātā iedzīvotāji, kuriem ir </w:t>
      </w:r>
      <w:r w:rsidR="00A30956" w:rsidRPr="00A46B54">
        <w:t>nepieciešami šādi mājokļi, izmanto normatīvā regulējuma ietvaros pieļaujamas stratēģijas</w:t>
      </w:r>
      <w:r w:rsidR="002253C9" w:rsidRPr="00A46B54">
        <w:rPr>
          <w:rStyle w:val="FootnoteReference"/>
        </w:rPr>
        <w:footnoteReference w:id="309"/>
      </w:r>
      <w:r w:rsidR="00A30956" w:rsidRPr="00A46B54">
        <w:t xml:space="preserve">, risinot savu individuālo problēmu, bet vienlaikus padziļinot sistēmas problēmu – sociālo dzīvokļu pieejamību. </w:t>
      </w:r>
    </w:p>
    <w:p w:rsidR="00FE2A6C" w:rsidRPr="00A46B54" w:rsidRDefault="00FE2A6C" w:rsidP="00064C1E"/>
    <w:p w:rsidR="007D5427" w:rsidRDefault="00E923B8" w:rsidP="00064C1E">
      <w:r w:rsidRPr="00A46B54">
        <w:t>Piektkārt, k</w:t>
      </w:r>
      <w:r w:rsidR="007D5427" w:rsidRPr="00A46B54">
        <w:t>ā</w:t>
      </w:r>
      <w:r w:rsidR="007D5427" w:rsidRPr="006A431A">
        <w:t xml:space="preserve"> </w:t>
      </w:r>
      <w:r w:rsidR="006551C1">
        <w:t>vēl viena</w:t>
      </w:r>
      <w:r w:rsidR="007D5427" w:rsidRPr="006A431A">
        <w:t xml:space="preserve"> problēma tika minēta </w:t>
      </w:r>
      <w:r w:rsidR="007D5427" w:rsidRPr="00E43354">
        <w:rPr>
          <w:b/>
        </w:rPr>
        <w:t>iedzīvotāju nolaidīgā attieksme pret viņiem piešķirto mājokli</w:t>
      </w:r>
      <w:r w:rsidR="007D5427" w:rsidRPr="006A431A">
        <w:t xml:space="preserve"> (mājoklis salīdzinoši neilgā laikā tiek nolaists, atbrīvots un pieprasīts cits vietā). Šī problēma tika identificēta arī 2017. gadā veiktā pētījumā „</w:t>
      </w:r>
      <w:r w:rsidR="007D5427" w:rsidRPr="002941BF">
        <w:rPr>
          <w:i/>
        </w:rPr>
        <w:t>Ex-ante</w:t>
      </w:r>
      <w:r w:rsidR="007D5427" w:rsidRPr="006A431A">
        <w:t xml:space="preserve"> un </w:t>
      </w:r>
      <w:r w:rsidR="007D5427" w:rsidRPr="002941BF">
        <w:rPr>
          <w:i/>
        </w:rPr>
        <w:t>ex-post</w:t>
      </w:r>
      <w:r w:rsidR="007D5427" w:rsidRPr="006A431A">
        <w:t xml:space="preserve"> izvērtējumi pašvaldību sociālo dienestu darbības efektivitātes novērtēšanai”</w:t>
      </w:r>
      <w:r w:rsidR="007D5427" w:rsidRPr="00AE5096">
        <w:rPr>
          <w:vertAlign w:val="superscript"/>
        </w:rPr>
        <w:footnoteReference w:id="310"/>
      </w:r>
      <w:r w:rsidR="007D5427" w:rsidRPr="006A431A">
        <w:t>, analizējot nozīmīgākās sociālās problēmas pašvaldībās. Ekspertu pieredze rāda, ka ir pašvaldības, kuras, ja cilvēks piekrīt piedāvātajam mājoklim, palīdz finansiāli un praktiski ar mājokļa kosmētisko remontu. Kā labā prakse tiek minēti piemēri, kad iedzīvotāji un pašvaldība sadarbojas, lai kopīgi uzlabotu mājokļa kvalitāti.</w:t>
      </w:r>
      <w:r w:rsidR="00BB2F76">
        <w:t xml:space="preserve"> Problēmas risināšanai tika pausts ieteikums izstrādāt tiesību normas, kas pašvaldībām sniedz ties</w:t>
      </w:r>
      <w:r w:rsidR="004E2297">
        <w:t>ības kontrolēt pašvaldības dzīvojamās platībās dzīvojošās personas, mājokļa uzturēšanu kārtībā, piemēram, veicot foto uzņēmum</w:t>
      </w:r>
      <w:r w:rsidR="002941BF">
        <w:t>u</w:t>
      </w:r>
      <w:r w:rsidR="004E2297">
        <w:t xml:space="preserve">s pirms mājokļa nodošanas īrniekiem un pēc īres termiņa beigām. Šāda prakse, kā uzskata intervētā eksperte, iespējams celtu cilvēku atbildības līmeni par viņiem ierādītā mājokļa uzturēšanu kārtībā. </w:t>
      </w:r>
    </w:p>
    <w:p w:rsidR="00FB0896" w:rsidRPr="00FB0896" w:rsidRDefault="00FB0896" w:rsidP="00922A20">
      <w:r w:rsidRPr="00FB0896">
        <w:t>„Ģimenes valsts politikas pamatnostādņu 2011.-2017.</w:t>
      </w:r>
      <w:r w:rsidR="00D54545">
        <w:t xml:space="preserve"> </w:t>
      </w:r>
      <w:r w:rsidRPr="00FB0896">
        <w:t xml:space="preserve">gadam </w:t>
      </w:r>
      <w:r w:rsidRPr="002941BF">
        <w:rPr>
          <w:i/>
        </w:rPr>
        <w:t>ex-post</w:t>
      </w:r>
      <w:r w:rsidRPr="00FB0896">
        <w:t xml:space="preserve"> novērtējuma” autori, izvērtējot īstenotos pasākumus atbalstam ģimenēm mājokļa jomā, identificējuši šādas galvenās problēmas:</w:t>
      </w:r>
    </w:p>
    <w:p w:rsidR="00FB0896" w:rsidRPr="00FB0896" w:rsidRDefault="00FB0896" w:rsidP="003F469F">
      <w:pPr>
        <w:pStyle w:val="ListParagraph"/>
        <w:numPr>
          <w:ilvl w:val="0"/>
          <w:numId w:val="114"/>
        </w:numPr>
        <w:spacing w:line="276" w:lineRule="auto"/>
        <w:jc w:val="both"/>
      </w:pPr>
      <w:r>
        <w:lastRenderedPageBreak/>
        <w:t>„</w:t>
      </w:r>
      <w:r w:rsidRPr="00FB0896">
        <w:t>Iespējas iegādāties mājokli ar valsts sniegtu garantiju šobrīd ir ģimenēm, kuru finansiālā situācija atbilst komercbanku nosacījumiem, bet kuras nespēj sakrāt pirmajai iemaksai.</w:t>
      </w:r>
    </w:p>
    <w:p w:rsidR="00FB0896" w:rsidRPr="00FB0896" w:rsidRDefault="00FB0896" w:rsidP="003F469F">
      <w:pPr>
        <w:pStyle w:val="ListParagraph"/>
        <w:numPr>
          <w:ilvl w:val="0"/>
          <w:numId w:val="113"/>
        </w:numPr>
        <w:spacing w:line="276" w:lineRule="auto"/>
        <w:jc w:val="both"/>
      </w:pPr>
      <w:r w:rsidRPr="00FB0896">
        <w:t>Šobrīd valstiskā līmenī nav veiktas visaptverošas, rezultatīvas aktivitātes īres mājokļu tirgus attīstībai.</w:t>
      </w:r>
    </w:p>
    <w:p w:rsidR="00FB0896" w:rsidRPr="00FB0896" w:rsidRDefault="00FB0896" w:rsidP="003F469F">
      <w:pPr>
        <w:pStyle w:val="ListParagraph"/>
        <w:numPr>
          <w:ilvl w:val="0"/>
          <w:numId w:val="113"/>
        </w:numPr>
        <w:spacing w:line="276" w:lineRule="auto"/>
        <w:jc w:val="both"/>
      </w:pPr>
      <w:r w:rsidRPr="00FB0896">
        <w:t>Ņemot vērā to, ka liela daļa Latvijas dzīvojamā fonda veidota iepriekšējā gadsi</w:t>
      </w:r>
      <w:r>
        <w:t>mta 70. gados</w:t>
      </w:r>
      <w:r w:rsidRPr="00FB0896">
        <w:t xml:space="preserve">, daļai mājokļu ir zemi energoefektivitātes un sanitārtehniskie rādītāji, kas īpaši kritiski ietekmē ģimenes ar zemākiem ienākumiem, kuras dzīvo zemākas kvalitātes mājoklī. </w:t>
      </w:r>
    </w:p>
    <w:p w:rsidR="00077330" w:rsidRDefault="00FB0896" w:rsidP="003F469F">
      <w:pPr>
        <w:pStyle w:val="ListParagraph"/>
        <w:numPr>
          <w:ilvl w:val="0"/>
          <w:numId w:val="113"/>
        </w:numPr>
        <w:spacing w:line="276" w:lineRule="auto"/>
        <w:jc w:val="both"/>
      </w:pPr>
      <w:r w:rsidRPr="00FB0896">
        <w:t>Konstatējams, ka elektroenerģijas izmaksas ģimenēm ir proporcionāli citiem izdevumiem nelielas, daudz būtiskāk ģimenes budžetu ietekmē maksa par siltumu, karsto ūdeni u.tml., līdz ar to pašreizējie pasākumi nesniedz būtisku ieguldījumu enerģētiskās nabadzības mazināšanā</w:t>
      </w:r>
      <w:r>
        <w:t>.</w:t>
      </w:r>
      <w:r w:rsidR="00077330">
        <w:t>”</w:t>
      </w:r>
      <w:r w:rsidR="00077330">
        <w:rPr>
          <w:rStyle w:val="FootnoteReference"/>
        </w:rPr>
        <w:footnoteReference w:id="311"/>
      </w:r>
    </w:p>
    <w:p w:rsidR="00316778" w:rsidRDefault="00316778" w:rsidP="00064C1E"/>
    <w:p w:rsidR="007D5427" w:rsidRDefault="00FB0896" w:rsidP="00064C1E">
      <w:r>
        <w:t xml:space="preserve">Turpinājumā ir </w:t>
      </w:r>
      <w:r w:rsidR="00343BC9">
        <w:t>izklāstīti</w:t>
      </w:r>
      <w:r>
        <w:t xml:space="preserve"> statistikas datu analīzes rezultāti, kas raksturo kā aktuālo situāciju mājokļa jomā, tā šīs situācijas izmaiņas dinamikā. Datu analīze pamatā veikta griezumos, kas sniedz </w:t>
      </w:r>
      <w:r w:rsidR="00343BC9">
        <w:t>zināšanas</w:t>
      </w:r>
      <w:r>
        <w:t xml:space="preserve"> par </w:t>
      </w:r>
      <w:r w:rsidR="00343BC9">
        <w:t xml:space="preserve">dažādu iedzīvotāju grupu situācijas atšķirībām, radot izpratni par </w:t>
      </w:r>
      <w:r>
        <w:t xml:space="preserve">nevienlīdzību un tās cēloņiem mājokļa pieejamības jomā. </w:t>
      </w:r>
    </w:p>
    <w:p w:rsidR="00AD66E6" w:rsidRDefault="00AD66E6" w:rsidP="00064C1E"/>
    <w:p w:rsidR="004135AA" w:rsidRDefault="004135AA" w:rsidP="003945E0">
      <w:pPr>
        <w:pStyle w:val="Heading3"/>
      </w:pPr>
      <w:bookmarkStart w:id="634" w:name="_Toc6841628"/>
      <w:r w:rsidRPr="000A35D8">
        <w:t>Dzīvojamais fonds</w:t>
      </w:r>
      <w:bookmarkEnd w:id="634"/>
      <w:r w:rsidR="00154BDD">
        <w:t xml:space="preserve"> </w:t>
      </w:r>
    </w:p>
    <w:p w:rsidR="0027288F" w:rsidRPr="00A46B54" w:rsidRDefault="000E0D42" w:rsidP="00064C1E">
      <w:r w:rsidRPr="000E0D42">
        <w:t>Dzīvojamā fonda raksturojumam ir izmantoti divi rādītāji</w:t>
      </w:r>
      <w:r>
        <w:t xml:space="preserve"> – </w:t>
      </w:r>
      <w:r w:rsidR="001F228E">
        <w:t xml:space="preserve">pirmkārt, </w:t>
      </w:r>
      <w:r>
        <w:t xml:space="preserve">CSP apkopotie </w:t>
      </w:r>
      <w:r w:rsidRPr="00C73A0C">
        <w:t>dati par dzīvojamā fonda kopējo platību</w:t>
      </w:r>
      <w:r w:rsidR="001F228E" w:rsidRPr="00C73A0C">
        <w:t xml:space="preserve"> uz vienu pastāvīgo iedzīvotāju</w:t>
      </w:r>
      <w:r w:rsidRPr="00C73A0C">
        <w:t xml:space="preserve"> </w:t>
      </w:r>
      <w:r w:rsidR="001F228E" w:rsidRPr="00C73A0C">
        <w:t>(</w:t>
      </w:r>
      <w:r w:rsidRPr="00C73A0C">
        <w:t>m²</w:t>
      </w:r>
      <w:r w:rsidR="001F228E" w:rsidRPr="00C73A0C">
        <w:t>) un dzīvojamā fonda aprēķināto apsaimniekošanas maksu vidēji mēnesī (</w:t>
      </w:r>
      <w:r w:rsidR="00235F1B" w:rsidRPr="00C73A0C">
        <w:t xml:space="preserve">EUR </w:t>
      </w:r>
      <w:r w:rsidR="001F228E" w:rsidRPr="00C73A0C">
        <w:t xml:space="preserve">centi par 1 m²) un, otrkārt, pašvaldību vadītāju aptaujas </w:t>
      </w:r>
      <w:r w:rsidR="001F228E" w:rsidRPr="00A46B54">
        <w:t>rezultāti, kas rāda subjektīvo pašnovērtējumu, cik aktuāla problēma pašvaldībā ir dzīvojamā fonda nodrošinājums.</w:t>
      </w:r>
    </w:p>
    <w:p w:rsidR="0027288F" w:rsidRPr="00A46B54" w:rsidRDefault="0027288F" w:rsidP="00064C1E"/>
    <w:p w:rsidR="00A20695" w:rsidRDefault="00BA769D" w:rsidP="00064C1E">
      <w:r w:rsidRPr="00A46B54">
        <w:t>CSP apkopotajos datos par dzīvojamo fondu ietilpst viendzīvokļa dzīvojamās mājas, daudzdzīvokļu dzīvojamo</w:t>
      </w:r>
      <w:r w:rsidRPr="00BA769D">
        <w:t xml:space="preserve"> māju dzīvojamās telpas un dzīvojamās telpas nedzīvojamajās ēkās. </w:t>
      </w:r>
      <w:r>
        <w:t xml:space="preserve">Attiecīgi aprēķinātā </w:t>
      </w:r>
      <w:r w:rsidRPr="00033F0E">
        <w:rPr>
          <w:b/>
        </w:rPr>
        <w:t>k</w:t>
      </w:r>
      <w:r w:rsidR="00D97CBD" w:rsidRPr="00033F0E">
        <w:rPr>
          <w:b/>
        </w:rPr>
        <w:t>opējā platība uz vienu pastāvīgo iedzīvotāju Latvijā pakāpeniski pieaug</w:t>
      </w:r>
      <w:r w:rsidR="00D97CBD" w:rsidRPr="00D97CBD">
        <w:t xml:space="preserve">, kopš 2010. </w:t>
      </w:r>
      <w:r w:rsidR="00D97CBD">
        <w:t>g</w:t>
      </w:r>
      <w:r w:rsidR="00D97CBD" w:rsidRPr="00D97CBD">
        <w:t>ada vidēji par vienu m</w:t>
      </w:r>
      <w:r w:rsidR="00D97CBD" w:rsidRPr="00D97CBD">
        <w:rPr>
          <w:vertAlign w:val="superscript"/>
        </w:rPr>
        <w:t>2</w:t>
      </w:r>
      <w:r w:rsidR="00D97CBD" w:rsidRPr="00D97CBD">
        <w:t xml:space="preserve"> gad</w:t>
      </w:r>
      <w:r w:rsidR="00D97CBD">
        <w:t xml:space="preserve">ā, un </w:t>
      </w:r>
      <w:r w:rsidR="00D97CBD" w:rsidRPr="009C76E7">
        <w:rPr>
          <w:b/>
        </w:rPr>
        <w:t>2017. gadā šis rādītājs sasniedza 39 m</w:t>
      </w:r>
      <w:r w:rsidR="00D97CBD" w:rsidRPr="009C76E7">
        <w:rPr>
          <w:b/>
          <w:vertAlign w:val="superscript"/>
        </w:rPr>
        <w:t>2</w:t>
      </w:r>
      <w:r w:rsidR="00D97CBD" w:rsidRPr="009C76E7">
        <w:rPr>
          <w:b/>
        </w:rPr>
        <w:t xml:space="preserve"> uz vienu iedzīvotāju</w:t>
      </w:r>
      <w:r w:rsidR="00D97CBD">
        <w:t xml:space="preserve"> (</w:t>
      </w:r>
      <w:r w:rsidR="00AD3EDD">
        <w:fldChar w:fldCharType="begin"/>
      </w:r>
      <w:r w:rsidR="00A46B54">
        <w:instrText xml:space="preserve"> REF _Ref6496861 \h </w:instrText>
      </w:r>
      <w:r w:rsidR="00AD3EDD">
        <w:fldChar w:fldCharType="separate"/>
      </w:r>
      <w:r w:rsidR="00224B50">
        <w:rPr>
          <w:noProof/>
        </w:rPr>
        <w:t>3</w:t>
      </w:r>
      <w:r w:rsidR="00224B50">
        <w:t>.</w:t>
      </w:r>
      <w:r w:rsidR="00224B50">
        <w:rPr>
          <w:noProof/>
        </w:rPr>
        <w:t>1</w:t>
      </w:r>
      <w:r w:rsidR="00AD3EDD">
        <w:fldChar w:fldCharType="end"/>
      </w:r>
      <w:r w:rsidR="00D97CBD">
        <w:t xml:space="preserve">. attēls). </w:t>
      </w:r>
      <w:r w:rsidR="00CE7573">
        <w:t xml:space="preserve">Šo datu interpretācijā jāņem vērā arī iedzīvotāju skaita samazināšanās faktors, kas nozīmē, ka rādītāja pieaugums varētu daļēji būt skaidrojams ar iedzīvotāju skaita samazināšanos pie salīdzinoši neliela jauna dzīvojamā fonda pieauguma. </w:t>
      </w:r>
    </w:p>
    <w:p w:rsidR="00266C8E" w:rsidRDefault="00266C8E" w:rsidP="00064C1E"/>
    <w:p w:rsidR="00F126BF" w:rsidRDefault="00F126BF" w:rsidP="00F126BF">
      <w:r>
        <w:t>Raksturojot Latvijas dzīvojamo fondu, svarīgi ir uz Valsts kadastra informācijas sistēmas datiem balstīta EM 2018.</w:t>
      </w:r>
      <w:r w:rsidR="00DE1C08">
        <w:t xml:space="preserve"> </w:t>
      </w:r>
      <w:r>
        <w:t>gadā veikta izvērtējuma secinājumi. „L</w:t>
      </w:r>
      <w:r w:rsidRPr="00CA4F69">
        <w:t>īdz 1941.</w:t>
      </w:r>
      <w:r w:rsidR="00DE1C08">
        <w:t xml:space="preserve"> </w:t>
      </w:r>
      <w:r w:rsidRPr="00CA4F69">
        <w:t xml:space="preserve">gadam Latvijā uzbūvēti 45% no visa daudzdzīvokļu ēku skaita, savukārt no 1961. līdz 1992. gadam Latvijā uzcelti 53% no dzīvojamā fonda, bet </w:t>
      </w:r>
      <w:r w:rsidRPr="00CA4F69">
        <w:rPr>
          <w:b/>
        </w:rPr>
        <w:t>kopš 1993.</w:t>
      </w:r>
      <w:r w:rsidR="00DE1C08">
        <w:rPr>
          <w:b/>
        </w:rPr>
        <w:t xml:space="preserve"> </w:t>
      </w:r>
      <w:r w:rsidRPr="00CA4F69">
        <w:rPr>
          <w:b/>
        </w:rPr>
        <w:t>gada no jauna uzbūvēto daudzdzīvokļu dzīvojamo māju īpatsvars ir tikai 2%</w:t>
      </w:r>
      <w:r w:rsidRPr="00E86030">
        <w:t>.</w:t>
      </w:r>
      <w:r w:rsidRPr="00CA4F69">
        <w:t xml:space="preserve"> Latvijā novērojama ļoti lēna daudzdzīvokļu dzīvojamā fonda atjaunošanās, gadā tiek uzbūvēti tikai 0,2% no kopējā dzīvokļu skaita Latvijā.</w:t>
      </w:r>
      <w:r>
        <w:t>”</w:t>
      </w:r>
      <w:r>
        <w:rPr>
          <w:rStyle w:val="FootnoteReference"/>
        </w:rPr>
        <w:footnoteReference w:id="312"/>
      </w:r>
      <w:r>
        <w:t xml:space="preserve"> </w:t>
      </w:r>
    </w:p>
    <w:bookmarkStart w:id="635" w:name="_Ref6496916"/>
    <w:bookmarkStart w:id="636" w:name="_Toc6219268"/>
    <w:bookmarkStart w:id="637" w:name="_Toc6220211"/>
    <w:p w:rsidR="00D97CBD" w:rsidRPr="00D97CBD" w:rsidRDefault="00AD3EDD" w:rsidP="00A46B54">
      <w:pPr>
        <w:pStyle w:val="Caption"/>
      </w:pPr>
      <w:r>
        <w:lastRenderedPageBreak/>
        <w:fldChar w:fldCharType="begin"/>
      </w:r>
      <w:r w:rsidR="006B5456">
        <w:instrText xml:space="preserve"> STYLEREF 1 \s </w:instrText>
      </w:r>
      <w:r>
        <w:fldChar w:fldCharType="separate"/>
      </w:r>
      <w:bookmarkStart w:id="638" w:name="_Toc6855816"/>
      <w:r w:rsidR="00224B50">
        <w:rPr>
          <w:noProof/>
        </w:rPr>
        <w:t>3</w:t>
      </w:r>
      <w:r>
        <w:fldChar w:fldCharType="end"/>
      </w:r>
      <w:r w:rsidR="006B5456">
        <w:t>.</w:t>
      </w:r>
      <w:r>
        <w:fldChar w:fldCharType="begin"/>
      </w:r>
      <w:r w:rsidR="000F1524">
        <w:instrText xml:space="preserve"> SEQ Ilustrācija \* ARABIC \s 1 </w:instrText>
      </w:r>
      <w:r>
        <w:fldChar w:fldCharType="separate"/>
      </w:r>
      <w:r w:rsidR="00224B50">
        <w:rPr>
          <w:noProof/>
        </w:rPr>
        <w:t>1</w:t>
      </w:r>
      <w:r>
        <w:rPr>
          <w:noProof/>
        </w:rPr>
        <w:fldChar w:fldCharType="end"/>
      </w:r>
      <w:bookmarkEnd w:id="635"/>
      <w:r w:rsidR="00D97CBD" w:rsidRPr="00D97CBD">
        <w:t xml:space="preserve">. attēls. Dzīvojamais fonds statistiskajos reģionos gada beigās </w:t>
      </w:r>
      <w:r w:rsidR="00527896">
        <w:t>(k</w:t>
      </w:r>
      <w:r w:rsidR="00D97CBD" w:rsidRPr="00527896">
        <w:t>opējā platība uz vienu pastāvīgo iedzīvotāju, m²)</w:t>
      </w:r>
      <w:bookmarkEnd w:id="636"/>
      <w:bookmarkEnd w:id="637"/>
      <w:bookmarkEnd w:id="638"/>
    </w:p>
    <w:p w:rsidR="00D97CBD" w:rsidRDefault="00B34639" w:rsidP="00064C1E">
      <w:pPr>
        <w:rPr>
          <w:color w:val="FF0000"/>
        </w:rPr>
      </w:pPr>
      <w:r w:rsidRPr="00B34639">
        <w:rPr>
          <w:noProof/>
        </w:rPr>
        <w:drawing>
          <wp:inline distT="0" distB="0" distL="0" distR="0">
            <wp:extent cx="6154420" cy="3450635"/>
            <wp:effectExtent l="19050" t="0" r="0" b="0"/>
            <wp:docPr id="153"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7"/>
                    <a:srcRect/>
                    <a:stretch>
                      <a:fillRect/>
                    </a:stretch>
                  </pic:blipFill>
                  <pic:spPr bwMode="auto">
                    <a:xfrm>
                      <a:off x="0" y="0"/>
                      <a:ext cx="6154420" cy="3450635"/>
                    </a:xfrm>
                    <a:prstGeom prst="rect">
                      <a:avLst/>
                    </a:prstGeom>
                    <a:noFill/>
                    <a:ln w="9525">
                      <a:noFill/>
                      <a:miter lim="800000"/>
                      <a:headEnd/>
                      <a:tailEnd/>
                    </a:ln>
                  </pic:spPr>
                </pic:pic>
              </a:graphicData>
            </a:graphic>
          </wp:inline>
        </w:drawing>
      </w:r>
    </w:p>
    <w:p w:rsidR="00527896" w:rsidRPr="00527896" w:rsidRDefault="00527896" w:rsidP="00C33A64">
      <w:pPr>
        <w:pStyle w:val="avotiemft10"/>
      </w:pPr>
      <w:bookmarkStart w:id="639" w:name="_Toc6841629"/>
      <w:r w:rsidRPr="00527896">
        <w:t>Avots: CSP, NEG010. „Dzīvojamais fonds statistiskajos reģionos gada beigās”.</w:t>
      </w:r>
      <w:bookmarkEnd w:id="639"/>
    </w:p>
    <w:p w:rsidR="00F126BF" w:rsidRDefault="00F126BF" w:rsidP="00F126BF"/>
    <w:p w:rsidR="00F126BF" w:rsidRDefault="00F126BF" w:rsidP="00F126BF">
      <w:r>
        <w:t>Vismazākā kopējā platība uz vienu pastāvīgo iedzīvotāju ir Rīgā (Rīgas reģionā) – 2017. gadā tā bija 31 m</w:t>
      </w:r>
      <w:r w:rsidRPr="00D97CBD">
        <w:rPr>
          <w:vertAlign w:val="superscript"/>
        </w:rPr>
        <w:t>2</w:t>
      </w:r>
      <w:r>
        <w:t>, un pēdējo četru gadu laikā šis rādītājs praktiski nav mainījies. Izmaiņas kopējā platībā uz vienu pastāvīgo iedzīvotāju Rīgā nedaudz pieauga laika posmā no 2010. gada līdz 2013. gadam, kad tas palielinājās no 27 m</w:t>
      </w:r>
      <w:r w:rsidRPr="00D97CBD">
        <w:rPr>
          <w:vertAlign w:val="superscript"/>
        </w:rPr>
        <w:t>2</w:t>
      </w:r>
      <w:r>
        <w:t xml:space="preserve"> līdz 29 m</w:t>
      </w:r>
      <w:r w:rsidRPr="00D97CBD">
        <w:rPr>
          <w:vertAlign w:val="superscript"/>
        </w:rPr>
        <w:t>2</w:t>
      </w:r>
      <w:r>
        <w:t>. Vislielākā platība uz vienu iedzīvotāju ir Pierīgas reģionā – 50 m</w:t>
      </w:r>
      <w:r w:rsidRPr="003A4027">
        <w:rPr>
          <w:vertAlign w:val="superscript"/>
        </w:rPr>
        <w:t>2</w:t>
      </w:r>
      <w:r>
        <w:t xml:space="preserve"> 2017. gadā. Citi reģioni pēc šī rādītāja 2017. gadā sarindojas šādā secībā – Vidzemes reģions (43 m</w:t>
      </w:r>
      <w:r w:rsidRPr="00974EE2">
        <w:rPr>
          <w:vertAlign w:val="superscript"/>
        </w:rPr>
        <w:t>2</w:t>
      </w:r>
      <w:r>
        <w:t>), Latgales reģions (41 m</w:t>
      </w:r>
      <w:r w:rsidRPr="00974EE2">
        <w:rPr>
          <w:vertAlign w:val="superscript"/>
        </w:rPr>
        <w:t>2</w:t>
      </w:r>
      <w:r>
        <w:t>), Kurzemes reģions (40 m</w:t>
      </w:r>
      <w:r w:rsidRPr="00974EE2">
        <w:rPr>
          <w:vertAlign w:val="superscript"/>
        </w:rPr>
        <w:t>2</w:t>
      </w:r>
      <w:r>
        <w:t>) un Zemgales reģions (38 m</w:t>
      </w:r>
      <w:r w:rsidRPr="00974EE2">
        <w:rPr>
          <w:vertAlign w:val="superscript"/>
        </w:rPr>
        <w:t>2</w:t>
      </w:r>
      <w:r>
        <w:t>). Nosauktajos statistiskajos reģionos kopējā platība uz vienu iedzīvotāju laika posmā 2014. – 2017. gads ir mazliet pieaugusi (sk.</w:t>
      </w:r>
      <w:r w:rsidR="00A46B54">
        <w:t xml:space="preserve"> </w:t>
      </w:r>
      <w:r w:rsidR="00AD3EDD">
        <w:fldChar w:fldCharType="begin"/>
      </w:r>
      <w:r w:rsidR="00A46B54">
        <w:instrText xml:space="preserve"> REF _Ref6496916 \h </w:instrText>
      </w:r>
      <w:r w:rsidR="00AD3EDD">
        <w:fldChar w:fldCharType="separate"/>
      </w:r>
      <w:r w:rsidR="00224B50">
        <w:rPr>
          <w:noProof/>
        </w:rPr>
        <w:t>3</w:t>
      </w:r>
      <w:r w:rsidR="00224B50">
        <w:t>.</w:t>
      </w:r>
      <w:r w:rsidR="00224B50">
        <w:rPr>
          <w:noProof/>
        </w:rPr>
        <w:t>1</w:t>
      </w:r>
      <w:r w:rsidR="00AD3EDD">
        <w:fldChar w:fldCharType="end"/>
      </w:r>
      <w:r>
        <w:t>. attēlu).</w:t>
      </w:r>
    </w:p>
    <w:p w:rsidR="00F126BF" w:rsidRDefault="00F126BF" w:rsidP="00F126BF"/>
    <w:p w:rsidR="00F126BF" w:rsidRDefault="00AD3EDD" w:rsidP="00F126BF">
      <w:r>
        <w:fldChar w:fldCharType="begin"/>
      </w:r>
      <w:r w:rsidR="00A46B54">
        <w:instrText xml:space="preserve"> REF _Ref6496936 \h </w:instrText>
      </w:r>
      <w:r>
        <w:fldChar w:fldCharType="separate"/>
      </w:r>
      <w:r w:rsidR="00224B50">
        <w:rPr>
          <w:noProof/>
        </w:rPr>
        <w:t>3</w:t>
      </w:r>
      <w:r w:rsidR="00224B50">
        <w:t>.</w:t>
      </w:r>
      <w:r w:rsidR="00224B50">
        <w:rPr>
          <w:noProof/>
        </w:rPr>
        <w:t>3</w:t>
      </w:r>
      <w:r>
        <w:fldChar w:fldCharType="end"/>
      </w:r>
      <w:r w:rsidR="00F126BF">
        <w:t xml:space="preserve">. tabulā ir apkopoti dati par dzīvojamās platības izmaiņām vairākos griezumos un iedzīvotāju skaita izmaiņām, kas ir viens no </w:t>
      </w:r>
      <w:r w:rsidR="00002E2B">
        <w:t xml:space="preserve">rādītāju </w:t>
      </w:r>
      <w:r w:rsidR="00A33411">
        <w:t>„</w:t>
      </w:r>
      <w:r w:rsidR="00F126BF">
        <w:t>d</w:t>
      </w:r>
      <w:r w:rsidR="00002E2B">
        <w:t>zī</w:t>
      </w:r>
      <w:r w:rsidR="00F126BF">
        <w:t>vojamā platība uz vienu iedzīvotāju</w:t>
      </w:r>
      <w:r w:rsidR="00002E2B">
        <w:t>”</w:t>
      </w:r>
      <w:r w:rsidR="00F126BF">
        <w:t xml:space="preserve"> ietekmējošajiem faktoriem.  Saskaņā ar CSP apkopotajiem datiem</w:t>
      </w:r>
      <w:r w:rsidR="00F126BF">
        <w:rPr>
          <w:rStyle w:val="FootnoteReference"/>
        </w:rPr>
        <w:footnoteReference w:id="313"/>
      </w:r>
      <w:r w:rsidR="00F126BF">
        <w:t xml:space="preserve"> </w:t>
      </w:r>
      <w:r w:rsidR="00002E2B">
        <w:t xml:space="preserve">kopējā dzīvojamā platība </w:t>
      </w:r>
      <w:r w:rsidR="00A33411">
        <w:t>laika posmā</w:t>
      </w:r>
      <w:r w:rsidR="00002E2B">
        <w:t xml:space="preserve"> no 2010. gada līdz 2017. gadam ir pieaugusi vidēji par 1,3% gadā. Kopējais pieaugums ir 10,9%. Šajā</w:t>
      </w:r>
      <w:r w:rsidR="00F126BF">
        <w:t xml:space="preserve"> periodā ekspluatācijā tika nodoti 3549,7 tūkst. m</w:t>
      </w:r>
      <w:r w:rsidR="00F126BF" w:rsidRPr="00266C8E">
        <w:rPr>
          <w:vertAlign w:val="superscript"/>
        </w:rPr>
        <w:t>2</w:t>
      </w:r>
      <w:r w:rsidR="00F126BF">
        <w:rPr>
          <w:vertAlign w:val="superscript"/>
        </w:rPr>
        <w:t xml:space="preserve"> </w:t>
      </w:r>
      <w:r w:rsidR="00F126BF">
        <w:t>dzīvojamās platības (21 178 dzīvokļi), kas ir 394,4 tūkst. m</w:t>
      </w:r>
      <w:r w:rsidR="00F126BF" w:rsidRPr="00266C8E">
        <w:rPr>
          <w:vertAlign w:val="superscript"/>
        </w:rPr>
        <w:t>2</w:t>
      </w:r>
      <w:r w:rsidR="00F126BF">
        <w:rPr>
          <w:vertAlign w:val="superscript"/>
        </w:rPr>
        <w:t xml:space="preserve"> </w:t>
      </w:r>
      <w:r w:rsidR="00F126BF">
        <w:t>gadā.</w:t>
      </w:r>
      <w:r w:rsidR="00002E2B">
        <w:t xml:space="preserve"> E</w:t>
      </w:r>
      <w:r w:rsidR="00F126BF">
        <w:t xml:space="preserve">kspluatācijā nodotās dzīvojamās platības izmaiņas ir bijušas svārstīgas – piemēram, ja 2014. gadā vērojams šī rādītāja kritums par 21,8%, tad nākamajā gadā jau ir 17,6% pieaugums attiecībā pret iepriekšējo gadu, </w:t>
      </w:r>
      <w:r w:rsidR="00A33411">
        <w:t>kas saistīts ar būvniecības procesu uzsākšanas cikliskumu. Tomēr</w:t>
      </w:r>
      <w:r w:rsidR="00F126BF">
        <w:t xml:space="preserve"> kopējais pozitīvais pieaugums pēc 2014.</w:t>
      </w:r>
      <w:r w:rsidR="00D54545">
        <w:t xml:space="preserve"> </w:t>
      </w:r>
      <w:r w:rsidR="00F126BF">
        <w:t>gada krituma sasniegts tikai 2017.</w:t>
      </w:r>
      <w:r w:rsidR="00D54545">
        <w:t xml:space="preserve"> </w:t>
      </w:r>
      <w:r w:rsidR="00F126BF">
        <w:t>gadā.</w:t>
      </w:r>
    </w:p>
    <w:bookmarkStart w:id="640" w:name="_Ref6496936"/>
    <w:p w:rsidR="00F126BF" w:rsidRDefault="00AD3EDD" w:rsidP="003945E0">
      <w:pPr>
        <w:pStyle w:val="Caption"/>
        <w:outlineLvl w:val="0"/>
      </w:pPr>
      <w:r>
        <w:lastRenderedPageBreak/>
        <w:fldChar w:fldCharType="begin"/>
      </w:r>
      <w:r w:rsidR="00A46B54">
        <w:instrText xml:space="preserve"> STYLEREF 1 \s </w:instrText>
      </w:r>
      <w:r>
        <w:fldChar w:fldCharType="separate"/>
      </w:r>
      <w:bookmarkStart w:id="641" w:name="_Toc6857681"/>
      <w:r w:rsidR="00224B50">
        <w:rPr>
          <w:noProof/>
        </w:rPr>
        <w:t>3</w:t>
      </w:r>
      <w:r>
        <w:fldChar w:fldCharType="end"/>
      </w:r>
      <w:r w:rsidR="00A46B54">
        <w:t>.</w:t>
      </w:r>
      <w:r>
        <w:fldChar w:fldCharType="begin"/>
      </w:r>
      <w:r w:rsidR="000F1524">
        <w:instrText xml:space="preserve"> SEQ Tabula \* ARABIC \s 1 </w:instrText>
      </w:r>
      <w:r>
        <w:fldChar w:fldCharType="separate"/>
      </w:r>
      <w:r w:rsidR="00224B50">
        <w:rPr>
          <w:noProof/>
        </w:rPr>
        <w:t>3</w:t>
      </w:r>
      <w:r>
        <w:rPr>
          <w:noProof/>
        </w:rPr>
        <w:fldChar w:fldCharType="end"/>
      </w:r>
      <w:bookmarkEnd w:id="640"/>
      <w:r w:rsidR="00F126BF">
        <w:t>. tabula. Dzīvojamā platība un iedzīvotāju skaits (2010-2017)</w:t>
      </w:r>
      <w:bookmarkEnd w:id="641"/>
    </w:p>
    <w:tbl>
      <w:tblPr>
        <w:tblStyle w:val="TableGrid"/>
        <w:tblW w:w="9635" w:type="dxa"/>
        <w:tblLayout w:type="fixed"/>
        <w:tblLook w:val="04A0"/>
      </w:tblPr>
      <w:tblGrid>
        <w:gridCol w:w="846"/>
        <w:gridCol w:w="1417"/>
        <w:gridCol w:w="1560"/>
        <w:gridCol w:w="1275"/>
        <w:gridCol w:w="1560"/>
        <w:gridCol w:w="1559"/>
        <w:gridCol w:w="1418"/>
      </w:tblGrid>
      <w:tr w:rsidR="00F126BF" w:rsidRPr="006106B3" w:rsidTr="006106B3">
        <w:tc>
          <w:tcPr>
            <w:tcW w:w="846" w:type="dxa"/>
            <w:shd w:val="clear" w:color="auto" w:fill="B8CCE4" w:themeFill="accent1" w:themeFillTint="66"/>
            <w:vAlign w:val="center"/>
          </w:tcPr>
          <w:p w:rsidR="00F126BF" w:rsidRPr="006106B3" w:rsidRDefault="00F126BF" w:rsidP="003E5F80">
            <w:pPr>
              <w:rPr>
                <w:b/>
                <w:color w:val="002060"/>
                <w:sz w:val="22"/>
                <w:szCs w:val="22"/>
              </w:rPr>
            </w:pPr>
            <w:r w:rsidRPr="006106B3">
              <w:rPr>
                <w:b/>
                <w:color w:val="002060"/>
                <w:sz w:val="22"/>
                <w:szCs w:val="22"/>
              </w:rPr>
              <w:t>Gads</w:t>
            </w:r>
          </w:p>
        </w:tc>
        <w:tc>
          <w:tcPr>
            <w:tcW w:w="1417" w:type="dxa"/>
            <w:shd w:val="clear" w:color="auto" w:fill="B8CCE4" w:themeFill="accent1" w:themeFillTint="66"/>
            <w:vAlign w:val="center"/>
          </w:tcPr>
          <w:p w:rsidR="00F126BF" w:rsidRPr="006106B3" w:rsidRDefault="00F126BF" w:rsidP="003E5F80">
            <w:pPr>
              <w:rPr>
                <w:b/>
                <w:color w:val="002060"/>
                <w:sz w:val="22"/>
                <w:szCs w:val="22"/>
              </w:rPr>
            </w:pPr>
            <w:r w:rsidRPr="006106B3">
              <w:rPr>
                <w:b/>
                <w:color w:val="002060"/>
                <w:sz w:val="22"/>
                <w:szCs w:val="22"/>
              </w:rPr>
              <w:t>Dzīvojamā platība (tūkst.m</w:t>
            </w:r>
            <w:r w:rsidRPr="006106B3">
              <w:rPr>
                <w:b/>
                <w:color w:val="002060"/>
                <w:sz w:val="22"/>
                <w:szCs w:val="22"/>
                <w:vertAlign w:val="superscript"/>
              </w:rPr>
              <w:t>2</w:t>
            </w:r>
            <w:r w:rsidRPr="006106B3">
              <w:rPr>
                <w:b/>
                <w:color w:val="002060"/>
                <w:sz w:val="22"/>
                <w:szCs w:val="22"/>
              </w:rPr>
              <w:t>)</w:t>
            </w:r>
          </w:p>
        </w:tc>
        <w:tc>
          <w:tcPr>
            <w:tcW w:w="1560" w:type="dxa"/>
            <w:shd w:val="clear" w:color="auto" w:fill="B8CCE4" w:themeFill="accent1" w:themeFillTint="66"/>
            <w:vAlign w:val="center"/>
          </w:tcPr>
          <w:p w:rsidR="00F126BF" w:rsidRPr="006106B3" w:rsidRDefault="00F126BF" w:rsidP="00A33411">
            <w:pPr>
              <w:jc w:val="left"/>
              <w:rPr>
                <w:b/>
                <w:color w:val="002060"/>
                <w:sz w:val="22"/>
                <w:szCs w:val="22"/>
              </w:rPr>
            </w:pPr>
            <w:r w:rsidRPr="006106B3">
              <w:rPr>
                <w:b/>
                <w:color w:val="002060"/>
                <w:sz w:val="22"/>
                <w:szCs w:val="22"/>
              </w:rPr>
              <w:t xml:space="preserve">Dzīvojamās platības </w:t>
            </w:r>
            <w:r w:rsidR="00A33411" w:rsidRPr="006106B3">
              <w:rPr>
                <w:b/>
                <w:color w:val="002060"/>
                <w:sz w:val="22"/>
                <w:szCs w:val="22"/>
              </w:rPr>
              <w:t xml:space="preserve">pieauguma </w:t>
            </w:r>
            <w:r w:rsidRPr="006106B3">
              <w:rPr>
                <w:b/>
                <w:color w:val="002060"/>
                <w:sz w:val="22"/>
                <w:szCs w:val="22"/>
              </w:rPr>
              <w:t>tendence (%)</w:t>
            </w:r>
          </w:p>
        </w:tc>
        <w:tc>
          <w:tcPr>
            <w:tcW w:w="1275" w:type="dxa"/>
            <w:shd w:val="clear" w:color="auto" w:fill="B8CCE4" w:themeFill="accent1" w:themeFillTint="66"/>
            <w:vAlign w:val="center"/>
          </w:tcPr>
          <w:p w:rsidR="00F126BF" w:rsidRPr="006106B3" w:rsidRDefault="00F126BF" w:rsidP="003E5F80">
            <w:pPr>
              <w:jc w:val="left"/>
              <w:rPr>
                <w:b/>
                <w:color w:val="002060"/>
                <w:sz w:val="22"/>
                <w:szCs w:val="22"/>
              </w:rPr>
            </w:pPr>
            <w:r w:rsidRPr="006106B3">
              <w:rPr>
                <w:b/>
                <w:color w:val="002060"/>
                <w:sz w:val="22"/>
                <w:szCs w:val="22"/>
              </w:rPr>
              <w:t>Dzīvojamā platība uz vienu iedzīvotāju (m</w:t>
            </w:r>
            <w:r w:rsidRPr="006106B3">
              <w:rPr>
                <w:b/>
                <w:color w:val="002060"/>
                <w:sz w:val="22"/>
                <w:szCs w:val="22"/>
                <w:vertAlign w:val="superscript"/>
              </w:rPr>
              <w:t>2</w:t>
            </w:r>
            <w:r w:rsidRPr="006106B3">
              <w:rPr>
                <w:b/>
                <w:color w:val="002060"/>
                <w:sz w:val="22"/>
                <w:szCs w:val="22"/>
              </w:rPr>
              <w:t>)</w:t>
            </w:r>
          </w:p>
        </w:tc>
        <w:tc>
          <w:tcPr>
            <w:tcW w:w="1560" w:type="dxa"/>
            <w:shd w:val="clear" w:color="auto" w:fill="B8CCE4" w:themeFill="accent1" w:themeFillTint="66"/>
            <w:vAlign w:val="center"/>
          </w:tcPr>
          <w:p w:rsidR="00F126BF" w:rsidRPr="006106B3" w:rsidRDefault="00F126BF" w:rsidP="003E5F80">
            <w:pPr>
              <w:jc w:val="left"/>
              <w:rPr>
                <w:b/>
                <w:color w:val="002060"/>
                <w:sz w:val="22"/>
                <w:szCs w:val="22"/>
              </w:rPr>
            </w:pPr>
            <w:r w:rsidRPr="006106B3">
              <w:rPr>
                <w:b/>
                <w:color w:val="002060"/>
                <w:sz w:val="22"/>
                <w:szCs w:val="22"/>
              </w:rPr>
              <w:t>Ekspluatācijā nodotā dzīvojamā platība (tūkst.m</w:t>
            </w:r>
            <w:r w:rsidRPr="006106B3">
              <w:rPr>
                <w:b/>
                <w:color w:val="002060"/>
                <w:sz w:val="22"/>
                <w:szCs w:val="22"/>
                <w:vertAlign w:val="superscript"/>
              </w:rPr>
              <w:t>2</w:t>
            </w:r>
            <w:r w:rsidRPr="006106B3">
              <w:rPr>
                <w:b/>
                <w:color w:val="002060"/>
                <w:sz w:val="22"/>
                <w:szCs w:val="22"/>
              </w:rPr>
              <w:t>)</w:t>
            </w:r>
          </w:p>
        </w:tc>
        <w:tc>
          <w:tcPr>
            <w:tcW w:w="1559" w:type="dxa"/>
            <w:shd w:val="clear" w:color="auto" w:fill="B8CCE4" w:themeFill="accent1" w:themeFillTint="66"/>
            <w:vAlign w:val="center"/>
          </w:tcPr>
          <w:p w:rsidR="00F126BF" w:rsidRPr="006106B3" w:rsidRDefault="00F126BF" w:rsidP="003E5F80">
            <w:pPr>
              <w:rPr>
                <w:b/>
                <w:color w:val="002060"/>
                <w:sz w:val="22"/>
                <w:szCs w:val="22"/>
              </w:rPr>
            </w:pPr>
            <w:r w:rsidRPr="006106B3">
              <w:rPr>
                <w:b/>
                <w:color w:val="002060"/>
                <w:sz w:val="22"/>
                <w:szCs w:val="22"/>
              </w:rPr>
              <w:t>Ekspluatācijā nodotās dzīvojamā platības izmaiņu tendence (%)</w:t>
            </w:r>
          </w:p>
        </w:tc>
        <w:tc>
          <w:tcPr>
            <w:tcW w:w="1418" w:type="dxa"/>
            <w:shd w:val="clear" w:color="auto" w:fill="B8CCE4" w:themeFill="accent1" w:themeFillTint="66"/>
            <w:vAlign w:val="center"/>
          </w:tcPr>
          <w:p w:rsidR="00F126BF" w:rsidRPr="006106B3" w:rsidRDefault="00F126BF" w:rsidP="003E5F80">
            <w:pPr>
              <w:rPr>
                <w:b/>
                <w:color w:val="002060"/>
                <w:sz w:val="22"/>
                <w:szCs w:val="22"/>
              </w:rPr>
            </w:pPr>
            <w:r w:rsidRPr="006106B3">
              <w:rPr>
                <w:b/>
                <w:color w:val="002060"/>
                <w:sz w:val="22"/>
                <w:szCs w:val="22"/>
              </w:rPr>
              <w:t xml:space="preserve">Iedzīvotāju skaits </w:t>
            </w:r>
          </w:p>
        </w:tc>
      </w:tr>
      <w:tr w:rsidR="00F126BF" w:rsidRPr="00266C8E" w:rsidTr="003E5F80">
        <w:tc>
          <w:tcPr>
            <w:tcW w:w="846" w:type="dxa"/>
          </w:tcPr>
          <w:p w:rsidR="00F126BF" w:rsidRPr="00266C8E" w:rsidRDefault="00F126BF" w:rsidP="003E5F80">
            <w:pPr>
              <w:rPr>
                <w:sz w:val="22"/>
                <w:szCs w:val="22"/>
              </w:rPr>
            </w:pPr>
            <w:r w:rsidRPr="00266C8E">
              <w:rPr>
                <w:sz w:val="22"/>
                <w:szCs w:val="22"/>
              </w:rPr>
              <w:t>2010</w:t>
            </w:r>
          </w:p>
        </w:tc>
        <w:tc>
          <w:tcPr>
            <w:tcW w:w="1417" w:type="dxa"/>
          </w:tcPr>
          <w:p w:rsidR="00F126BF" w:rsidRPr="00266C8E" w:rsidRDefault="00F126BF" w:rsidP="003E5F80">
            <w:pPr>
              <w:jc w:val="center"/>
              <w:rPr>
                <w:sz w:val="22"/>
                <w:szCs w:val="22"/>
              </w:rPr>
            </w:pPr>
            <w:r w:rsidRPr="00266C8E">
              <w:rPr>
                <w:rFonts w:eastAsia="Times New Roman"/>
                <w:color w:val="000000"/>
                <w:sz w:val="22"/>
                <w:szCs w:val="22"/>
                <w:lang w:val="en-US" w:eastAsia="en-US"/>
              </w:rPr>
              <w:t>67 926</w:t>
            </w:r>
          </w:p>
        </w:tc>
        <w:tc>
          <w:tcPr>
            <w:tcW w:w="1560" w:type="dxa"/>
          </w:tcPr>
          <w:p w:rsidR="00F126BF" w:rsidRPr="00266C8E" w:rsidRDefault="00F126BF" w:rsidP="003E5F80">
            <w:pPr>
              <w:jc w:val="center"/>
              <w:rPr>
                <w:sz w:val="22"/>
                <w:szCs w:val="22"/>
              </w:rPr>
            </w:pPr>
            <w:r>
              <w:rPr>
                <w:sz w:val="22"/>
                <w:szCs w:val="22"/>
              </w:rPr>
              <w:t>-</w:t>
            </w:r>
          </w:p>
        </w:tc>
        <w:tc>
          <w:tcPr>
            <w:tcW w:w="1275" w:type="dxa"/>
          </w:tcPr>
          <w:p w:rsidR="00F126BF" w:rsidRPr="00266C8E" w:rsidRDefault="00F126BF" w:rsidP="003E5F80">
            <w:pPr>
              <w:jc w:val="center"/>
              <w:rPr>
                <w:sz w:val="22"/>
                <w:szCs w:val="22"/>
              </w:rPr>
            </w:pPr>
            <w:r>
              <w:rPr>
                <w:sz w:val="22"/>
                <w:szCs w:val="22"/>
              </w:rPr>
              <w:t>33</w:t>
            </w:r>
          </w:p>
        </w:tc>
        <w:tc>
          <w:tcPr>
            <w:tcW w:w="1560" w:type="dxa"/>
          </w:tcPr>
          <w:p w:rsidR="00F126BF" w:rsidRPr="00266C8E" w:rsidRDefault="00F126BF" w:rsidP="003E5F80">
            <w:pPr>
              <w:jc w:val="center"/>
              <w:rPr>
                <w:sz w:val="22"/>
                <w:szCs w:val="22"/>
              </w:rPr>
            </w:pPr>
            <w:r>
              <w:rPr>
                <w:sz w:val="22"/>
                <w:szCs w:val="22"/>
              </w:rPr>
              <w:t>385,3</w:t>
            </w:r>
          </w:p>
        </w:tc>
        <w:tc>
          <w:tcPr>
            <w:tcW w:w="1559" w:type="dxa"/>
          </w:tcPr>
          <w:p w:rsidR="00F126BF" w:rsidRDefault="00F126BF" w:rsidP="003E5F80">
            <w:pPr>
              <w:jc w:val="center"/>
              <w:rPr>
                <w:sz w:val="22"/>
                <w:szCs w:val="22"/>
              </w:rPr>
            </w:pPr>
            <w:r>
              <w:rPr>
                <w:sz w:val="22"/>
                <w:szCs w:val="22"/>
              </w:rPr>
              <w:t>-</w:t>
            </w:r>
          </w:p>
        </w:tc>
        <w:tc>
          <w:tcPr>
            <w:tcW w:w="1418" w:type="dxa"/>
          </w:tcPr>
          <w:p w:rsidR="00F126BF" w:rsidRPr="00266C8E" w:rsidRDefault="00F126BF" w:rsidP="003E5F80">
            <w:pPr>
              <w:jc w:val="center"/>
              <w:rPr>
                <w:sz w:val="22"/>
                <w:szCs w:val="22"/>
              </w:rPr>
            </w:pPr>
            <w:r>
              <w:rPr>
                <w:sz w:val="22"/>
                <w:szCs w:val="22"/>
              </w:rPr>
              <w:t>2 120 504</w:t>
            </w:r>
          </w:p>
        </w:tc>
      </w:tr>
      <w:tr w:rsidR="00F126BF" w:rsidRPr="00266C8E" w:rsidTr="003E5F80">
        <w:tc>
          <w:tcPr>
            <w:tcW w:w="846" w:type="dxa"/>
          </w:tcPr>
          <w:p w:rsidR="00F126BF" w:rsidRPr="00266C8E" w:rsidRDefault="00F126BF" w:rsidP="003E5F80">
            <w:pPr>
              <w:rPr>
                <w:sz w:val="22"/>
                <w:szCs w:val="22"/>
              </w:rPr>
            </w:pPr>
            <w:r w:rsidRPr="00266C8E">
              <w:rPr>
                <w:sz w:val="22"/>
                <w:szCs w:val="22"/>
              </w:rPr>
              <w:t>2011</w:t>
            </w:r>
          </w:p>
        </w:tc>
        <w:tc>
          <w:tcPr>
            <w:tcW w:w="1417" w:type="dxa"/>
          </w:tcPr>
          <w:p w:rsidR="00F126BF" w:rsidRPr="00266C8E" w:rsidRDefault="00F126BF" w:rsidP="003E5F80">
            <w:pPr>
              <w:jc w:val="center"/>
              <w:rPr>
                <w:sz w:val="22"/>
                <w:szCs w:val="22"/>
              </w:rPr>
            </w:pPr>
            <w:r w:rsidRPr="00266C8E">
              <w:rPr>
                <w:rFonts w:eastAsia="Times New Roman"/>
                <w:color w:val="000000"/>
                <w:sz w:val="22"/>
                <w:szCs w:val="22"/>
                <w:lang w:val="en-US" w:eastAsia="en-US"/>
              </w:rPr>
              <w:t>69 066</w:t>
            </w:r>
          </w:p>
        </w:tc>
        <w:tc>
          <w:tcPr>
            <w:tcW w:w="1560" w:type="dxa"/>
          </w:tcPr>
          <w:p w:rsidR="00F126BF" w:rsidRPr="00266C8E" w:rsidRDefault="00F126BF" w:rsidP="003E5F80">
            <w:pPr>
              <w:jc w:val="center"/>
              <w:rPr>
                <w:sz w:val="22"/>
                <w:szCs w:val="22"/>
              </w:rPr>
            </w:pPr>
            <w:r>
              <w:rPr>
                <w:sz w:val="22"/>
                <w:szCs w:val="22"/>
              </w:rPr>
              <w:t>1,7</w:t>
            </w:r>
          </w:p>
        </w:tc>
        <w:tc>
          <w:tcPr>
            <w:tcW w:w="1275" w:type="dxa"/>
          </w:tcPr>
          <w:p w:rsidR="00F126BF" w:rsidRPr="00266C8E" w:rsidRDefault="00F126BF" w:rsidP="003E5F80">
            <w:pPr>
              <w:jc w:val="center"/>
              <w:rPr>
                <w:sz w:val="22"/>
                <w:szCs w:val="22"/>
              </w:rPr>
            </w:pPr>
            <w:r>
              <w:rPr>
                <w:sz w:val="22"/>
                <w:szCs w:val="22"/>
              </w:rPr>
              <w:t>34</w:t>
            </w:r>
          </w:p>
        </w:tc>
        <w:tc>
          <w:tcPr>
            <w:tcW w:w="1560" w:type="dxa"/>
          </w:tcPr>
          <w:p w:rsidR="00F126BF" w:rsidRPr="00266C8E" w:rsidRDefault="00F126BF" w:rsidP="003E5F80">
            <w:pPr>
              <w:jc w:val="center"/>
              <w:rPr>
                <w:sz w:val="22"/>
                <w:szCs w:val="22"/>
              </w:rPr>
            </w:pPr>
            <w:r>
              <w:rPr>
                <w:sz w:val="22"/>
                <w:szCs w:val="22"/>
              </w:rPr>
              <w:t>381,0</w:t>
            </w:r>
          </w:p>
        </w:tc>
        <w:tc>
          <w:tcPr>
            <w:tcW w:w="1559" w:type="dxa"/>
          </w:tcPr>
          <w:p w:rsidR="00F126BF" w:rsidRDefault="00F126BF" w:rsidP="003E5F80">
            <w:pPr>
              <w:jc w:val="center"/>
              <w:rPr>
                <w:sz w:val="22"/>
                <w:szCs w:val="22"/>
              </w:rPr>
            </w:pPr>
            <w:r>
              <w:rPr>
                <w:sz w:val="22"/>
                <w:szCs w:val="22"/>
              </w:rPr>
              <w:t>- 1,1</w:t>
            </w:r>
          </w:p>
        </w:tc>
        <w:tc>
          <w:tcPr>
            <w:tcW w:w="1418" w:type="dxa"/>
          </w:tcPr>
          <w:p w:rsidR="00F126BF" w:rsidRPr="00266C8E" w:rsidRDefault="00F126BF" w:rsidP="003E5F80">
            <w:pPr>
              <w:jc w:val="center"/>
              <w:rPr>
                <w:sz w:val="22"/>
                <w:szCs w:val="22"/>
              </w:rPr>
            </w:pPr>
            <w:r>
              <w:rPr>
                <w:sz w:val="22"/>
                <w:szCs w:val="22"/>
              </w:rPr>
              <w:t>2 074 605</w:t>
            </w:r>
          </w:p>
        </w:tc>
      </w:tr>
      <w:tr w:rsidR="00F126BF" w:rsidRPr="00266C8E" w:rsidTr="003E5F80">
        <w:tc>
          <w:tcPr>
            <w:tcW w:w="846" w:type="dxa"/>
          </w:tcPr>
          <w:p w:rsidR="00F126BF" w:rsidRPr="00266C8E" w:rsidRDefault="00F126BF" w:rsidP="003E5F80">
            <w:pPr>
              <w:rPr>
                <w:sz w:val="22"/>
                <w:szCs w:val="22"/>
              </w:rPr>
            </w:pPr>
            <w:r w:rsidRPr="00266C8E">
              <w:rPr>
                <w:sz w:val="22"/>
                <w:szCs w:val="22"/>
              </w:rPr>
              <w:t>2012</w:t>
            </w:r>
          </w:p>
        </w:tc>
        <w:tc>
          <w:tcPr>
            <w:tcW w:w="1417" w:type="dxa"/>
          </w:tcPr>
          <w:p w:rsidR="00F126BF" w:rsidRPr="00266C8E" w:rsidRDefault="00F126BF" w:rsidP="003E5F80">
            <w:pPr>
              <w:jc w:val="center"/>
              <w:rPr>
                <w:sz w:val="22"/>
                <w:szCs w:val="22"/>
              </w:rPr>
            </w:pPr>
            <w:r w:rsidRPr="00266C8E">
              <w:rPr>
                <w:rFonts w:eastAsia="Times New Roman"/>
                <w:color w:val="000000"/>
                <w:sz w:val="22"/>
                <w:szCs w:val="22"/>
                <w:lang w:val="en-US" w:eastAsia="en-US"/>
              </w:rPr>
              <w:t>70 349</w:t>
            </w:r>
          </w:p>
        </w:tc>
        <w:tc>
          <w:tcPr>
            <w:tcW w:w="1560" w:type="dxa"/>
          </w:tcPr>
          <w:p w:rsidR="00F126BF" w:rsidRPr="00266C8E" w:rsidRDefault="00F126BF" w:rsidP="003E5F80">
            <w:pPr>
              <w:jc w:val="center"/>
              <w:rPr>
                <w:sz w:val="22"/>
                <w:szCs w:val="22"/>
              </w:rPr>
            </w:pPr>
            <w:r>
              <w:rPr>
                <w:sz w:val="22"/>
                <w:szCs w:val="22"/>
              </w:rPr>
              <w:t>1,9</w:t>
            </w:r>
          </w:p>
        </w:tc>
        <w:tc>
          <w:tcPr>
            <w:tcW w:w="1275" w:type="dxa"/>
          </w:tcPr>
          <w:p w:rsidR="00F126BF" w:rsidRPr="00266C8E" w:rsidRDefault="00F126BF" w:rsidP="003E5F80">
            <w:pPr>
              <w:jc w:val="center"/>
              <w:rPr>
                <w:sz w:val="22"/>
                <w:szCs w:val="22"/>
              </w:rPr>
            </w:pPr>
            <w:r>
              <w:rPr>
                <w:sz w:val="22"/>
                <w:szCs w:val="22"/>
              </w:rPr>
              <w:t>35</w:t>
            </w:r>
          </w:p>
        </w:tc>
        <w:tc>
          <w:tcPr>
            <w:tcW w:w="1560" w:type="dxa"/>
          </w:tcPr>
          <w:p w:rsidR="00F126BF" w:rsidRPr="00266C8E" w:rsidRDefault="00F126BF" w:rsidP="003E5F80">
            <w:pPr>
              <w:jc w:val="center"/>
              <w:rPr>
                <w:sz w:val="22"/>
                <w:szCs w:val="22"/>
              </w:rPr>
            </w:pPr>
            <w:r>
              <w:rPr>
                <w:sz w:val="22"/>
                <w:szCs w:val="22"/>
              </w:rPr>
              <w:t>419,0</w:t>
            </w:r>
          </w:p>
        </w:tc>
        <w:tc>
          <w:tcPr>
            <w:tcW w:w="1559" w:type="dxa"/>
          </w:tcPr>
          <w:p w:rsidR="00F126BF" w:rsidRDefault="00F126BF" w:rsidP="003E5F80">
            <w:pPr>
              <w:jc w:val="center"/>
              <w:rPr>
                <w:sz w:val="22"/>
                <w:szCs w:val="22"/>
              </w:rPr>
            </w:pPr>
            <w:r>
              <w:rPr>
                <w:sz w:val="22"/>
                <w:szCs w:val="22"/>
              </w:rPr>
              <w:t>10</w:t>
            </w:r>
          </w:p>
        </w:tc>
        <w:tc>
          <w:tcPr>
            <w:tcW w:w="1418" w:type="dxa"/>
          </w:tcPr>
          <w:p w:rsidR="00F126BF" w:rsidRPr="00266C8E" w:rsidRDefault="00F126BF" w:rsidP="003E5F80">
            <w:pPr>
              <w:jc w:val="center"/>
              <w:rPr>
                <w:sz w:val="22"/>
                <w:szCs w:val="22"/>
              </w:rPr>
            </w:pPr>
            <w:r>
              <w:rPr>
                <w:sz w:val="22"/>
                <w:szCs w:val="22"/>
              </w:rPr>
              <w:t>2 044 813</w:t>
            </w:r>
          </w:p>
        </w:tc>
      </w:tr>
      <w:tr w:rsidR="00F126BF" w:rsidRPr="00266C8E" w:rsidTr="003E5F80">
        <w:tc>
          <w:tcPr>
            <w:tcW w:w="846" w:type="dxa"/>
          </w:tcPr>
          <w:p w:rsidR="00F126BF" w:rsidRPr="00266C8E" w:rsidRDefault="00F126BF" w:rsidP="003E5F80">
            <w:pPr>
              <w:rPr>
                <w:sz w:val="22"/>
                <w:szCs w:val="22"/>
              </w:rPr>
            </w:pPr>
            <w:r w:rsidRPr="00266C8E">
              <w:rPr>
                <w:sz w:val="22"/>
                <w:szCs w:val="22"/>
              </w:rPr>
              <w:t>2013</w:t>
            </w:r>
          </w:p>
        </w:tc>
        <w:tc>
          <w:tcPr>
            <w:tcW w:w="1417" w:type="dxa"/>
            <w:vAlign w:val="bottom"/>
          </w:tcPr>
          <w:p w:rsidR="00F126BF" w:rsidRPr="00266C8E" w:rsidRDefault="00F126BF" w:rsidP="003E5F80">
            <w:pPr>
              <w:spacing w:line="240" w:lineRule="auto"/>
              <w:jc w:val="center"/>
              <w:rPr>
                <w:rFonts w:eastAsia="Times New Roman"/>
                <w:color w:val="000000"/>
                <w:sz w:val="22"/>
                <w:szCs w:val="22"/>
                <w:lang w:val="en-US" w:eastAsia="en-US"/>
              </w:rPr>
            </w:pPr>
            <w:r w:rsidRPr="00266C8E">
              <w:rPr>
                <w:rFonts w:eastAsia="Times New Roman"/>
                <w:color w:val="000000"/>
                <w:sz w:val="22"/>
                <w:szCs w:val="22"/>
                <w:lang w:val="en-US" w:eastAsia="en-US"/>
              </w:rPr>
              <w:t>72 077</w:t>
            </w:r>
          </w:p>
        </w:tc>
        <w:tc>
          <w:tcPr>
            <w:tcW w:w="1560" w:type="dxa"/>
          </w:tcPr>
          <w:p w:rsidR="00F126BF" w:rsidRPr="00266C8E" w:rsidRDefault="00F126BF" w:rsidP="003E5F80">
            <w:pPr>
              <w:jc w:val="center"/>
              <w:rPr>
                <w:sz w:val="22"/>
                <w:szCs w:val="22"/>
              </w:rPr>
            </w:pPr>
            <w:r>
              <w:rPr>
                <w:sz w:val="22"/>
                <w:szCs w:val="22"/>
              </w:rPr>
              <w:t>2,5</w:t>
            </w:r>
          </w:p>
        </w:tc>
        <w:tc>
          <w:tcPr>
            <w:tcW w:w="1275" w:type="dxa"/>
          </w:tcPr>
          <w:p w:rsidR="00F126BF" w:rsidRPr="00266C8E" w:rsidRDefault="00F126BF" w:rsidP="003E5F80">
            <w:pPr>
              <w:jc w:val="center"/>
              <w:rPr>
                <w:sz w:val="22"/>
                <w:szCs w:val="22"/>
              </w:rPr>
            </w:pPr>
            <w:r>
              <w:rPr>
                <w:sz w:val="22"/>
                <w:szCs w:val="22"/>
              </w:rPr>
              <w:t>36</w:t>
            </w:r>
          </w:p>
        </w:tc>
        <w:tc>
          <w:tcPr>
            <w:tcW w:w="1560" w:type="dxa"/>
          </w:tcPr>
          <w:p w:rsidR="00F126BF" w:rsidRPr="00266C8E" w:rsidRDefault="00F126BF" w:rsidP="003E5F80">
            <w:pPr>
              <w:jc w:val="center"/>
              <w:rPr>
                <w:sz w:val="22"/>
                <w:szCs w:val="22"/>
              </w:rPr>
            </w:pPr>
            <w:r>
              <w:rPr>
                <w:sz w:val="22"/>
                <w:szCs w:val="22"/>
              </w:rPr>
              <w:t>426,0</w:t>
            </w:r>
          </w:p>
        </w:tc>
        <w:tc>
          <w:tcPr>
            <w:tcW w:w="1559" w:type="dxa"/>
          </w:tcPr>
          <w:p w:rsidR="00F126BF" w:rsidRDefault="00F126BF" w:rsidP="003E5F80">
            <w:pPr>
              <w:jc w:val="center"/>
              <w:rPr>
                <w:sz w:val="22"/>
                <w:szCs w:val="22"/>
              </w:rPr>
            </w:pPr>
            <w:r>
              <w:rPr>
                <w:sz w:val="22"/>
                <w:szCs w:val="22"/>
              </w:rPr>
              <w:t>1,7</w:t>
            </w:r>
          </w:p>
        </w:tc>
        <w:tc>
          <w:tcPr>
            <w:tcW w:w="1418" w:type="dxa"/>
          </w:tcPr>
          <w:p w:rsidR="00F126BF" w:rsidRPr="00266C8E" w:rsidRDefault="00F126BF" w:rsidP="003E5F80">
            <w:pPr>
              <w:jc w:val="center"/>
              <w:rPr>
                <w:sz w:val="22"/>
                <w:szCs w:val="22"/>
              </w:rPr>
            </w:pPr>
            <w:r>
              <w:rPr>
                <w:sz w:val="22"/>
                <w:szCs w:val="22"/>
              </w:rPr>
              <w:t>2 023 825</w:t>
            </w:r>
          </w:p>
        </w:tc>
      </w:tr>
      <w:tr w:rsidR="00F126BF" w:rsidRPr="00266C8E" w:rsidTr="003E5F80">
        <w:tc>
          <w:tcPr>
            <w:tcW w:w="846" w:type="dxa"/>
          </w:tcPr>
          <w:p w:rsidR="00F126BF" w:rsidRPr="00266C8E" w:rsidRDefault="00F126BF" w:rsidP="003E5F80">
            <w:pPr>
              <w:rPr>
                <w:sz w:val="22"/>
                <w:szCs w:val="22"/>
              </w:rPr>
            </w:pPr>
            <w:r w:rsidRPr="00266C8E">
              <w:rPr>
                <w:sz w:val="22"/>
                <w:szCs w:val="22"/>
              </w:rPr>
              <w:t>2014</w:t>
            </w:r>
          </w:p>
        </w:tc>
        <w:tc>
          <w:tcPr>
            <w:tcW w:w="1417" w:type="dxa"/>
            <w:vAlign w:val="bottom"/>
          </w:tcPr>
          <w:p w:rsidR="00F126BF" w:rsidRPr="00266C8E" w:rsidRDefault="00F126BF" w:rsidP="003E5F80">
            <w:pPr>
              <w:spacing w:line="240" w:lineRule="auto"/>
              <w:jc w:val="center"/>
              <w:rPr>
                <w:rFonts w:eastAsia="Times New Roman"/>
                <w:color w:val="000000"/>
                <w:sz w:val="22"/>
                <w:szCs w:val="22"/>
                <w:lang w:val="en-US" w:eastAsia="en-US"/>
              </w:rPr>
            </w:pPr>
            <w:r w:rsidRPr="00266C8E">
              <w:rPr>
                <w:rFonts w:eastAsia="Times New Roman"/>
                <w:color w:val="000000"/>
                <w:sz w:val="22"/>
                <w:szCs w:val="22"/>
                <w:lang w:val="en-US" w:eastAsia="en-US"/>
              </w:rPr>
              <w:t>73 939</w:t>
            </w:r>
          </w:p>
        </w:tc>
        <w:tc>
          <w:tcPr>
            <w:tcW w:w="1560" w:type="dxa"/>
          </w:tcPr>
          <w:p w:rsidR="00F126BF" w:rsidRPr="00266C8E" w:rsidRDefault="00F126BF" w:rsidP="003E5F80">
            <w:pPr>
              <w:jc w:val="center"/>
              <w:rPr>
                <w:sz w:val="22"/>
                <w:szCs w:val="22"/>
              </w:rPr>
            </w:pPr>
            <w:r>
              <w:rPr>
                <w:sz w:val="22"/>
                <w:szCs w:val="22"/>
              </w:rPr>
              <w:t>2,6</w:t>
            </w:r>
          </w:p>
        </w:tc>
        <w:tc>
          <w:tcPr>
            <w:tcW w:w="1275" w:type="dxa"/>
          </w:tcPr>
          <w:p w:rsidR="00F126BF" w:rsidRPr="00266C8E" w:rsidRDefault="00F126BF" w:rsidP="003E5F80">
            <w:pPr>
              <w:jc w:val="center"/>
              <w:rPr>
                <w:sz w:val="22"/>
                <w:szCs w:val="22"/>
              </w:rPr>
            </w:pPr>
            <w:r>
              <w:rPr>
                <w:sz w:val="22"/>
                <w:szCs w:val="22"/>
              </w:rPr>
              <w:t>37</w:t>
            </w:r>
          </w:p>
        </w:tc>
        <w:tc>
          <w:tcPr>
            <w:tcW w:w="1560" w:type="dxa"/>
          </w:tcPr>
          <w:p w:rsidR="00F126BF" w:rsidRPr="00266C8E" w:rsidRDefault="00F126BF" w:rsidP="003E5F80">
            <w:pPr>
              <w:jc w:val="center"/>
              <w:rPr>
                <w:sz w:val="22"/>
                <w:szCs w:val="22"/>
              </w:rPr>
            </w:pPr>
            <w:r>
              <w:rPr>
                <w:sz w:val="22"/>
                <w:szCs w:val="22"/>
              </w:rPr>
              <w:t>333,2</w:t>
            </w:r>
          </w:p>
        </w:tc>
        <w:tc>
          <w:tcPr>
            <w:tcW w:w="1559" w:type="dxa"/>
          </w:tcPr>
          <w:p w:rsidR="00F126BF" w:rsidRDefault="00F126BF" w:rsidP="003E5F80">
            <w:pPr>
              <w:jc w:val="center"/>
              <w:rPr>
                <w:sz w:val="22"/>
                <w:szCs w:val="22"/>
              </w:rPr>
            </w:pPr>
            <w:r>
              <w:rPr>
                <w:sz w:val="22"/>
                <w:szCs w:val="22"/>
              </w:rPr>
              <w:t>-21,8</w:t>
            </w:r>
          </w:p>
        </w:tc>
        <w:tc>
          <w:tcPr>
            <w:tcW w:w="1418" w:type="dxa"/>
          </w:tcPr>
          <w:p w:rsidR="00F126BF" w:rsidRPr="00266C8E" w:rsidRDefault="00F126BF" w:rsidP="003E5F80">
            <w:pPr>
              <w:jc w:val="center"/>
              <w:rPr>
                <w:sz w:val="22"/>
                <w:szCs w:val="22"/>
              </w:rPr>
            </w:pPr>
            <w:r>
              <w:rPr>
                <w:sz w:val="22"/>
                <w:szCs w:val="22"/>
              </w:rPr>
              <w:t>2 001 468</w:t>
            </w:r>
          </w:p>
        </w:tc>
      </w:tr>
      <w:tr w:rsidR="00F126BF" w:rsidRPr="00266C8E" w:rsidTr="003E5F80">
        <w:tc>
          <w:tcPr>
            <w:tcW w:w="846" w:type="dxa"/>
          </w:tcPr>
          <w:p w:rsidR="00F126BF" w:rsidRPr="00266C8E" w:rsidRDefault="00F126BF" w:rsidP="003E5F80">
            <w:pPr>
              <w:rPr>
                <w:sz w:val="22"/>
                <w:szCs w:val="22"/>
              </w:rPr>
            </w:pPr>
            <w:r w:rsidRPr="00266C8E">
              <w:rPr>
                <w:sz w:val="22"/>
                <w:szCs w:val="22"/>
              </w:rPr>
              <w:t>2015</w:t>
            </w:r>
          </w:p>
        </w:tc>
        <w:tc>
          <w:tcPr>
            <w:tcW w:w="1417" w:type="dxa"/>
            <w:vAlign w:val="bottom"/>
          </w:tcPr>
          <w:p w:rsidR="00F126BF" w:rsidRPr="00266C8E" w:rsidRDefault="00F126BF" w:rsidP="003E5F80">
            <w:pPr>
              <w:spacing w:line="240" w:lineRule="auto"/>
              <w:jc w:val="center"/>
              <w:rPr>
                <w:rFonts w:eastAsia="Times New Roman"/>
                <w:color w:val="000000"/>
                <w:sz w:val="22"/>
                <w:szCs w:val="22"/>
                <w:lang w:val="en-US" w:eastAsia="en-US"/>
              </w:rPr>
            </w:pPr>
            <w:r w:rsidRPr="00266C8E">
              <w:rPr>
                <w:rFonts w:eastAsia="Times New Roman"/>
                <w:color w:val="000000"/>
                <w:sz w:val="22"/>
                <w:szCs w:val="22"/>
                <w:lang w:val="en-US" w:eastAsia="en-US"/>
              </w:rPr>
              <w:t>74 670</w:t>
            </w:r>
          </w:p>
        </w:tc>
        <w:tc>
          <w:tcPr>
            <w:tcW w:w="1560" w:type="dxa"/>
          </w:tcPr>
          <w:p w:rsidR="00F126BF" w:rsidRPr="00266C8E" w:rsidRDefault="00F126BF" w:rsidP="003E5F80">
            <w:pPr>
              <w:jc w:val="center"/>
              <w:rPr>
                <w:sz w:val="22"/>
                <w:szCs w:val="22"/>
              </w:rPr>
            </w:pPr>
            <w:r>
              <w:rPr>
                <w:sz w:val="22"/>
                <w:szCs w:val="22"/>
              </w:rPr>
              <w:t>1</w:t>
            </w:r>
            <w:r w:rsidR="00A33411">
              <w:rPr>
                <w:sz w:val="22"/>
                <w:szCs w:val="22"/>
              </w:rPr>
              <w:t>,0</w:t>
            </w:r>
          </w:p>
        </w:tc>
        <w:tc>
          <w:tcPr>
            <w:tcW w:w="1275" w:type="dxa"/>
          </w:tcPr>
          <w:p w:rsidR="00F126BF" w:rsidRPr="00266C8E" w:rsidRDefault="00F126BF" w:rsidP="003E5F80">
            <w:pPr>
              <w:jc w:val="center"/>
              <w:rPr>
                <w:sz w:val="22"/>
                <w:szCs w:val="22"/>
              </w:rPr>
            </w:pPr>
            <w:r>
              <w:rPr>
                <w:sz w:val="22"/>
                <w:szCs w:val="22"/>
              </w:rPr>
              <w:t>38</w:t>
            </w:r>
          </w:p>
        </w:tc>
        <w:tc>
          <w:tcPr>
            <w:tcW w:w="1560" w:type="dxa"/>
          </w:tcPr>
          <w:p w:rsidR="00F126BF" w:rsidRPr="00266C8E" w:rsidRDefault="00F126BF" w:rsidP="003E5F80">
            <w:pPr>
              <w:jc w:val="center"/>
              <w:rPr>
                <w:sz w:val="22"/>
                <w:szCs w:val="22"/>
              </w:rPr>
            </w:pPr>
            <w:r>
              <w:rPr>
                <w:sz w:val="22"/>
                <w:szCs w:val="22"/>
              </w:rPr>
              <w:t>391,9</w:t>
            </w:r>
          </w:p>
        </w:tc>
        <w:tc>
          <w:tcPr>
            <w:tcW w:w="1559" w:type="dxa"/>
          </w:tcPr>
          <w:p w:rsidR="00F126BF" w:rsidRDefault="00F126BF" w:rsidP="003E5F80">
            <w:pPr>
              <w:jc w:val="center"/>
              <w:rPr>
                <w:sz w:val="22"/>
                <w:szCs w:val="22"/>
              </w:rPr>
            </w:pPr>
            <w:r>
              <w:rPr>
                <w:sz w:val="22"/>
                <w:szCs w:val="22"/>
              </w:rPr>
              <w:t>17,6</w:t>
            </w:r>
          </w:p>
        </w:tc>
        <w:tc>
          <w:tcPr>
            <w:tcW w:w="1418" w:type="dxa"/>
          </w:tcPr>
          <w:p w:rsidR="00F126BF" w:rsidRPr="00266C8E" w:rsidRDefault="00F126BF" w:rsidP="003E5F80">
            <w:pPr>
              <w:jc w:val="center"/>
              <w:rPr>
                <w:sz w:val="22"/>
                <w:szCs w:val="22"/>
              </w:rPr>
            </w:pPr>
            <w:r>
              <w:rPr>
                <w:sz w:val="22"/>
                <w:szCs w:val="22"/>
              </w:rPr>
              <w:t>1 986 096</w:t>
            </w:r>
          </w:p>
        </w:tc>
      </w:tr>
      <w:tr w:rsidR="00F126BF" w:rsidRPr="00266C8E" w:rsidTr="003E5F80">
        <w:tc>
          <w:tcPr>
            <w:tcW w:w="846" w:type="dxa"/>
          </w:tcPr>
          <w:p w:rsidR="00F126BF" w:rsidRPr="00266C8E" w:rsidRDefault="00F126BF" w:rsidP="003E5F80">
            <w:pPr>
              <w:rPr>
                <w:sz w:val="22"/>
                <w:szCs w:val="22"/>
              </w:rPr>
            </w:pPr>
            <w:r w:rsidRPr="00266C8E">
              <w:rPr>
                <w:sz w:val="22"/>
                <w:szCs w:val="22"/>
              </w:rPr>
              <w:t>2016</w:t>
            </w:r>
          </w:p>
        </w:tc>
        <w:tc>
          <w:tcPr>
            <w:tcW w:w="1417" w:type="dxa"/>
            <w:vAlign w:val="bottom"/>
          </w:tcPr>
          <w:p w:rsidR="00F126BF" w:rsidRPr="00266C8E" w:rsidRDefault="00F126BF" w:rsidP="003E5F80">
            <w:pPr>
              <w:spacing w:line="240" w:lineRule="auto"/>
              <w:jc w:val="center"/>
              <w:rPr>
                <w:rFonts w:eastAsia="Times New Roman"/>
                <w:color w:val="000000"/>
                <w:sz w:val="22"/>
                <w:szCs w:val="22"/>
                <w:lang w:val="en-US" w:eastAsia="en-US"/>
              </w:rPr>
            </w:pPr>
            <w:r w:rsidRPr="00266C8E">
              <w:rPr>
                <w:rFonts w:eastAsia="Times New Roman"/>
                <w:color w:val="000000"/>
                <w:sz w:val="22"/>
                <w:szCs w:val="22"/>
                <w:lang w:val="en-US" w:eastAsia="en-US"/>
              </w:rPr>
              <w:t>74 980</w:t>
            </w:r>
          </w:p>
        </w:tc>
        <w:tc>
          <w:tcPr>
            <w:tcW w:w="1560" w:type="dxa"/>
          </w:tcPr>
          <w:p w:rsidR="00F126BF" w:rsidRPr="00266C8E" w:rsidRDefault="00F126BF" w:rsidP="003E5F80">
            <w:pPr>
              <w:jc w:val="center"/>
              <w:rPr>
                <w:sz w:val="22"/>
                <w:szCs w:val="22"/>
              </w:rPr>
            </w:pPr>
            <w:r>
              <w:rPr>
                <w:sz w:val="22"/>
                <w:szCs w:val="22"/>
              </w:rPr>
              <w:t>0,4</w:t>
            </w:r>
          </w:p>
        </w:tc>
        <w:tc>
          <w:tcPr>
            <w:tcW w:w="1275" w:type="dxa"/>
          </w:tcPr>
          <w:p w:rsidR="00F126BF" w:rsidRPr="00266C8E" w:rsidRDefault="00F126BF" w:rsidP="003E5F80">
            <w:pPr>
              <w:jc w:val="center"/>
              <w:rPr>
                <w:sz w:val="22"/>
                <w:szCs w:val="22"/>
              </w:rPr>
            </w:pPr>
            <w:r>
              <w:rPr>
                <w:sz w:val="22"/>
                <w:szCs w:val="22"/>
              </w:rPr>
              <w:t>38</w:t>
            </w:r>
          </w:p>
        </w:tc>
        <w:tc>
          <w:tcPr>
            <w:tcW w:w="1560" w:type="dxa"/>
          </w:tcPr>
          <w:p w:rsidR="00F126BF" w:rsidRPr="00266C8E" w:rsidRDefault="00F126BF" w:rsidP="003E5F80">
            <w:pPr>
              <w:jc w:val="center"/>
              <w:rPr>
                <w:sz w:val="22"/>
                <w:szCs w:val="22"/>
              </w:rPr>
            </w:pPr>
            <w:r>
              <w:rPr>
                <w:sz w:val="22"/>
                <w:szCs w:val="22"/>
              </w:rPr>
              <w:t>384,4</w:t>
            </w:r>
          </w:p>
        </w:tc>
        <w:tc>
          <w:tcPr>
            <w:tcW w:w="1559" w:type="dxa"/>
          </w:tcPr>
          <w:p w:rsidR="00F126BF" w:rsidRDefault="00F126BF" w:rsidP="003E5F80">
            <w:pPr>
              <w:jc w:val="center"/>
              <w:rPr>
                <w:sz w:val="22"/>
                <w:szCs w:val="22"/>
              </w:rPr>
            </w:pPr>
            <w:r>
              <w:rPr>
                <w:sz w:val="22"/>
                <w:szCs w:val="22"/>
              </w:rPr>
              <w:t>- 1,9</w:t>
            </w:r>
          </w:p>
        </w:tc>
        <w:tc>
          <w:tcPr>
            <w:tcW w:w="1418" w:type="dxa"/>
          </w:tcPr>
          <w:p w:rsidR="00F126BF" w:rsidRPr="00266C8E" w:rsidRDefault="00F126BF" w:rsidP="003E5F80">
            <w:pPr>
              <w:jc w:val="center"/>
              <w:rPr>
                <w:sz w:val="22"/>
                <w:szCs w:val="22"/>
              </w:rPr>
            </w:pPr>
            <w:r>
              <w:rPr>
                <w:sz w:val="22"/>
                <w:szCs w:val="22"/>
              </w:rPr>
              <w:t>1 968 957</w:t>
            </w:r>
          </w:p>
        </w:tc>
      </w:tr>
      <w:tr w:rsidR="00F126BF" w:rsidRPr="00266C8E" w:rsidTr="003E5F80">
        <w:tc>
          <w:tcPr>
            <w:tcW w:w="846" w:type="dxa"/>
          </w:tcPr>
          <w:p w:rsidR="00F126BF" w:rsidRPr="00266C8E" w:rsidRDefault="00F126BF" w:rsidP="003E5F80">
            <w:pPr>
              <w:rPr>
                <w:sz w:val="22"/>
                <w:szCs w:val="22"/>
              </w:rPr>
            </w:pPr>
            <w:r w:rsidRPr="00266C8E">
              <w:rPr>
                <w:sz w:val="22"/>
                <w:szCs w:val="22"/>
              </w:rPr>
              <w:t>2017</w:t>
            </w:r>
          </w:p>
        </w:tc>
        <w:tc>
          <w:tcPr>
            <w:tcW w:w="1417" w:type="dxa"/>
            <w:vAlign w:val="bottom"/>
          </w:tcPr>
          <w:p w:rsidR="00F126BF" w:rsidRPr="00266C8E" w:rsidRDefault="00F126BF" w:rsidP="003E5F80">
            <w:pPr>
              <w:spacing w:line="240" w:lineRule="auto"/>
              <w:jc w:val="center"/>
              <w:rPr>
                <w:rFonts w:eastAsia="Times New Roman"/>
                <w:color w:val="000000"/>
                <w:sz w:val="22"/>
                <w:szCs w:val="22"/>
                <w:lang w:val="en-US" w:eastAsia="en-US"/>
              </w:rPr>
            </w:pPr>
            <w:r w:rsidRPr="00266C8E">
              <w:rPr>
                <w:rFonts w:eastAsia="Times New Roman"/>
                <w:color w:val="000000"/>
                <w:sz w:val="22"/>
                <w:szCs w:val="22"/>
                <w:lang w:val="en-US" w:eastAsia="en-US"/>
              </w:rPr>
              <w:t>75 324</w:t>
            </w:r>
          </w:p>
        </w:tc>
        <w:tc>
          <w:tcPr>
            <w:tcW w:w="1560" w:type="dxa"/>
          </w:tcPr>
          <w:p w:rsidR="00F126BF" w:rsidRPr="00266C8E" w:rsidRDefault="00F126BF" w:rsidP="003E5F80">
            <w:pPr>
              <w:jc w:val="center"/>
              <w:rPr>
                <w:sz w:val="22"/>
                <w:szCs w:val="22"/>
              </w:rPr>
            </w:pPr>
            <w:r>
              <w:rPr>
                <w:sz w:val="22"/>
                <w:szCs w:val="22"/>
              </w:rPr>
              <w:t>0,5</w:t>
            </w:r>
          </w:p>
        </w:tc>
        <w:tc>
          <w:tcPr>
            <w:tcW w:w="1275" w:type="dxa"/>
          </w:tcPr>
          <w:p w:rsidR="00F126BF" w:rsidRPr="00266C8E" w:rsidRDefault="00F126BF" w:rsidP="003E5F80">
            <w:pPr>
              <w:jc w:val="center"/>
              <w:rPr>
                <w:sz w:val="22"/>
                <w:szCs w:val="22"/>
              </w:rPr>
            </w:pPr>
            <w:r>
              <w:rPr>
                <w:sz w:val="22"/>
                <w:szCs w:val="22"/>
              </w:rPr>
              <w:t>39</w:t>
            </w:r>
          </w:p>
        </w:tc>
        <w:tc>
          <w:tcPr>
            <w:tcW w:w="1560" w:type="dxa"/>
          </w:tcPr>
          <w:p w:rsidR="00F126BF" w:rsidRPr="00266C8E" w:rsidRDefault="00F126BF" w:rsidP="003E5F80">
            <w:pPr>
              <w:jc w:val="center"/>
              <w:rPr>
                <w:sz w:val="22"/>
                <w:szCs w:val="22"/>
              </w:rPr>
            </w:pPr>
            <w:r>
              <w:rPr>
                <w:sz w:val="22"/>
                <w:szCs w:val="22"/>
              </w:rPr>
              <w:t>454,2</w:t>
            </w:r>
          </w:p>
        </w:tc>
        <w:tc>
          <w:tcPr>
            <w:tcW w:w="1559" w:type="dxa"/>
          </w:tcPr>
          <w:p w:rsidR="00F126BF" w:rsidRDefault="00F126BF" w:rsidP="003E5F80">
            <w:pPr>
              <w:jc w:val="center"/>
              <w:rPr>
                <w:sz w:val="22"/>
                <w:szCs w:val="22"/>
              </w:rPr>
            </w:pPr>
            <w:r>
              <w:rPr>
                <w:sz w:val="22"/>
                <w:szCs w:val="22"/>
              </w:rPr>
              <w:t>18,2</w:t>
            </w:r>
          </w:p>
        </w:tc>
        <w:tc>
          <w:tcPr>
            <w:tcW w:w="1418" w:type="dxa"/>
          </w:tcPr>
          <w:p w:rsidR="00F126BF" w:rsidRPr="00266C8E" w:rsidRDefault="00F126BF" w:rsidP="003E5F80">
            <w:pPr>
              <w:jc w:val="center"/>
              <w:rPr>
                <w:sz w:val="22"/>
                <w:szCs w:val="22"/>
              </w:rPr>
            </w:pPr>
            <w:r>
              <w:rPr>
                <w:sz w:val="22"/>
                <w:szCs w:val="22"/>
              </w:rPr>
              <w:t>1 934 379</w:t>
            </w:r>
          </w:p>
        </w:tc>
      </w:tr>
    </w:tbl>
    <w:p w:rsidR="00F126BF" w:rsidRDefault="00F126BF" w:rsidP="00F126BF">
      <w:pPr>
        <w:spacing w:line="240" w:lineRule="auto"/>
        <w:rPr>
          <w:sz w:val="20"/>
          <w:szCs w:val="20"/>
        </w:rPr>
      </w:pPr>
      <w:r w:rsidRPr="00266C8E">
        <w:rPr>
          <w:sz w:val="20"/>
          <w:szCs w:val="20"/>
        </w:rPr>
        <w:t>Avots: CSP, “BU060c. Ekspluatācijā pieņemto jauno dzīvokļu skaits un platība statistiskajos reģionos, republikas pilsētās un novados”</w:t>
      </w:r>
      <w:r>
        <w:rPr>
          <w:sz w:val="20"/>
          <w:szCs w:val="20"/>
        </w:rPr>
        <w:t xml:space="preserve">; </w:t>
      </w:r>
      <w:r w:rsidRPr="00266C8E">
        <w:rPr>
          <w:sz w:val="20"/>
          <w:szCs w:val="20"/>
        </w:rPr>
        <w:t>NEG010. Dzīvojamais fonds statistiskajos reģionos gada beigās; ISG020. Iedzīvotāju skaits un tā izmaiņas statistiskajos reģionos, republikas pilsētās, novadu pilsētās un novados</w:t>
      </w:r>
      <w:r w:rsidR="00002E2B">
        <w:rPr>
          <w:sz w:val="20"/>
          <w:szCs w:val="20"/>
        </w:rPr>
        <w:t>.</w:t>
      </w:r>
    </w:p>
    <w:p w:rsidR="00002E2B" w:rsidRPr="00002E2B" w:rsidRDefault="00002E2B" w:rsidP="00F126BF">
      <w:pPr>
        <w:spacing w:line="240" w:lineRule="auto"/>
        <w:rPr>
          <w:sz w:val="20"/>
          <w:szCs w:val="20"/>
        </w:rPr>
      </w:pPr>
      <w:r>
        <w:rPr>
          <w:sz w:val="20"/>
          <w:szCs w:val="20"/>
        </w:rPr>
        <w:t>Piezīme: CSP, Terminu skaid</w:t>
      </w:r>
      <w:r w:rsidR="009E1FE0">
        <w:rPr>
          <w:sz w:val="20"/>
          <w:szCs w:val="20"/>
        </w:rPr>
        <w:t>roj</w:t>
      </w:r>
      <w:r>
        <w:rPr>
          <w:sz w:val="20"/>
          <w:szCs w:val="20"/>
        </w:rPr>
        <w:t xml:space="preserve">ums: </w:t>
      </w:r>
      <w:r w:rsidRPr="00002E2B">
        <w:rPr>
          <w:rFonts w:ascii="Open Sans" w:hAnsi="Open Sans"/>
          <w:color w:val="000000"/>
          <w:sz w:val="20"/>
          <w:szCs w:val="20"/>
          <w:shd w:val="clear" w:color="auto" w:fill="FFFFFF"/>
        </w:rPr>
        <w:t>Dzīvojamā fondā ietilpst viendzīvokļa dzīvojamās mājas, daudzdzīvokļu dzīvojamo māju dzīvojamās telpas un dzīvojamās telpas nedzīvojamajās ēkās. Dzīvojamās mājas var nebūt sadalītas atsevišķos dzīvokļos.</w:t>
      </w:r>
    </w:p>
    <w:p w:rsidR="00F126BF" w:rsidRDefault="00F126BF" w:rsidP="00F126BF"/>
    <w:p w:rsidR="00002E2B" w:rsidRDefault="00F126BF" w:rsidP="00F126BF">
      <w:r>
        <w:t xml:space="preserve">Kopējais ekspluatācijā nodotās dzīvojamās platības pieaugums laikā no 2010. gada līdz 2017. gadam ir 17,9%, kas ir vidēji 2,2% gadā. Aprēķini dinamikā par to, cik lielu daļu no kopējās dzīvojamās platības </w:t>
      </w:r>
      <w:r w:rsidR="00A33411">
        <w:t xml:space="preserve">pieauguma </w:t>
      </w:r>
      <w:r>
        <w:t xml:space="preserve">veido attiecīgajā gadā ekspluatācijā nodotā dzīvojamā platība, rāda, </w:t>
      </w:r>
      <w:r w:rsidRPr="00643B30">
        <w:t>ka 2010. gadā tie bija 0,</w:t>
      </w:r>
      <w:r w:rsidR="00643B30" w:rsidRPr="00643B30">
        <w:t>6</w:t>
      </w:r>
      <w:r w:rsidRPr="00643B30">
        <w:t>%, 2014.</w:t>
      </w:r>
      <w:r w:rsidR="00A33411" w:rsidRPr="00643B30">
        <w:t xml:space="preserve"> gadā – 0,4%, 2017. gadā – 0,5%, kas indikatīvi rāda dzīvoj</w:t>
      </w:r>
      <w:r w:rsidR="00771DA0" w:rsidRPr="00643B30">
        <w:t>am</w:t>
      </w:r>
      <w:r w:rsidR="00A33411" w:rsidRPr="00643B30">
        <w:t>ās platības</w:t>
      </w:r>
      <w:r w:rsidR="00A33411">
        <w:t xml:space="preserve"> pieauguma tendences tempa mazināšanos pēdējos divos gados.</w:t>
      </w:r>
      <w:r>
        <w:t xml:space="preserve"> </w:t>
      </w:r>
    </w:p>
    <w:p w:rsidR="00002E2B" w:rsidRDefault="00002E2B" w:rsidP="00F126BF"/>
    <w:p w:rsidR="00F126BF" w:rsidRDefault="00F126BF" w:rsidP="00F126BF">
      <w:r>
        <w:t xml:space="preserve">Kaut arī tiešā veidā dzīvojamās platības izmaiņas procentuālā izteiksmē nav salīdzināmas ar iedzīvotāju skaita izmaiņām procentuāli, tomēr </w:t>
      </w:r>
      <w:r w:rsidR="00771DA0">
        <w:t xml:space="preserve">tas ir </w:t>
      </w:r>
      <w:r>
        <w:t>zināms indikatīvs rādītājs</w:t>
      </w:r>
      <w:r w:rsidR="00771DA0">
        <w:t xml:space="preserve"> par ekspluatācijā nodotās platības un iedzīvotāju skaita izmaiņu ietekmi uz kopējās pieejamās dzīvojamās platības uz vienu iedzīvotāju pieaugumu aplūkotajā laika posmā</w:t>
      </w:r>
      <w:r>
        <w:t>. Iedzīvotāju skaits aplūkotajā periodā (2010.g.-2017.g.) ir samazinājies par 8,7%, kopējā dzīvojamā platība ir pieaugusi par 10,9%, savukārt dzīvojamā platība uz vienu iedzīvotāju ir pieaugusi par 18% (no 33 m</w:t>
      </w:r>
      <w:r w:rsidRPr="00266C8E">
        <w:rPr>
          <w:vertAlign w:val="superscript"/>
        </w:rPr>
        <w:t>2</w:t>
      </w:r>
      <w:r>
        <w:t xml:space="preserve"> uz 39 m</w:t>
      </w:r>
      <w:r w:rsidRPr="00266C8E">
        <w:rPr>
          <w:vertAlign w:val="superscript"/>
        </w:rPr>
        <w:t>2</w:t>
      </w:r>
      <w:r>
        <w:t xml:space="preserve">). </w:t>
      </w:r>
      <w:r w:rsidR="00771DA0">
        <w:t>Tādējādi secināms, ka dzīvojamās platības uz vienu iedzīvotāju rādītājs aplūkotajā laika posmā pieaugtu lēnāk un, raugoties reģionu griezumā, iespējams, platības ziņā not</w:t>
      </w:r>
      <w:r w:rsidR="00C548CE">
        <w:t>ei</w:t>
      </w:r>
      <w:r w:rsidR="00771DA0">
        <w:t>ktās apdzīvotajās vietās būtu nepietiekams, ja vienlaikus nenoritēti abi minētie pr</w:t>
      </w:r>
      <w:r w:rsidR="00C548CE">
        <w:t>o</w:t>
      </w:r>
      <w:r w:rsidR="00771DA0">
        <w:t>cesi – jaunu mājokļu būvniecība un iedzīvotāju skaita samazināšanās.</w:t>
      </w:r>
    </w:p>
    <w:p w:rsidR="00F126BF" w:rsidRDefault="00F126BF" w:rsidP="00F126BF"/>
    <w:p w:rsidR="00F126BF" w:rsidRDefault="00F126BF" w:rsidP="00F126BF">
      <w:r>
        <w:t>Vēl vien</w:t>
      </w:r>
      <w:r w:rsidR="00586F05">
        <w:t>s</w:t>
      </w:r>
      <w:r>
        <w:t xml:space="preserve"> būtisks fakto</w:t>
      </w:r>
      <w:r w:rsidR="00A33411">
        <w:t>r</w:t>
      </w:r>
      <w:r>
        <w:t>s, kas ietekmē datu interpretāciju par dzīvojamās platības izmaiņām līdzās iedzīvotāju skaitam</w:t>
      </w:r>
      <w:r w:rsidR="00A33411">
        <w:t>,</w:t>
      </w:r>
      <w:r>
        <w:t xml:space="preserve"> ir </w:t>
      </w:r>
      <w:r w:rsidRPr="00F126BF">
        <w:rPr>
          <w:b/>
        </w:rPr>
        <w:t>dzīvojamā fonda kvalitāte</w:t>
      </w:r>
      <w:r>
        <w:t xml:space="preserve">. </w:t>
      </w:r>
      <w:r w:rsidR="00002E2B">
        <w:t>A.Sideļska kā būtisku negatīvu faktoru kopējā dzīvojamā fonda uzskaitē norāda neapdzīvotu un dzīvošanai neizmantotu ēku ieskaitīšanu kopējā dzīvojamā fonda platībā.</w:t>
      </w:r>
      <w:r w:rsidR="00002E2B">
        <w:rPr>
          <w:rStyle w:val="FootnoteReference"/>
        </w:rPr>
        <w:footnoteReference w:id="314"/>
      </w:r>
      <w:r w:rsidR="00002E2B">
        <w:t xml:space="preserve"> Ir pieejami nesistemātiski dati par dzīvošanai nederīgā dzīvojamā fonda </w:t>
      </w:r>
      <w:r w:rsidR="00002E2B">
        <w:lastRenderedPageBreak/>
        <w:t>platību, piemēram, LR Tiesībsarga ziņojuma “Pašvaldību dzīvojamais fonds autonomās funkcijas - palīdzības iedzīvotājiem dzīvokļa jautājumu risināšanā, realizēšanai” pielikumā</w:t>
      </w:r>
      <w:r w:rsidR="00002E2B">
        <w:rPr>
          <w:rStyle w:val="FootnoteReference"/>
        </w:rPr>
        <w:footnoteReference w:id="315"/>
      </w:r>
      <w:r w:rsidR="00002E2B">
        <w:t xml:space="preserve"> ir pieejama daļēja informācija par 98 pašvaldību rīcībā esošo brīvo, neizīrēto dzīvojamo telpu skaitu, t.sk. dzīvošanai nederīgo dzīvojamo telpu skaitu. Tiesībsarga ziņojumā secināts, ka “no saņemtajām atbildēm izriet, ka Latvijas pašvaldību brīvais dzīvojamais fonds ir 3286 dzīvojamās telpas, taču dzīvošanai derīgas – tādas, kas atbilst likuma “Par palīdzību dzīvokļa jautājumu risināšanā” prasībām, ir tikai 1046. Tātad divas trešās daļas ir dzīvošanai nederīgas telpas un nav izmantojamas autonomās funkcijas izpildei.”</w:t>
      </w:r>
      <w:r w:rsidR="00002E2B">
        <w:rPr>
          <w:rStyle w:val="FootnoteReference"/>
        </w:rPr>
        <w:footnoteReference w:id="316"/>
      </w:r>
    </w:p>
    <w:p w:rsidR="00002E2B" w:rsidRDefault="00002E2B" w:rsidP="00F126BF"/>
    <w:p w:rsidR="00F126BF" w:rsidRDefault="00F126BF" w:rsidP="00F126BF">
      <w:r w:rsidRPr="00B71F20">
        <w:t>2017. gadā veikt</w:t>
      </w:r>
      <w:r>
        <w:t>ajā</w:t>
      </w:r>
      <w:r w:rsidRPr="00B71F20">
        <w:t xml:space="preserve"> pētījum</w:t>
      </w:r>
      <w:r>
        <w:t>ā</w:t>
      </w:r>
      <w:r w:rsidRPr="00B71F20">
        <w:t xml:space="preserve"> „Pašvaldību politikas instrumenti aizbraukušo iedzīvotāju remigrācijas veicināšanai” </w:t>
      </w:r>
      <w:r>
        <w:t xml:space="preserve">tika noskaidrots </w:t>
      </w:r>
      <w:r w:rsidRPr="00343BC9">
        <w:rPr>
          <w:b/>
        </w:rPr>
        <w:t>118 pašvaldību vadītāju subjektīvais pašnovērtējums, cik aktuāla problēma pašvaldībā ir dzīvojamā fonda nodrošinājums</w:t>
      </w:r>
      <w:r>
        <w:rPr>
          <w:rStyle w:val="FootnoteReference"/>
        </w:rPr>
        <w:footnoteReference w:id="317"/>
      </w:r>
      <w:r>
        <w:t xml:space="preserve">. Saskaņā ar iegūtajiem datiem </w:t>
      </w:r>
      <w:r w:rsidRPr="00B71F20">
        <w:t>42% jeb 49 pašvaldības norāda, ka tā ir ļoti aktuāla problēma</w:t>
      </w:r>
      <w:r>
        <w:t>,</w:t>
      </w:r>
      <w:r w:rsidRPr="00B71F20">
        <w:t xml:space="preserve"> un 33% jeb 39 pašvaldībām tā ir drīzāk aktuāla problēma. </w:t>
      </w:r>
      <w:r>
        <w:t>D</w:t>
      </w:r>
      <w:r w:rsidRPr="00B71F20">
        <w:t>rīzāk neaktuāl</w:t>
      </w:r>
      <w:r>
        <w:t>s</w:t>
      </w:r>
      <w:r w:rsidRPr="00B71F20">
        <w:t xml:space="preserve"> un pavisam neaktuāl</w:t>
      </w:r>
      <w:r>
        <w:t>s</w:t>
      </w:r>
      <w:r w:rsidRPr="00B71F20">
        <w:t xml:space="preserve"> </w:t>
      </w:r>
      <w:r>
        <w:t>šis jautājums bija</w:t>
      </w:r>
      <w:r w:rsidRPr="00B71F20">
        <w:t xml:space="preserve"> attiecīgi 21% un 3% pašvaldību vadītāju</w:t>
      </w:r>
      <w:r>
        <w:t xml:space="preserve"> vērtējumā</w:t>
      </w:r>
      <w:r w:rsidRPr="00B71F20">
        <w:t xml:space="preserve">. </w:t>
      </w:r>
      <w:r>
        <w:t>Reģionu griezumā minētajā pētījumā konstatēts</w:t>
      </w:r>
      <w:r w:rsidRPr="00B71F20">
        <w:t xml:space="preserve">, ka visaktuālākā pašvaldības dzīvojamā fonda nodrošinājuma problēma ir </w:t>
      </w:r>
      <w:r>
        <w:t xml:space="preserve">Rīgas un Pierīgas </w:t>
      </w:r>
      <w:r w:rsidRPr="00B71F20">
        <w:t xml:space="preserve">pašvaldībās, </w:t>
      </w:r>
      <w:r>
        <w:t>Vidzemes un Kurzemes reģionu pašvaldībās</w:t>
      </w:r>
      <w:r w:rsidRPr="00B71F20">
        <w:t>.</w:t>
      </w:r>
      <w:r>
        <w:t xml:space="preserve"> Mazāk aktuāla šī problēma bija Latgales un Zemgales reģionu pašvaldībās. </w:t>
      </w:r>
      <w:r w:rsidRPr="00B66CCE">
        <w:t xml:space="preserve">Aplūkojot datus pašvaldību lieluma griezumā, </w:t>
      </w:r>
      <w:r>
        <w:t>augstāka problēmas aktualitāte bija lielu un vidēju novadu pašvaldību vadītājiem</w:t>
      </w:r>
      <w:r w:rsidRPr="00B66CCE">
        <w:t>.</w:t>
      </w:r>
    </w:p>
    <w:p w:rsidR="00527896" w:rsidRDefault="00527896" w:rsidP="00033F0E"/>
    <w:p w:rsidR="00033F0E" w:rsidRDefault="00033F0E" w:rsidP="00033F0E">
      <w:r>
        <w:t xml:space="preserve">Lai raksturotu </w:t>
      </w:r>
      <w:r w:rsidRPr="00033F0E">
        <w:rPr>
          <w:b/>
        </w:rPr>
        <w:t>dzīvojamā fonda aprēķināto apsaimniekošanas maksu</w:t>
      </w:r>
      <w:r>
        <w:t>, CSP apkopo datus no</w:t>
      </w:r>
      <w:r w:rsidRPr="00BA769D">
        <w:t xml:space="preserve"> </w:t>
      </w:r>
      <w:r>
        <w:t>uzņēmumiem, kas veic sava, nomāta vai pārva</w:t>
      </w:r>
      <w:r w:rsidR="009C76E7">
        <w:t>l</w:t>
      </w:r>
      <w:r>
        <w:t xml:space="preserve">dīta dzīvojamā fonda apsaimniekošanu (NACE 2.red. 68.20, 68.32). Galvenie rādītāji ir „Dzīvojamo telpu apsaimniekošanas ienākumi” un „Dzīvojamo telpu īre”. </w:t>
      </w:r>
    </w:p>
    <w:p w:rsidR="00033F0E" w:rsidRDefault="00033F0E" w:rsidP="00033F0E"/>
    <w:p w:rsidR="00033F0E" w:rsidRDefault="00033F0E" w:rsidP="00033F0E">
      <w:r w:rsidRPr="00033F0E">
        <w:rPr>
          <w:b/>
        </w:rPr>
        <w:t>Dzīvojamā fonda apsaimniekošanas ienākumus</w:t>
      </w:r>
      <w:r w:rsidRPr="00BA769D">
        <w:t xml:space="preserve"> aprēķina, dalot gada kopējos ienākumus no dzīvojamā fonda apsaimniekošanas ar gada vidējo dzīvojamā fonda kopējo platību.</w:t>
      </w:r>
      <w:r>
        <w:t xml:space="preserve"> </w:t>
      </w:r>
      <w:r w:rsidRPr="00BA769D">
        <w:t xml:space="preserve">Dzīvojamā fonda apsaimniekošanas </w:t>
      </w:r>
      <w:r>
        <w:t>maksu</w:t>
      </w:r>
      <w:r w:rsidRPr="00BA769D">
        <w:t xml:space="preserve"> veido </w:t>
      </w:r>
      <w:r>
        <w:t>izdevumi</w:t>
      </w:r>
      <w:r w:rsidRPr="00BA769D">
        <w:t xml:space="preserve"> par dzīvojamās mājas uzturēšanu (mājas sanitārā kopšana, tehniskā uzturēšana, pārvaldes un apkalpojošā personāla uzturēšana), amortizācijas atskaitījumi ēkas atjaunošanai, kā arī likumos noteiktie obligātie maksājumi</w:t>
      </w:r>
      <w:r>
        <w:rPr>
          <w:rStyle w:val="FootnoteReference"/>
        </w:rPr>
        <w:footnoteReference w:id="318"/>
      </w:r>
      <w:r w:rsidRPr="00BA769D">
        <w:t>.</w:t>
      </w:r>
      <w:r>
        <w:t xml:space="preserve"> Iegūtie dati ir aplūkojami </w:t>
      </w:r>
      <w:r w:rsidR="009C06E7">
        <w:t>3.1.</w:t>
      </w:r>
      <w:r>
        <w:t xml:space="preserve"> attēlā, un, ņemot vērā sniegto definīciju, tie raksturo tikai mazāko daļu no izdevumiem par dzīvojamo fondu, ar kuru ir jārēķinās iedzīvotājiem, jo, piemēram, tie neietver īres un apkures izdevumus. Lai gan CSP vāc datus arī par dzīvojamo telpu īres cenām, tie līdzīgā veidā publiski nav pieejami.</w:t>
      </w:r>
    </w:p>
    <w:p w:rsidR="00002E2B" w:rsidRDefault="00002E2B" w:rsidP="00002E2B">
      <w:r w:rsidRPr="00033F0E">
        <w:rPr>
          <w:b/>
        </w:rPr>
        <w:t>Dzīvojamā fonda aprēķinātā apsaimniekošanas maksa mēnesī Latvijā vidēji ir pieaugusi</w:t>
      </w:r>
      <w:r w:rsidRPr="00460861">
        <w:t xml:space="preserve"> kopš 2014. </w:t>
      </w:r>
      <w:r>
        <w:t>g</w:t>
      </w:r>
      <w:r w:rsidRPr="00460861">
        <w:t>ada (</w:t>
      </w:r>
      <w:r>
        <w:t xml:space="preserve">sk. </w:t>
      </w:r>
      <w:r w:rsidR="006F5370">
        <w:t>3.2</w:t>
      </w:r>
      <w:r>
        <w:t>. attēlu</w:t>
      </w:r>
      <w:r w:rsidRPr="00460861">
        <w:t xml:space="preserve">), taču statistisko reģionu griezumā </w:t>
      </w:r>
      <w:r>
        <w:t>apsaimniekošanas maksas</w:t>
      </w:r>
      <w:r w:rsidRPr="00460861">
        <w:t xml:space="preserve"> izmaiņas </w:t>
      </w:r>
      <w:r w:rsidRPr="00460861">
        <w:lastRenderedPageBreak/>
        <w:t>mēdz būt atšķirīgas – gan pieaugošas, gan dilstošas.</w:t>
      </w:r>
      <w:r>
        <w:t xml:space="preserve"> Kopumā </w:t>
      </w:r>
      <w:r w:rsidRPr="009C76E7">
        <w:rPr>
          <w:b/>
        </w:rPr>
        <w:t>vidēji valstī 2017. gadā dzīvojamā fonda aprēķinātā apsaimniekošanas maksa bija 52 EUR centi par 1 m²/ mēnesī</w:t>
      </w:r>
      <w:r>
        <w:t xml:space="preserve">. Visaugstākās izmaksas vienmēr ir bijušas Rīgas reģionā – 64 EUR </w:t>
      </w:r>
      <w:r w:rsidRPr="009016DC">
        <w:t>centi par 1 m²</w:t>
      </w:r>
      <w:r>
        <w:t xml:space="preserve">/ mēnesī 2017. gadā, viszemākās izmaksas bija Latgales reģionā – 33 EUR </w:t>
      </w:r>
      <w:r w:rsidRPr="009016DC">
        <w:t>centi par 1 m²</w:t>
      </w:r>
      <w:r>
        <w:t>/ mēnesī 2017. gadā.</w:t>
      </w:r>
    </w:p>
    <w:bookmarkStart w:id="642" w:name="_Toc6219269"/>
    <w:bookmarkStart w:id="643" w:name="_Toc6220212"/>
    <w:p w:rsidR="000F09C4" w:rsidRPr="009B0F7F" w:rsidRDefault="00AD3EDD" w:rsidP="00A46B54">
      <w:pPr>
        <w:pStyle w:val="Caption"/>
      </w:pPr>
      <w:r>
        <w:fldChar w:fldCharType="begin"/>
      </w:r>
      <w:r w:rsidR="006B5456">
        <w:instrText xml:space="preserve"> STYLEREF 1 \s </w:instrText>
      </w:r>
      <w:r>
        <w:fldChar w:fldCharType="separate"/>
      </w:r>
      <w:bookmarkStart w:id="644" w:name="_Toc6855817"/>
      <w:r w:rsidR="00224B50">
        <w:rPr>
          <w:noProof/>
        </w:rPr>
        <w:t>3</w:t>
      </w:r>
      <w:r>
        <w:fldChar w:fldCharType="end"/>
      </w:r>
      <w:r w:rsidR="006B5456">
        <w:t>.</w:t>
      </w:r>
      <w:r>
        <w:fldChar w:fldCharType="begin"/>
      </w:r>
      <w:r w:rsidR="000F1524">
        <w:instrText xml:space="preserve"> SEQ Ilustrācija \* ARABIC \s 1 </w:instrText>
      </w:r>
      <w:r>
        <w:fldChar w:fldCharType="separate"/>
      </w:r>
      <w:r w:rsidR="00224B50">
        <w:rPr>
          <w:noProof/>
        </w:rPr>
        <w:t>2</w:t>
      </w:r>
      <w:r>
        <w:rPr>
          <w:noProof/>
        </w:rPr>
        <w:fldChar w:fldCharType="end"/>
      </w:r>
      <w:r w:rsidR="000F09C4" w:rsidRPr="009B0F7F">
        <w:t>. attēls. Dzīvojamā fonda aprēķinātā apsaimniekošanas maksa vidēji mēnesī statistiskajos reģionos (</w:t>
      </w:r>
      <w:r w:rsidR="00235F1B">
        <w:t xml:space="preserve">EUR </w:t>
      </w:r>
      <w:r w:rsidR="000F09C4" w:rsidRPr="009B0F7F">
        <w:t>centi par 1 m²)</w:t>
      </w:r>
      <w:bookmarkEnd w:id="642"/>
      <w:bookmarkEnd w:id="643"/>
      <w:bookmarkEnd w:id="644"/>
    </w:p>
    <w:p w:rsidR="00BA769D" w:rsidRPr="00246B0E" w:rsidRDefault="002478A6" w:rsidP="00064C1E">
      <w:r w:rsidRPr="002478A6">
        <w:rPr>
          <w:noProof/>
        </w:rPr>
        <w:drawing>
          <wp:inline distT="0" distB="0" distL="0" distR="0">
            <wp:extent cx="6154420" cy="2968824"/>
            <wp:effectExtent l="19050" t="0" r="0" b="0"/>
            <wp:docPr id="154"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8"/>
                    <a:srcRect/>
                    <a:stretch>
                      <a:fillRect/>
                    </a:stretch>
                  </pic:blipFill>
                  <pic:spPr bwMode="auto">
                    <a:xfrm>
                      <a:off x="0" y="0"/>
                      <a:ext cx="6154420" cy="2968824"/>
                    </a:xfrm>
                    <a:prstGeom prst="rect">
                      <a:avLst/>
                    </a:prstGeom>
                    <a:noFill/>
                    <a:ln w="9525">
                      <a:noFill/>
                      <a:miter lim="800000"/>
                      <a:headEnd/>
                      <a:tailEnd/>
                    </a:ln>
                  </pic:spPr>
                </pic:pic>
              </a:graphicData>
            </a:graphic>
          </wp:inline>
        </w:drawing>
      </w:r>
    </w:p>
    <w:p w:rsidR="00527896" w:rsidRPr="00246B0E" w:rsidRDefault="00527896" w:rsidP="00527896">
      <w:pPr>
        <w:rPr>
          <w:sz w:val="20"/>
          <w:szCs w:val="20"/>
        </w:rPr>
      </w:pPr>
      <w:r w:rsidRPr="00246B0E">
        <w:rPr>
          <w:sz w:val="20"/>
          <w:szCs w:val="20"/>
        </w:rPr>
        <w:t>Avots: CSP, NEG020. Dzīvojamā fonda aprēķinātā apsaimniekošanas maksa vidēji mēnesī statistiskajos reģionos (EUR centi par 1 m²).</w:t>
      </w:r>
    </w:p>
    <w:p w:rsidR="00BA769D" w:rsidRPr="00246B0E" w:rsidRDefault="00BA769D" w:rsidP="00064C1E"/>
    <w:p w:rsidR="00B2000C" w:rsidRDefault="00B2000C" w:rsidP="00064C1E">
      <w:r w:rsidRPr="00246B0E">
        <w:t>Ekspertu intervijās EM pārstāvji vērsa uzmanību uz to, ka, pirmkārt, šobrīd mājokļu apsaimniekošanas izmaksās, neraugoties uz to definējumu statistikas apsekojumos, pamatā tiek</w:t>
      </w:r>
      <w:r>
        <w:t xml:space="preserve"> ietverti</w:t>
      </w:r>
      <w:r w:rsidRPr="00B2000C">
        <w:t xml:space="preserve"> tikai administratīv</w:t>
      </w:r>
      <w:r>
        <w:t>ie un rutīnas uzturēšanas izdevumi</w:t>
      </w:r>
      <w:r w:rsidRPr="00B2000C">
        <w:t xml:space="preserve">, </w:t>
      </w:r>
      <w:r>
        <w:t xml:space="preserve">bet netiek iekļauti izdevumi nepieciešamajiem kapitālieguldījumiem mājokļa tehniskā stāvokļa uzturēšanai kārtībā. Tas nozīmē, ka daļā gadījumu mājokļu īpašnieki (pamatā tas attiecas uz daudzdzīvokļu namiem) pēc būtības tērē resursus, par kuriem netiek veikti maksājumi. Līdz ar to nākotnē, mājokļa tehniskajam stāvoklim kļūstot kritiskam, var rasties situācija, ka apsaimniekošanas izdevumi, kas būs nepieciešami kapitālajiem remontdarbiem, būtiski pieaugs. </w:t>
      </w:r>
      <w:r w:rsidR="009D2413">
        <w:t>Tāpēc apsaimniekošanas izmaksās būtu jānodala m</w:t>
      </w:r>
      <w:r w:rsidR="00C548CE">
        <w:t>ā</w:t>
      </w:r>
      <w:r w:rsidR="009D2413">
        <w:t xml:space="preserve">jokļa pārvaldīšanas izmaksas no ieguldījumu izmaksām. </w:t>
      </w:r>
      <w:r>
        <w:t xml:space="preserve">Otrkārt, eksperti norādīja, ka, pieaugot mājokļa apsaimniekošanas izdevumiem renovācijas dēļ, ir iespējams samazināt mājokļa uzturēšanas izdevumus, </w:t>
      </w:r>
      <w:r w:rsidRPr="00B2000C">
        <w:t xml:space="preserve">ir novērojama izdevumu samazināšanās citās mājokļa uzturēšanas izdevumu pozīcijās, piemēram, apkure, ūdens, jo </w:t>
      </w:r>
      <w:r>
        <w:t xml:space="preserve">tiek izmantoti efektīvāk, samazinās šo resursu zudumi.  </w:t>
      </w:r>
    </w:p>
    <w:p w:rsidR="002F0538" w:rsidRPr="00381F09" w:rsidRDefault="00381F09" w:rsidP="003945E0">
      <w:pPr>
        <w:pStyle w:val="Heading3"/>
      </w:pPr>
      <w:bookmarkStart w:id="645" w:name="_Toc6841630"/>
      <w:r w:rsidRPr="00381F09">
        <w:t>Mājokļ</w:t>
      </w:r>
      <w:r w:rsidR="0081493E">
        <w:t>a</w:t>
      </w:r>
      <w:r w:rsidRPr="00381F09">
        <w:t xml:space="preserve"> </w:t>
      </w:r>
      <w:r w:rsidR="006569CD">
        <w:t>apstākļu raksturojumā izmantot</w:t>
      </w:r>
      <w:r w:rsidR="00830823">
        <w:t>ie</w:t>
      </w:r>
      <w:r w:rsidR="006569CD">
        <w:t xml:space="preserve"> </w:t>
      </w:r>
      <w:r w:rsidR="00830823">
        <w:t>termini</w:t>
      </w:r>
      <w:bookmarkEnd w:id="645"/>
    </w:p>
    <w:p w:rsidR="00343BC9" w:rsidRDefault="00381F09" w:rsidP="009C76E7">
      <w:r w:rsidRPr="003D3796">
        <w:t xml:space="preserve">Mājokļa </w:t>
      </w:r>
      <w:r w:rsidR="003D3796" w:rsidRPr="003D3796">
        <w:t>jomu raksturojoši</w:t>
      </w:r>
      <w:r w:rsidR="003D3796">
        <w:rPr>
          <w:b/>
        </w:rPr>
        <w:t xml:space="preserve"> </w:t>
      </w:r>
      <w:r w:rsidR="00830823">
        <w:rPr>
          <w:b/>
        </w:rPr>
        <w:t xml:space="preserve">statistiskas </w:t>
      </w:r>
      <w:r w:rsidRPr="009C76E7">
        <w:rPr>
          <w:b/>
        </w:rPr>
        <w:t>dati</w:t>
      </w:r>
      <w:r>
        <w:t xml:space="preserve"> </w:t>
      </w:r>
      <w:r w:rsidR="00830823">
        <w:rPr>
          <w:b/>
        </w:rPr>
        <w:t>ir</w:t>
      </w:r>
      <w:r w:rsidRPr="003D3796">
        <w:rPr>
          <w:b/>
        </w:rPr>
        <w:t xml:space="preserve"> iegūti EU-SILC apsekojumā</w:t>
      </w:r>
      <w:r w:rsidR="00AC31D1">
        <w:t xml:space="preserve"> (sīkāku informāciju par datiem sk. 1.</w:t>
      </w:r>
      <w:r w:rsidR="00950B38">
        <w:t xml:space="preserve"> </w:t>
      </w:r>
      <w:r w:rsidR="00AC31D1">
        <w:t>pielikumā</w:t>
      </w:r>
      <w:r w:rsidR="00906F8A">
        <w:t>)</w:t>
      </w:r>
      <w:r>
        <w:t xml:space="preserve">. </w:t>
      </w:r>
      <w:r w:rsidR="00830823">
        <w:t xml:space="preserve">Tā ietvaros mājoklis ir definēts kā „pastāvīgai dzīvošanai paredzēta viena vai vairākas dzīvojamās istabas (dzīvojamā māja, dzīvoklis daudzdzīvokļu mājā, istaba </w:t>
      </w:r>
      <w:r w:rsidR="00830823">
        <w:lastRenderedPageBreak/>
        <w:t>komunālajā dzīvoklī u. c.). Mājoklim parasti ir noteikta adrese”</w:t>
      </w:r>
      <w:r w:rsidR="00830823">
        <w:rPr>
          <w:rStyle w:val="FootnoteReference"/>
        </w:rPr>
        <w:footnoteReference w:id="319"/>
      </w:r>
      <w:r w:rsidR="00830823">
        <w:t>.</w:t>
      </w:r>
      <w:r w:rsidR="00316778">
        <w:t xml:space="preserve"> </w:t>
      </w:r>
      <w:r w:rsidR="00830823">
        <w:t>Mājokļa apstākļus raksturojošo d</w:t>
      </w:r>
      <w:r w:rsidR="00343BC9">
        <w:t xml:space="preserve">atu analīzē izmantoti šādi </w:t>
      </w:r>
      <w:r w:rsidR="00343BC9" w:rsidRPr="006569CD">
        <w:rPr>
          <w:b/>
        </w:rPr>
        <w:t>mājsaimniecību tipi</w:t>
      </w:r>
      <w:r w:rsidR="00343BC9">
        <w:t xml:space="preserve"> (atbilstoši CSP terminoloģijai) un to </w:t>
      </w:r>
      <w:r w:rsidR="006569CD">
        <w:t xml:space="preserve">Izvērtējumā lietotie </w:t>
      </w:r>
      <w:r w:rsidR="00343BC9">
        <w:t>alternatīvie apzīmējumi, kur atti</w:t>
      </w:r>
      <w:r w:rsidR="00FB1B05">
        <w:t>e</w:t>
      </w:r>
      <w:r w:rsidR="00343BC9">
        <w:t>cināms:</w:t>
      </w:r>
    </w:p>
    <w:p w:rsidR="00343BC9" w:rsidRDefault="00343BC9" w:rsidP="003F469F">
      <w:pPr>
        <w:pStyle w:val="ListParagraph"/>
        <w:numPr>
          <w:ilvl w:val="0"/>
          <w:numId w:val="145"/>
        </w:numPr>
        <w:jc w:val="both"/>
      </w:pPr>
      <w:r>
        <w:t>viens pieaugušais ar bērnu - nepilna ģimene;</w:t>
      </w:r>
    </w:p>
    <w:p w:rsidR="00343BC9" w:rsidRDefault="00343BC9" w:rsidP="003F469F">
      <w:pPr>
        <w:pStyle w:val="ListParagraph"/>
        <w:numPr>
          <w:ilvl w:val="0"/>
          <w:numId w:val="145"/>
        </w:numPr>
        <w:jc w:val="both"/>
      </w:pPr>
      <w:r>
        <w:t>pāris bez bērniem;</w:t>
      </w:r>
    </w:p>
    <w:p w:rsidR="00343BC9" w:rsidRDefault="00343BC9" w:rsidP="003F469F">
      <w:pPr>
        <w:pStyle w:val="ListParagraph"/>
        <w:numPr>
          <w:ilvl w:val="0"/>
          <w:numId w:val="145"/>
        </w:numPr>
        <w:jc w:val="both"/>
      </w:pPr>
      <w:r>
        <w:t>pāris ar bērniem</w:t>
      </w:r>
      <w:r w:rsidR="006569CD">
        <w:t xml:space="preserve"> līdz 17 gadiem (dalās atkarībā no bērnu skaita – </w:t>
      </w:r>
      <w:r w:rsidR="009E3FBF" w:rsidRPr="009E3FBF">
        <w:t>viens, divi vai trīs un vairāk</w:t>
      </w:r>
      <w:r w:rsidR="006569CD">
        <w:t>)</w:t>
      </w:r>
      <w:r>
        <w:t xml:space="preserve"> – ģimene ar bērniem</w:t>
      </w:r>
      <w:r w:rsidR="006569CD">
        <w:t xml:space="preserve"> (gadījumos, kur tas ir svarīgi, bērnu skaits ir norādīts)</w:t>
      </w:r>
      <w:r>
        <w:t>;</w:t>
      </w:r>
    </w:p>
    <w:p w:rsidR="00343BC9" w:rsidRDefault="006569CD" w:rsidP="003F469F">
      <w:pPr>
        <w:pStyle w:val="ListParagraph"/>
        <w:numPr>
          <w:ilvl w:val="0"/>
          <w:numId w:val="145"/>
        </w:numPr>
        <w:jc w:val="both"/>
      </w:pPr>
      <w:r>
        <w:t>pāris ar trīs un vairāk bērniem – daudzbērnu ģimene;</w:t>
      </w:r>
    </w:p>
    <w:p w:rsidR="006569CD" w:rsidRDefault="006569CD" w:rsidP="003F469F">
      <w:pPr>
        <w:pStyle w:val="ListParagraph"/>
        <w:numPr>
          <w:ilvl w:val="0"/>
          <w:numId w:val="145"/>
        </w:numPr>
        <w:jc w:val="both"/>
      </w:pPr>
      <w:r>
        <w:t>citas mājsaimnie</w:t>
      </w:r>
      <w:r w:rsidR="0072333C">
        <w:t>c</w:t>
      </w:r>
      <w:r>
        <w:t>ības ar bērniem;</w:t>
      </w:r>
    </w:p>
    <w:p w:rsidR="006569CD" w:rsidRDefault="006569CD" w:rsidP="003F469F">
      <w:pPr>
        <w:pStyle w:val="ListParagraph"/>
        <w:numPr>
          <w:ilvl w:val="0"/>
          <w:numId w:val="145"/>
        </w:numPr>
        <w:jc w:val="both"/>
      </w:pPr>
      <w:r>
        <w:t>citas mājsaimniecības bez bērniem;</w:t>
      </w:r>
    </w:p>
    <w:p w:rsidR="006569CD" w:rsidRDefault="006569CD" w:rsidP="003F469F">
      <w:pPr>
        <w:pStyle w:val="ListParagraph"/>
        <w:numPr>
          <w:ilvl w:val="0"/>
          <w:numId w:val="145"/>
        </w:numPr>
        <w:jc w:val="both"/>
      </w:pPr>
      <w:r>
        <w:t>vienas personas mājsaimniecība vecumā no 16 līdz 64 gadiem</w:t>
      </w:r>
      <w:r w:rsidR="00830823">
        <w:t xml:space="preserve"> – atsevišķi dzīvojošas </w:t>
      </w:r>
      <w:r w:rsidR="00CF705C">
        <w:t xml:space="preserve">pieaugušas </w:t>
      </w:r>
      <w:r w:rsidR="00830823">
        <w:t>personas</w:t>
      </w:r>
      <w:r w:rsidR="0072333C">
        <w:t xml:space="preserve"> (līdz pensijas vecumam)</w:t>
      </w:r>
      <w:r>
        <w:t>;</w:t>
      </w:r>
    </w:p>
    <w:p w:rsidR="006569CD" w:rsidRDefault="006569CD" w:rsidP="003F469F">
      <w:pPr>
        <w:pStyle w:val="ListParagraph"/>
        <w:numPr>
          <w:ilvl w:val="0"/>
          <w:numId w:val="145"/>
        </w:numPr>
        <w:jc w:val="both"/>
      </w:pPr>
      <w:r>
        <w:t>vienas personas mājsaimniecība vecumā virs 65 gadiem – vientuļie (tādā nozīm</w:t>
      </w:r>
      <w:r w:rsidR="008F0CC3">
        <w:t>ē</w:t>
      </w:r>
      <w:r>
        <w:t>, ka dzīvo vieni) vecāka gada gājuma pensionāri</w:t>
      </w:r>
      <w:r w:rsidR="00D55208">
        <w:t>; vientuļie seniori</w:t>
      </w:r>
      <w:r w:rsidR="0072333C">
        <w:t>, atsevišķi dzīvojoši seniori</w:t>
      </w:r>
      <w:r>
        <w:t>.</w:t>
      </w:r>
    </w:p>
    <w:p w:rsidR="006569CD" w:rsidRPr="00381F09" w:rsidRDefault="006569CD" w:rsidP="003945E0">
      <w:pPr>
        <w:pStyle w:val="Heading3"/>
      </w:pPr>
      <w:bookmarkStart w:id="646" w:name="_Toc6841631"/>
      <w:r w:rsidRPr="00381F09">
        <w:t>Mājokļ</w:t>
      </w:r>
      <w:r>
        <w:t>a</w:t>
      </w:r>
      <w:r w:rsidRPr="00381F09">
        <w:t xml:space="preserve"> </w:t>
      </w:r>
      <w:r>
        <w:t xml:space="preserve">vides </w:t>
      </w:r>
      <w:r w:rsidRPr="00381F09">
        <w:t>raksturojums</w:t>
      </w:r>
      <w:bookmarkEnd w:id="646"/>
    </w:p>
    <w:p w:rsidR="00AD66E6" w:rsidRDefault="00FB1B05" w:rsidP="00AD66E6">
      <w:r>
        <w:t>D</w:t>
      </w:r>
      <w:r w:rsidR="009C76E7">
        <w:t>at</w:t>
      </w:r>
      <w:r>
        <w:t>i</w:t>
      </w:r>
      <w:r w:rsidR="009C76E7">
        <w:t xml:space="preserve"> par </w:t>
      </w:r>
      <w:r w:rsidR="009C76E7" w:rsidRPr="009C76E7">
        <w:rPr>
          <w:b/>
        </w:rPr>
        <w:t>mājok</w:t>
      </w:r>
      <w:r>
        <w:rPr>
          <w:b/>
        </w:rPr>
        <w:t>ļa vidi</w:t>
      </w:r>
      <w:r w:rsidR="005C07F3">
        <w:t>, kas ir viens no pienācīgu mājokli raksturojošiem rādītājiem,</w:t>
      </w:r>
      <w:r>
        <w:t xml:space="preserve"> aptver šādus</w:t>
      </w:r>
      <w:r w:rsidR="009C76E7" w:rsidRPr="009C76E7">
        <w:rPr>
          <w:b/>
        </w:rPr>
        <w:t xml:space="preserve"> </w:t>
      </w:r>
      <w:r w:rsidR="009C76E7" w:rsidRPr="005C07F3">
        <w:t>faktor</w:t>
      </w:r>
      <w:r w:rsidR="005C07F3" w:rsidRPr="005C07F3">
        <w:t>us</w:t>
      </w:r>
      <w:r w:rsidR="005C07F3">
        <w:t xml:space="preserve">: </w:t>
      </w:r>
      <w:r w:rsidR="005C07F3" w:rsidRPr="005C07F3">
        <w:t>troksnis no kaimiņu dzīvokļiem, kāpņu telpas, ielas vai āra; vides piesārņojums; vardarbības un noziedzības līmenis dzīvesvietas apkārtnē</w:t>
      </w:r>
      <w:r w:rsidR="005C07F3">
        <w:t>.</w:t>
      </w:r>
      <w:r w:rsidR="005C07F3" w:rsidRPr="005C07F3">
        <w:t xml:space="preserve"> </w:t>
      </w:r>
      <w:r w:rsidR="00AD66E6" w:rsidRPr="009C76E7">
        <w:rPr>
          <w:b/>
        </w:rPr>
        <w:t>Troksni no kaimiņu dzīvokļiem, kāpņu telpas, ielas vai āra</w:t>
      </w:r>
      <w:r w:rsidR="00AD66E6" w:rsidRPr="00D030D0">
        <w:t xml:space="preserve"> </w:t>
      </w:r>
      <w:r w:rsidR="00AD66E6">
        <w:t xml:space="preserve">kā nozīmīgāko problēmu saistībā ar sava mājokļa vidi biežāk norādījušas atsevišķi dzīvojošas personas vecumā no 16 līdz 64 gadiem (sk. 3.3. attēlu). </w:t>
      </w:r>
    </w:p>
    <w:p w:rsidR="00AD66E6" w:rsidRDefault="00AD66E6" w:rsidP="00AD66E6"/>
    <w:p w:rsidR="00AD66E6" w:rsidRDefault="00AD66E6" w:rsidP="00AD66E6">
      <w:r>
        <w:t>Šajā grupā 2017. gadā to kā problēmu norādīja 17,1% mājsaimniecību. Lielākais samazinājums saistībā ar šo problēmu ir rādītājam, kas raksturo nepilno ģimeņu grupu – 2017. gadā 12,6% šāda tipa mājsaimniecību to atzina par problēmu, kas ir par 5,5 procentpunktiem mazāk nekā 2016. gadā, kad šis rādītājs bija 18,1%. Lielākais kāpums ir rādītājam, kas raksturo mājsaimniecību, kurā dzīvo viena persona, kurai ir 65 vai vairāk gadi – 2017. gadā 13,7% šāda tipa mājsaimniecību to atzina par problēmu, kas ir par 1,6 procentpunktiem vairāk nekā 2016. gadā, kad šis rādītājs bija 12,1%.</w:t>
      </w:r>
    </w:p>
    <w:p w:rsidR="00AD66E6" w:rsidRDefault="00AD66E6" w:rsidP="00AD66E6"/>
    <w:p w:rsidR="00AD66E6" w:rsidRDefault="00AD66E6" w:rsidP="00AD66E6">
      <w:r w:rsidRPr="0072333C">
        <w:rPr>
          <w:b/>
        </w:rPr>
        <w:t>Lauku un pilsētu</w:t>
      </w:r>
      <w:r>
        <w:t xml:space="preserve"> griezumā ar t</w:t>
      </w:r>
      <w:r w:rsidRPr="00FB680C">
        <w:t>roksni no kaimiņu dzīvokļiem, kāpņu telpas, ielas vai āra</w:t>
      </w:r>
      <w:r>
        <w:t xml:space="preserve"> biežāk saskaras mājsaimniecības, kuras atrodas pilsētās. 2017. gadā 17,2% no pilsētu mājsaimniecībām norādīja, ka tām problēmas sagādā troksnis, kamēr laukos ar šo problēmu saskaras par 8,7 procentpunktiem mazāk mājsaimniecību – 8,5%, kas gan, salīdzinot ar 2016. gadu, ir kāpums par 1,3 procentpunktiem, un tā ir pirmā reize kopš 2014./2015. gada, kad šis rādītājs ir pieaudzis.</w:t>
      </w:r>
      <w:r w:rsidRPr="000E0AC7">
        <w:t xml:space="preserve"> </w:t>
      </w:r>
      <w:r>
        <w:t>Skatoties laika periodā no 2009. gada līdz 2017. gadam, pilsētās katru gadu šī problēma bijusi aktuālāka, mainījusies tikai procentuālā atšķirība starp šīs problēmas novērtējumu laukos un pilsētās. Vidēji pilsētās ar šo problēmu saskaras par 10,2 procentpunktiem vairāk mājsaimniecību.</w:t>
      </w:r>
    </w:p>
    <w:p w:rsidR="00AD66E6" w:rsidRDefault="00AD66E6" w:rsidP="00AD66E6"/>
    <w:p w:rsidR="00381F09" w:rsidRPr="000773E3" w:rsidRDefault="00AD3EDD" w:rsidP="00A46B54">
      <w:pPr>
        <w:pStyle w:val="Caption"/>
      </w:pPr>
      <w:r>
        <w:lastRenderedPageBreak/>
        <w:fldChar w:fldCharType="begin"/>
      </w:r>
      <w:r w:rsidR="000F1524">
        <w:instrText xml:space="preserve"> STYLEREF 1 \s </w:instrText>
      </w:r>
      <w:r>
        <w:fldChar w:fldCharType="separate"/>
      </w:r>
      <w:bookmarkStart w:id="647" w:name="_Toc6855818"/>
      <w:r w:rsidR="00224B50">
        <w:rPr>
          <w:noProof/>
        </w:rPr>
        <w:t>3</w:t>
      </w:r>
      <w:r>
        <w:rPr>
          <w:noProof/>
        </w:rPr>
        <w:fldChar w:fldCharType="end"/>
      </w:r>
      <w:r w:rsidR="006B5456">
        <w:t>.</w:t>
      </w:r>
      <w:r>
        <w:fldChar w:fldCharType="begin"/>
      </w:r>
      <w:r w:rsidR="000F1524">
        <w:instrText xml:space="preserve"> SEQ Ilustrācija \* ARABIC \s 1 </w:instrText>
      </w:r>
      <w:r>
        <w:fldChar w:fldCharType="separate"/>
      </w:r>
      <w:r w:rsidR="00224B50">
        <w:rPr>
          <w:noProof/>
        </w:rPr>
        <w:t>3</w:t>
      </w:r>
      <w:r>
        <w:rPr>
          <w:noProof/>
        </w:rPr>
        <w:fldChar w:fldCharType="end"/>
      </w:r>
      <w:r w:rsidR="00381F09">
        <w:t>.</w:t>
      </w:r>
      <w:r w:rsidR="00381F09" w:rsidRPr="00381F09">
        <w:t>attēls</w:t>
      </w:r>
      <w:r w:rsidR="00381F09">
        <w:t xml:space="preserve">. </w:t>
      </w:r>
      <w:r w:rsidR="00381F09" w:rsidRPr="00381F09">
        <w:t xml:space="preserve">Mājsaimniecību īpatsvars, kas norādījušas atsevišķas problēmas saistībā ar sava mājokļa vidi. Problēma </w:t>
      </w:r>
      <w:r w:rsidR="00381F09">
        <w:t>–</w:t>
      </w:r>
      <w:r w:rsidR="00381F09" w:rsidRPr="00381F09">
        <w:t xml:space="preserve"> troksnis no kaimiņu dzīvokļie</w:t>
      </w:r>
      <w:r w:rsidR="00527896">
        <w:t>m, kāpņu telpas, ielas vai āra (m</w:t>
      </w:r>
      <w:r w:rsidR="00381F09" w:rsidRPr="00381F09">
        <w:t>ājsaimniecību tipi</w:t>
      </w:r>
      <w:r w:rsidR="00527896">
        <w:t xml:space="preserve">, </w:t>
      </w:r>
      <w:r w:rsidR="009C76E7">
        <w:t>%)</w:t>
      </w:r>
      <w:bookmarkEnd w:id="647"/>
    </w:p>
    <w:p w:rsidR="00381F09" w:rsidRDefault="001875FB" w:rsidP="00064C1E">
      <w:r w:rsidRPr="001875FB">
        <w:rPr>
          <w:noProof/>
        </w:rPr>
        <w:drawing>
          <wp:inline distT="0" distB="0" distL="0" distR="0">
            <wp:extent cx="6154420" cy="3929303"/>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srcRect/>
                    <a:stretch>
                      <a:fillRect/>
                    </a:stretch>
                  </pic:blipFill>
                  <pic:spPr bwMode="auto">
                    <a:xfrm>
                      <a:off x="0" y="0"/>
                      <a:ext cx="6154420" cy="3929303"/>
                    </a:xfrm>
                    <a:prstGeom prst="rect">
                      <a:avLst/>
                    </a:prstGeom>
                    <a:noFill/>
                    <a:ln w="9525">
                      <a:noFill/>
                      <a:miter lim="800000"/>
                      <a:headEnd/>
                      <a:tailEnd/>
                    </a:ln>
                  </pic:spPr>
                </pic:pic>
              </a:graphicData>
            </a:graphic>
          </wp:inline>
        </w:drawing>
      </w:r>
    </w:p>
    <w:p w:rsidR="0072333C" w:rsidRPr="00527896" w:rsidRDefault="00527896" w:rsidP="00F74C2D">
      <w:pPr>
        <w:rPr>
          <w:sz w:val="20"/>
          <w:szCs w:val="20"/>
        </w:rPr>
      </w:pPr>
      <w:r w:rsidRPr="00527896">
        <w:rPr>
          <w:sz w:val="20"/>
          <w:szCs w:val="20"/>
        </w:rPr>
        <w:t>Avots: CSP, “MTG010. Mājsaimniecību īpatsvars, kas norādījušas atsevišķas problēmas saistībā ar sava mājokļa vidi (%)”.</w:t>
      </w:r>
    </w:p>
    <w:p w:rsidR="00527896" w:rsidRDefault="00527896" w:rsidP="00F74C2D"/>
    <w:p w:rsidR="00AD66E6" w:rsidRDefault="00AD66E6" w:rsidP="00AD66E6">
      <w:r w:rsidRPr="0072333C">
        <w:rPr>
          <w:b/>
        </w:rPr>
        <w:t>Reģionu griezumā</w:t>
      </w:r>
      <w:r>
        <w:t xml:space="preserve"> ar t</w:t>
      </w:r>
      <w:r w:rsidRPr="00FB680C">
        <w:t xml:space="preserve">roksni </w:t>
      </w:r>
      <w:r>
        <w:t>biežāk saskaras mājsaimniecības, kuras atrodas Rīgā – 20,6%, kamēr Pierīgā tie ir 9,5%, kas ir zemākais rādītājs reģionu griezumā. Samērā liels skaits mājsaimniecību ar šo problēmu saskaras arī Latgales reģionā (15,2% mājsaimniecības). Salīdzinot ar 2016. gadu, lielākais šīs problēmas pieaugums vērojams Kurzemes reģionā, kur 11,7% mājsaimniecības norādījušas to kā problēmu, kamēr 2016. gadā tās bija 7,8% mājsaimniecības. Tas nozīmē, ka šis rādītājs pieaudzis par 3,9 procentpunktiem. 2017. gadā 11,6% Zemgales reģiona mājsaimniecību troksni uzskatīja par problēmu, kas ir kritums par 2,8 procentpunktiem, kas, salīdzinot ar šiem pašiem rādītājiem citos reģionos, bija lielākais kritums.</w:t>
      </w:r>
    </w:p>
    <w:p w:rsidR="00AD66E6" w:rsidRDefault="00AD66E6" w:rsidP="0072333C"/>
    <w:p w:rsidR="0072333C" w:rsidRDefault="0072333C" w:rsidP="0072333C">
      <w:r w:rsidRPr="009A20EC">
        <w:t xml:space="preserve">Apkārtējās </w:t>
      </w:r>
      <w:r w:rsidRPr="009C76E7">
        <w:rPr>
          <w:b/>
        </w:rPr>
        <w:t>vides piesārņojums</w:t>
      </w:r>
      <w:r w:rsidRPr="009A20EC">
        <w:t>, putekļ</w:t>
      </w:r>
      <w:r>
        <w:t>u</w:t>
      </w:r>
      <w:r w:rsidRPr="009A20EC">
        <w:t xml:space="preserve"> un/vai cit</w:t>
      </w:r>
      <w:r>
        <w:t>u</w:t>
      </w:r>
      <w:r w:rsidRPr="009A20EC">
        <w:t xml:space="preserve"> vides problēm</w:t>
      </w:r>
      <w:r>
        <w:t>u</w:t>
      </w:r>
      <w:r w:rsidRPr="009A20EC">
        <w:t xml:space="preserve"> </w:t>
      </w:r>
      <w:r>
        <w:t xml:space="preserve">saistību ar sava mājokļa vidi (sk. </w:t>
      </w:r>
      <w:r w:rsidR="00AD66E6">
        <w:t>3.4</w:t>
      </w:r>
      <w:r>
        <w:t xml:space="preserve">. attēlu) biežāk kā problēmu norādījušas daudzbērnu ģimenes (2017. gadā to kā problēmu norādīja 17,1%). </w:t>
      </w:r>
    </w:p>
    <w:p w:rsidR="0072333C" w:rsidRDefault="0072333C" w:rsidP="0072333C"/>
    <w:p w:rsidR="0072333C" w:rsidRDefault="007A526C" w:rsidP="0072333C">
      <w:r>
        <w:t>Lielākais samazinājums</w:t>
      </w:r>
      <w:r w:rsidR="0072333C">
        <w:t xml:space="preserve"> </w:t>
      </w:r>
      <w:r>
        <w:t>ir</w:t>
      </w:r>
      <w:r w:rsidR="0072333C">
        <w:t xml:space="preserve"> nepilno ģimeņu situāciju</w:t>
      </w:r>
      <w:r>
        <w:t xml:space="preserve"> raksturojošajam rādītājam par vides piesārņojuma problēmas esamību</w:t>
      </w:r>
      <w:r w:rsidR="0072333C">
        <w:t xml:space="preserve">  – 2017. gadā 15,2% šāda tipa mājsaimniecību to uzskatīja par problēmu, kas ir par 4,2 procentpunktiem mazāk nekā 2016. gadā, kad šis rādītājs bija 19,4%. Savukārt lielākais šī rādītāja kāpums vērojams ģimeņu ar diviem bērniem grupā – 2017. gadā 20,7% </w:t>
      </w:r>
      <w:r w:rsidR="0072333C">
        <w:lastRenderedPageBreak/>
        <w:t>no šādām ģimenēm to sauca par problēmu, kas ir par 6,4 procentpunktiem vairāk nekā 2016. gadā, kad šis rādītājs bija 14,3%.</w:t>
      </w:r>
    </w:p>
    <w:p w:rsidR="00381F09" w:rsidRPr="000773E3" w:rsidRDefault="00AD3EDD" w:rsidP="00A46B54">
      <w:pPr>
        <w:pStyle w:val="Caption"/>
      </w:pPr>
      <w:r>
        <w:fldChar w:fldCharType="begin"/>
      </w:r>
      <w:r w:rsidR="000F1524">
        <w:instrText xml:space="preserve"> STYLEREF 1 \s </w:instrText>
      </w:r>
      <w:r>
        <w:fldChar w:fldCharType="separate"/>
      </w:r>
      <w:bookmarkStart w:id="648" w:name="_Toc6855819"/>
      <w:r w:rsidR="00224B50">
        <w:rPr>
          <w:noProof/>
        </w:rPr>
        <w:t>3</w:t>
      </w:r>
      <w:r>
        <w:rPr>
          <w:noProof/>
        </w:rPr>
        <w:fldChar w:fldCharType="end"/>
      </w:r>
      <w:r w:rsidR="006B5456">
        <w:t>.</w:t>
      </w:r>
      <w:r>
        <w:fldChar w:fldCharType="begin"/>
      </w:r>
      <w:r w:rsidR="000F1524">
        <w:instrText xml:space="preserve"> SEQ Ilustrācija \* ARABIC \s 1 </w:instrText>
      </w:r>
      <w:r>
        <w:fldChar w:fldCharType="separate"/>
      </w:r>
      <w:r w:rsidR="00224B50">
        <w:rPr>
          <w:noProof/>
        </w:rPr>
        <w:t>4</w:t>
      </w:r>
      <w:r>
        <w:rPr>
          <w:noProof/>
        </w:rPr>
        <w:fldChar w:fldCharType="end"/>
      </w:r>
      <w:r w:rsidR="00043A69">
        <w:t>.</w:t>
      </w:r>
      <w:r w:rsidR="00381F09" w:rsidRPr="00043A69">
        <w:t>attēls</w:t>
      </w:r>
      <w:r w:rsidR="00381F09">
        <w:t xml:space="preserve">. </w:t>
      </w:r>
      <w:r w:rsidR="00381F09" w:rsidRPr="00043A69">
        <w:t xml:space="preserve">Mājsaimniecību īpatsvars, kas norādījušas atsevišķas problēmas saistībā ar sava mājokļa vidi. Problēma </w:t>
      </w:r>
      <w:r w:rsidR="00043A69">
        <w:t>–</w:t>
      </w:r>
      <w:r w:rsidR="00381F09" w:rsidRPr="00043A69">
        <w:t xml:space="preserve"> apkārtējās vides piesārņojums, putekļi un/vai citas vides problēmas dzīvesvietas tuvumā</w:t>
      </w:r>
      <w:r w:rsidR="00527896">
        <w:t xml:space="preserve"> (m</w:t>
      </w:r>
      <w:r w:rsidR="00381F09" w:rsidRPr="00043A69">
        <w:t>ājsaimniecību tipi</w:t>
      </w:r>
      <w:r w:rsidR="00527896">
        <w:t>, %)</w:t>
      </w:r>
      <w:bookmarkEnd w:id="648"/>
    </w:p>
    <w:p w:rsidR="00381F09" w:rsidRDefault="002478A6" w:rsidP="00064C1E">
      <w:r w:rsidRPr="002478A6">
        <w:rPr>
          <w:noProof/>
        </w:rPr>
        <w:drawing>
          <wp:inline distT="0" distB="0" distL="0" distR="0">
            <wp:extent cx="6154420" cy="4393788"/>
            <wp:effectExtent l="19050" t="0" r="0" b="0"/>
            <wp:docPr id="159"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0"/>
                    <a:srcRect/>
                    <a:stretch>
                      <a:fillRect/>
                    </a:stretch>
                  </pic:blipFill>
                  <pic:spPr bwMode="auto">
                    <a:xfrm>
                      <a:off x="0" y="0"/>
                      <a:ext cx="6154420" cy="4393788"/>
                    </a:xfrm>
                    <a:prstGeom prst="rect">
                      <a:avLst/>
                    </a:prstGeom>
                    <a:noFill/>
                    <a:ln w="9525">
                      <a:noFill/>
                      <a:miter lim="800000"/>
                      <a:headEnd/>
                      <a:tailEnd/>
                    </a:ln>
                  </pic:spPr>
                </pic:pic>
              </a:graphicData>
            </a:graphic>
          </wp:inline>
        </w:drawing>
      </w:r>
    </w:p>
    <w:p w:rsidR="00906F8A" w:rsidRPr="00527896" w:rsidRDefault="00527896" w:rsidP="005C07F3">
      <w:pPr>
        <w:rPr>
          <w:sz w:val="20"/>
          <w:szCs w:val="20"/>
        </w:rPr>
      </w:pPr>
      <w:r w:rsidRPr="00527896">
        <w:rPr>
          <w:sz w:val="20"/>
          <w:szCs w:val="20"/>
        </w:rPr>
        <w:t>Avots: CSP, “MTG010. Mājsaimniecību īpatsvars, kas norādījušas atsevišķas problēmas saistībā ar sava mājokļa vidi (%)”.</w:t>
      </w:r>
    </w:p>
    <w:p w:rsidR="00527896" w:rsidRDefault="00527896" w:rsidP="005C07F3"/>
    <w:p w:rsidR="00AD66E6" w:rsidRDefault="00AD66E6" w:rsidP="00AD66E6">
      <w:r>
        <w:t>Apkārtējās vides piesārņojuma problēma pilsētās no 2009. gada līdz 2017. gadam konsekventi bijusi augstāka. 2017. gadā 18,8% pilsētu mājsaimniecību to sauca par problēmu. Lai gan, salīdzinot ar 2016. gadu, tas ir kritums par 0,4 procentpunktiem, taču tas tāpat ir vairāk nekā lauku mājsaimniecību gadījumā, kuras vides piesārņojumu uzskata par problēmu – 15,9%. Būtiski gan piebilst, ka laukos šis rādītājs, salīdzinot ar 2016. gadu, ir pieaudzis par 3,8 procentpunktiem, kas ir pirmais gads kopš 2014./2015. gada, kad šim rādītājam ir tendence pieaugt.</w:t>
      </w:r>
      <w:r w:rsidRPr="000E0AC7">
        <w:t xml:space="preserve"> </w:t>
      </w:r>
      <w:r>
        <w:t>Skatoties periodā no 2009. gada līdz 2017. gadam, pilsētās katru gadu šī problēma bijusi aktuālāka, mainījusies tikai procentuālā atšķirība starp šīs problēmas novērtējumu laukos un pilsētās. Vidēji pilsētās ar šo problēmu saskaras par 7,6% vairāk mājsaimniecību.</w:t>
      </w:r>
    </w:p>
    <w:p w:rsidR="00AD66E6" w:rsidRDefault="00AD66E6" w:rsidP="00AD66E6"/>
    <w:p w:rsidR="00381F09" w:rsidRDefault="00381F09" w:rsidP="00064C1E">
      <w:r>
        <w:t>Reģionu griezumā apkārtējā piesārņojuma problēma nozīmīga bijusi Kurzemes (25,5%) un Rīgas (21,6</w:t>
      </w:r>
      <w:r w:rsidR="003A47BC">
        <w:t>%</w:t>
      </w:r>
      <w:r>
        <w:t>) reģionu mājsaimniecīb</w:t>
      </w:r>
      <w:r w:rsidR="003C634F">
        <w:t>ām</w:t>
      </w:r>
      <w:r>
        <w:t xml:space="preserve">, bet vismazāk tā ietekmējusi Pierīgas reģiona mājsaimniecības – 9,5%. Svarīgi gan </w:t>
      </w:r>
      <w:r w:rsidR="003C634F">
        <w:t>piebilst</w:t>
      </w:r>
      <w:r>
        <w:t>, ka Rīgas reģionā š</w:t>
      </w:r>
      <w:r w:rsidR="003C634F">
        <w:t>i</w:t>
      </w:r>
      <w:r>
        <w:t xml:space="preserve">s rādītājs, salīdzinot ar 2016. gadu, ir krities </w:t>
      </w:r>
      <w:r>
        <w:lastRenderedPageBreak/>
        <w:t>visstraujāk – par 2,3</w:t>
      </w:r>
      <w:r w:rsidR="003C634F">
        <w:t xml:space="preserve"> procentpunktiem</w:t>
      </w:r>
      <w:r>
        <w:t>, kamēr Zemgalē par 1,9</w:t>
      </w:r>
      <w:r w:rsidR="003C634F">
        <w:t xml:space="preserve"> procentpunktiem</w:t>
      </w:r>
      <w:r>
        <w:t>, bet Latgalē – 0,4</w:t>
      </w:r>
      <w:r w:rsidR="003C634F">
        <w:t xml:space="preserve"> procentpunktiem</w:t>
      </w:r>
      <w:r>
        <w:t>. Salīdzinot ar 2016. gadu, ievērojam</w:t>
      </w:r>
      <w:r w:rsidR="00963FB4">
        <w:t>s</w:t>
      </w:r>
      <w:r>
        <w:t xml:space="preserve"> </w:t>
      </w:r>
      <w:r w:rsidR="00963FB4">
        <w:t xml:space="preserve">šī rādītāja </w:t>
      </w:r>
      <w:r>
        <w:t>kāpum</w:t>
      </w:r>
      <w:r w:rsidR="00963FB4">
        <w:t>s</w:t>
      </w:r>
      <w:r>
        <w:t xml:space="preserve"> </w:t>
      </w:r>
      <w:r w:rsidR="00963FB4">
        <w:t>ir</w:t>
      </w:r>
      <w:r>
        <w:t xml:space="preserve"> Kurzemes reģionā, kur tas </w:t>
      </w:r>
      <w:r w:rsidR="00963FB4">
        <w:t>palielinājies</w:t>
      </w:r>
      <w:r>
        <w:t xml:space="preserve"> par 10,3</w:t>
      </w:r>
      <w:r w:rsidR="00963FB4">
        <w:t xml:space="preserve"> procentpunktiem</w:t>
      </w:r>
      <w:r>
        <w:t xml:space="preserve"> un sasniedzies jau iepriekš minētos 25,5%, šī tendence ir būtiska, jo 2016. gadā Kurzemes reģions nebija tas, kurā šī problēma bija visnozīmīgākā, jo to apsteidza Rīgas, Zemgales</w:t>
      </w:r>
      <w:r w:rsidR="003C634F">
        <w:t xml:space="preserve"> un</w:t>
      </w:r>
      <w:r>
        <w:t xml:space="preserve"> Latgales reģioni.</w:t>
      </w:r>
    </w:p>
    <w:p w:rsidR="00381F09" w:rsidRDefault="00381F09" w:rsidP="00064C1E"/>
    <w:p w:rsidR="002B7499" w:rsidRDefault="00381F09" w:rsidP="00064C1E">
      <w:r w:rsidRPr="009C76E7">
        <w:rPr>
          <w:b/>
        </w:rPr>
        <w:t>Vardarbības</w:t>
      </w:r>
      <w:r w:rsidR="003C634F" w:rsidRPr="009C76E7">
        <w:rPr>
          <w:b/>
        </w:rPr>
        <w:t xml:space="preserve"> un noziedzības līmeni </w:t>
      </w:r>
      <w:r w:rsidRPr="009C76E7">
        <w:rPr>
          <w:b/>
        </w:rPr>
        <w:t>dzīvesvietas apkārtnē</w:t>
      </w:r>
      <w:r>
        <w:t xml:space="preserve"> kā nozīmīgāko problēmu</w:t>
      </w:r>
      <w:r w:rsidR="003A47BC">
        <w:t xml:space="preserve"> (</w:t>
      </w:r>
      <w:r w:rsidR="00922A20">
        <w:t xml:space="preserve">sk. </w:t>
      </w:r>
      <w:r w:rsidR="00AD66E6">
        <w:t>3.5</w:t>
      </w:r>
      <w:r w:rsidR="00922A20">
        <w:t>. attēlu</w:t>
      </w:r>
      <w:r w:rsidR="003A47BC">
        <w:t>)</w:t>
      </w:r>
      <w:r>
        <w:t xml:space="preserve"> saistībā ar sava mājokļa vidi biežāk norādījušas </w:t>
      </w:r>
      <w:r w:rsidR="00CF705C">
        <w:t>nepilnās ģimenes</w:t>
      </w:r>
      <w:r w:rsidR="003C634F">
        <w:t>.</w:t>
      </w:r>
      <w:r>
        <w:t xml:space="preserve"> </w:t>
      </w:r>
      <w:r w:rsidR="003C634F">
        <w:t>Š</w:t>
      </w:r>
      <w:r>
        <w:t xml:space="preserve">ajā grupā 2017. gadā </w:t>
      </w:r>
      <w:r w:rsidR="003C634F">
        <w:t>t</w:t>
      </w:r>
      <w:r>
        <w:t xml:space="preserve">o kā problēmu norādīja 11,2% mājsaimniecību. </w:t>
      </w:r>
    </w:p>
    <w:p w:rsidR="00381F09" w:rsidRPr="003A47BC" w:rsidRDefault="00AD3EDD" w:rsidP="00A46B54">
      <w:pPr>
        <w:pStyle w:val="Caption"/>
      </w:pPr>
      <w:r>
        <w:fldChar w:fldCharType="begin"/>
      </w:r>
      <w:r w:rsidR="000F1524">
        <w:instrText xml:space="preserve"> STYLEREF 1 \s </w:instrText>
      </w:r>
      <w:r>
        <w:fldChar w:fldCharType="separate"/>
      </w:r>
      <w:bookmarkStart w:id="649" w:name="_Toc6855820"/>
      <w:r w:rsidR="00224B50">
        <w:rPr>
          <w:noProof/>
        </w:rPr>
        <w:t>3</w:t>
      </w:r>
      <w:r>
        <w:rPr>
          <w:noProof/>
        </w:rPr>
        <w:fldChar w:fldCharType="end"/>
      </w:r>
      <w:r w:rsidR="006B5456">
        <w:t>.</w:t>
      </w:r>
      <w:r>
        <w:fldChar w:fldCharType="begin"/>
      </w:r>
      <w:r w:rsidR="000F1524">
        <w:instrText xml:space="preserve"> SEQ Ilustrācija \* ARABIC \s 1 </w:instrText>
      </w:r>
      <w:r>
        <w:fldChar w:fldCharType="separate"/>
      </w:r>
      <w:r w:rsidR="00224B50">
        <w:rPr>
          <w:noProof/>
        </w:rPr>
        <w:t>5</w:t>
      </w:r>
      <w:r>
        <w:rPr>
          <w:noProof/>
        </w:rPr>
        <w:fldChar w:fldCharType="end"/>
      </w:r>
      <w:r w:rsidR="003A47BC">
        <w:t>.</w:t>
      </w:r>
      <w:r w:rsidR="00381F09" w:rsidRPr="003A47BC">
        <w:t>attēls</w:t>
      </w:r>
      <w:r w:rsidR="00381F09">
        <w:t xml:space="preserve">. </w:t>
      </w:r>
      <w:r w:rsidR="00381F09" w:rsidRPr="003A47BC">
        <w:t xml:space="preserve">Mājsaimniecību īpatsvars, kas norādījušas atsevišķas problēmas saistībā ar sava mājokļa vidi. Problēma </w:t>
      </w:r>
      <w:r w:rsidR="003A47BC">
        <w:t>–</w:t>
      </w:r>
      <w:r w:rsidR="00381F09" w:rsidRPr="003A47BC">
        <w:t xml:space="preserve"> vardarbība un noziedzība</w:t>
      </w:r>
      <w:r w:rsidR="00581E31">
        <w:t>s līmenis dzīvesvietas apkārtnē (m</w:t>
      </w:r>
      <w:r w:rsidR="00381F09" w:rsidRPr="003A47BC">
        <w:t>ājsaimniecību tipi</w:t>
      </w:r>
      <w:r w:rsidR="00581E31">
        <w:t xml:space="preserve">, </w:t>
      </w:r>
      <w:r w:rsidR="000F4558">
        <w:t>%)</w:t>
      </w:r>
      <w:bookmarkEnd w:id="649"/>
      <w:r w:rsidR="00581E31">
        <w:t xml:space="preserve"> </w:t>
      </w:r>
    </w:p>
    <w:p w:rsidR="009C76E7" w:rsidRDefault="002478A6" w:rsidP="009C76E7">
      <w:r w:rsidRPr="002478A6">
        <w:rPr>
          <w:noProof/>
        </w:rPr>
        <w:drawing>
          <wp:inline distT="0" distB="0" distL="0" distR="0">
            <wp:extent cx="6154420" cy="3606858"/>
            <wp:effectExtent l="19050" t="0" r="0" b="0"/>
            <wp:docPr id="160"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1"/>
                    <a:srcRect/>
                    <a:stretch>
                      <a:fillRect/>
                    </a:stretch>
                  </pic:blipFill>
                  <pic:spPr bwMode="auto">
                    <a:xfrm>
                      <a:off x="0" y="0"/>
                      <a:ext cx="6154420" cy="3606858"/>
                    </a:xfrm>
                    <a:prstGeom prst="rect">
                      <a:avLst/>
                    </a:prstGeom>
                    <a:noFill/>
                    <a:ln w="9525">
                      <a:noFill/>
                      <a:miter lim="800000"/>
                      <a:headEnd/>
                      <a:tailEnd/>
                    </a:ln>
                  </pic:spPr>
                </pic:pic>
              </a:graphicData>
            </a:graphic>
          </wp:inline>
        </w:drawing>
      </w:r>
    </w:p>
    <w:p w:rsidR="0072333C" w:rsidRPr="00581E31" w:rsidRDefault="00527896" w:rsidP="009C76E7">
      <w:pPr>
        <w:rPr>
          <w:sz w:val="20"/>
          <w:szCs w:val="20"/>
        </w:rPr>
      </w:pPr>
      <w:r w:rsidRPr="00581E31">
        <w:rPr>
          <w:sz w:val="20"/>
          <w:szCs w:val="20"/>
        </w:rPr>
        <w:t>Avots:</w:t>
      </w:r>
      <w:r w:rsidR="00581E31" w:rsidRPr="00581E31">
        <w:rPr>
          <w:sz w:val="20"/>
          <w:szCs w:val="20"/>
        </w:rPr>
        <w:t xml:space="preserve"> CSP, “MTG010. Mājsaimniecību īpatsvars, kas norādījušas atsevišķas problēmas saistībā ar sava mājokļa vidi (%)”.</w:t>
      </w:r>
    </w:p>
    <w:p w:rsidR="00527896" w:rsidRDefault="00527896" w:rsidP="009C76E7"/>
    <w:p w:rsidR="009C76E7" w:rsidRDefault="009C76E7" w:rsidP="009C76E7">
      <w:r>
        <w:t xml:space="preserve">Lielāko samazinājumu saistībā ar šo problēmu piedzīvojis rādītājs, kas raksturo </w:t>
      </w:r>
      <w:r w:rsidR="00CF705C">
        <w:t>ģimeņu</w:t>
      </w:r>
      <w:r>
        <w:t xml:space="preserve"> ar diviem bērniem</w:t>
      </w:r>
      <w:r w:rsidR="00CF705C">
        <w:t xml:space="preserve"> situāciju. </w:t>
      </w:r>
      <w:r>
        <w:t xml:space="preserve">2017. gadā 15,2% šāda tipa mājsaimniecību to </w:t>
      </w:r>
      <w:r w:rsidR="00CF705C">
        <w:t>uzskatīja</w:t>
      </w:r>
      <w:r>
        <w:t xml:space="preserve"> par problēmu, kas ir par 4,2</w:t>
      </w:r>
      <w:r w:rsidR="00CF705C">
        <w:t xml:space="preserve"> </w:t>
      </w:r>
      <w:r>
        <w:t xml:space="preserve">procentpunktiem mazāk nekā 2016. gadā, kad šis rādītājs bija 19,4%. Lielākais </w:t>
      </w:r>
      <w:r w:rsidR="00CF705C">
        <w:t xml:space="preserve">šī rādītāja </w:t>
      </w:r>
      <w:r>
        <w:t xml:space="preserve">kāpums </w:t>
      </w:r>
      <w:r w:rsidR="00CF705C">
        <w:t xml:space="preserve">ir daudzbērnu ģimeņu grupā </w:t>
      </w:r>
      <w:r>
        <w:t>- 2017. gadā 10,9% šāda tipa mājsaimniecību to sauca par problēmu, kas ir par 2,5 procentpunktiem vairāk nekā 2016. gadā, kad šis rādītājs bija 8,4%.</w:t>
      </w:r>
    </w:p>
    <w:p w:rsidR="009C76E7" w:rsidRDefault="009C76E7" w:rsidP="009C76E7"/>
    <w:p w:rsidR="009C76E7" w:rsidRDefault="009C76E7" w:rsidP="009C76E7">
      <w:r>
        <w:t>Lauku un pilsētu griezumā ir vērojama salīdzinoši liela atšķirība šajā radītājā (vardarbības un noziedzības līmenis mājokļa apkārtnē). Tā 2017. gadā 10,6% pilsētas mājsaimniecības norādījušas, ka vardarbības un noziedzības līmenis mājokļa apkārtnē ir problēma, kamēr laukos šādu vērtējumu sniedza 3,3% mājsaimniecību, kas ir par 7,3</w:t>
      </w:r>
      <w:r w:rsidR="00C01573">
        <w:t xml:space="preserve"> </w:t>
      </w:r>
      <w:r>
        <w:t xml:space="preserve">procentpunktiem mazāk. Salīdzinot ar 2016. gadu, </w:t>
      </w:r>
      <w:r>
        <w:lastRenderedPageBreak/>
        <w:t>pilsētās šis rādītājs ir krities par 2,8 procentpunktiem, kamēr laukos nedaudz kāpis – par 0,2 procentpunktiem. Skatoties laika periodā no 2009. gada līdz 2017. gadam, pilsētās katru gadu šī problēma bijusi aktuālāka, mainījusies tikai procentuālā atšķirība starp šīs problēmas novērtējumu laukos un pilsētās. Vidēji pilsētās ar šo problēmu saskaras par 10,4 procentpunktiem vairāk mājsaimniecību.</w:t>
      </w:r>
    </w:p>
    <w:p w:rsidR="009C76E7" w:rsidRDefault="009C76E7" w:rsidP="009C76E7">
      <w:pPr>
        <w:pStyle w:val="ListParagraph"/>
        <w:spacing w:line="276" w:lineRule="auto"/>
        <w:ind w:left="0"/>
      </w:pPr>
    </w:p>
    <w:p w:rsidR="009C76E7" w:rsidRDefault="009C76E7" w:rsidP="009C76E7">
      <w:pPr>
        <w:pStyle w:val="ListParagraph"/>
        <w:spacing w:line="276" w:lineRule="auto"/>
        <w:ind w:left="0"/>
        <w:jc w:val="both"/>
      </w:pPr>
      <w:r>
        <w:t>Ar vardarbību un noziedzību visvairāk saskaras Rīgas reģiona (13,5%) un Latgales reģiona (8,4%) mājsaimniecības, savukārt vismazāk – Vidzemes reģiona mājsaimniecības – 2,1%. Rīgā šī problēma laika posmā no 2009.</w:t>
      </w:r>
      <w:r w:rsidR="00F74B8F">
        <w:t xml:space="preserve"> gada</w:t>
      </w:r>
      <w:r>
        <w:t xml:space="preserve"> līdz 2017. gadam bijusi aktuālāka nekā citos reģionos, tomēr 2017. gadā, salīdzinot ar 2016. gadu, tā ir kritusies par 6,1 procentpunktiem, kas ir lielākais šī rādītāja kritums, salīdzinot ar pārējiem reģioniem, kur tas ir nedaudz kāpis, kā Latgales reģionā par 1,6 procentpunktiem, vai nedaudz krities, kā Kurzemes un Zemgales reģionos, par 0,6 procentpunktiem.</w:t>
      </w:r>
    </w:p>
    <w:p w:rsidR="00095A56" w:rsidRPr="00381F09" w:rsidRDefault="00095A56" w:rsidP="003945E0">
      <w:pPr>
        <w:pStyle w:val="Heading3"/>
      </w:pPr>
      <w:bookmarkStart w:id="650" w:name="_Toc6841632"/>
      <w:r w:rsidRPr="00381F09">
        <w:t>Mājokļ</w:t>
      </w:r>
      <w:r w:rsidR="0081493E">
        <w:t>a</w:t>
      </w:r>
      <w:r w:rsidRPr="00381F09">
        <w:t xml:space="preserve"> </w:t>
      </w:r>
      <w:r w:rsidR="000F4558">
        <w:t>lielum</w:t>
      </w:r>
      <w:r w:rsidR="00A93930">
        <w:t>a ra</w:t>
      </w:r>
      <w:r w:rsidR="00160DB6">
        <w:t>ks</w:t>
      </w:r>
      <w:r w:rsidR="00A93930">
        <w:t>turojums</w:t>
      </w:r>
      <w:bookmarkEnd w:id="650"/>
      <w:r w:rsidR="000F4558">
        <w:t xml:space="preserve"> </w:t>
      </w:r>
    </w:p>
    <w:p w:rsidR="00381F09" w:rsidRDefault="0024430A" w:rsidP="00064C1E">
      <w:r>
        <w:t>Šajā sadaļā</w:t>
      </w:r>
      <w:r w:rsidR="00095A56">
        <w:t xml:space="preserve"> ir analizēti </w:t>
      </w:r>
      <w:r w:rsidR="00381F09" w:rsidRPr="000F4558">
        <w:t>mājokļ</w:t>
      </w:r>
      <w:r w:rsidR="0081493E" w:rsidRPr="000F4558">
        <w:t>a</w:t>
      </w:r>
      <w:r w:rsidR="00381F09" w:rsidRPr="000F4558">
        <w:t xml:space="preserve"> istabu skait</w:t>
      </w:r>
      <w:r>
        <w:t>a</w:t>
      </w:r>
      <w:r w:rsidR="00381F09" w:rsidRPr="000F4558">
        <w:t xml:space="preserve"> un platīb</w:t>
      </w:r>
      <w:r>
        <w:t>as</w:t>
      </w:r>
      <w:r w:rsidRPr="0024430A">
        <w:t xml:space="preserve"> </w:t>
      </w:r>
      <w:r>
        <w:t>rādītāji</w:t>
      </w:r>
      <w:r w:rsidR="00381F09" w:rsidRPr="00445A06">
        <w:t>.</w:t>
      </w:r>
      <w:r w:rsidR="003A47BC">
        <w:t xml:space="preserve"> </w:t>
      </w:r>
      <w:r w:rsidR="00923944" w:rsidRPr="00923944">
        <w:rPr>
          <w:b/>
        </w:rPr>
        <w:t>Mājokļa</w:t>
      </w:r>
      <w:r w:rsidR="00923944">
        <w:t xml:space="preserve"> </w:t>
      </w:r>
      <w:r w:rsidR="00381F09" w:rsidRPr="000F4558">
        <w:rPr>
          <w:b/>
        </w:rPr>
        <w:t>istabu skait</w:t>
      </w:r>
      <w:r>
        <w:rPr>
          <w:b/>
        </w:rPr>
        <w:t>a</w:t>
      </w:r>
      <w:r w:rsidR="0081493E" w:rsidRPr="000F4558">
        <w:rPr>
          <w:b/>
        </w:rPr>
        <w:t xml:space="preserve"> </w:t>
      </w:r>
      <w:r>
        <w:t>vidējais rādītājs</w:t>
      </w:r>
      <w:r w:rsidR="00381F09">
        <w:t>, ņemot vērā visas mājsaimniecības</w:t>
      </w:r>
      <w:r w:rsidR="000F4558">
        <w:t>,</w:t>
      </w:r>
      <w:r w:rsidR="00381F09">
        <w:t xml:space="preserve"> laik</w:t>
      </w:r>
      <w:r w:rsidR="00D55208">
        <w:t>ā</w:t>
      </w:r>
      <w:r w:rsidR="00381F09">
        <w:t xml:space="preserve"> no 2009. </w:t>
      </w:r>
      <w:r w:rsidR="00D54545">
        <w:t xml:space="preserve">gada </w:t>
      </w:r>
      <w:r w:rsidR="00381F09">
        <w:t>līdz 2017. gadam nav piedzīvojis lielas izmaiņas</w:t>
      </w:r>
      <w:r w:rsidR="00923944">
        <w:t xml:space="preserve"> (sk. </w:t>
      </w:r>
      <w:r w:rsidR="00AD66E6">
        <w:t>3.6</w:t>
      </w:r>
      <w:r w:rsidR="00923944">
        <w:t>. attēlu)</w:t>
      </w:r>
      <w:r w:rsidR="00381F09">
        <w:t>. Skatoties sadalījumu pa visām mājsaimniecībām kopā</w:t>
      </w:r>
      <w:r w:rsidR="0081493E">
        <w:t>,</w:t>
      </w:r>
      <w:r w:rsidR="00381F09">
        <w:t xml:space="preserve"> redzams, ka istabu skaitam bij</w:t>
      </w:r>
      <w:r w:rsidR="0081493E">
        <w:t>usi</w:t>
      </w:r>
      <w:r w:rsidR="00381F09">
        <w:t xml:space="preserve"> tendence pieaugt no 2,5 istabām 2009. gadā līdz 3 istabām 2013. gadā, bet 2014. gadā jau bija novērojams </w:t>
      </w:r>
      <w:r w:rsidR="00ED1154">
        <w:t xml:space="preserve">minimāls kritums uz 2,8 istabām. Šajā līmenī tas ir </w:t>
      </w:r>
      <w:r w:rsidR="00381F09">
        <w:t xml:space="preserve">saglabājies līdz 2017. gadam. </w:t>
      </w:r>
    </w:p>
    <w:p w:rsidR="00381F09" w:rsidRPr="002C5056" w:rsidRDefault="00AD3EDD" w:rsidP="00A46B54">
      <w:pPr>
        <w:pStyle w:val="Caption"/>
      </w:pPr>
      <w:r>
        <w:fldChar w:fldCharType="begin"/>
      </w:r>
      <w:r w:rsidR="000F1524">
        <w:instrText xml:space="preserve"> STYLEREF 1 \s </w:instrText>
      </w:r>
      <w:r>
        <w:fldChar w:fldCharType="separate"/>
      </w:r>
      <w:bookmarkStart w:id="651" w:name="_Toc6855821"/>
      <w:r w:rsidR="00224B50">
        <w:rPr>
          <w:noProof/>
        </w:rPr>
        <w:t>3</w:t>
      </w:r>
      <w:r>
        <w:rPr>
          <w:noProof/>
        </w:rPr>
        <w:fldChar w:fldCharType="end"/>
      </w:r>
      <w:r w:rsidR="006B5456">
        <w:t>.</w:t>
      </w:r>
      <w:r>
        <w:fldChar w:fldCharType="begin"/>
      </w:r>
      <w:r w:rsidR="000F1524">
        <w:instrText xml:space="preserve"> SEQ Ilustrācija \* ARABIC \s 1 </w:instrText>
      </w:r>
      <w:r>
        <w:fldChar w:fldCharType="separate"/>
      </w:r>
      <w:r w:rsidR="00224B50">
        <w:rPr>
          <w:noProof/>
        </w:rPr>
        <w:t>6</w:t>
      </w:r>
      <w:r>
        <w:rPr>
          <w:noProof/>
        </w:rPr>
        <w:fldChar w:fldCharType="end"/>
      </w:r>
      <w:r w:rsidR="003A47BC">
        <w:t>.</w:t>
      </w:r>
      <w:r w:rsidR="00381F09" w:rsidRPr="003A47BC">
        <w:t>attēls</w:t>
      </w:r>
      <w:r w:rsidR="00381F09">
        <w:t xml:space="preserve">. </w:t>
      </w:r>
      <w:r w:rsidR="00381F09" w:rsidRPr="003A47BC">
        <w:t>Vidējais istabu skaits mājsaimniecību lietošanā</w:t>
      </w:r>
      <w:r w:rsidR="00581E31">
        <w:t xml:space="preserve"> (m</w:t>
      </w:r>
      <w:r w:rsidR="00381F09" w:rsidRPr="003A47BC">
        <w:t>ājsaimniecību tipi</w:t>
      </w:r>
      <w:r w:rsidR="00581E31">
        <w:t xml:space="preserve">, </w:t>
      </w:r>
      <w:r w:rsidR="000F4558">
        <w:t>%)</w:t>
      </w:r>
      <w:bookmarkEnd w:id="651"/>
      <w:r w:rsidR="00581E31">
        <w:t xml:space="preserve"> </w:t>
      </w:r>
    </w:p>
    <w:p w:rsidR="00381F09" w:rsidRPr="001951FC" w:rsidRDefault="002478A6" w:rsidP="00064C1E">
      <w:pPr>
        <w:pStyle w:val="ListParagraph"/>
        <w:spacing w:line="276" w:lineRule="auto"/>
        <w:ind w:left="0"/>
      </w:pPr>
      <w:r w:rsidRPr="002478A6">
        <w:rPr>
          <w:noProof/>
        </w:rPr>
        <w:drawing>
          <wp:inline distT="0" distB="0" distL="0" distR="0">
            <wp:extent cx="6153150" cy="2876550"/>
            <wp:effectExtent l="19050" t="0" r="0" b="0"/>
            <wp:docPr id="161"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2"/>
                    <a:srcRect/>
                    <a:stretch>
                      <a:fillRect/>
                    </a:stretch>
                  </pic:blipFill>
                  <pic:spPr bwMode="auto">
                    <a:xfrm>
                      <a:off x="0" y="0"/>
                      <a:ext cx="6154420" cy="2877144"/>
                    </a:xfrm>
                    <a:prstGeom prst="rect">
                      <a:avLst/>
                    </a:prstGeom>
                    <a:noFill/>
                    <a:ln w="9525">
                      <a:noFill/>
                      <a:miter lim="800000"/>
                      <a:headEnd/>
                      <a:tailEnd/>
                    </a:ln>
                  </pic:spPr>
                </pic:pic>
              </a:graphicData>
            </a:graphic>
          </wp:inline>
        </w:drawing>
      </w:r>
    </w:p>
    <w:p w:rsidR="00381F09" w:rsidRDefault="00581E31" w:rsidP="00917E78">
      <w:pPr>
        <w:pStyle w:val="avotiemft10"/>
      </w:pPr>
      <w:bookmarkStart w:id="652" w:name="_Toc6841633"/>
      <w:r w:rsidRPr="00581E31">
        <w:t>Avots: CSP, “MTG020. Mājokļu vispārējais raksturojums (%)”.</w:t>
      </w:r>
      <w:bookmarkEnd w:id="652"/>
    </w:p>
    <w:p w:rsidR="001875FB" w:rsidRPr="00581E31" w:rsidRDefault="001875FB" w:rsidP="00917E78">
      <w:pPr>
        <w:pStyle w:val="avotiemft10"/>
      </w:pPr>
    </w:p>
    <w:p w:rsidR="00F74C2D" w:rsidRDefault="00F74C2D" w:rsidP="00F74C2D">
      <w:r>
        <w:t xml:space="preserve">No 2009. </w:t>
      </w:r>
      <w:r w:rsidR="00D54545">
        <w:t xml:space="preserve">gada </w:t>
      </w:r>
      <w:r>
        <w:t xml:space="preserve">līdz 2017. gadam mājokļos ar lielāku istabu skaitu dzīvojušas mājsaimniecības, kurās ir arī lielākais cilvēku skaits. Tā daudzbērnu ģimenes dzīvoja mājokļos, kuros ir vidēji 3,3 istabas, bet ģimenes ar diviem bērniem – 3,1 istabā. Attiecīgi mājokļus ar mazāku istabu skaitu apdzīvo mājsaimniecības, kurās ir mazāk cilvēku. Vientuļie vecāka gadagājuma pensionāri (virs 65 gadiem), </w:t>
      </w:r>
      <w:r>
        <w:lastRenderedPageBreak/>
        <w:t>dzīvoja mājokļos, kuros ir vi</w:t>
      </w:r>
      <w:r w:rsidR="00906F8A">
        <w:t>dēji 2,3 istabas, bet atsevišķi</w:t>
      </w:r>
      <w:r>
        <w:t xml:space="preserve"> dzīvojošas pieaugušas personas dzīvoja mājokļos ar 2,2 istabām. </w:t>
      </w:r>
    </w:p>
    <w:p w:rsidR="00F74C2D" w:rsidRDefault="00F74C2D" w:rsidP="00F74C2D"/>
    <w:p w:rsidR="00F74C2D" w:rsidRDefault="00F74C2D" w:rsidP="00F74C2D">
      <w:r>
        <w:t xml:space="preserve">Lauku mājsaimniecībās vidējais mājokļa istabu skaits ir lielāks nekā pilsētu mājsaimniecībās. Skatoties vidējo istabu skaita rādītāju laika posmā no 2009. </w:t>
      </w:r>
      <w:r w:rsidR="00F74B8F">
        <w:t xml:space="preserve">gada </w:t>
      </w:r>
      <w:r>
        <w:t>līdz 2017. gadam, redzams, ka pilsētās vidēji bijušas 2,6 istabas, kamēr laukos 3,2 istabas.</w:t>
      </w:r>
    </w:p>
    <w:p w:rsidR="00F74C2D" w:rsidRDefault="00F74C2D" w:rsidP="00F74C2D"/>
    <w:p w:rsidR="00381F09" w:rsidRDefault="00381F09" w:rsidP="00064C1E">
      <w:r>
        <w:t>Reģionu griezumā starpības starp lielāko un mazāko rādītāju ir gandrīz tādas pašas kā starp laukiem un pilsētām.</w:t>
      </w:r>
      <w:r w:rsidRPr="006D4B44">
        <w:t xml:space="preserve"> </w:t>
      </w:r>
      <w:r>
        <w:t>Skatoties vidējo istabu skaita rādītāju laik</w:t>
      </w:r>
      <w:r w:rsidR="00DF3A3E">
        <w:t>ā</w:t>
      </w:r>
      <w:r>
        <w:t xml:space="preserve"> no 2009. </w:t>
      </w:r>
      <w:r w:rsidR="00F74B8F">
        <w:t xml:space="preserve">gada </w:t>
      </w:r>
      <w:r>
        <w:t xml:space="preserve">līdz 2017. gadam, redzams, ka mazākais vidējais istabu skaits ir Rīgas reģionā, kur tas ir 2,6, kamēr lielākais – Pierīgas reģionā </w:t>
      </w:r>
      <w:r w:rsidR="00ED1154">
        <w:t xml:space="preserve">- </w:t>
      </w:r>
      <w:r>
        <w:t>3,1 istaba</w:t>
      </w:r>
      <w:r w:rsidR="00ED1154">
        <w:t>s</w:t>
      </w:r>
      <w:r>
        <w:t>. Tālāk, skatoties reģionos, vidējais mājokļa istabu skaits krītas par 0,1</w:t>
      </w:r>
      <w:r w:rsidR="00ED1154">
        <w:t xml:space="preserve"> vienību</w:t>
      </w:r>
      <w:r>
        <w:t>, tā Zemgalē tās ir 3 istabas, Vidzemē 2,9, Kurzemē 2,8, bet Latgalē 2,7</w:t>
      </w:r>
      <w:r w:rsidR="00ED1154">
        <w:t xml:space="preserve"> istabas</w:t>
      </w:r>
      <w:r>
        <w:t>.</w:t>
      </w:r>
    </w:p>
    <w:p w:rsidR="002B7499" w:rsidRDefault="002B7499" w:rsidP="00064C1E"/>
    <w:p w:rsidR="000F4558" w:rsidRDefault="002B7499" w:rsidP="002557F9">
      <w:pPr>
        <w:pStyle w:val="ListParagraph"/>
        <w:spacing w:line="276" w:lineRule="auto"/>
        <w:ind w:left="0"/>
        <w:jc w:val="both"/>
      </w:pPr>
      <w:r>
        <w:t xml:space="preserve">Līdzīgas tendences kā ar vidējo istabu skaitu mājokļos ir vērojamas arī rādītājos, kas raksturo </w:t>
      </w:r>
      <w:r w:rsidRPr="00DF3A3E">
        <w:rPr>
          <w:b/>
        </w:rPr>
        <w:t>vidējo istabu skaitu uz vienu mājsaimniecības locekli</w:t>
      </w:r>
      <w:r>
        <w:t xml:space="preserve"> (</w:t>
      </w:r>
      <w:r w:rsidR="00922A20">
        <w:t xml:space="preserve">sk. </w:t>
      </w:r>
      <w:r w:rsidR="00AD66E6">
        <w:t>3.7</w:t>
      </w:r>
      <w:r w:rsidR="00922A20">
        <w:t>.attēlu</w:t>
      </w:r>
      <w:r>
        <w:t xml:space="preserve">), proti, izmaiņas, salīdzinot ar 2009. gadu, nav bijušas straujas, un pēc kāpuma līdz 2013. gadam vērojams neliels kritums, kam seko rādītāja stabilizēšanās. </w:t>
      </w:r>
    </w:p>
    <w:p w:rsidR="00381F09" w:rsidRPr="002C5056" w:rsidRDefault="00AD3EDD" w:rsidP="00A46B54">
      <w:pPr>
        <w:pStyle w:val="Caption"/>
      </w:pPr>
      <w:r>
        <w:fldChar w:fldCharType="begin"/>
      </w:r>
      <w:r w:rsidR="000F1524">
        <w:instrText xml:space="preserve"> STYLEREF 1 \s </w:instrText>
      </w:r>
      <w:r>
        <w:fldChar w:fldCharType="separate"/>
      </w:r>
      <w:bookmarkStart w:id="653" w:name="_Toc6855822"/>
      <w:r w:rsidR="00224B50">
        <w:rPr>
          <w:noProof/>
        </w:rPr>
        <w:t>3</w:t>
      </w:r>
      <w:r>
        <w:rPr>
          <w:noProof/>
        </w:rPr>
        <w:fldChar w:fldCharType="end"/>
      </w:r>
      <w:r w:rsidR="006B5456">
        <w:t>.</w:t>
      </w:r>
      <w:r>
        <w:fldChar w:fldCharType="begin"/>
      </w:r>
      <w:r w:rsidR="000F1524">
        <w:instrText xml:space="preserve"> SEQ Ilustrācija \* ARABIC \s 1 </w:instrText>
      </w:r>
      <w:r>
        <w:fldChar w:fldCharType="separate"/>
      </w:r>
      <w:r w:rsidR="00224B50">
        <w:rPr>
          <w:noProof/>
        </w:rPr>
        <w:t>7</w:t>
      </w:r>
      <w:r>
        <w:rPr>
          <w:noProof/>
        </w:rPr>
        <w:fldChar w:fldCharType="end"/>
      </w:r>
      <w:r w:rsidR="003A47BC">
        <w:t>.</w:t>
      </w:r>
      <w:r w:rsidR="00381F09" w:rsidRPr="003A47BC">
        <w:t>attēls. Istabu skaits uz vienu mājsaimniecības locekli</w:t>
      </w:r>
      <w:r w:rsidR="00581E31">
        <w:t xml:space="preserve"> (m</w:t>
      </w:r>
      <w:r w:rsidR="00381F09" w:rsidRPr="003A47BC">
        <w:t>ājsaimniecību tipi</w:t>
      </w:r>
      <w:r w:rsidR="00581E31">
        <w:t xml:space="preserve">, </w:t>
      </w:r>
      <w:r w:rsidR="000F4558">
        <w:t>%)</w:t>
      </w:r>
      <w:bookmarkEnd w:id="653"/>
    </w:p>
    <w:p w:rsidR="00381F09" w:rsidRDefault="002478A6" w:rsidP="00064C1E">
      <w:r w:rsidRPr="002478A6">
        <w:rPr>
          <w:noProof/>
        </w:rPr>
        <w:drawing>
          <wp:inline distT="0" distB="0" distL="0" distR="0">
            <wp:extent cx="6154420" cy="3581607"/>
            <wp:effectExtent l="19050" t="0" r="0" b="0"/>
            <wp:docPr id="163"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3"/>
                    <a:srcRect/>
                    <a:stretch>
                      <a:fillRect/>
                    </a:stretch>
                  </pic:blipFill>
                  <pic:spPr bwMode="auto">
                    <a:xfrm>
                      <a:off x="0" y="0"/>
                      <a:ext cx="6154420" cy="3581607"/>
                    </a:xfrm>
                    <a:prstGeom prst="rect">
                      <a:avLst/>
                    </a:prstGeom>
                    <a:noFill/>
                    <a:ln w="9525">
                      <a:noFill/>
                      <a:miter lim="800000"/>
                      <a:headEnd/>
                      <a:tailEnd/>
                    </a:ln>
                  </pic:spPr>
                </pic:pic>
              </a:graphicData>
            </a:graphic>
          </wp:inline>
        </w:drawing>
      </w:r>
    </w:p>
    <w:p w:rsidR="00381F09" w:rsidRPr="00581E31" w:rsidRDefault="00581E31" w:rsidP="00917E78">
      <w:pPr>
        <w:pStyle w:val="avotiemft10"/>
      </w:pPr>
      <w:bookmarkStart w:id="654" w:name="_Toc6841634"/>
      <w:r w:rsidRPr="00581E31">
        <w:t>Avots: CSP, “MTG020. Mājokļu vispārējais raksturojums (%)”.</w:t>
      </w:r>
      <w:bookmarkEnd w:id="654"/>
    </w:p>
    <w:p w:rsidR="001875FB" w:rsidRDefault="001875FB" w:rsidP="00F74C2D">
      <w:pPr>
        <w:pStyle w:val="ListParagraph"/>
        <w:spacing w:line="276" w:lineRule="auto"/>
        <w:ind w:left="0"/>
        <w:jc w:val="both"/>
      </w:pPr>
    </w:p>
    <w:p w:rsidR="00F74C2D" w:rsidRDefault="00F74C2D" w:rsidP="00F74C2D">
      <w:pPr>
        <w:pStyle w:val="ListParagraph"/>
        <w:spacing w:line="276" w:lineRule="auto"/>
        <w:ind w:left="0"/>
        <w:jc w:val="both"/>
      </w:pPr>
      <w:r>
        <w:t xml:space="preserve">Kopumā jāsecina, ka vidējais istabu skaits uz vienu mājsaimniecības locekli atbilst matemātiskajam principam – </w:t>
      </w:r>
      <w:r w:rsidRPr="00906F8A">
        <w:rPr>
          <w:b/>
        </w:rPr>
        <w:t>jo mazāks cilvēku skaits mājoklī, jo lielāks vidējais istabu skaits uz cilvēku</w:t>
      </w:r>
      <w:r>
        <w:t xml:space="preserve">. 2017. gadā vidēji visvairāk istabu uz vienu mājsaimniecības locekli ir mājokļos, kuros dzīvo mazākais skaits cilvēku – vientuļie seniori vai atsevišķi dzīvojošie pieaugušie. Abiem mājsaimniecību tipiem vidējais istabu skaits mājoklī ir 2,2 istabas. Pretēja situācija ir gadījumos, kad mājsaimniecībā ir </w:t>
      </w:r>
      <w:r>
        <w:lastRenderedPageBreak/>
        <w:t>vairāk locekļu –  daudzbērnu ģimenēm vidējais istabu skaits uz vienu ģimenes locekli ir 0,6, bet ģimenei ar diviem bērniem – 0,8.</w:t>
      </w:r>
    </w:p>
    <w:p w:rsidR="00F74C2D" w:rsidRDefault="00F74C2D" w:rsidP="00064C1E"/>
    <w:p w:rsidR="00381F09" w:rsidRDefault="00BF4385" w:rsidP="00064C1E">
      <w:r>
        <w:t xml:space="preserve">Nav novērojamas lielas atšķirības starp vidējo istabu skaitu uz vienu mājsaimniecības locekli starp </w:t>
      </w:r>
      <w:r w:rsidRPr="0072333C">
        <w:rPr>
          <w:b/>
        </w:rPr>
        <w:t>lauku un pil</w:t>
      </w:r>
      <w:r w:rsidR="00D051D0" w:rsidRPr="0072333C">
        <w:rPr>
          <w:b/>
        </w:rPr>
        <w:t>sētu</w:t>
      </w:r>
      <w:r w:rsidR="00D051D0">
        <w:t xml:space="preserve"> mājsaimniecībām. Laikā </w:t>
      </w:r>
      <w:r>
        <w:t xml:space="preserve">no 2009. </w:t>
      </w:r>
      <w:r w:rsidR="00D54545">
        <w:t xml:space="preserve">gada </w:t>
      </w:r>
      <w:r>
        <w:t xml:space="preserve">līdz 2017. gadam šis rādītājs </w:t>
      </w:r>
      <w:r w:rsidR="00DF3A3E">
        <w:t>kā laukos, tā pilsētās</w:t>
      </w:r>
      <w:r>
        <w:t xml:space="preserve"> ir svārstījies no vidēji 1 līdz 1,3 istabām. </w:t>
      </w:r>
      <w:r w:rsidR="00D051D0">
        <w:t>Laikā</w:t>
      </w:r>
      <w:r>
        <w:t xml:space="preserve"> no 2013.</w:t>
      </w:r>
      <w:r w:rsidR="00D54545">
        <w:t xml:space="preserve"> gada</w:t>
      </w:r>
      <w:r>
        <w:t xml:space="preserve"> līdz 2017. gadam laukos ir vidēji 1,3 istabas uz vienu mājsaimniecības locekli, kamēr Rīgā šis rādītājs 2013. </w:t>
      </w:r>
      <w:r w:rsidR="00D54545">
        <w:t xml:space="preserve">gadā </w:t>
      </w:r>
      <w:r>
        <w:t>un 2014. gadā bija 1,2, bet pēc tam 1,1. Kopumā var secināt, ka pavisam nedaudz, bet tomēr laukos ir vidēji vairāk istabu uz vienu mājsaimniecības locekli.</w:t>
      </w:r>
      <w:r w:rsidR="0072333C">
        <w:t xml:space="preserve"> </w:t>
      </w:r>
      <w:r w:rsidR="00381F09">
        <w:t xml:space="preserve">Tāda pati situācija ir arī </w:t>
      </w:r>
      <w:r w:rsidR="00381F09" w:rsidRPr="0016323C">
        <w:rPr>
          <w:b/>
        </w:rPr>
        <w:t>reģionu griezumā</w:t>
      </w:r>
      <w:r w:rsidR="00381F09">
        <w:t xml:space="preserve">, kur </w:t>
      </w:r>
      <w:r w:rsidR="00DF3A3E">
        <w:t xml:space="preserve">laikā no 2009. </w:t>
      </w:r>
      <w:r w:rsidR="00D54545">
        <w:t xml:space="preserve">gada </w:t>
      </w:r>
      <w:r w:rsidR="00DF3A3E">
        <w:t>līdz 2017.</w:t>
      </w:r>
      <w:r w:rsidR="00DE1C08">
        <w:t xml:space="preserve"> </w:t>
      </w:r>
      <w:r w:rsidR="00DF3A3E">
        <w:t>gadam</w:t>
      </w:r>
      <w:r w:rsidR="00381F09">
        <w:t xml:space="preserve"> istabu skaits uz vienu mājsaimniecības locekli svārstījies no 0,9 līdz 1,3 istabām. 2017. gadā </w:t>
      </w:r>
      <w:r w:rsidR="00DF3A3E">
        <w:t>atšķirības</w:t>
      </w:r>
      <w:r w:rsidR="00381F09">
        <w:t xml:space="preserve"> starp reģioniem praktiski nav, mazākais istabu skaits uz vienu mājsaimniecības locekli ir Rīgā, kur tā ir 1,1 istaba, bet tas nav </w:t>
      </w:r>
      <w:r w:rsidR="000F4558">
        <w:t>būtiski</w:t>
      </w:r>
      <w:r w:rsidR="00381F09">
        <w:t xml:space="preserve"> mazāk kā citos reģionos</w:t>
      </w:r>
      <w:r w:rsidR="00ED1154">
        <w:t>, proti,</w:t>
      </w:r>
      <w:r w:rsidR="00381F09">
        <w:t xml:space="preserve"> Pierīgas, Kurzemes, Vidzemes un Latgales reģionos tās ir 1,2 istabas, bet Zemgalē – 1,3.</w:t>
      </w:r>
    </w:p>
    <w:p w:rsidR="00381F09" w:rsidRPr="00E35320" w:rsidRDefault="00AD3EDD" w:rsidP="00A46B54">
      <w:pPr>
        <w:pStyle w:val="Caption"/>
      </w:pPr>
      <w:r>
        <w:fldChar w:fldCharType="begin"/>
      </w:r>
      <w:r w:rsidR="000F1524">
        <w:instrText xml:space="preserve"> STYLEREF 1 \s </w:instrText>
      </w:r>
      <w:r>
        <w:fldChar w:fldCharType="separate"/>
      </w:r>
      <w:bookmarkStart w:id="655" w:name="_Toc6855823"/>
      <w:r w:rsidR="00224B50">
        <w:rPr>
          <w:noProof/>
        </w:rPr>
        <w:t>3</w:t>
      </w:r>
      <w:r>
        <w:rPr>
          <w:noProof/>
        </w:rPr>
        <w:fldChar w:fldCharType="end"/>
      </w:r>
      <w:r w:rsidR="006B5456">
        <w:t>.</w:t>
      </w:r>
      <w:r>
        <w:fldChar w:fldCharType="begin"/>
      </w:r>
      <w:r w:rsidR="000F1524">
        <w:instrText xml:space="preserve"> SEQ Ilustrācija \* ARABIC \s 1 </w:instrText>
      </w:r>
      <w:r>
        <w:fldChar w:fldCharType="separate"/>
      </w:r>
      <w:r w:rsidR="00224B50">
        <w:rPr>
          <w:noProof/>
        </w:rPr>
        <w:t>8</w:t>
      </w:r>
      <w:r>
        <w:rPr>
          <w:noProof/>
        </w:rPr>
        <w:fldChar w:fldCharType="end"/>
      </w:r>
      <w:r w:rsidR="003A47BC">
        <w:t>.</w:t>
      </w:r>
      <w:r w:rsidR="00381F09" w:rsidRPr="003A47BC">
        <w:t>attēls. Mājokļa vidējā platība, m</w:t>
      </w:r>
      <w:r w:rsidR="00381F09" w:rsidRPr="003A47BC">
        <w:rPr>
          <w:vertAlign w:val="superscript"/>
        </w:rPr>
        <w:t>2</w:t>
      </w:r>
      <w:r w:rsidR="00581E31">
        <w:rPr>
          <w:vertAlign w:val="superscript"/>
        </w:rPr>
        <w:t xml:space="preserve"> </w:t>
      </w:r>
      <w:r w:rsidR="00581E31">
        <w:t xml:space="preserve"> (m</w:t>
      </w:r>
      <w:r w:rsidR="00381F09" w:rsidRPr="003A47BC">
        <w:t>ājsaimniecību tipi</w:t>
      </w:r>
      <w:r w:rsidR="00581E31">
        <w:t xml:space="preserve">, </w:t>
      </w:r>
      <w:r w:rsidR="000F4558">
        <w:t>%)</w:t>
      </w:r>
      <w:bookmarkEnd w:id="655"/>
      <w:r w:rsidR="000F4558">
        <w:t xml:space="preserve"> </w:t>
      </w:r>
    </w:p>
    <w:p w:rsidR="00381F09" w:rsidRDefault="002478A6" w:rsidP="00064C1E">
      <w:r w:rsidRPr="002478A6">
        <w:rPr>
          <w:noProof/>
        </w:rPr>
        <w:drawing>
          <wp:inline distT="0" distB="0" distL="0" distR="0">
            <wp:extent cx="6154420" cy="3736612"/>
            <wp:effectExtent l="19050" t="0" r="0" b="0"/>
            <wp:docPr id="164"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4"/>
                    <a:srcRect/>
                    <a:stretch>
                      <a:fillRect/>
                    </a:stretch>
                  </pic:blipFill>
                  <pic:spPr bwMode="auto">
                    <a:xfrm>
                      <a:off x="0" y="0"/>
                      <a:ext cx="6154420" cy="3736612"/>
                    </a:xfrm>
                    <a:prstGeom prst="rect">
                      <a:avLst/>
                    </a:prstGeom>
                    <a:noFill/>
                    <a:ln w="9525">
                      <a:noFill/>
                      <a:miter lim="800000"/>
                      <a:headEnd/>
                      <a:tailEnd/>
                    </a:ln>
                  </pic:spPr>
                </pic:pic>
              </a:graphicData>
            </a:graphic>
          </wp:inline>
        </w:drawing>
      </w:r>
    </w:p>
    <w:p w:rsidR="00906F8A" w:rsidRPr="00581E31" w:rsidRDefault="00581E31" w:rsidP="00C33A64">
      <w:pPr>
        <w:pStyle w:val="avotiemft10"/>
      </w:pPr>
      <w:bookmarkStart w:id="656" w:name="_Toc6841635"/>
      <w:r w:rsidRPr="00581E31">
        <w:t>Avots: CSP, “MTG020. Mājokļu vispārējais raksturojums (%)”.</w:t>
      </w:r>
      <w:bookmarkEnd w:id="656"/>
    </w:p>
    <w:p w:rsidR="00581E31" w:rsidRDefault="00581E31" w:rsidP="00F74C2D"/>
    <w:p w:rsidR="00F74C2D" w:rsidRDefault="00F74C2D" w:rsidP="00F74C2D">
      <w:r>
        <w:t xml:space="preserve">Kopējais </w:t>
      </w:r>
      <w:r w:rsidRPr="000F4558">
        <w:rPr>
          <w:b/>
        </w:rPr>
        <w:t>mājokļa lielums (platība m</w:t>
      </w:r>
      <w:r w:rsidRPr="000F4558">
        <w:rPr>
          <w:b/>
          <w:vertAlign w:val="superscript"/>
        </w:rPr>
        <w:t>2</w:t>
      </w:r>
      <w:r w:rsidRPr="000F4558">
        <w:rPr>
          <w:b/>
        </w:rPr>
        <w:t>)</w:t>
      </w:r>
      <w:r>
        <w:t xml:space="preserve">, ņemot vērā visas mājsaimniecības, laikā no 2009. līdz 2017. gadam ir bijis ar kopīgo tendenci pieaugt, un ir iespējams secināt, ka </w:t>
      </w:r>
      <w:r w:rsidRPr="000F4558">
        <w:rPr>
          <w:b/>
        </w:rPr>
        <w:t>iedzīvotāji sāk apdzīvot aizvien lielākus mājokļus</w:t>
      </w:r>
      <w:r>
        <w:t xml:space="preserve"> (sk. </w:t>
      </w:r>
      <w:r w:rsidR="00AD66E6">
        <w:t>3.8</w:t>
      </w:r>
      <w:r>
        <w:t>.attēlu iepriekšējā lapā). 2009. gadā visu mājsaimniecību vidējais mājokļa izmērs bija 60,6 m</w:t>
      </w:r>
      <w:r w:rsidRPr="007B595F">
        <w:rPr>
          <w:vertAlign w:val="superscript"/>
        </w:rPr>
        <w:t>2</w:t>
      </w:r>
      <w:r w:rsidR="00C01573" w:rsidRPr="00C01573">
        <w:t>,</w:t>
      </w:r>
      <w:r>
        <w:t xml:space="preserve"> pēc tam līdz 2016. gadam tam raksturīga pieauguma tendence, kad 2016. gadā šis rādītājs sasniedz 69,5</w:t>
      </w:r>
      <w:r w:rsidRPr="00A05139">
        <w:t xml:space="preserve"> </w:t>
      </w:r>
      <w:r>
        <w:t>m</w:t>
      </w:r>
      <w:r w:rsidRPr="007B595F">
        <w:rPr>
          <w:vertAlign w:val="superscript"/>
        </w:rPr>
        <w:t>2</w:t>
      </w:r>
      <w:r>
        <w:t>, tātad pieaugumu par 8,9</w:t>
      </w:r>
      <w:r w:rsidRPr="00A05139">
        <w:t xml:space="preserve"> </w:t>
      </w:r>
      <w:r>
        <w:t>m</w:t>
      </w:r>
      <w:r w:rsidRPr="007B595F">
        <w:rPr>
          <w:vertAlign w:val="superscript"/>
        </w:rPr>
        <w:t>2</w:t>
      </w:r>
      <w:r>
        <w:t xml:space="preserve">. 2017. gadā šim rādītājam gan vērojams </w:t>
      </w:r>
      <w:r w:rsidR="00F74B8F">
        <w:t xml:space="preserve">minimāls </w:t>
      </w:r>
      <w:r>
        <w:t>kritums par 0,1 m</w:t>
      </w:r>
      <w:r w:rsidRPr="007B595F">
        <w:rPr>
          <w:vertAlign w:val="superscript"/>
        </w:rPr>
        <w:t>2</w:t>
      </w:r>
      <w:r>
        <w:t>.</w:t>
      </w:r>
    </w:p>
    <w:p w:rsidR="00381F09" w:rsidRDefault="00381F09" w:rsidP="00064C1E"/>
    <w:p w:rsidR="00ED1154" w:rsidRPr="00A12650" w:rsidRDefault="00ED1154" w:rsidP="00064C1E">
      <w:r>
        <w:lastRenderedPageBreak/>
        <w:t xml:space="preserve">Tāpat kā aprakstā par mājokļa istabu skaita saistību ar cilvēku skaitu mājsaimniecībā, arī saistībā ar mājokļa vidējo platību </w:t>
      </w:r>
      <w:r w:rsidR="00DF3A3E">
        <w:t>pastāv identiska sakarība</w:t>
      </w:r>
      <w:r>
        <w:t xml:space="preserve">, proti, </w:t>
      </w:r>
      <w:r w:rsidRPr="000F4558">
        <w:rPr>
          <w:b/>
        </w:rPr>
        <w:t>jo vairāk cilvēku mājsaimniecībā, jo lielāk</w:t>
      </w:r>
      <w:r w:rsidR="00DF3A3E">
        <w:rPr>
          <w:b/>
        </w:rPr>
        <w:t>a</w:t>
      </w:r>
      <w:r w:rsidRPr="000F4558">
        <w:rPr>
          <w:b/>
        </w:rPr>
        <w:t xml:space="preserve"> mājok</w:t>
      </w:r>
      <w:r w:rsidR="00DF3A3E">
        <w:rPr>
          <w:b/>
        </w:rPr>
        <w:t>ļa platība</w:t>
      </w:r>
      <w:r>
        <w:t xml:space="preserve">. </w:t>
      </w:r>
      <w:r w:rsidR="00DF3A3E">
        <w:t xml:space="preserve">Laikā no 2009. </w:t>
      </w:r>
      <w:r w:rsidR="00F74B8F">
        <w:t xml:space="preserve">gada </w:t>
      </w:r>
      <w:r w:rsidR="00DF3A3E">
        <w:t>līdz 2017. gadam redzams, ka lielākā vidējā mājokļa platība ir daudzbērnu ģimenēm – 79,6 m</w:t>
      </w:r>
      <w:r w:rsidR="00DF3A3E" w:rsidRPr="007B595F">
        <w:rPr>
          <w:vertAlign w:val="superscript"/>
        </w:rPr>
        <w:t>2</w:t>
      </w:r>
      <w:r w:rsidR="00DF3A3E">
        <w:t>, kamēr ģimenēm ar diviem bērniem – 73,9 m</w:t>
      </w:r>
      <w:r w:rsidR="00DF3A3E" w:rsidRPr="007B595F">
        <w:rPr>
          <w:vertAlign w:val="superscript"/>
        </w:rPr>
        <w:t>2</w:t>
      </w:r>
      <w:r w:rsidR="00DF3A3E">
        <w:t>, pāri bez bērniem šajā laika periodā dzīvojuši mājokļos, kas ir vidēji 66,8 m</w:t>
      </w:r>
      <w:r w:rsidR="00DF3A3E" w:rsidRPr="007B595F">
        <w:rPr>
          <w:vertAlign w:val="superscript"/>
        </w:rPr>
        <w:t>2</w:t>
      </w:r>
      <w:r w:rsidR="00DF3A3E">
        <w:t xml:space="preserve"> lieli, bet ģimenes ar vienu bērnu – 62,9 m</w:t>
      </w:r>
      <w:r w:rsidR="00DF3A3E" w:rsidRPr="007B595F">
        <w:rPr>
          <w:vertAlign w:val="superscript"/>
        </w:rPr>
        <w:t>2</w:t>
      </w:r>
      <w:r w:rsidR="00DF3A3E">
        <w:rPr>
          <w:vertAlign w:val="superscript"/>
        </w:rPr>
        <w:t xml:space="preserve"> </w:t>
      </w:r>
      <w:r w:rsidR="00DF3A3E">
        <w:t>lielos mājokļos. Izvērtējuma veikšan</w:t>
      </w:r>
      <w:r w:rsidR="002941BF">
        <w:t>a</w:t>
      </w:r>
      <w:r w:rsidR="00DF3A3E">
        <w:t>s laikā aktuālākie dati par 2017.</w:t>
      </w:r>
      <w:r w:rsidR="00DE1C08">
        <w:t xml:space="preserve"> </w:t>
      </w:r>
      <w:r w:rsidR="00DF3A3E">
        <w:t>gadu atbilst tām pašām tendencēm. Proti,</w:t>
      </w:r>
      <w:r>
        <w:t xml:space="preserve"> pēc platības lielākajos mājokļ</w:t>
      </w:r>
      <w:r w:rsidR="00DF3A3E">
        <w:t>o</w:t>
      </w:r>
      <w:r>
        <w:t>s dzīvo</w:t>
      </w:r>
      <w:r w:rsidR="00DF3A3E">
        <w:t xml:space="preserve"> daudzbērnu ģimenes </w:t>
      </w:r>
      <w:r>
        <w:t>– šīs mājsaimniecības apdzīvo 79,3 m</w:t>
      </w:r>
      <w:r w:rsidRPr="007B595F">
        <w:rPr>
          <w:vertAlign w:val="superscript"/>
        </w:rPr>
        <w:t>2</w:t>
      </w:r>
      <w:r>
        <w:t xml:space="preserve"> lielus mājokļus, kamēr </w:t>
      </w:r>
      <w:r w:rsidR="00DF3A3E">
        <w:t>ģimenes</w:t>
      </w:r>
      <w:r>
        <w:t xml:space="preserve"> ar diviem bērniem – 75,5 m</w:t>
      </w:r>
      <w:r w:rsidRPr="007B595F">
        <w:rPr>
          <w:vertAlign w:val="superscript"/>
        </w:rPr>
        <w:t>2</w:t>
      </w:r>
      <w:r w:rsidR="00DF3A3E">
        <w:rPr>
          <w:vertAlign w:val="superscript"/>
        </w:rPr>
        <w:t xml:space="preserve"> </w:t>
      </w:r>
      <w:r w:rsidR="00DF3A3E" w:rsidRPr="00DF3A3E">
        <w:t>lielus mājokļus</w:t>
      </w:r>
      <w:r>
        <w:t>,</w:t>
      </w:r>
      <w:r>
        <w:rPr>
          <w:vertAlign w:val="superscript"/>
        </w:rPr>
        <w:t xml:space="preserve"> </w:t>
      </w:r>
      <w:r>
        <w:t xml:space="preserve">savukārt </w:t>
      </w:r>
      <w:r w:rsidR="00DF3A3E">
        <w:t xml:space="preserve">pēc platības </w:t>
      </w:r>
      <w:r>
        <w:t xml:space="preserve">trešajā </w:t>
      </w:r>
      <w:r w:rsidR="00DF3A3E">
        <w:t>lielākajā</w:t>
      </w:r>
      <w:r>
        <w:t xml:space="preserve"> mājokļu </w:t>
      </w:r>
      <w:r w:rsidR="00DF3A3E">
        <w:t xml:space="preserve">grupā </w:t>
      </w:r>
      <w:r>
        <w:t xml:space="preserve"> </w:t>
      </w:r>
      <w:r w:rsidR="00DF3A3E">
        <w:t>(vidēji 73,9 m</w:t>
      </w:r>
      <w:r w:rsidR="00DF3A3E" w:rsidRPr="007B595F">
        <w:rPr>
          <w:vertAlign w:val="superscript"/>
        </w:rPr>
        <w:t>2</w:t>
      </w:r>
      <w:r w:rsidR="00DF3A3E" w:rsidRPr="00DF3A3E">
        <w:t>)</w:t>
      </w:r>
      <w:r w:rsidR="00DF3A3E">
        <w:rPr>
          <w:vertAlign w:val="superscript"/>
        </w:rPr>
        <w:t xml:space="preserve"> </w:t>
      </w:r>
      <w:r>
        <w:t>2017. gadā dzīvojuš</w:t>
      </w:r>
      <w:r w:rsidR="00DF3A3E">
        <w:t>i</w:t>
      </w:r>
      <w:r>
        <w:t xml:space="preserve"> </w:t>
      </w:r>
      <w:r w:rsidR="00DF3A3E">
        <w:t>pāri</w:t>
      </w:r>
      <w:r>
        <w:t xml:space="preserve"> bez bērniem</w:t>
      </w:r>
      <w:r w:rsidR="00DF3A3E">
        <w:t xml:space="preserve">, savukārt ģimenes ar bērniem apdzīvojušas </w:t>
      </w:r>
      <w:r>
        <w:t>69,1 m</w:t>
      </w:r>
      <w:r w:rsidRPr="007B595F">
        <w:rPr>
          <w:vertAlign w:val="superscript"/>
        </w:rPr>
        <w:t>2</w:t>
      </w:r>
      <w:r w:rsidR="00DF3A3E">
        <w:t xml:space="preserve"> lielus mājokļus.</w:t>
      </w:r>
      <w:r>
        <w:t xml:space="preserve"> </w:t>
      </w:r>
    </w:p>
    <w:p w:rsidR="00ED1154" w:rsidRDefault="00ED1154" w:rsidP="00064C1E"/>
    <w:p w:rsidR="00ED1154" w:rsidRDefault="00ED1154" w:rsidP="00064C1E">
      <w:r>
        <w:t>Mazākos mājokļos dzīvo mājsaimniecības, kurās ir mazāks dzīvojošo skaits</w:t>
      </w:r>
      <w:r w:rsidR="000F4558">
        <w:t>. Laikā no 2009.</w:t>
      </w:r>
      <w:r w:rsidR="00D54545">
        <w:t xml:space="preserve"> gada</w:t>
      </w:r>
      <w:r w:rsidR="000F4558">
        <w:t xml:space="preserve"> līdz 2017. gadam </w:t>
      </w:r>
      <w:r w:rsidR="00887138">
        <w:t>atsevišķi dzīvojošām</w:t>
      </w:r>
      <w:r w:rsidR="000F4558">
        <w:t xml:space="preserve"> person</w:t>
      </w:r>
      <w:r w:rsidR="00887138">
        <w:t>ām</w:t>
      </w:r>
      <w:r w:rsidR="000F4558">
        <w:t xml:space="preserve"> vecumā no 16-64 gadiem </w:t>
      </w:r>
      <w:r>
        <w:t>ir bijis vidēji 50,3</w:t>
      </w:r>
      <w:r w:rsidRPr="00A05139">
        <w:t xml:space="preserve"> </w:t>
      </w:r>
      <w:r>
        <w:t>m</w:t>
      </w:r>
      <w:r w:rsidRPr="007B595F">
        <w:rPr>
          <w:vertAlign w:val="superscript"/>
        </w:rPr>
        <w:t>2</w:t>
      </w:r>
      <w:r>
        <w:rPr>
          <w:vertAlign w:val="superscript"/>
        </w:rPr>
        <w:t xml:space="preserve"> </w:t>
      </w:r>
      <w:r>
        <w:t>liels</w:t>
      </w:r>
      <w:r w:rsidR="000F4558">
        <w:t xml:space="preserve"> mājoklis,</w:t>
      </w:r>
      <w:r>
        <w:t xml:space="preserve"> bet </w:t>
      </w:r>
      <w:r w:rsidR="00887138">
        <w:t>vientuļajiem senioriem</w:t>
      </w:r>
      <w:r w:rsidR="009A7619">
        <w:t xml:space="preserve"> </w:t>
      </w:r>
      <w:r>
        <w:t>– 50,2 m</w:t>
      </w:r>
      <w:r w:rsidRPr="007B595F">
        <w:rPr>
          <w:vertAlign w:val="superscript"/>
        </w:rPr>
        <w:t>2</w:t>
      </w:r>
      <w:r w:rsidR="009A7619">
        <w:rPr>
          <w:vertAlign w:val="superscript"/>
        </w:rPr>
        <w:t xml:space="preserve"> </w:t>
      </w:r>
      <w:r w:rsidR="009A7619" w:rsidRPr="009A7619">
        <w:t>liels māj</w:t>
      </w:r>
      <w:r w:rsidR="009A7619">
        <w:t>o</w:t>
      </w:r>
      <w:r w:rsidR="009A7619" w:rsidRPr="009A7619">
        <w:t>klis</w:t>
      </w:r>
      <w:r>
        <w:t>.</w:t>
      </w:r>
    </w:p>
    <w:p w:rsidR="00ED1154" w:rsidRDefault="00ED1154" w:rsidP="00064C1E"/>
    <w:p w:rsidR="00ED1154" w:rsidRDefault="00ED1154" w:rsidP="00064C1E">
      <w:r>
        <w:t>Vērojamas atšķirības starp mājokļu lielumiem, skatoties lauku un pilsētu griezumā. 2017. gadā pilsētās mājokļu vidējais lielums bija 60,6 m</w:t>
      </w:r>
      <w:r w:rsidRPr="007B595F">
        <w:rPr>
          <w:vertAlign w:val="superscript"/>
        </w:rPr>
        <w:t>2</w:t>
      </w:r>
      <w:r>
        <w:t>, kamēr laukos tas ir par 31,1 m</w:t>
      </w:r>
      <w:r w:rsidRPr="007B595F">
        <w:rPr>
          <w:vertAlign w:val="superscript"/>
        </w:rPr>
        <w:t>2</w:t>
      </w:r>
      <w:r>
        <w:t xml:space="preserve"> lielāks un sasniedz 91,7</w:t>
      </w:r>
      <w:r w:rsidRPr="00A12650">
        <w:t xml:space="preserve"> </w:t>
      </w:r>
      <w:r>
        <w:t>m</w:t>
      </w:r>
      <w:r w:rsidRPr="007B595F">
        <w:rPr>
          <w:vertAlign w:val="superscript"/>
        </w:rPr>
        <w:t>2</w:t>
      </w:r>
      <w:r>
        <w:t xml:space="preserve">. Šāda tendence parādās </w:t>
      </w:r>
      <w:r w:rsidR="00887138">
        <w:t>visā laika posmā</w:t>
      </w:r>
      <w:r w:rsidR="009A7619">
        <w:t xml:space="preserve"> </w:t>
      </w:r>
      <w:r w:rsidR="00887138">
        <w:t>no 2009.</w:t>
      </w:r>
      <w:r w:rsidR="00F74B8F">
        <w:t xml:space="preserve"> gada</w:t>
      </w:r>
      <w:r w:rsidR="00887138">
        <w:t xml:space="preserve"> līdz 2017. gadam - l</w:t>
      </w:r>
      <w:r>
        <w:t>aukos mājokļi bijuši vidēji par 25,8</w:t>
      </w:r>
      <w:r w:rsidRPr="00A12650">
        <w:t xml:space="preserve"> </w:t>
      </w:r>
      <w:r>
        <w:t>m</w:t>
      </w:r>
      <w:r w:rsidRPr="007B595F">
        <w:rPr>
          <w:vertAlign w:val="superscript"/>
        </w:rPr>
        <w:t>2</w:t>
      </w:r>
      <w:r>
        <w:t xml:space="preserve"> lielāki. </w:t>
      </w:r>
    </w:p>
    <w:p w:rsidR="005E76FD" w:rsidRDefault="005E76FD" w:rsidP="00064C1E"/>
    <w:p w:rsidR="00ED1154" w:rsidRDefault="00ED1154" w:rsidP="00064C1E">
      <w:r>
        <w:t xml:space="preserve">Reģionu griezumā 2017. gadā lielākajos mājokļos dzīvojušas Pierīgas mājsaimniecības, </w:t>
      </w:r>
      <w:r w:rsidR="00887138">
        <w:t>to</w:t>
      </w:r>
      <w:r>
        <w:t xml:space="preserve"> </w:t>
      </w:r>
      <w:r w:rsidR="009A7619">
        <w:t xml:space="preserve">mājokļu </w:t>
      </w:r>
      <w:r>
        <w:t>platība vidēji bija 89,2</w:t>
      </w:r>
      <w:r w:rsidRPr="00D17A14">
        <w:t xml:space="preserve"> </w:t>
      </w:r>
      <w:r>
        <w:t>m</w:t>
      </w:r>
      <w:r w:rsidRPr="007B595F">
        <w:rPr>
          <w:vertAlign w:val="superscript"/>
        </w:rPr>
        <w:t>2</w:t>
      </w:r>
      <w:r>
        <w:t xml:space="preserve">, savukārt Vidzemes un Zemgales reģionu </w:t>
      </w:r>
      <w:r w:rsidR="009A7619">
        <w:t xml:space="preserve">iedzīvotājiem </w:t>
      </w:r>
      <w:r>
        <w:t>attiecīgi 77,4</w:t>
      </w:r>
      <w:r w:rsidRPr="00D17A14">
        <w:t xml:space="preserve"> </w:t>
      </w:r>
      <w:r>
        <w:t>m</w:t>
      </w:r>
      <w:r w:rsidRPr="007B595F">
        <w:rPr>
          <w:vertAlign w:val="superscript"/>
        </w:rPr>
        <w:t>2</w:t>
      </w:r>
      <w:r>
        <w:t xml:space="preserve"> un 76,5</w:t>
      </w:r>
      <w:r w:rsidRPr="00D17A14">
        <w:t xml:space="preserve"> </w:t>
      </w:r>
      <w:r>
        <w:t>m</w:t>
      </w:r>
      <w:r w:rsidRPr="007B595F">
        <w:rPr>
          <w:vertAlign w:val="superscript"/>
        </w:rPr>
        <w:t>2</w:t>
      </w:r>
      <w:r>
        <w:t>. Mazāk</w:t>
      </w:r>
      <w:r w:rsidR="009A7619">
        <w:t>ās</w:t>
      </w:r>
      <w:r>
        <w:t xml:space="preserve"> mājokļa </w:t>
      </w:r>
      <w:r w:rsidR="009A7619">
        <w:t>platības</w:t>
      </w:r>
      <w:r>
        <w:t xml:space="preserve"> 2017. gadā bija Rīgas mājsaimniecībām – 56,9 m</w:t>
      </w:r>
      <w:r w:rsidRPr="007B595F">
        <w:rPr>
          <w:vertAlign w:val="superscript"/>
        </w:rPr>
        <w:t>2</w:t>
      </w:r>
      <w:r w:rsidR="009A7619">
        <w:t xml:space="preserve">. Skatoties </w:t>
      </w:r>
      <w:r w:rsidR="00887138">
        <w:t xml:space="preserve">visā periodā </w:t>
      </w:r>
      <w:r>
        <w:t xml:space="preserve">no 2009. </w:t>
      </w:r>
      <w:r w:rsidR="00F74B8F">
        <w:t xml:space="preserve">gada </w:t>
      </w:r>
      <w:r>
        <w:t xml:space="preserve">līdz 2017. gadam, tendences ir </w:t>
      </w:r>
      <w:r w:rsidR="00887138">
        <w:t xml:space="preserve">bijušas </w:t>
      </w:r>
      <w:r>
        <w:t xml:space="preserve">līdzīgas, proti, Pierīgas mājsaimniecības </w:t>
      </w:r>
      <w:r w:rsidR="009A7619">
        <w:t>dzīvo</w:t>
      </w:r>
      <w:r w:rsidR="00887138">
        <w:t>jušas</w:t>
      </w:r>
      <w:r w:rsidR="009A7619">
        <w:t xml:space="preserve"> lielākos mājokļos</w:t>
      </w:r>
      <w:r>
        <w:t xml:space="preserve">, to vidējais </w:t>
      </w:r>
      <w:r w:rsidR="00887138">
        <w:t>lielums ir bijis</w:t>
      </w:r>
      <w:r>
        <w:t xml:space="preserve"> 81 m</w:t>
      </w:r>
      <w:r w:rsidRPr="007B595F">
        <w:rPr>
          <w:vertAlign w:val="superscript"/>
        </w:rPr>
        <w:t>2</w:t>
      </w:r>
      <w:r>
        <w:t>, kamēr Rīg</w:t>
      </w:r>
      <w:r w:rsidR="009A7619">
        <w:t xml:space="preserve">ā dzīvojošajām mājsaimniecībām </w:t>
      </w:r>
      <w:r>
        <w:t>– 53,9 m</w:t>
      </w:r>
      <w:r w:rsidRPr="007B595F">
        <w:rPr>
          <w:vertAlign w:val="superscript"/>
        </w:rPr>
        <w:t>2</w:t>
      </w:r>
      <w:r>
        <w:t>.</w:t>
      </w:r>
    </w:p>
    <w:p w:rsidR="00A93930" w:rsidRPr="00381F09" w:rsidRDefault="00A93930" w:rsidP="003945E0">
      <w:pPr>
        <w:pStyle w:val="Heading3"/>
      </w:pPr>
      <w:bookmarkStart w:id="657" w:name="_Toc6841636"/>
      <w:r w:rsidRPr="00381F09">
        <w:t>Mājokļ</w:t>
      </w:r>
      <w:r>
        <w:t>a</w:t>
      </w:r>
      <w:r w:rsidRPr="00381F09">
        <w:t xml:space="preserve"> </w:t>
      </w:r>
      <w:r w:rsidR="00343BC9">
        <w:t>tips</w:t>
      </w:r>
      <w:r>
        <w:t xml:space="preserve"> </w:t>
      </w:r>
      <w:r w:rsidR="00343BC9">
        <w:t xml:space="preserve">un īpašuma tiesību statusa </w:t>
      </w:r>
      <w:r>
        <w:t>ra</w:t>
      </w:r>
      <w:r w:rsidR="000A3DA3">
        <w:t>ks</w:t>
      </w:r>
      <w:r>
        <w:t>turojums</w:t>
      </w:r>
      <w:bookmarkEnd w:id="657"/>
      <w:r>
        <w:t xml:space="preserve"> </w:t>
      </w:r>
    </w:p>
    <w:p w:rsidR="00A93930" w:rsidRDefault="00A93930" w:rsidP="00A93930">
      <w:r>
        <w:t>Laika posmā no 2009.</w:t>
      </w:r>
      <w:r w:rsidR="00F74B8F">
        <w:t xml:space="preserve"> gada </w:t>
      </w:r>
      <w:r>
        <w:t xml:space="preserve">līdz 2017. gadam visu mājsaimniecību populārākais </w:t>
      </w:r>
      <w:r w:rsidRPr="006E50E5">
        <w:rPr>
          <w:b/>
        </w:rPr>
        <w:t>mājokļa tips</w:t>
      </w:r>
      <w:r>
        <w:t xml:space="preserve"> bijis </w:t>
      </w:r>
      <w:r w:rsidRPr="00A93930">
        <w:rPr>
          <w:b/>
        </w:rPr>
        <w:t>daudzdzīvokļu mājokļi, kuros ir 10 vai vairāk dzīvokļu</w:t>
      </w:r>
      <w:r>
        <w:t xml:space="preserve"> (sk. </w:t>
      </w:r>
      <w:r w:rsidR="00AD66E6">
        <w:t>3.9</w:t>
      </w:r>
      <w:r>
        <w:t xml:space="preserve">. attēlu). Dažādos gados mainījies biežums, kādā tas notiek, tomēr pozīcijas kā populārākajam mājokļa tipam tas neietekmē. </w:t>
      </w:r>
    </w:p>
    <w:p w:rsidR="00906F8A" w:rsidRDefault="00906F8A" w:rsidP="00A93930"/>
    <w:p w:rsidR="00906F8A" w:rsidRDefault="00906F8A" w:rsidP="00906F8A">
      <w:r>
        <w:t>Visbiežāk šāda tipa mājokļos dzīvo nepilnās ģimenes – 80%, tāpat samērā bieži šādos mājokļos dzīvo vientuļas vecāka gadagājuma personas (virs 65 gadiem) un ģimenes ar bērniem – abos gadījumos šo mājokļu tipu apdzīvo 71% no konkrētajām mājsaimniecībām. Tāpat šajā mājokļa tipā dzīvo 68% no ģimenēm ar diviem bērniem un atsevišķi dzīvojošas pieaugušas personas. Visretāk šāda tipa mājokļos dzīvo pāri bez bērniem vai daudzbērnu ģimenes, šiem mājsaimniecību tipiem šie rādītāji attiecīgi ir 61% un 62%.</w:t>
      </w:r>
    </w:p>
    <w:bookmarkStart w:id="658" w:name="_Toc6219274"/>
    <w:bookmarkStart w:id="659" w:name="_Toc6220217"/>
    <w:p w:rsidR="00381F09" w:rsidRPr="003A47BC" w:rsidRDefault="00AD3EDD" w:rsidP="00A46B54">
      <w:pPr>
        <w:pStyle w:val="Caption"/>
      </w:pPr>
      <w:r>
        <w:lastRenderedPageBreak/>
        <w:fldChar w:fldCharType="begin"/>
      </w:r>
      <w:r w:rsidR="006B5456">
        <w:instrText xml:space="preserve"> STYLEREF 1 \s </w:instrText>
      </w:r>
      <w:r>
        <w:fldChar w:fldCharType="separate"/>
      </w:r>
      <w:bookmarkStart w:id="660" w:name="_Toc6855824"/>
      <w:r w:rsidR="00224B50">
        <w:rPr>
          <w:noProof/>
        </w:rPr>
        <w:t>3</w:t>
      </w:r>
      <w:r>
        <w:fldChar w:fldCharType="end"/>
      </w:r>
      <w:r w:rsidR="006B5456">
        <w:t>.</w:t>
      </w:r>
      <w:r>
        <w:fldChar w:fldCharType="begin"/>
      </w:r>
      <w:r w:rsidR="000F1524">
        <w:instrText xml:space="preserve"> SEQ Ilustrācija \* ARABIC \s 1 </w:instrText>
      </w:r>
      <w:r>
        <w:fldChar w:fldCharType="separate"/>
      </w:r>
      <w:r w:rsidR="00224B50">
        <w:rPr>
          <w:noProof/>
        </w:rPr>
        <w:t>9</w:t>
      </w:r>
      <w:r>
        <w:rPr>
          <w:noProof/>
        </w:rPr>
        <w:fldChar w:fldCharType="end"/>
      </w:r>
      <w:r w:rsidR="003A47BC">
        <w:t xml:space="preserve">. attēls. </w:t>
      </w:r>
      <w:r w:rsidR="00381F09" w:rsidRPr="003A47BC">
        <w:t xml:space="preserve">Mājokļa </w:t>
      </w:r>
      <w:r w:rsidR="00343BC9">
        <w:t>tips sadalījumā pa mā</w:t>
      </w:r>
      <w:r w:rsidR="00381F09" w:rsidRPr="003A47BC">
        <w:t>jsaimniecību tipi</w:t>
      </w:r>
      <w:r w:rsidR="00343BC9">
        <w:t>em</w:t>
      </w:r>
      <w:r w:rsidR="000A3DA3">
        <w:t xml:space="preserve"> (%)</w:t>
      </w:r>
      <w:bookmarkEnd w:id="658"/>
      <w:bookmarkEnd w:id="659"/>
      <w:bookmarkEnd w:id="660"/>
    </w:p>
    <w:p w:rsidR="00381F09" w:rsidRDefault="001875FB" w:rsidP="00064C1E">
      <w:r w:rsidRPr="001875FB">
        <w:rPr>
          <w:noProof/>
        </w:rPr>
        <w:drawing>
          <wp:inline distT="0" distB="0" distL="0" distR="0">
            <wp:extent cx="6154420" cy="3441190"/>
            <wp:effectExtent l="1905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srcRect/>
                    <a:stretch>
                      <a:fillRect/>
                    </a:stretch>
                  </pic:blipFill>
                  <pic:spPr bwMode="auto">
                    <a:xfrm>
                      <a:off x="0" y="0"/>
                      <a:ext cx="6154420" cy="3441190"/>
                    </a:xfrm>
                    <a:prstGeom prst="rect">
                      <a:avLst/>
                    </a:prstGeom>
                    <a:noFill/>
                    <a:ln w="9525">
                      <a:noFill/>
                      <a:miter lim="800000"/>
                      <a:headEnd/>
                      <a:tailEnd/>
                    </a:ln>
                  </pic:spPr>
                </pic:pic>
              </a:graphicData>
            </a:graphic>
          </wp:inline>
        </w:drawing>
      </w:r>
    </w:p>
    <w:p w:rsidR="00581E31" w:rsidRPr="00581E31" w:rsidRDefault="00581E31" w:rsidP="00C33A64">
      <w:pPr>
        <w:pStyle w:val="avotiemft10"/>
      </w:pPr>
      <w:bookmarkStart w:id="661" w:name="_Toc6841637"/>
      <w:r w:rsidRPr="00581E31">
        <w:t xml:space="preserve">Avots: CSP, “MTG030. </w:t>
      </w:r>
      <w:r w:rsidRPr="00DA49DB">
        <w:t>Mājokļa</w:t>
      </w:r>
      <w:r w:rsidRPr="00581E31">
        <w:t xml:space="preserve"> veids (%)”.</w:t>
      </w:r>
      <w:bookmarkEnd w:id="661"/>
    </w:p>
    <w:p w:rsidR="00381F09" w:rsidRDefault="00381F09" w:rsidP="00064C1E">
      <w:pPr>
        <w:ind w:left="-1560"/>
      </w:pPr>
    </w:p>
    <w:p w:rsidR="00AD66E6" w:rsidRDefault="00AD66E6" w:rsidP="00AD66E6">
      <w:r>
        <w:t xml:space="preserve">Otrs biežāk apdzīvoto mājokļu tips šajā laika posmā bijis </w:t>
      </w:r>
      <w:r w:rsidRPr="00A93930">
        <w:rPr>
          <w:b/>
        </w:rPr>
        <w:t>savrupmājas un viensētas</w:t>
      </w:r>
      <w:r>
        <w:t>, kas laikā no 2009. gada līdz 2017. gadam saglabājušas otrā biežāk apdzīvotā mājokļa tipa vietu. Ir atsevišķi gadi un mājsaimniecību tipa griezumi, kad tas ir mainījies, bet tie ir izņēmuma gadījumi, nevis kopējās tendences. Piemēram, 2009. gadā 15% nepilno ģimeņu dzīvoja dzīvokļu mājā, kurā ir deviņi vai mazāk dzīvokļi, kamēr 9% šāda paša tipa mājsaimniecību dzīvoja savrupmājā vai viensētā, bet 2012. gadā šāda paša mājsaimniecības tipa mājokļu tipa attiecība bija 10% pret 9%.</w:t>
      </w:r>
    </w:p>
    <w:p w:rsidR="00AD66E6" w:rsidRDefault="00AD66E6" w:rsidP="00064C1E"/>
    <w:p w:rsidR="00086C70" w:rsidRDefault="000A3DA3" w:rsidP="00064C1E">
      <w:r>
        <w:t xml:space="preserve">2017. gadā </w:t>
      </w:r>
      <w:r w:rsidR="00086C70">
        <w:t>savrupmājās un viensētās</w:t>
      </w:r>
      <w:r>
        <w:t xml:space="preserve"> visbiežāk dzīvo pāri bez bērniem – 29% no visu šo mājsaimniecību kopskaita. Tāpat salīdzinoši bieži (25%) šādos mājokļos dzīvo </w:t>
      </w:r>
      <w:r w:rsidR="00086C70">
        <w:t>daudzbērnu ģimenes</w:t>
      </w:r>
      <w:r>
        <w:t xml:space="preserve">. </w:t>
      </w:r>
      <w:r w:rsidR="00086C70">
        <w:t>Pāri</w:t>
      </w:r>
      <w:r>
        <w:t xml:space="preserve"> ar vienu bērnu un </w:t>
      </w:r>
      <w:r w:rsidR="00086C70">
        <w:t>seniori šādus mājokļus apdzīvo</w:t>
      </w:r>
      <w:r>
        <w:t xml:space="preserve"> 19% gadījum</w:t>
      </w:r>
      <w:r w:rsidR="00086C70">
        <w:t xml:space="preserve">u. </w:t>
      </w:r>
    </w:p>
    <w:p w:rsidR="00086C70" w:rsidRDefault="00086C70" w:rsidP="00064C1E"/>
    <w:p w:rsidR="006E50E5" w:rsidRDefault="00381F09" w:rsidP="00064C1E">
      <w:r>
        <w:t xml:space="preserve">Skatoties populārāko mājokļu tipus </w:t>
      </w:r>
      <w:r w:rsidRPr="000A3DA3">
        <w:rPr>
          <w:b/>
        </w:rPr>
        <w:t>lauku un pilsētu griezumā</w:t>
      </w:r>
      <w:r>
        <w:t xml:space="preserve">, redzams, ka laukos biežāk apdzīvotais mājokļu tips gan 2017. gadā, gan </w:t>
      </w:r>
      <w:r w:rsidR="006E50E5">
        <w:t xml:space="preserve">periodā </w:t>
      </w:r>
      <w:r>
        <w:t xml:space="preserve">no 2009. līdz 2017. gadam </w:t>
      </w:r>
      <w:r w:rsidR="00086C70">
        <w:t xml:space="preserve">kopumā </w:t>
      </w:r>
      <w:r>
        <w:t xml:space="preserve">ir bijušas savrupmājas vai viensētas. </w:t>
      </w:r>
      <w:r w:rsidR="000A3DA3">
        <w:t>Šajā periodā laukos vairāk nekā puse mājsaimniecību ir dzīvojušās savrupmājās vai viensētās, mainījies ir tikai procentuālais sadalījums, kas ir bijis attiecīgi robežās no 52% līdz 59%. 2017.</w:t>
      </w:r>
      <w:r w:rsidR="00DE1C08">
        <w:t xml:space="preserve"> </w:t>
      </w:r>
      <w:r w:rsidR="000A3DA3">
        <w:t xml:space="preserve">gadā šis rādītājs ir 56%. </w:t>
      </w:r>
      <w:r w:rsidR="006E50E5">
        <w:t>Lauku mājsaimniecības</w:t>
      </w:r>
      <w:r w:rsidR="00546807">
        <w:t>, salīdzinot ar pilsētās dzīvojošajām,</w:t>
      </w:r>
      <w:r w:rsidR="006E50E5">
        <w:t xml:space="preserve"> biežāk dzīvo </w:t>
      </w:r>
      <w:r w:rsidR="000A3DA3">
        <w:t>arī mājokļos</w:t>
      </w:r>
      <w:r w:rsidR="006E50E5">
        <w:t>, kas atrodas daudzdzīvokļu mājā, kurā ir deviņi vai mazāk dzīvokļi</w:t>
      </w:r>
      <w:r w:rsidR="000A3DA3">
        <w:t>. Š</w:t>
      </w:r>
      <w:r w:rsidR="006E50E5">
        <w:t xml:space="preserve">āda </w:t>
      </w:r>
      <w:r w:rsidR="000A3DA3">
        <w:t xml:space="preserve">tipa </w:t>
      </w:r>
      <w:r w:rsidR="006E50E5">
        <w:t>mājokl</w:t>
      </w:r>
      <w:r w:rsidR="000A3DA3">
        <w:t xml:space="preserve">ī </w:t>
      </w:r>
      <w:r w:rsidR="006E50E5">
        <w:t xml:space="preserve">2017. gadā dzīvoja 10% </w:t>
      </w:r>
      <w:r w:rsidR="000A3DA3">
        <w:t xml:space="preserve">lauku </w:t>
      </w:r>
      <w:r w:rsidR="006E50E5">
        <w:t>mājsaimniecību, kamēr pilsētās – 7%.</w:t>
      </w:r>
    </w:p>
    <w:p w:rsidR="00381F09" w:rsidRDefault="00381F09" w:rsidP="00064C1E">
      <w:r>
        <w:t>Pilsētās</w:t>
      </w:r>
      <w:r w:rsidR="006E50E5">
        <w:t>,</w:t>
      </w:r>
      <w:r>
        <w:t xml:space="preserve"> savukārt</w:t>
      </w:r>
      <w:r w:rsidR="006E50E5">
        <w:t>,</w:t>
      </w:r>
      <w:r>
        <w:t xml:space="preserve"> </w:t>
      </w:r>
      <w:r w:rsidR="000A3DA3">
        <w:t xml:space="preserve">laikā no 2009. </w:t>
      </w:r>
      <w:r w:rsidR="00D54545">
        <w:t xml:space="preserve">gada </w:t>
      </w:r>
      <w:r w:rsidR="000A3DA3">
        <w:t xml:space="preserve">līdz 2017. gadam </w:t>
      </w:r>
      <w:r>
        <w:t>populārākais mājoklis bijis dzīvoklis daudzdzīvokļu mājā, kurā ir 10 vai vairāk dzīvokļu</w:t>
      </w:r>
      <w:r w:rsidR="006E50E5">
        <w:t>.</w:t>
      </w:r>
      <w:r>
        <w:t xml:space="preserve"> </w:t>
      </w:r>
      <w:r w:rsidR="000A3DA3">
        <w:t xml:space="preserve">Šajā laika posmā šis rādītājs ir bijis robežās no 72% līdz 77%, un pēdējos piecos gados tas nav nokritis zem 76%. </w:t>
      </w:r>
      <w:r>
        <w:t xml:space="preserve">2017. gadā </w:t>
      </w:r>
      <w:r w:rsidR="000A3DA3">
        <w:t xml:space="preserve">šādā mājoklī </w:t>
      </w:r>
      <w:r>
        <w:t xml:space="preserve">dzīvoja 76% no pilsētu mājsaimniecībām, kamēr laukos - 30%. </w:t>
      </w:r>
    </w:p>
    <w:p w:rsidR="00155519" w:rsidRDefault="00155519" w:rsidP="00064C1E"/>
    <w:p w:rsidR="00546807" w:rsidRDefault="00546807" w:rsidP="00064C1E">
      <w:r>
        <w:lastRenderedPageBreak/>
        <w:t>S</w:t>
      </w:r>
      <w:r w:rsidR="00381F09">
        <w:t xml:space="preserve">katoties </w:t>
      </w:r>
      <w:r w:rsidRPr="006764DD">
        <w:rPr>
          <w:b/>
        </w:rPr>
        <w:t>reģionu griezumā</w:t>
      </w:r>
      <w:r>
        <w:t xml:space="preserve"> </w:t>
      </w:r>
      <w:r w:rsidR="00381F09">
        <w:t>iepriekš minētos biežāk apdzīvoto</w:t>
      </w:r>
      <w:r>
        <w:t>s</w:t>
      </w:r>
      <w:r w:rsidR="00381F09">
        <w:t xml:space="preserve"> </w:t>
      </w:r>
      <w:r>
        <w:t>mājokļu</w:t>
      </w:r>
      <w:r w:rsidR="00381F09">
        <w:t xml:space="preserve"> tipus, </w:t>
      </w:r>
      <w:r>
        <w:t>redzams</w:t>
      </w:r>
      <w:r w:rsidR="00381F09">
        <w:t>, ka Rīgas reģionā mājsaimniecības galvenokārt dzīvo dzīvokļos, kuri atrodas daudzdzīvokļu mājā, kurā ir 10 dzīvokļi vai vairāk. 2017. gadā 87% no Rīgas mājsaimniecībām dzīvoja šādā mājoklī, kamēr Kurzemes reģionā par 28,3</w:t>
      </w:r>
      <w:r>
        <w:t xml:space="preserve"> procentpunktiem mazāk</w:t>
      </w:r>
      <w:r w:rsidR="00381F09">
        <w:t xml:space="preserve"> – 58,7%. Pārējos reģionos ši</w:t>
      </w:r>
      <w:r>
        <w:t>s</w:t>
      </w:r>
      <w:r w:rsidR="00381F09">
        <w:t xml:space="preserve"> rādītāj</w:t>
      </w:r>
      <w:r>
        <w:t>s</w:t>
      </w:r>
      <w:r w:rsidR="00381F09">
        <w:t xml:space="preserve"> ir vēl zemāk</w:t>
      </w:r>
      <w:r>
        <w:t>s</w:t>
      </w:r>
      <w:r w:rsidR="00381F09">
        <w:t>. Skatoties tendences</w:t>
      </w:r>
      <w:r>
        <w:t xml:space="preserve"> dinamikā</w:t>
      </w:r>
      <w:r w:rsidR="00381F09">
        <w:t xml:space="preserve">, situācija ir bijusi nemainīga laika posmā no 2009. </w:t>
      </w:r>
      <w:r w:rsidR="00D54545">
        <w:t xml:space="preserve">gada </w:t>
      </w:r>
      <w:r w:rsidR="00381F09">
        <w:t xml:space="preserve">līdz 2017. gadam. </w:t>
      </w:r>
      <w:r w:rsidR="000A3DA3">
        <w:t>Dzīvokļos, kas atrodas daudzdzīvokļu mājās, kurās ir deviņi vai mazāk dzīvok</w:t>
      </w:r>
      <w:r w:rsidR="00C01573">
        <w:t>ļ</w:t>
      </w:r>
      <w:r w:rsidR="000A3DA3">
        <w:t>i, 2017. gadā visbiežāk dzīvoja Vidzemes reģiona mājsaimniecības (11,8%), Kurzemes un Pierīgas reģionos šis rādītājs ir attiecīgi 9,9% un 9,8%.</w:t>
      </w:r>
    </w:p>
    <w:p w:rsidR="00546807" w:rsidRDefault="00546807" w:rsidP="00064C1E"/>
    <w:p w:rsidR="00381F09" w:rsidRDefault="00381F09" w:rsidP="00064C1E">
      <w:r>
        <w:t xml:space="preserve">Pretēja ir situācija, </w:t>
      </w:r>
      <w:r w:rsidR="006764DD">
        <w:t xml:space="preserve">reģionu griezumā </w:t>
      </w:r>
      <w:r>
        <w:t xml:space="preserve">skatoties </w:t>
      </w:r>
      <w:r w:rsidRPr="006764DD">
        <w:t xml:space="preserve">savrupmāju un viensētu mājokļu </w:t>
      </w:r>
      <w:r w:rsidR="00546807" w:rsidRPr="006764DD">
        <w:t xml:space="preserve">apdzīvotības </w:t>
      </w:r>
      <w:r w:rsidRPr="006764DD">
        <w:t>rādītājus</w:t>
      </w:r>
      <w:r>
        <w:t>. Šāda tipa mājokļos 2017. gadā Rīgas reģionā dzīvo</w:t>
      </w:r>
      <w:r w:rsidR="00546807">
        <w:t>ja</w:t>
      </w:r>
      <w:r>
        <w:t xml:space="preserve"> 6,3% mājsaimniecību, kas ir par 35,3</w:t>
      </w:r>
      <w:r w:rsidR="00546807">
        <w:t xml:space="preserve"> procentpunktiem</w:t>
      </w:r>
      <w:r>
        <w:t xml:space="preserve"> mazāk nekā Vidzemes reģionā (41,6</w:t>
      </w:r>
      <w:r w:rsidR="00546807">
        <w:t>%)</w:t>
      </w:r>
      <w:r>
        <w:t xml:space="preserve">. Zemgales reģionā 38% mājsaimniecību dzīvo šāda tipa </w:t>
      </w:r>
      <w:r w:rsidR="00546807">
        <w:t>mājokļos</w:t>
      </w:r>
      <w:r>
        <w:t xml:space="preserve">, bet Latgales reģionā 37,1%. Tendences gan šajā gadījumā nav vienādas, jo no 2012. </w:t>
      </w:r>
      <w:r w:rsidR="00F74B8F">
        <w:t xml:space="preserve">gada </w:t>
      </w:r>
      <w:r>
        <w:t xml:space="preserve">līdz 2016. gadam Latgalē mājsaimniecības biežāk dzīvoja šāda tipa mājokļos, Vidzemes reģiona un Rīgas pozīcijas gan </w:t>
      </w:r>
      <w:r w:rsidR="00546807">
        <w:t>sakrīt ar kopējo</w:t>
      </w:r>
      <w:r>
        <w:t xml:space="preserve"> tendenc</w:t>
      </w:r>
      <w:r w:rsidR="00546807">
        <w:t>i</w:t>
      </w:r>
      <w:r>
        <w:t>, proti, no 2009.</w:t>
      </w:r>
      <w:r w:rsidR="00D54545">
        <w:t xml:space="preserve"> gada</w:t>
      </w:r>
      <w:r>
        <w:t xml:space="preserve"> līdz 2017. gadam Rīg</w:t>
      </w:r>
      <w:r w:rsidR="00546807">
        <w:t>a ir reģions, kurā vismazākais</w:t>
      </w:r>
      <w:r>
        <w:t xml:space="preserve"> mājsaimniecīb</w:t>
      </w:r>
      <w:r w:rsidR="00546807">
        <w:t xml:space="preserve">u īpatsvars </w:t>
      </w:r>
      <w:r>
        <w:t>dzīvo savrupmājās vai viensētās, bet Vidzemē visbiežāk.</w:t>
      </w:r>
    </w:p>
    <w:p w:rsidR="008864A0" w:rsidRDefault="008864A0" w:rsidP="00064C1E">
      <w:pPr>
        <w:rPr>
          <w:highlight w:val="yellow"/>
        </w:rPr>
      </w:pPr>
    </w:p>
    <w:p w:rsidR="00BF4385" w:rsidRDefault="006764DD" w:rsidP="00064C1E">
      <w:r>
        <w:t>T</w:t>
      </w:r>
      <w:r w:rsidR="00BF4385" w:rsidRPr="008864A0">
        <w:t xml:space="preserve">urpinājumā </w:t>
      </w:r>
      <w:r w:rsidR="00C436EC">
        <w:t>ir</w:t>
      </w:r>
      <w:r w:rsidR="00BF4385" w:rsidRPr="008864A0">
        <w:t xml:space="preserve"> apskatīti</w:t>
      </w:r>
      <w:r w:rsidR="0053342F">
        <w:t xml:space="preserve"> dati par</w:t>
      </w:r>
      <w:r w:rsidR="00BF4385" w:rsidRPr="008864A0">
        <w:t xml:space="preserve"> </w:t>
      </w:r>
      <w:r w:rsidR="00BF4385" w:rsidRPr="00841B9C">
        <w:rPr>
          <w:b/>
        </w:rPr>
        <w:t xml:space="preserve">mājokļa īpašuma tiesību </w:t>
      </w:r>
      <w:r w:rsidR="0053342F">
        <w:rPr>
          <w:b/>
        </w:rPr>
        <w:t>statusu</w:t>
      </w:r>
      <w:r w:rsidR="00BF4385" w:rsidRPr="008864A0">
        <w:t xml:space="preserve"> (</w:t>
      </w:r>
      <w:r w:rsidR="00824DEA">
        <w:t xml:space="preserve">sk. </w:t>
      </w:r>
      <w:r w:rsidR="00AD66E6">
        <w:t>3.10</w:t>
      </w:r>
      <w:r w:rsidR="00824DEA">
        <w:t>. attēlu</w:t>
      </w:r>
      <w:r w:rsidR="00BF4385" w:rsidRPr="008864A0">
        <w:t xml:space="preserve">) mājsaimniecību sociāli demogrāfisko </w:t>
      </w:r>
      <w:r w:rsidR="00C436EC">
        <w:t>pazīmju</w:t>
      </w:r>
      <w:r w:rsidR="00BF4385" w:rsidRPr="008864A0">
        <w:t xml:space="preserve"> griezumā ar šādiem rādītājiem: mājokļa tips, kopējās mājokļa izmaksas, Latvijas statistiskie reģioni, teritorija, personu skaits mājsaimniecībā, mājsaimniecības tipi, ienākumu kvintiļu grupas, dziļa materiālā nenodrošinātība un materiālā nenodrošinātība.</w:t>
      </w:r>
    </w:p>
    <w:p w:rsidR="0053342F" w:rsidRDefault="0053342F" w:rsidP="00064C1E"/>
    <w:p w:rsidR="0053342F" w:rsidRDefault="0053342F" w:rsidP="00064C1E">
      <w:r>
        <w:t xml:space="preserve">Kopumā visos analīzē iekļautajos gados dominējošais mājokļu īpašuma tiesību statuss ir </w:t>
      </w:r>
      <w:r w:rsidRPr="00C436EC">
        <w:rPr>
          <w:b/>
        </w:rPr>
        <w:t>īpašums</w:t>
      </w:r>
      <w:r>
        <w:t xml:space="preserve"> </w:t>
      </w:r>
      <w:r w:rsidRPr="00C436EC">
        <w:rPr>
          <w:b/>
        </w:rPr>
        <w:t>bez hipotekārā kredīta saistībām</w:t>
      </w:r>
      <w:r>
        <w:t xml:space="preserve"> – šādos </w:t>
      </w:r>
      <w:r w:rsidRPr="008864A0">
        <w:t>mājok</w:t>
      </w:r>
      <w:r>
        <w:t>ļos</w:t>
      </w:r>
      <w:r w:rsidRPr="008864A0">
        <w:t xml:space="preserve"> </w:t>
      </w:r>
      <w:r>
        <w:t>dzīvo</w:t>
      </w:r>
      <w:r w:rsidRPr="008864A0">
        <w:t xml:space="preserve"> aptuveni 73% mājsaimniecību (</w:t>
      </w:r>
      <w:r>
        <w:t xml:space="preserve">sk. </w:t>
      </w:r>
      <w:r w:rsidR="00AD66E6">
        <w:t>3.10</w:t>
      </w:r>
      <w:r>
        <w:t>. attēlu</w:t>
      </w:r>
      <w:r w:rsidR="0016323C">
        <w:t xml:space="preserve"> nākamajā lapā</w:t>
      </w:r>
      <w:r w:rsidRPr="008864A0">
        <w:t>).</w:t>
      </w:r>
      <w:r w:rsidR="0016323C">
        <w:t xml:space="preserve"> </w:t>
      </w:r>
      <w:r w:rsidR="0016323C" w:rsidRPr="008864A0">
        <w:t>Pārējās īpašuma formas –</w:t>
      </w:r>
      <w:r w:rsidR="0016323C">
        <w:t xml:space="preserve"> kādam no mājsaimniecības locekļiem īpašums, maksājot hipotekāro kredītu, īrēšana atbilstoši tirgus vērtībai, īrēšana par samazinātu vai administratīvi regulētu īres maksu, lietošanā ir mājoklis, kas piešķirts par brīvu bez īres maksas – ir sastopamas aptuveni līdzīgās proporcijās. Aplūkojot sīkāk datu sadalījumu dažādās mājsaimniecību grupās, redzams, ka situācija nozīmīgi atšķiras atkarībā no mājsaimniecības raksturojuma - ienākumu pazīmes, bērnu skaita, mājsaimniecības locekļu vecuma. </w:t>
      </w:r>
    </w:p>
    <w:bookmarkStart w:id="662" w:name="_Toc6219275"/>
    <w:bookmarkStart w:id="663" w:name="_Toc6220218"/>
    <w:p w:rsidR="00E32C44" w:rsidRPr="00816B5C" w:rsidRDefault="00AD3EDD" w:rsidP="00A46B54">
      <w:pPr>
        <w:pStyle w:val="Caption"/>
      </w:pPr>
      <w:r>
        <w:lastRenderedPageBreak/>
        <w:fldChar w:fldCharType="begin"/>
      </w:r>
      <w:r w:rsidR="006B5456">
        <w:instrText xml:space="preserve"> STYLEREF 1 \s </w:instrText>
      </w:r>
      <w:r>
        <w:fldChar w:fldCharType="separate"/>
      </w:r>
      <w:bookmarkStart w:id="664" w:name="_Toc6855825"/>
      <w:r w:rsidR="00224B50">
        <w:rPr>
          <w:noProof/>
        </w:rPr>
        <w:t>3</w:t>
      </w:r>
      <w:r>
        <w:fldChar w:fldCharType="end"/>
      </w:r>
      <w:r w:rsidR="006B5456">
        <w:t>.</w:t>
      </w:r>
      <w:r>
        <w:fldChar w:fldCharType="begin"/>
      </w:r>
      <w:r w:rsidR="000F1524">
        <w:instrText xml:space="preserve"> SEQ Ilustrācija \* ARABIC \s 1 </w:instrText>
      </w:r>
      <w:r>
        <w:fldChar w:fldCharType="separate"/>
      </w:r>
      <w:r w:rsidR="00224B50">
        <w:rPr>
          <w:noProof/>
        </w:rPr>
        <w:t>10</w:t>
      </w:r>
      <w:r>
        <w:rPr>
          <w:noProof/>
        </w:rPr>
        <w:fldChar w:fldCharType="end"/>
      </w:r>
      <w:r w:rsidR="00E32C44" w:rsidRPr="008864A0">
        <w:t xml:space="preserve">. attēls. Mājokļu īpašuma tiesību </w:t>
      </w:r>
      <w:r w:rsidR="00950B38">
        <w:t>statuss</w:t>
      </w:r>
      <w:r w:rsidR="00863A6B">
        <w:t>: v</w:t>
      </w:r>
      <w:r w:rsidR="00E32C44" w:rsidRPr="008864A0">
        <w:t>isas mājsaimniecības</w:t>
      </w:r>
      <w:r w:rsidR="00863A6B">
        <w:t xml:space="preserve"> (%)</w:t>
      </w:r>
      <w:bookmarkEnd w:id="662"/>
      <w:bookmarkEnd w:id="663"/>
      <w:bookmarkEnd w:id="664"/>
    </w:p>
    <w:p w:rsidR="00E32C44" w:rsidRDefault="007678BB" w:rsidP="00064C1E">
      <w:r w:rsidRPr="007678BB">
        <w:rPr>
          <w:noProof/>
        </w:rPr>
        <w:drawing>
          <wp:inline distT="0" distB="0" distL="0" distR="0">
            <wp:extent cx="6154420" cy="3741066"/>
            <wp:effectExtent l="1905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a:srcRect/>
                    <a:stretch>
                      <a:fillRect/>
                    </a:stretch>
                  </pic:blipFill>
                  <pic:spPr bwMode="auto">
                    <a:xfrm>
                      <a:off x="0" y="0"/>
                      <a:ext cx="6154420" cy="3741066"/>
                    </a:xfrm>
                    <a:prstGeom prst="rect">
                      <a:avLst/>
                    </a:prstGeom>
                    <a:noFill/>
                    <a:ln w="9525">
                      <a:noFill/>
                      <a:miter lim="800000"/>
                      <a:headEnd/>
                      <a:tailEnd/>
                    </a:ln>
                  </pic:spPr>
                </pic:pic>
              </a:graphicData>
            </a:graphic>
          </wp:inline>
        </w:drawing>
      </w:r>
    </w:p>
    <w:p w:rsidR="00581E31" w:rsidRPr="00B87378" w:rsidRDefault="00D54545" w:rsidP="00DA49DB">
      <w:pPr>
        <w:pStyle w:val="avotiemft10"/>
      </w:pPr>
      <w:bookmarkStart w:id="665" w:name="_Toc6219276"/>
      <w:bookmarkStart w:id="666" w:name="_Toc6220219"/>
      <w:bookmarkStart w:id="667" w:name="_Ref874941"/>
      <w:r w:rsidRPr="00B87378">
        <w:t>Avots: EU-</w:t>
      </w:r>
      <w:r w:rsidR="00581E31" w:rsidRPr="00B87378">
        <w:t>SILC, CSP, 2017.</w:t>
      </w:r>
      <w:bookmarkEnd w:id="665"/>
      <w:bookmarkEnd w:id="666"/>
    </w:p>
    <w:bookmarkStart w:id="668" w:name="_Toc6219277"/>
    <w:bookmarkStart w:id="669" w:name="_Toc6220220"/>
    <w:bookmarkEnd w:id="667"/>
    <w:p w:rsidR="00E32C44" w:rsidRDefault="00AD3EDD" w:rsidP="00A46B54">
      <w:pPr>
        <w:pStyle w:val="Caption"/>
      </w:pPr>
      <w:r>
        <w:fldChar w:fldCharType="begin"/>
      </w:r>
      <w:r w:rsidR="006B5456">
        <w:instrText xml:space="preserve"> STYLEREF 1 \s </w:instrText>
      </w:r>
      <w:r>
        <w:fldChar w:fldCharType="separate"/>
      </w:r>
      <w:bookmarkStart w:id="670" w:name="_Toc6855826"/>
      <w:r w:rsidR="00224B50">
        <w:rPr>
          <w:noProof/>
        </w:rPr>
        <w:t>3</w:t>
      </w:r>
      <w:r>
        <w:fldChar w:fldCharType="end"/>
      </w:r>
      <w:r w:rsidR="006B5456">
        <w:t>.</w:t>
      </w:r>
      <w:r>
        <w:fldChar w:fldCharType="begin"/>
      </w:r>
      <w:r w:rsidR="000F1524">
        <w:instrText xml:space="preserve"> SEQ Ilustrācija \* ARABIC \s 1 </w:instrText>
      </w:r>
      <w:r>
        <w:fldChar w:fldCharType="separate"/>
      </w:r>
      <w:r w:rsidR="00224B50">
        <w:rPr>
          <w:noProof/>
        </w:rPr>
        <w:t>11</w:t>
      </w:r>
      <w:r>
        <w:rPr>
          <w:noProof/>
        </w:rPr>
        <w:fldChar w:fldCharType="end"/>
      </w:r>
      <w:r w:rsidR="00E32C44" w:rsidRPr="008864A0">
        <w:t xml:space="preserve">. attēls. Mājokļu īpašuma tiesību </w:t>
      </w:r>
      <w:r w:rsidR="00343BC9">
        <w:t>statuss</w:t>
      </w:r>
      <w:r w:rsidR="00863A6B">
        <w:t>,</w:t>
      </w:r>
      <w:r w:rsidR="00E32C44" w:rsidRPr="008864A0">
        <w:t xml:space="preserve"> 2017. gads</w:t>
      </w:r>
      <w:r w:rsidR="00863A6B">
        <w:t>:</w:t>
      </w:r>
      <w:r w:rsidR="00E32C44" w:rsidRPr="008864A0">
        <w:t xml:space="preserve"> </w:t>
      </w:r>
      <w:r w:rsidR="00863A6B">
        <w:t>m</w:t>
      </w:r>
      <w:r w:rsidR="00E32C44" w:rsidRPr="008864A0">
        <w:t>ājokļa tipu griezumā</w:t>
      </w:r>
      <w:r w:rsidR="00863A6B">
        <w:t xml:space="preserve"> (%)</w:t>
      </w:r>
      <w:bookmarkEnd w:id="668"/>
      <w:bookmarkEnd w:id="669"/>
      <w:bookmarkEnd w:id="670"/>
    </w:p>
    <w:p w:rsidR="00E32C44" w:rsidRDefault="007678BB" w:rsidP="00064C1E">
      <w:pPr>
        <w:rPr>
          <w:b/>
        </w:rPr>
      </w:pPr>
      <w:r w:rsidRPr="007678BB">
        <w:rPr>
          <w:noProof/>
        </w:rPr>
        <w:drawing>
          <wp:inline distT="0" distB="0" distL="0" distR="0">
            <wp:extent cx="6154420" cy="3761852"/>
            <wp:effectExtent l="19050" t="0" r="0" b="0"/>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7"/>
                    <a:srcRect/>
                    <a:stretch>
                      <a:fillRect/>
                    </a:stretch>
                  </pic:blipFill>
                  <pic:spPr bwMode="auto">
                    <a:xfrm>
                      <a:off x="0" y="0"/>
                      <a:ext cx="6154420" cy="3761852"/>
                    </a:xfrm>
                    <a:prstGeom prst="rect">
                      <a:avLst/>
                    </a:prstGeom>
                    <a:noFill/>
                    <a:ln w="9525">
                      <a:noFill/>
                      <a:miter lim="800000"/>
                      <a:headEnd/>
                      <a:tailEnd/>
                    </a:ln>
                  </pic:spPr>
                </pic:pic>
              </a:graphicData>
            </a:graphic>
          </wp:inline>
        </w:drawing>
      </w:r>
    </w:p>
    <w:p w:rsidR="00581E31" w:rsidRPr="00B87378" w:rsidRDefault="00581E31" w:rsidP="00C33A64">
      <w:pPr>
        <w:pStyle w:val="avotiemft10"/>
      </w:pPr>
      <w:r w:rsidRPr="00B87378">
        <w:t xml:space="preserve"> </w:t>
      </w:r>
      <w:bookmarkStart w:id="671" w:name="_Toc6219278"/>
      <w:bookmarkStart w:id="672" w:name="_Toc6220221"/>
      <w:bookmarkStart w:id="673" w:name="_Toc6841638"/>
      <w:r w:rsidR="00D54545" w:rsidRPr="00B87378">
        <w:t>Avots: EU-</w:t>
      </w:r>
      <w:r w:rsidRPr="00DA49DB">
        <w:t>SILC</w:t>
      </w:r>
      <w:r w:rsidRPr="00B87378">
        <w:t>, CSP, 2017.</w:t>
      </w:r>
      <w:bookmarkEnd w:id="671"/>
      <w:bookmarkEnd w:id="672"/>
      <w:bookmarkEnd w:id="673"/>
      <w:r w:rsidRPr="00B87378">
        <w:t xml:space="preserve"> </w:t>
      </w:r>
    </w:p>
    <w:p w:rsidR="00246B0E" w:rsidRDefault="00246B0E" w:rsidP="0016323C"/>
    <w:p w:rsidR="00224B50" w:rsidRPr="00B87378" w:rsidRDefault="00AD66E6" w:rsidP="00DA49DB">
      <w:pPr>
        <w:pStyle w:val="avotiemft10"/>
      </w:pPr>
      <w:r w:rsidRPr="00086C70">
        <w:lastRenderedPageBreak/>
        <w:t>2017. gada dati</w:t>
      </w:r>
      <w:r w:rsidRPr="00A213ED">
        <w:rPr>
          <w:b/>
        </w:rPr>
        <w:t xml:space="preserve"> </w:t>
      </w:r>
      <w:r w:rsidRPr="0053342F">
        <w:t>par mājokļa īpašuma tiesību statusiem</w:t>
      </w:r>
      <w:r>
        <w:t xml:space="preserve"> sadalījumā pa mājokļa </w:t>
      </w:r>
      <w:r w:rsidRPr="008864A0">
        <w:t>tipiem (</w:t>
      </w:r>
      <w:r>
        <w:t xml:space="preserve">sk. </w:t>
      </w:r>
      <w:r w:rsidR="00AD3EDD" w:rsidRPr="00AD3EDD">
        <w:fldChar w:fldCharType="begin"/>
      </w:r>
      <w:r>
        <w:instrText xml:space="preserve"> REF _Ref874941 \h </w:instrText>
      </w:r>
      <w:r w:rsidR="00AD3EDD" w:rsidRPr="00AD3EDD">
        <w:fldChar w:fldCharType="separate"/>
      </w:r>
      <w:r w:rsidR="00224B50" w:rsidRPr="00B87378">
        <w:t>Avots: EU-SILC, CSP, 2017.</w:t>
      </w:r>
    </w:p>
    <w:p w:rsidR="0016323C" w:rsidRDefault="00AD3EDD" w:rsidP="0016323C">
      <w:r>
        <w:fldChar w:fldCharType="end"/>
      </w:r>
      <w:r w:rsidR="00AD66E6">
        <w:t>. attēlu</w:t>
      </w:r>
      <w:r w:rsidR="00AD66E6" w:rsidRPr="008864A0">
        <w:t xml:space="preserve">), </w:t>
      </w:r>
      <w:r w:rsidR="00AD66E6">
        <w:t>atklāj</w:t>
      </w:r>
      <w:r w:rsidR="00AD66E6" w:rsidRPr="008864A0">
        <w:t>, ka savrupmājas vai viensētas 85,4% gadījumu pilnībā</w:t>
      </w:r>
      <w:r w:rsidR="00AD66E6" w:rsidRPr="00966D80">
        <w:t xml:space="preserve"> pieder kādam mājsaimniecības loceklim bez hipotekārā kredīta saistībām. Dzīvokļu gadījumā šie rādītāji</w:t>
      </w:r>
      <w:r w:rsidR="00AD66E6">
        <w:t xml:space="preserve"> </w:t>
      </w:r>
      <w:r w:rsidR="00AD66E6" w:rsidRPr="00966D80">
        <w:t xml:space="preserve">ir </w:t>
      </w:r>
      <w:r w:rsidR="00AD66E6">
        <w:t xml:space="preserve">zemāki – </w:t>
      </w:r>
      <w:r w:rsidR="00AD66E6" w:rsidRPr="00966D80">
        <w:t>gadījumos, kad dzīvoklis atrodas daudzdzīvokļu mājā līdz deviņiem dzīvokļiem</w:t>
      </w:r>
      <w:r w:rsidR="00AD66E6">
        <w:t xml:space="preserve"> – </w:t>
      </w:r>
      <w:r w:rsidR="00AD66E6" w:rsidRPr="00966D80">
        <w:t>55,1%, bet, ja tas atrodas daudzdzīvokļu mājā ar desmit un vairāk dzīvokļiem</w:t>
      </w:r>
      <w:r w:rsidR="00AD66E6">
        <w:t xml:space="preserve"> – </w:t>
      </w:r>
      <w:r w:rsidR="00AD66E6" w:rsidRPr="00966D80">
        <w:t>70,9%. Savrupmājas daļa vai rindu māja 72,9% gadījumu pilnībā pieder kādam mājsaimniecības l</w:t>
      </w:r>
      <w:r w:rsidR="00AD66E6">
        <w:t xml:space="preserve">oceklim bez kredīta saistībām, savukārt,15,3% </w:t>
      </w:r>
      <w:r w:rsidR="00AD66E6" w:rsidRPr="00966D80">
        <w:t>m</w:t>
      </w:r>
      <w:r w:rsidR="00AD66E6">
        <w:t>ājsaimniecību šāds mājoklis tika piešķirts</w:t>
      </w:r>
      <w:r w:rsidR="00AD66E6" w:rsidRPr="00966D80">
        <w:t xml:space="preserve"> par brīvu, neprasot īres maksu.</w:t>
      </w:r>
      <w:r w:rsidR="00AD66E6">
        <w:t xml:space="preserve"> </w:t>
      </w:r>
      <w:r w:rsidR="00AD66E6" w:rsidRPr="00966D80">
        <w:t>Citā</w:t>
      </w:r>
      <w:r w:rsidR="00AD66E6">
        <w:t>s</w:t>
      </w:r>
      <w:r w:rsidR="00AD66E6" w:rsidRPr="00966D80">
        <w:t xml:space="preserve"> mājokļa īpašuma tiesību </w:t>
      </w:r>
      <w:r w:rsidR="00AD66E6">
        <w:t xml:space="preserve">statusa </w:t>
      </w:r>
      <w:r w:rsidR="00AD66E6" w:rsidRPr="00966D80">
        <w:t>grupās redzam</w:t>
      </w:r>
      <w:r w:rsidR="00AD66E6">
        <w:t>s</w:t>
      </w:r>
      <w:r w:rsidR="00AD66E6" w:rsidRPr="00966D80">
        <w:t xml:space="preserve">, </w:t>
      </w:r>
      <w:r w:rsidR="00AD66E6">
        <w:t xml:space="preserve">ka gadījumos, </w:t>
      </w:r>
      <w:r w:rsidR="00AD66E6" w:rsidRPr="00966D80">
        <w:t>kad mājsaimniecība dzīvo dzīvoklī, kas atrodas daudzdzīvokļu mājā līdz deviņiem dzīvokļiem</w:t>
      </w:r>
      <w:r w:rsidR="00AD66E6">
        <w:t>, </w:t>
      </w:r>
      <w:r w:rsidR="00AD66E6" w:rsidRPr="00966D80">
        <w:t xml:space="preserve">18,5% gadījumu </w:t>
      </w:r>
      <w:r w:rsidR="00AD66E6">
        <w:t>tas</w:t>
      </w:r>
      <w:r w:rsidR="00AD66E6" w:rsidRPr="00966D80">
        <w:t xml:space="preserve"> tiek īrēts atbilstoši tirgus cenas vērtībai, bet 13,5% gadījumu tiek īrēts par administratīvi regulētu vai samazinātu cenu.</w:t>
      </w:r>
    </w:p>
    <w:p w:rsidR="0016323C" w:rsidRDefault="0016323C" w:rsidP="00064C1E"/>
    <w:p w:rsidR="00E32C44" w:rsidRDefault="00E32C44" w:rsidP="00064C1E">
      <w:r w:rsidRPr="00966D80">
        <w:t>2017</w:t>
      </w:r>
      <w:r>
        <w:t>. gada</w:t>
      </w:r>
      <w:r w:rsidRPr="00966D80">
        <w:t xml:space="preserve"> </w:t>
      </w:r>
      <w:r w:rsidRPr="008604A8">
        <w:rPr>
          <w:b/>
        </w:rPr>
        <w:t xml:space="preserve">dati par mājokļa īpašuma tiesību </w:t>
      </w:r>
      <w:r w:rsidR="00343BC9">
        <w:rPr>
          <w:b/>
        </w:rPr>
        <w:t>statusu</w:t>
      </w:r>
      <w:r w:rsidRPr="008604A8">
        <w:rPr>
          <w:b/>
        </w:rPr>
        <w:t xml:space="preserve"> </w:t>
      </w:r>
      <w:r w:rsidR="008604A8" w:rsidRPr="008604A8">
        <w:rPr>
          <w:b/>
        </w:rPr>
        <w:t>sadalījumā</w:t>
      </w:r>
      <w:r w:rsidRPr="008604A8">
        <w:rPr>
          <w:b/>
        </w:rPr>
        <w:t xml:space="preserve"> pa Latvijas statistiskajiem reģioniem</w:t>
      </w:r>
      <w:r w:rsidRPr="00966D80">
        <w:t xml:space="preserve"> </w:t>
      </w:r>
      <w:r w:rsidR="009B12C1" w:rsidRPr="008864A0">
        <w:t>(</w:t>
      </w:r>
      <w:r w:rsidR="00824DEA">
        <w:t xml:space="preserve">sk. </w:t>
      </w:r>
      <w:r w:rsidR="00AD66E6">
        <w:t>3.12</w:t>
      </w:r>
      <w:r w:rsidR="00824DEA">
        <w:t>. attēlu</w:t>
      </w:r>
      <w:r w:rsidR="009B12C1" w:rsidRPr="008864A0">
        <w:t xml:space="preserve">) rāda, ka </w:t>
      </w:r>
      <w:r w:rsidRPr="008864A0">
        <w:t>81% no Latgales mājsaimniecībām mājoklis pieder</w:t>
      </w:r>
      <w:r w:rsidRPr="00966D80">
        <w:t xml:space="preserve"> </w:t>
      </w:r>
      <w:r w:rsidR="008604A8">
        <w:t>kādam tās</w:t>
      </w:r>
      <w:r w:rsidRPr="00966D80">
        <w:t xml:space="preserve"> loceklim (bez hipotekārā kredīta saistībām), Zemgales reģionā šis rādītājs ir 80%, bet Vidzemē</w:t>
      </w:r>
      <w:r>
        <w:t xml:space="preserve"> – </w:t>
      </w:r>
      <w:r w:rsidRPr="00966D80">
        <w:t>79,6%</w:t>
      </w:r>
      <w:r w:rsidR="008604A8">
        <w:t xml:space="preserve">, </w:t>
      </w:r>
      <w:r w:rsidRPr="00966D80">
        <w:t xml:space="preserve">Pierīgas reģionā </w:t>
      </w:r>
      <w:r w:rsidR="008604A8">
        <w:t>-</w:t>
      </w:r>
      <w:r w:rsidRPr="00966D80">
        <w:t xml:space="preserve"> 75,2%, bet Kurzemē un Rīgā šie rādītāji ir zem 70%, attiecīgi</w:t>
      </w:r>
      <w:r>
        <w:t xml:space="preserve"> – 69,5% un </w:t>
      </w:r>
      <w:r w:rsidRPr="00966D80">
        <w:t>67%. Pierīgas reģionā vēl vien</w:t>
      </w:r>
      <w:r>
        <w:t>a</w:t>
      </w:r>
      <w:r w:rsidRPr="00966D80">
        <w:t xml:space="preserve"> raksturīga mājokļa īpašuma forma bijusi tā piederīb</w:t>
      </w:r>
      <w:r w:rsidR="008604A8">
        <w:t>a</w:t>
      </w:r>
      <w:r w:rsidRPr="00966D80">
        <w:t xml:space="preserve"> mājsaimniecības loceklim, bet ar kredīta maksājumiem</w:t>
      </w:r>
      <w:r>
        <w:t xml:space="preserve"> – </w:t>
      </w:r>
      <w:r w:rsidR="008604A8">
        <w:t xml:space="preserve">šāda īpašuma tiesību tipa </w:t>
      </w:r>
      <w:r w:rsidRPr="00966D80">
        <w:t xml:space="preserve">mājoklis piederējis 10,9% mājsaimniecību. </w:t>
      </w:r>
    </w:p>
    <w:bookmarkStart w:id="674" w:name="_Toc6219279"/>
    <w:bookmarkStart w:id="675" w:name="_Toc6220222"/>
    <w:p w:rsidR="00E32C44" w:rsidRDefault="00AD3EDD" w:rsidP="00A46B54">
      <w:pPr>
        <w:pStyle w:val="Caption"/>
      </w:pPr>
      <w:r>
        <w:fldChar w:fldCharType="begin"/>
      </w:r>
      <w:r w:rsidR="006B5456">
        <w:instrText xml:space="preserve"> STYLEREF 1 \s </w:instrText>
      </w:r>
      <w:r>
        <w:fldChar w:fldCharType="separate"/>
      </w:r>
      <w:bookmarkStart w:id="676" w:name="_Toc6855827"/>
      <w:r w:rsidR="00224B50">
        <w:rPr>
          <w:noProof/>
        </w:rPr>
        <w:t>3</w:t>
      </w:r>
      <w:r>
        <w:fldChar w:fldCharType="end"/>
      </w:r>
      <w:r w:rsidR="006B5456">
        <w:t>.</w:t>
      </w:r>
      <w:r>
        <w:fldChar w:fldCharType="begin"/>
      </w:r>
      <w:r w:rsidR="000F1524">
        <w:instrText xml:space="preserve"> SEQ Ilustrācija \* ARABIC \s 1 </w:instrText>
      </w:r>
      <w:r>
        <w:fldChar w:fldCharType="separate"/>
      </w:r>
      <w:r w:rsidR="00224B50">
        <w:rPr>
          <w:noProof/>
        </w:rPr>
        <w:t>12</w:t>
      </w:r>
      <w:r>
        <w:rPr>
          <w:noProof/>
        </w:rPr>
        <w:fldChar w:fldCharType="end"/>
      </w:r>
      <w:r w:rsidR="00E32C44" w:rsidRPr="008864A0">
        <w:t xml:space="preserve">. attēls. Mājokļu īpašuma tiesību </w:t>
      </w:r>
      <w:r w:rsidR="00086C70">
        <w:t>statuss</w:t>
      </w:r>
      <w:r w:rsidR="00863A6B">
        <w:t>,</w:t>
      </w:r>
      <w:r w:rsidR="00E32C44" w:rsidRPr="008864A0">
        <w:t xml:space="preserve"> 2017. gads</w:t>
      </w:r>
      <w:r w:rsidR="00863A6B">
        <w:t>:</w:t>
      </w:r>
      <w:r w:rsidR="00E32C44" w:rsidRPr="008864A0">
        <w:t xml:space="preserve"> </w:t>
      </w:r>
      <w:r w:rsidR="00863A6B">
        <w:t>r</w:t>
      </w:r>
      <w:r w:rsidR="00E32C44" w:rsidRPr="008864A0">
        <w:t>eģionu griezumā</w:t>
      </w:r>
      <w:r w:rsidR="00863A6B">
        <w:t xml:space="preserve"> (%)</w:t>
      </w:r>
      <w:bookmarkEnd w:id="674"/>
      <w:bookmarkEnd w:id="675"/>
      <w:bookmarkEnd w:id="676"/>
      <w:r w:rsidR="00E32C44">
        <w:t xml:space="preserve"> </w:t>
      </w:r>
    </w:p>
    <w:p w:rsidR="00E32C44" w:rsidRDefault="007678BB" w:rsidP="00064C1E">
      <w:pPr>
        <w:rPr>
          <w:b/>
        </w:rPr>
      </w:pPr>
      <w:r w:rsidRPr="007678BB">
        <w:rPr>
          <w:noProof/>
        </w:rPr>
        <w:drawing>
          <wp:inline distT="0" distB="0" distL="0" distR="0">
            <wp:extent cx="6154420" cy="3775401"/>
            <wp:effectExtent l="19050" t="0" r="0" b="0"/>
            <wp:docPr id="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a:srcRect/>
                    <a:stretch>
                      <a:fillRect/>
                    </a:stretch>
                  </pic:blipFill>
                  <pic:spPr bwMode="auto">
                    <a:xfrm>
                      <a:off x="0" y="0"/>
                      <a:ext cx="6154420" cy="3775401"/>
                    </a:xfrm>
                    <a:prstGeom prst="rect">
                      <a:avLst/>
                    </a:prstGeom>
                    <a:noFill/>
                    <a:ln w="9525">
                      <a:noFill/>
                      <a:miter lim="800000"/>
                      <a:headEnd/>
                      <a:tailEnd/>
                    </a:ln>
                  </pic:spPr>
                </pic:pic>
              </a:graphicData>
            </a:graphic>
          </wp:inline>
        </w:drawing>
      </w:r>
    </w:p>
    <w:p w:rsidR="00581E31" w:rsidRPr="00B87378" w:rsidRDefault="00D54545" w:rsidP="00C33A64">
      <w:pPr>
        <w:pStyle w:val="avotiemft10"/>
      </w:pPr>
      <w:bookmarkStart w:id="677" w:name="_Toc6219280"/>
      <w:bookmarkStart w:id="678" w:name="_Toc6220223"/>
      <w:bookmarkStart w:id="679" w:name="_Toc6841639"/>
      <w:r w:rsidRPr="00B87378">
        <w:t>Avots: EU-</w:t>
      </w:r>
      <w:r w:rsidR="00581E31" w:rsidRPr="00B87378">
        <w:t xml:space="preserve">SILC, </w:t>
      </w:r>
      <w:r w:rsidR="00581E31" w:rsidRPr="00DA49DB">
        <w:t>CSP</w:t>
      </w:r>
      <w:r w:rsidR="00581E31" w:rsidRPr="00B87378">
        <w:t>, 2017.</w:t>
      </w:r>
      <w:bookmarkEnd w:id="677"/>
      <w:bookmarkEnd w:id="678"/>
      <w:bookmarkEnd w:id="679"/>
      <w:r w:rsidR="00581E31" w:rsidRPr="00B87378">
        <w:t xml:space="preserve"> </w:t>
      </w:r>
    </w:p>
    <w:p w:rsidR="00E32C44" w:rsidRDefault="00E32C44" w:rsidP="00064C1E">
      <w:pPr>
        <w:rPr>
          <w:b/>
        </w:rPr>
      </w:pPr>
    </w:p>
    <w:p w:rsidR="0016323C" w:rsidRPr="00966D80" w:rsidRDefault="0016323C" w:rsidP="0016323C">
      <w:r>
        <w:t>D</w:t>
      </w:r>
      <w:r w:rsidRPr="006923D1">
        <w:t xml:space="preserve">ati, kas raksturo </w:t>
      </w:r>
      <w:r w:rsidRPr="00282C5C">
        <w:rPr>
          <w:b/>
        </w:rPr>
        <w:t>mājokļa īpašuma tiesību tipu sadalījumu starp</w:t>
      </w:r>
      <w:r w:rsidRPr="00966D80">
        <w:t xml:space="preserve"> </w:t>
      </w:r>
      <w:r w:rsidRPr="008604A8">
        <w:rPr>
          <w:b/>
        </w:rPr>
        <w:t>pilsētām un laukiem</w:t>
      </w:r>
      <w:r>
        <w:rPr>
          <w:b/>
        </w:rPr>
        <w:t xml:space="preserve"> </w:t>
      </w:r>
      <w:r>
        <w:t>2017.</w:t>
      </w:r>
      <w:r w:rsidR="00D54545">
        <w:t xml:space="preserve"> </w:t>
      </w:r>
      <w:r>
        <w:t>gadā, atklāj, ka p</w:t>
      </w:r>
      <w:r w:rsidRPr="00966D80">
        <w:t>ilsētās 71,2% gadījumu mājoklis pieder mājsaimniecības loceklim (bez hipotekārā kredīta saistībām), laukos</w:t>
      </w:r>
      <w:r>
        <w:t xml:space="preserve"> – </w:t>
      </w:r>
      <w:r w:rsidRPr="00966D80">
        <w:t xml:space="preserve">79,6%. Lielākās atšķirības starp pilsētām un laukiem bijušas gadījumos, </w:t>
      </w:r>
      <w:r w:rsidRPr="00966D80">
        <w:lastRenderedPageBreak/>
        <w:t>kad mājoklis pieder mājsaimniecības loceklim (ar hipotekārā kredīta saistībām)</w:t>
      </w:r>
      <w:r>
        <w:t xml:space="preserve"> – pilsētās tādas ir </w:t>
      </w:r>
      <w:r w:rsidRPr="00966D80">
        <w:t xml:space="preserve">7,2% </w:t>
      </w:r>
      <w:r>
        <w:t>mājsaimniecības</w:t>
      </w:r>
      <w:r w:rsidRPr="00966D80">
        <w:t xml:space="preserve">, kamēr laukos </w:t>
      </w:r>
      <w:r>
        <w:t xml:space="preserve">- </w:t>
      </w:r>
      <w:r w:rsidRPr="00966D80">
        <w:t>4,6%. Ievērojama atšķirība bijusi arī gadījumos, kad mājoklis tiek īrēts atbilstoši tirgus vērtībai</w:t>
      </w:r>
      <w:r>
        <w:t xml:space="preserve"> – </w:t>
      </w:r>
      <w:r w:rsidRPr="00966D80">
        <w:t>pilsētā šāda veida mājokl</w:t>
      </w:r>
      <w:r>
        <w:t>ī</w:t>
      </w:r>
      <w:r w:rsidRPr="00966D80">
        <w:t xml:space="preserve"> </w:t>
      </w:r>
      <w:r>
        <w:t>dzīvo</w:t>
      </w:r>
      <w:r w:rsidRPr="00966D80">
        <w:t xml:space="preserve"> 8,8% mājsaimniecību, </w:t>
      </w:r>
      <w:r>
        <w:t xml:space="preserve">savukārt </w:t>
      </w:r>
      <w:r w:rsidRPr="00966D80">
        <w:t>laukos</w:t>
      </w:r>
      <w:r>
        <w:t> –</w:t>
      </w:r>
      <w:r w:rsidRPr="00966D80">
        <w:t xml:space="preserve"> 5,1%.</w:t>
      </w:r>
    </w:p>
    <w:p w:rsidR="0016323C" w:rsidRDefault="0016323C" w:rsidP="00064C1E"/>
    <w:p w:rsidR="00C077F7" w:rsidRDefault="006923D1" w:rsidP="00064C1E">
      <w:r>
        <w:t xml:space="preserve">Mājokļa </w:t>
      </w:r>
      <w:r w:rsidRPr="00C077F7">
        <w:rPr>
          <w:b/>
        </w:rPr>
        <w:t>īpašuma tiesību statusa sadalījums pēc mājsaimniecību tipu pazīmes</w:t>
      </w:r>
      <w:r>
        <w:t xml:space="preserve"> rāda, ka 2017.</w:t>
      </w:r>
      <w:r w:rsidR="00D54545">
        <w:t xml:space="preserve"> </w:t>
      </w:r>
      <w:r>
        <w:t xml:space="preserve">gadā </w:t>
      </w:r>
      <w:r w:rsidR="00E32C44" w:rsidRPr="00C077F7">
        <w:rPr>
          <w:u w:val="single"/>
        </w:rPr>
        <w:t>vienas personas mājsaimniecība</w:t>
      </w:r>
      <w:r w:rsidR="00C077F7">
        <w:rPr>
          <w:u w:val="single"/>
        </w:rPr>
        <w:t>s</w:t>
      </w:r>
      <w:r w:rsidR="00E32C44" w:rsidRPr="00966D80">
        <w:t xml:space="preserve"> biežāk</w:t>
      </w:r>
      <w:r>
        <w:t xml:space="preserve"> kā citas </w:t>
      </w:r>
      <w:r w:rsidR="00E32C44">
        <w:t xml:space="preserve">– </w:t>
      </w:r>
      <w:r w:rsidR="00E32C44" w:rsidRPr="00966D80">
        <w:t>71,7% gadījumu</w:t>
      </w:r>
      <w:r w:rsidR="00E32C44">
        <w:t xml:space="preserve"> – </w:t>
      </w:r>
      <w:r w:rsidR="00E32C44" w:rsidRPr="00966D80">
        <w:t xml:space="preserve">dzīvo mājoklī, kas pieder kādam mājsaimniecības loceklim bez hipotekārā kredīta saistībām, bet 11,6% gadījumu šīs mājsaimniecības dzīvo mājoklī, kas tām piešķirts par brīvu, neprasot īres maksu. </w:t>
      </w:r>
    </w:p>
    <w:p w:rsidR="00C077F7" w:rsidRDefault="00C077F7" w:rsidP="00064C1E"/>
    <w:p w:rsidR="00C077F7" w:rsidRDefault="006923D1" w:rsidP="00064C1E">
      <w:r w:rsidRPr="00C077F7">
        <w:rPr>
          <w:u w:val="single"/>
        </w:rPr>
        <w:t xml:space="preserve">Nepilnās ģimenes </w:t>
      </w:r>
      <w:r w:rsidR="00E32C44" w:rsidRPr="00966D80">
        <w:t xml:space="preserve">49,6% gadījumu dzīvo mājoklī, kas </w:t>
      </w:r>
      <w:r>
        <w:t>tām pieder</w:t>
      </w:r>
      <w:r w:rsidR="00E32C44" w:rsidRPr="00966D80">
        <w:t xml:space="preserve"> bez hipotekārā kredīta saistībām, 19,7% tās īrē mājokli atbilstoši tir</w:t>
      </w:r>
      <w:r w:rsidR="00E32C44">
        <w:t>g</w:t>
      </w:r>
      <w:r w:rsidR="00E32C44" w:rsidRPr="00966D80">
        <w:t>us cenai, bet 15,6%</w:t>
      </w:r>
      <w:r w:rsidR="009B12C1">
        <w:t xml:space="preserve"> </w:t>
      </w:r>
      <w:r>
        <w:t>šādu ģimeņu dzīvo</w:t>
      </w:r>
      <w:r w:rsidR="009B12C1">
        <w:t xml:space="preserve"> </w:t>
      </w:r>
      <w:r w:rsidR="00E32C44" w:rsidRPr="00966D80">
        <w:t xml:space="preserve">mājoklī, kas </w:t>
      </w:r>
      <w:r>
        <w:t xml:space="preserve">tām </w:t>
      </w:r>
      <w:r w:rsidR="00E32C44" w:rsidRPr="00966D80">
        <w:t xml:space="preserve">pieder ar hipotekārā kredīta saistībām. </w:t>
      </w:r>
    </w:p>
    <w:p w:rsidR="00C077F7" w:rsidRDefault="00C077F7" w:rsidP="00064C1E"/>
    <w:p w:rsidR="00C077F7" w:rsidRDefault="00E32C44" w:rsidP="00064C1E">
      <w:r w:rsidRPr="00966D80">
        <w:t xml:space="preserve">Mājsaimniecības, kurās ir </w:t>
      </w:r>
      <w:r w:rsidRPr="00C077F7">
        <w:rPr>
          <w:u w:val="single"/>
        </w:rPr>
        <w:t>pāris bez bērniem</w:t>
      </w:r>
      <w:r w:rsidRPr="00966D80">
        <w:t xml:space="preserve">, 82,5% gadījumu dzīvo mājoklī, kas pieder kādam mājsaimniecības loceklim bez hipotekārā kredīta saistībām. </w:t>
      </w:r>
    </w:p>
    <w:p w:rsidR="00C077F7" w:rsidRDefault="00C077F7" w:rsidP="00064C1E"/>
    <w:p w:rsidR="00C077F7" w:rsidRDefault="00C077F7" w:rsidP="00064C1E">
      <w:r>
        <w:rPr>
          <w:u w:val="single"/>
        </w:rPr>
        <w:t>Ģimenes (pāri)</w:t>
      </w:r>
      <w:r w:rsidR="006923D1" w:rsidRPr="00C077F7">
        <w:rPr>
          <w:u w:val="single"/>
        </w:rPr>
        <w:t xml:space="preserve"> ar bērniem</w:t>
      </w:r>
      <w:r w:rsidR="006923D1">
        <w:t xml:space="preserve"> 75% gadījumu dzīvo mājoklī, kas tām pieder, </w:t>
      </w:r>
      <w:r w:rsidR="00E32C44" w:rsidRPr="00966D80">
        <w:t xml:space="preserve">52,9% </w:t>
      </w:r>
      <w:r w:rsidR="006923D1">
        <w:t>gadījumu</w:t>
      </w:r>
      <w:r w:rsidR="00E32C44" w:rsidRPr="00966D80">
        <w:t xml:space="preserve"> </w:t>
      </w:r>
      <w:r w:rsidR="006923D1">
        <w:t xml:space="preserve">mājoklim nav hipotekārā kredīta, savukārt, 22,1% </w:t>
      </w:r>
      <w:r w:rsidR="00906F8A">
        <w:t>ģimeņu ir</w:t>
      </w:r>
      <w:r w:rsidR="006923D1">
        <w:t xml:space="preserve"> hipotekārā kredīta saistības.</w:t>
      </w:r>
      <w:r w:rsidR="00E32C44" w:rsidRPr="00966D80">
        <w:t xml:space="preserve"> 12,5% </w:t>
      </w:r>
      <w:r w:rsidR="006923D1">
        <w:t>šādu ģimeņu savu mājokli</w:t>
      </w:r>
      <w:r w:rsidR="00E32C44" w:rsidRPr="00966D80">
        <w:t xml:space="preserve"> īrē atbilstoši tirgus cenai. </w:t>
      </w:r>
      <w:r>
        <w:t xml:space="preserve">Ģimenes, kurās </w:t>
      </w:r>
      <w:r w:rsidRPr="00966D80">
        <w:t>ir viens bērns</w:t>
      </w:r>
      <w:r>
        <w:t>,</w:t>
      </w:r>
      <w:r w:rsidRPr="00966D80">
        <w:t xml:space="preserve"> 56,7% gadījumu dzīvo mājoklī, kas </w:t>
      </w:r>
      <w:r>
        <w:t xml:space="preserve">tai </w:t>
      </w:r>
      <w:r w:rsidRPr="00966D80">
        <w:t>pieder b</w:t>
      </w:r>
      <w:r>
        <w:t>ez hipotekārā kredīta saistībām,</w:t>
      </w:r>
      <w:r w:rsidRPr="00966D80">
        <w:t xml:space="preserve"> bet 20,9% gadījumu mājoklī, kas </w:t>
      </w:r>
      <w:r>
        <w:t xml:space="preserve">tai </w:t>
      </w:r>
      <w:r w:rsidRPr="00966D80">
        <w:t>pieder ar hipotekārā kredīta saistībām</w:t>
      </w:r>
      <w:r>
        <w:t>,</w:t>
      </w:r>
      <w:r w:rsidRPr="00966D80">
        <w:t xml:space="preserve"> un 11% gadījumu mājoklī, kas tiek īrēts atbilstoši tirgus cenai.</w:t>
      </w:r>
      <w:r w:rsidRPr="00C077F7">
        <w:t xml:space="preserve"> </w:t>
      </w:r>
      <w:r>
        <w:t>Ģimenes</w:t>
      </w:r>
      <w:r w:rsidRPr="00966D80">
        <w:t xml:space="preserve"> ar diviem bērniem 51,8% gadījumu dzīvo mājoklī, kas </w:t>
      </w:r>
      <w:r>
        <w:t xml:space="preserve">tai </w:t>
      </w:r>
      <w:r w:rsidRPr="00966D80">
        <w:t>pieder bez hipotekārā kredīta saistībām, bet 23,9% gadījumu mājoklī, kas</w:t>
      </w:r>
      <w:r>
        <w:t xml:space="preserve"> tai</w:t>
      </w:r>
      <w:r w:rsidRPr="00966D80">
        <w:t xml:space="preserve"> pieder </w:t>
      </w:r>
      <w:r>
        <w:t>ar hipotekārā kredīta saistībām,</w:t>
      </w:r>
      <w:r w:rsidRPr="00966D80">
        <w:t xml:space="preserve"> savukārt 12% gadījumos mājsaimniecības dzīvo mājoklī, kas tiek īrēts atbilstoši tirgus cenai.</w:t>
      </w:r>
      <w:r>
        <w:t xml:space="preserve"> Daudzbērnu ģimenes </w:t>
      </w:r>
      <w:r w:rsidRPr="00966D80">
        <w:t>biežāk</w:t>
      </w:r>
      <w:r>
        <w:t xml:space="preserve"> – </w:t>
      </w:r>
      <w:r w:rsidRPr="00966D80">
        <w:t>43,5% gadījumu</w:t>
      </w:r>
      <w:r>
        <w:t xml:space="preserve"> – </w:t>
      </w:r>
      <w:r w:rsidRPr="00966D80">
        <w:t xml:space="preserve">dzīvo mājoklī, kas </w:t>
      </w:r>
      <w:r>
        <w:t xml:space="preserve">tai </w:t>
      </w:r>
      <w:r w:rsidRPr="00966D80">
        <w:t>pieder b</w:t>
      </w:r>
      <w:r>
        <w:t>ez hipotekārā kredīta saistībām</w:t>
      </w:r>
      <w:r w:rsidRPr="00966D80">
        <w:t>, 21,3% gadījumu</w:t>
      </w:r>
      <w:r>
        <w:t xml:space="preserve"> – </w:t>
      </w:r>
      <w:r w:rsidRPr="00966D80">
        <w:t>mājoklī, kas</w:t>
      </w:r>
      <w:r>
        <w:t xml:space="preserve"> tai </w:t>
      </w:r>
      <w:r w:rsidRPr="00966D80">
        <w:t>pieder ar hipotekārā kredīta saistībām, bet 18,5% gadījumu mājoklī, kas tiek īrēts atbilstoši tirgus cenai.</w:t>
      </w:r>
    </w:p>
    <w:p w:rsidR="00C077F7" w:rsidRDefault="00C077F7" w:rsidP="00064C1E"/>
    <w:p w:rsidR="00E32C44" w:rsidRDefault="00C077F7" w:rsidP="00064C1E">
      <w:r>
        <w:t>Citas</w:t>
      </w:r>
      <w:r w:rsidR="00E32C44" w:rsidRPr="00966D80">
        <w:t xml:space="preserve"> </w:t>
      </w:r>
      <w:r w:rsidR="00E32C44" w:rsidRPr="00C077F7">
        <w:rPr>
          <w:u w:val="single"/>
        </w:rPr>
        <w:t>mājsaimniecības, kurās ir bērni</w:t>
      </w:r>
      <w:r>
        <w:t>,</w:t>
      </w:r>
      <w:r w:rsidR="00E32C44" w:rsidRPr="00966D80">
        <w:t xml:space="preserve"> 78,1% gadījumu dzīvo mājoklī, kas pieder kādam mājsaimniecības loceklim (bez hipotekārā kredīta saistībām), bet </w:t>
      </w:r>
      <w:r>
        <w:t>citas</w:t>
      </w:r>
      <w:r w:rsidR="00E32C44" w:rsidRPr="00966D80">
        <w:t xml:space="preserve"> </w:t>
      </w:r>
      <w:r w:rsidR="00E32C44" w:rsidRPr="00C077F7">
        <w:rPr>
          <w:u w:val="single"/>
        </w:rPr>
        <w:t>mājsaimniecības bez bērniem</w:t>
      </w:r>
      <w:r w:rsidR="00E32C44" w:rsidRPr="00966D80">
        <w:t xml:space="preserve"> šāda veida mājokļos dzīvo 84,3% gadījumu.</w:t>
      </w:r>
    </w:p>
    <w:p w:rsidR="00C077F7" w:rsidRDefault="00C077F7" w:rsidP="00C077F7"/>
    <w:p w:rsidR="00C077F7" w:rsidRDefault="00654984" w:rsidP="00C077F7">
      <w:r>
        <w:t xml:space="preserve">Vientuļie </w:t>
      </w:r>
      <w:r w:rsidRPr="00654984">
        <w:rPr>
          <w:u w:val="single"/>
        </w:rPr>
        <w:t>vecāka gada gājuma pensionāri</w:t>
      </w:r>
      <w:r w:rsidRPr="00966D80">
        <w:t xml:space="preserve"> </w:t>
      </w:r>
      <w:r w:rsidR="00C077F7" w:rsidRPr="00966D80">
        <w:t xml:space="preserve">75,7% gadījumu dzīvo mājoklī, kas </w:t>
      </w:r>
      <w:r>
        <w:t xml:space="preserve">tai </w:t>
      </w:r>
      <w:r w:rsidR="00C077F7" w:rsidRPr="00966D80">
        <w:t xml:space="preserve">pieder bez hipotekārā kredīta saistībām, bet 13,6% gadījumu mājoklis </w:t>
      </w:r>
      <w:r>
        <w:t xml:space="preserve">senioriem </w:t>
      </w:r>
      <w:r w:rsidR="00C077F7" w:rsidRPr="00966D80">
        <w:t xml:space="preserve"> piešķirts par velti, neprasot īres cenu. 65,9% </w:t>
      </w:r>
      <w:r w:rsidR="00DD550B" w:rsidRPr="00DD550B">
        <w:rPr>
          <w:u w:val="single"/>
        </w:rPr>
        <w:t>atsevišķi dzīvojošas pieaugušas personas</w:t>
      </w:r>
      <w:r w:rsidR="00DD550B">
        <w:t xml:space="preserve"> dzīvo </w:t>
      </w:r>
      <w:r>
        <w:t xml:space="preserve">sev piederošā </w:t>
      </w:r>
      <w:r w:rsidR="00C077F7" w:rsidRPr="00966D80">
        <w:t>mājoklī</w:t>
      </w:r>
      <w:r>
        <w:t xml:space="preserve"> </w:t>
      </w:r>
      <w:r w:rsidR="00C077F7" w:rsidRPr="00966D80">
        <w:t xml:space="preserve">bez hipotekārā kredīta saistībām, bet 12,8% </w:t>
      </w:r>
      <w:r>
        <w:t>šīs grupas iedzīvotāji mājokli</w:t>
      </w:r>
      <w:r w:rsidR="00C077F7" w:rsidRPr="00966D80">
        <w:t xml:space="preserve"> īrē atbilstoši tirgus cenai.</w:t>
      </w:r>
    </w:p>
    <w:p w:rsidR="00E32C44" w:rsidRPr="00966D80" w:rsidRDefault="00E32C44" w:rsidP="00064C1E"/>
    <w:p w:rsidR="00E32C44" w:rsidRDefault="00654984" w:rsidP="00064C1E">
      <w:r>
        <w:t xml:space="preserve">Apskatot </w:t>
      </w:r>
      <w:r w:rsidRPr="00654984">
        <w:rPr>
          <w:b/>
        </w:rPr>
        <w:t>mājokļa īpašuma tiesību statusa datu sadalījumu</w:t>
      </w:r>
      <w:r w:rsidR="009B12C1" w:rsidRPr="00654984">
        <w:rPr>
          <w:b/>
        </w:rPr>
        <w:t xml:space="preserve"> </w:t>
      </w:r>
      <w:r w:rsidR="00C077F7" w:rsidRPr="00654984">
        <w:rPr>
          <w:b/>
        </w:rPr>
        <w:t xml:space="preserve">ienākumu </w:t>
      </w:r>
      <w:r w:rsidR="009B12C1" w:rsidRPr="00654984">
        <w:rPr>
          <w:b/>
        </w:rPr>
        <w:t>kvintiļu grupās</w:t>
      </w:r>
      <w:r>
        <w:t xml:space="preserve"> (sk. 3.13. attēlu</w:t>
      </w:r>
      <w:r w:rsidR="00AD66E6">
        <w:t xml:space="preserve">) </w:t>
      </w:r>
      <w:r w:rsidR="009B12C1">
        <w:t xml:space="preserve">redzams, </w:t>
      </w:r>
      <w:r>
        <w:t>ka</w:t>
      </w:r>
      <w:r w:rsidR="00E32C44" w:rsidRPr="00966D80">
        <w:t xml:space="preserve"> 1</w:t>
      </w:r>
      <w:r w:rsidR="00E32C44">
        <w:t>. kvint</w:t>
      </w:r>
      <w:r w:rsidR="00E32C44" w:rsidRPr="00966D80">
        <w:t>iļu grup</w:t>
      </w:r>
      <w:r>
        <w:t>ā</w:t>
      </w:r>
      <w:r w:rsidR="00E32C44" w:rsidRPr="00966D80">
        <w:t xml:space="preserve"> </w:t>
      </w:r>
      <w:r>
        <w:t xml:space="preserve">(trūcīgākie iedzīvotāji) </w:t>
      </w:r>
      <w:r w:rsidR="00E32C44" w:rsidRPr="00966D80">
        <w:t xml:space="preserve">69,7% mājsaimniecību dzīvo </w:t>
      </w:r>
      <w:r w:rsidR="009B12C1">
        <w:t>mājoklī, kas</w:t>
      </w:r>
      <w:r w:rsidR="009B12C1" w:rsidRPr="00966D80">
        <w:t xml:space="preserve"> </w:t>
      </w:r>
      <w:r>
        <w:t>tiem</w:t>
      </w:r>
      <w:r w:rsidR="009B12C1" w:rsidRPr="00966D80">
        <w:t xml:space="preserve"> pieder bez hipotekārā kredīta saistībām</w:t>
      </w:r>
      <w:r w:rsidR="00E32C44" w:rsidRPr="00966D80">
        <w:t>, 2</w:t>
      </w:r>
      <w:r w:rsidR="00E32C44">
        <w:t>. kvint</w:t>
      </w:r>
      <w:r w:rsidR="00E32C44" w:rsidRPr="00966D80">
        <w:t>iļu grupā</w:t>
      </w:r>
      <w:r>
        <w:t xml:space="preserve"> šādā mājoklī dzīvo</w:t>
      </w:r>
      <w:r w:rsidR="00E32C44" w:rsidRPr="00966D80">
        <w:t xml:space="preserve"> </w:t>
      </w:r>
      <w:r w:rsidR="00E32C44" w:rsidRPr="008864A0">
        <w:t xml:space="preserve">76,2%, 3. </w:t>
      </w:r>
      <w:r w:rsidR="00D54545">
        <w:t xml:space="preserve">kvintiļu </w:t>
      </w:r>
      <w:r w:rsidR="00E32C44" w:rsidRPr="008864A0">
        <w:t>grupā – 74,9</w:t>
      </w:r>
      <w:r>
        <w:t>%</w:t>
      </w:r>
      <w:r w:rsidR="00E32C44" w:rsidRPr="008864A0">
        <w:t xml:space="preserve">, 4. grupā </w:t>
      </w:r>
      <w:r>
        <w:t xml:space="preserve">- </w:t>
      </w:r>
      <w:r w:rsidR="00E32C44" w:rsidRPr="008864A0">
        <w:t>75,2%, bet visturīgākajā</w:t>
      </w:r>
      <w:r>
        <w:t xml:space="preserve"> iedzīvotāju grupā</w:t>
      </w:r>
      <w:r w:rsidR="00E32C44" w:rsidRPr="008864A0">
        <w:t xml:space="preserve"> – 5. </w:t>
      </w:r>
      <w:r>
        <w:t>kvin</w:t>
      </w:r>
      <w:r w:rsidR="00450352">
        <w:t>ti</w:t>
      </w:r>
      <w:r>
        <w:t>ļu grupā</w:t>
      </w:r>
      <w:r w:rsidR="00E32C44" w:rsidRPr="008864A0">
        <w:t> – šis rādītājs ir 72,2%. 5. kvintiļu grup</w:t>
      </w:r>
      <w:r>
        <w:t>ā ir arī vis</w:t>
      </w:r>
      <w:r w:rsidR="00450352">
        <w:t>augstākais to iedzīvotāju īpats</w:t>
      </w:r>
      <w:r>
        <w:t xml:space="preserve">vars, kuri dzīvo </w:t>
      </w:r>
      <w:r>
        <w:lastRenderedPageBreak/>
        <w:t>mājoklī, kas tiem pieder, bet par kuru tiek maksāts hipotekārais kredīts (</w:t>
      </w:r>
      <w:r w:rsidRPr="008864A0">
        <w:t>13,9%</w:t>
      </w:r>
      <w:r>
        <w:t xml:space="preserve"> - no visām turīgākajām mājsaimniecībām). </w:t>
      </w:r>
    </w:p>
    <w:bookmarkStart w:id="680" w:name="_Toc6219281"/>
    <w:bookmarkStart w:id="681" w:name="_Toc6220224"/>
    <w:p w:rsidR="00E32C44" w:rsidRDefault="00AD3EDD" w:rsidP="00A46B54">
      <w:pPr>
        <w:pStyle w:val="Caption"/>
      </w:pPr>
      <w:r>
        <w:fldChar w:fldCharType="begin"/>
      </w:r>
      <w:r w:rsidR="006B5456">
        <w:instrText xml:space="preserve"> STYLEREF 1 \s </w:instrText>
      </w:r>
      <w:r>
        <w:fldChar w:fldCharType="separate"/>
      </w:r>
      <w:bookmarkStart w:id="682" w:name="_Toc6855828"/>
      <w:r w:rsidR="00224B50">
        <w:rPr>
          <w:noProof/>
        </w:rPr>
        <w:t>3</w:t>
      </w:r>
      <w:r>
        <w:fldChar w:fldCharType="end"/>
      </w:r>
      <w:r w:rsidR="006B5456">
        <w:t>.</w:t>
      </w:r>
      <w:r>
        <w:fldChar w:fldCharType="begin"/>
      </w:r>
      <w:r w:rsidR="000F1524">
        <w:instrText xml:space="preserve"> SEQ Ilustrācija \* ARABIC \s 1 </w:instrText>
      </w:r>
      <w:r>
        <w:fldChar w:fldCharType="separate"/>
      </w:r>
      <w:r w:rsidR="00224B50">
        <w:rPr>
          <w:noProof/>
        </w:rPr>
        <w:t>13</w:t>
      </w:r>
      <w:r>
        <w:rPr>
          <w:noProof/>
        </w:rPr>
        <w:fldChar w:fldCharType="end"/>
      </w:r>
      <w:r w:rsidR="00E32C44" w:rsidRPr="008864A0">
        <w:t xml:space="preserve">. attēls. Mājokļu īpašuma tiesību </w:t>
      </w:r>
      <w:r w:rsidR="00086C70">
        <w:t>statuss</w:t>
      </w:r>
      <w:r w:rsidR="00863A6B">
        <w:t>, 2017. gads: k</w:t>
      </w:r>
      <w:r w:rsidR="00E32C44" w:rsidRPr="008864A0">
        <w:t>vintiļu grupu griezumā</w:t>
      </w:r>
      <w:r w:rsidR="00863A6B">
        <w:t xml:space="preserve"> (%)</w:t>
      </w:r>
      <w:bookmarkEnd w:id="680"/>
      <w:bookmarkEnd w:id="681"/>
      <w:bookmarkEnd w:id="682"/>
    </w:p>
    <w:p w:rsidR="00E32C44" w:rsidRDefault="007678BB" w:rsidP="00064C1E">
      <w:pPr>
        <w:rPr>
          <w:b/>
        </w:rPr>
      </w:pPr>
      <w:r w:rsidRPr="007678BB">
        <w:rPr>
          <w:noProof/>
        </w:rPr>
        <w:drawing>
          <wp:inline distT="0" distB="0" distL="0" distR="0">
            <wp:extent cx="6154420" cy="3733730"/>
            <wp:effectExtent l="19050" t="0" r="0" b="0"/>
            <wp:docPr id="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a:srcRect/>
                    <a:stretch>
                      <a:fillRect/>
                    </a:stretch>
                  </pic:blipFill>
                  <pic:spPr bwMode="auto">
                    <a:xfrm>
                      <a:off x="0" y="0"/>
                      <a:ext cx="6154420" cy="3733730"/>
                    </a:xfrm>
                    <a:prstGeom prst="rect">
                      <a:avLst/>
                    </a:prstGeom>
                    <a:noFill/>
                    <a:ln w="9525">
                      <a:noFill/>
                      <a:miter lim="800000"/>
                      <a:headEnd/>
                      <a:tailEnd/>
                    </a:ln>
                  </pic:spPr>
                </pic:pic>
              </a:graphicData>
            </a:graphic>
          </wp:inline>
        </w:drawing>
      </w:r>
    </w:p>
    <w:p w:rsidR="00581E31" w:rsidRPr="00B87378" w:rsidRDefault="00D54545" w:rsidP="00C33A64">
      <w:pPr>
        <w:pStyle w:val="avotiemft10"/>
      </w:pPr>
      <w:bookmarkStart w:id="683" w:name="_Toc6219282"/>
      <w:bookmarkStart w:id="684" w:name="_Toc6220225"/>
      <w:bookmarkStart w:id="685" w:name="_Toc6841640"/>
      <w:r w:rsidRPr="00B87378">
        <w:t>Avots: EU-</w:t>
      </w:r>
      <w:r w:rsidR="00581E31" w:rsidRPr="00B87378">
        <w:t xml:space="preserve">SILC, </w:t>
      </w:r>
      <w:r w:rsidR="00581E31" w:rsidRPr="00DA49DB">
        <w:t>CSP</w:t>
      </w:r>
      <w:r w:rsidR="00581E31" w:rsidRPr="00B87378">
        <w:t>, 2017.</w:t>
      </w:r>
      <w:bookmarkEnd w:id="683"/>
      <w:bookmarkEnd w:id="684"/>
      <w:bookmarkEnd w:id="685"/>
      <w:r w:rsidR="00581E31" w:rsidRPr="00B87378">
        <w:t xml:space="preserve"> </w:t>
      </w:r>
    </w:p>
    <w:p w:rsidR="00E32C44" w:rsidRPr="00966D80" w:rsidRDefault="00E32C44" w:rsidP="00064C1E"/>
    <w:p w:rsidR="007A0EC6" w:rsidRDefault="00E32C44" w:rsidP="00064C1E">
      <w:r w:rsidRPr="00966D80">
        <w:t>2017</w:t>
      </w:r>
      <w:r>
        <w:t>. gada</w:t>
      </w:r>
      <w:r w:rsidRPr="00966D80">
        <w:t xml:space="preserve"> </w:t>
      </w:r>
      <w:r w:rsidRPr="007A0EC6">
        <w:t>dati</w:t>
      </w:r>
      <w:r w:rsidR="008604A8" w:rsidRPr="007A0EC6">
        <w:t xml:space="preserve">, kas raksturo </w:t>
      </w:r>
      <w:r w:rsidRPr="007A0EC6">
        <w:t>materiālajai nenodrošinātībai pakļautās mājsaimniecības</w:t>
      </w:r>
      <w:r w:rsidRPr="00966D80">
        <w:t xml:space="preserve"> </w:t>
      </w:r>
      <w:r w:rsidR="00364ACF">
        <w:t>sadalījumā pa</w:t>
      </w:r>
      <w:r w:rsidRPr="00966D80">
        <w:t xml:space="preserve"> mājokļa īpašuma tiesību </w:t>
      </w:r>
      <w:r w:rsidR="00C077F7">
        <w:t>statusiem</w:t>
      </w:r>
      <w:r>
        <w:t>,</w:t>
      </w:r>
      <w:r w:rsidRPr="00966D80">
        <w:t xml:space="preserve"> </w:t>
      </w:r>
      <w:r w:rsidR="005C06D7">
        <w:t>atklāj</w:t>
      </w:r>
      <w:r w:rsidRPr="00966D80">
        <w:t xml:space="preserve">, </w:t>
      </w:r>
      <w:r w:rsidR="009B12C1">
        <w:t xml:space="preserve">ka </w:t>
      </w:r>
      <w:r w:rsidR="007A0EC6" w:rsidRPr="007A0EC6">
        <w:rPr>
          <w:b/>
        </w:rPr>
        <w:t>dziļai materiālai nenodrošinātībai</w:t>
      </w:r>
      <w:r w:rsidR="007A0EC6" w:rsidRPr="00906F8A">
        <w:rPr>
          <w:rStyle w:val="FootnoteReference"/>
        </w:rPr>
        <w:footnoteReference w:id="320"/>
      </w:r>
      <w:r w:rsidR="007A0EC6" w:rsidRPr="007A0EC6">
        <w:rPr>
          <w:b/>
        </w:rPr>
        <w:t xml:space="preserve"> pakļautas </w:t>
      </w:r>
      <w:r w:rsidR="00654984" w:rsidRPr="007A0EC6">
        <w:rPr>
          <w:b/>
        </w:rPr>
        <w:t>mājsaimniecības</w:t>
      </w:r>
      <w:r w:rsidR="00654984">
        <w:t xml:space="preserve"> </w:t>
      </w:r>
      <w:r w:rsidR="00654984" w:rsidRPr="00966D80">
        <w:t>65,2% gadījumu dzīvo</w:t>
      </w:r>
      <w:r w:rsidR="00654984">
        <w:t>ja</w:t>
      </w:r>
      <w:r w:rsidR="00654984" w:rsidRPr="00966D80">
        <w:t xml:space="preserve"> mājokļ</w:t>
      </w:r>
      <w:r w:rsidR="00654984">
        <w:t>o</w:t>
      </w:r>
      <w:r w:rsidR="00654984" w:rsidRPr="00966D80">
        <w:t>s</w:t>
      </w:r>
      <w:r w:rsidR="00654984">
        <w:t>,</w:t>
      </w:r>
      <w:r w:rsidR="00654984" w:rsidRPr="00966D80">
        <w:t xml:space="preserve"> kuri </w:t>
      </w:r>
      <w:r w:rsidR="00654984">
        <w:t>t</w:t>
      </w:r>
      <w:r w:rsidR="007A0EC6">
        <w:t>ām</w:t>
      </w:r>
      <w:r w:rsidR="00654984">
        <w:t xml:space="preserve"> </w:t>
      </w:r>
      <w:r w:rsidR="00654984" w:rsidRPr="00966D80">
        <w:t>pieder bez hipotekārā kredīta saistībām, bet mājok</w:t>
      </w:r>
      <w:r w:rsidR="007A0EC6">
        <w:t>ļos</w:t>
      </w:r>
      <w:r w:rsidR="00654984" w:rsidRPr="00966D80">
        <w:t>, kur</w:t>
      </w:r>
      <w:r w:rsidR="007A0EC6">
        <w:t>i</w:t>
      </w:r>
      <w:r w:rsidR="00654984" w:rsidRPr="00966D80">
        <w:t xml:space="preserve"> </w:t>
      </w:r>
      <w:r w:rsidR="00654984">
        <w:t>t</w:t>
      </w:r>
      <w:r w:rsidR="007A0EC6">
        <w:t>ām</w:t>
      </w:r>
      <w:r w:rsidR="00654984">
        <w:t xml:space="preserve"> </w:t>
      </w:r>
      <w:r w:rsidR="00654984" w:rsidRPr="00966D80">
        <w:t xml:space="preserve">pieder </w:t>
      </w:r>
      <w:r w:rsidR="00654984">
        <w:t>ar hipotekārā kredīta saistībām, -</w:t>
      </w:r>
      <w:r w:rsidR="00654984" w:rsidRPr="00966D80">
        <w:t xml:space="preserve"> 2,1% gadījumu.</w:t>
      </w:r>
      <w:r w:rsidR="00654984" w:rsidRPr="00654984">
        <w:t xml:space="preserve"> </w:t>
      </w:r>
      <w:r w:rsidR="007A0EC6">
        <w:t xml:space="preserve">Salīdzinājumam, </w:t>
      </w:r>
      <w:r w:rsidR="007A0EC6" w:rsidRPr="00966D80">
        <w:t>mājsaimniecības, kas nav pakļautas dzi</w:t>
      </w:r>
      <w:r w:rsidR="00DC5439">
        <w:t>ļ</w:t>
      </w:r>
      <w:r w:rsidR="007A0EC6" w:rsidRPr="00966D80">
        <w:t>ai materiālajai nenodro</w:t>
      </w:r>
      <w:r w:rsidR="007A0EC6">
        <w:t xml:space="preserve">šinātībai, </w:t>
      </w:r>
      <w:r w:rsidR="007A0EC6" w:rsidRPr="00966D80">
        <w:t xml:space="preserve">75,3% </w:t>
      </w:r>
      <w:r w:rsidR="007A0EC6">
        <w:t>gadījumu dzīvo mājokļos,</w:t>
      </w:r>
      <w:r w:rsidR="007A0EC6" w:rsidRPr="00966D80">
        <w:t xml:space="preserve"> kuri </w:t>
      </w:r>
      <w:r w:rsidR="007A0EC6">
        <w:t xml:space="preserve">tām </w:t>
      </w:r>
      <w:r w:rsidR="007A0EC6" w:rsidRPr="00966D80">
        <w:t>pieder bez hipotekārā kredīta saistībām</w:t>
      </w:r>
      <w:r w:rsidR="007A0EC6">
        <w:t xml:space="preserve">, un </w:t>
      </w:r>
      <w:r w:rsidR="007A0EC6" w:rsidRPr="00966D80">
        <w:t>7,1%</w:t>
      </w:r>
      <w:r w:rsidR="007A0EC6">
        <w:t xml:space="preserve"> gadījumu mājokļos, kuri tām pieder </w:t>
      </w:r>
      <w:r w:rsidR="007A0EC6" w:rsidRPr="00966D80">
        <w:t>ar hipotekārā kredīta saistībām.</w:t>
      </w:r>
    </w:p>
    <w:p w:rsidR="007A0EC6" w:rsidRDefault="007A0EC6" w:rsidP="00064C1E"/>
    <w:p w:rsidR="00654984" w:rsidRDefault="00654984" w:rsidP="00064C1E">
      <w:r w:rsidRPr="00966D80">
        <w:t xml:space="preserve">11,6% no mājsaimniecībām, kuras pakļautas </w:t>
      </w:r>
      <w:r w:rsidRPr="00906F8A">
        <w:rPr>
          <w:b/>
        </w:rPr>
        <w:t>materiālajai nenodrošinātībai</w:t>
      </w:r>
      <w:r w:rsidRPr="00966D80">
        <w:t xml:space="preserve">, dzīvo </w:t>
      </w:r>
      <w:r w:rsidR="007A0EC6" w:rsidRPr="00966D80">
        <w:t>atbilstoši tirgus cenai</w:t>
      </w:r>
      <w:r w:rsidR="007A0EC6">
        <w:t xml:space="preserve"> īrētā</w:t>
      </w:r>
      <w:r w:rsidR="007A0EC6" w:rsidRPr="00966D80">
        <w:t xml:space="preserve"> </w:t>
      </w:r>
      <w:r w:rsidRPr="00966D80">
        <w:t>mājoklī, kamēr mājsaimniecībām, kuras šai situācijai nav pakļautas, šād</w:t>
      </w:r>
      <w:r w:rsidR="007A0EC6">
        <w:t>ā</w:t>
      </w:r>
      <w:r w:rsidRPr="00966D80">
        <w:t xml:space="preserve"> mājoklī dzīvo 7,4% gadījumu. Mājokļos, kas tiek īrēts par samazinātu vai administratīvi regulētu īres maksu</w:t>
      </w:r>
      <w:r>
        <w:t>,</w:t>
      </w:r>
      <w:r w:rsidRPr="00966D80">
        <w:t xml:space="preserve"> dzīvo 10,9% mājsaimniecību, kas pakļautas materiālajai nenodrošinātībai, bet mājsaimn</w:t>
      </w:r>
      <w:r w:rsidR="00DC5439">
        <w:t>iecības, kas ir pakļautas dziļ</w:t>
      </w:r>
      <w:r w:rsidRPr="00966D80">
        <w:t xml:space="preserve">ai materiālajai nenodrošinātībai, to dara 3,5% gadījumu. Arī mājokļa piešķiršana par </w:t>
      </w:r>
      <w:r w:rsidRPr="00966D80">
        <w:lastRenderedPageBreak/>
        <w:t xml:space="preserve">brīvu </w:t>
      </w:r>
      <w:r>
        <w:t>biežāk raksturīga mājsaimniecībām</w:t>
      </w:r>
      <w:r w:rsidR="00C01573">
        <w:t>,</w:t>
      </w:r>
      <w:r w:rsidRPr="00966D80">
        <w:t xml:space="preserve"> kas pakļautas materiālajai nenodrošinātībai</w:t>
      </w:r>
      <w:r>
        <w:t xml:space="preserve"> – </w:t>
      </w:r>
      <w:r w:rsidRPr="00966D80">
        <w:t xml:space="preserve">11,2% gadījumu, kamēr gadījumos, </w:t>
      </w:r>
      <w:r w:rsidRPr="008864A0">
        <w:t>kad mājs</w:t>
      </w:r>
      <w:r w:rsidR="00DC5439">
        <w:t>aimniecības nav pakļautas dziļ</w:t>
      </w:r>
      <w:r w:rsidRPr="008864A0">
        <w:t>ai materiālajai nenodrošinātībai, šis rādītājs ir 7,1%.</w:t>
      </w:r>
    </w:p>
    <w:p w:rsidR="00381F09" w:rsidRDefault="00381F09" w:rsidP="003945E0">
      <w:pPr>
        <w:pStyle w:val="Heading3"/>
      </w:pPr>
      <w:bookmarkStart w:id="686" w:name="_Toc6219283"/>
      <w:bookmarkStart w:id="687" w:name="_Toc6841641"/>
      <w:r w:rsidRPr="00B34BF9">
        <w:t>Mājokļa stāvoklis un kvalitāte</w:t>
      </w:r>
      <w:bookmarkEnd w:id="686"/>
      <w:bookmarkEnd w:id="687"/>
    </w:p>
    <w:p w:rsidR="00381F09" w:rsidRPr="009C05C2" w:rsidRDefault="00381F09" w:rsidP="00064C1E">
      <w:r w:rsidRPr="009C05C2">
        <w:t xml:space="preserve">Šajā </w:t>
      </w:r>
      <w:r w:rsidR="00546807">
        <w:t>sa</w:t>
      </w:r>
      <w:r w:rsidRPr="009C05C2">
        <w:t>daļā apskatīti rādītāji, kuri raksturo dažāda veida ērtības, kas rakstur</w:t>
      </w:r>
      <w:r w:rsidR="009C05C2" w:rsidRPr="009C05C2">
        <w:t>o</w:t>
      </w:r>
      <w:r w:rsidRPr="009C05C2">
        <w:t xml:space="preserve"> mājokļa stāvokli un kvalitāti, starp šiem rādītājiem ir aukstā un karstā ūdens, kā arī kanalizācijas pieejamība dažādiem mājsaimniecību tipiem. Šie rādītāji grafiskā veidā aplūkoti </w:t>
      </w:r>
      <w:r w:rsidR="005C06D7">
        <w:t>sadalījumā</w:t>
      </w:r>
      <w:r w:rsidRPr="009C05C2">
        <w:t xml:space="preserve"> pa dažādiem mājsaimniecību tipiem, pilsēt</w:t>
      </w:r>
      <w:r w:rsidR="00546807">
        <w:t>u</w:t>
      </w:r>
      <w:r w:rsidRPr="009C05C2">
        <w:t xml:space="preserve"> un lauk</w:t>
      </w:r>
      <w:r w:rsidR="00546807">
        <w:t>u</w:t>
      </w:r>
      <w:r w:rsidR="005C06D7">
        <w:t>, kā arī reģionu</w:t>
      </w:r>
      <w:r w:rsidR="00546807">
        <w:t xml:space="preserve"> sadalījumā</w:t>
      </w:r>
      <w:r w:rsidRPr="009C05C2">
        <w:t>.</w:t>
      </w:r>
    </w:p>
    <w:p w:rsidR="009C05C2" w:rsidRDefault="009C05C2" w:rsidP="00064C1E"/>
    <w:p w:rsidR="0016323C" w:rsidRDefault="00381F09" w:rsidP="0016323C">
      <w:r w:rsidRPr="009E1F78">
        <w:t xml:space="preserve">2017. gadā </w:t>
      </w:r>
      <w:r w:rsidRPr="00713650">
        <w:rPr>
          <w:b/>
        </w:rPr>
        <w:t>aukstā</w:t>
      </w:r>
      <w:r w:rsidRPr="009E1F78">
        <w:t xml:space="preserve"> </w:t>
      </w:r>
      <w:r w:rsidRPr="00906F8A">
        <w:rPr>
          <w:b/>
        </w:rPr>
        <w:t>ūdens apgāde</w:t>
      </w:r>
      <w:r w:rsidRPr="009E1F78">
        <w:t xml:space="preserve"> (ūdensvads) bija pieejama </w:t>
      </w:r>
      <w:r w:rsidR="009E1F78">
        <w:t>vairumam</w:t>
      </w:r>
      <w:r w:rsidRPr="009E1F78">
        <w:t xml:space="preserve"> mājsaimniecību, jo šis rādītājs visos tipos pārsniedz 90%</w:t>
      </w:r>
      <w:r w:rsidR="009E1F78" w:rsidRPr="009E1F78">
        <w:t xml:space="preserve"> (</w:t>
      </w:r>
      <w:r w:rsidR="00824DEA">
        <w:t xml:space="preserve">sk. </w:t>
      </w:r>
      <w:r w:rsidR="00AD66E6">
        <w:t>3.14</w:t>
      </w:r>
      <w:r w:rsidR="00824DEA">
        <w:t>. attēlu</w:t>
      </w:r>
      <w:r w:rsidR="009E1F78" w:rsidRPr="009E1F78">
        <w:t>)</w:t>
      </w:r>
      <w:r w:rsidRPr="009E1F78">
        <w:t xml:space="preserve">. </w:t>
      </w:r>
      <w:r w:rsidR="0016323C" w:rsidRPr="009E1F78">
        <w:t>Visbiežāk aukstais ūdens bija pieejams</w:t>
      </w:r>
      <w:r w:rsidR="0016323C">
        <w:t xml:space="preserve"> nepilnajām ģimenēm – 99,2%, visretāk aukstais ūdens pieejams atsevišķi dzīvojošiem senioriem – 90,3%. No 2009. </w:t>
      </w:r>
      <w:r w:rsidR="00D54545">
        <w:t xml:space="preserve">gada </w:t>
      </w:r>
      <w:r w:rsidR="0016323C">
        <w:t>līdz 2017. gadam vērojamas rādītāja svārstības, kas neliecina par kādas noteiktas tendences attīstību. Sliktāka situācija ar auksto ūdeni bijusi 2009. gadā daudzbērnu ģimenēm, kad 79,9% šo ģimeņu bija pieejams aukstais ūdens, taču 2017. gadā šis rādītājs sasniedza jau  96,3%.</w:t>
      </w:r>
    </w:p>
    <w:bookmarkStart w:id="688" w:name="_Toc6219284"/>
    <w:bookmarkStart w:id="689" w:name="_Toc6220227"/>
    <w:p w:rsidR="00381F09" w:rsidRDefault="00AD3EDD" w:rsidP="00A46B54">
      <w:pPr>
        <w:pStyle w:val="Caption"/>
      </w:pPr>
      <w:r>
        <w:fldChar w:fldCharType="begin"/>
      </w:r>
      <w:r w:rsidR="006B5456">
        <w:instrText xml:space="preserve"> STYLEREF 1 \s </w:instrText>
      </w:r>
      <w:r>
        <w:fldChar w:fldCharType="separate"/>
      </w:r>
      <w:bookmarkStart w:id="690" w:name="_Toc6855829"/>
      <w:r w:rsidR="00224B50">
        <w:rPr>
          <w:noProof/>
        </w:rPr>
        <w:t>3</w:t>
      </w:r>
      <w:r>
        <w:fldChar w:fldCharType="end"/>
      </w:r>
      <w:r w:rsidR="006B5456">
        <w:t>.</w:t>
      </w:r>
      <w:r>
        <w:fldChar w:fldCharType="begin"/>
      </w:r>
      <w:r w:rsidR="000F1524">
        <w:instrText xml:space="preserve"> SEQ Ilustrācija \* ARABIC \s 1 </w:instrText>
      </w:r>
      <w:r>
        <w:fldChar w:fldCharType="separate"/>
      </w:r>
      <w:r w:rsidR="00224B50">
        <w:rPr>
          <w:noProof/>
        </w:rPr>
        <w:t>14</w:t>
      </w:r>
      <w:r>
        <w:rPr>
          <w:noProof/>
        </w:rPr>
        <w:fldChar w:fldCharType="end"/>
      </w:r>
      <w:r w:rsidR="009E1F78">
        <w:t xml:space="preserve">. </w:t>
      </w:r>
      <w:r w:rsidR="00381F09" w:rsidRPr="009E1F78">
        <w:t>attēls.</w:t>
      </w:r>
      <w:r w:rsidR="00381F09">
        <w:t xml:space="preserve"> </w:t>
      </w:r>
      <w:r w:rsidR="00381F09" w:rsidRPr="00B87378">
        <w:t>Mājokļu</w:t>
      </w:r>
      <w:r w:rsidR="00381F09" w:rsidRPr="009E1F78">
        <w:t xml:space="preserve"> labiekārtotība</w:t>
      </w:r>
      <w:r w:rsidR="00B108C3">
        <w:t>: aukstā ūdens apgāde (ūdensvads) (m</w:t>
      </w:r>
      <w:r w:rsidR="00381F09" w:rsidRPr="009E1F78">
        <w:t>ājsaimniecību tipi</w:t>
      </w:r>
      <w:r w:rsidR="00B108C3">
        <w:t>, %)</w:t>
      </w:r>
      <w:bookmarkEnd w:id="688"/>
      <w:bookmarkEnd w:id="689"/>
      <w:bookmarkEnd w:id="690"/>
    </w:p>
    <w:p w:rsidR="00381F09" w:rsidRDefault="007678BB" w:rsidP="00064C1E">
      <w:r w:rsidRPr="007678BB">
        <w:rPr>
          <w:noProof/>
        </w:rPr>
        <w:drawing>
          <wp:inline distT="0" distB="0" distL="0" distR="0">
            <wp:extent cx="5514975" cy="3552825"/>
            <wp:effectExtent l="19050" t="0" r="9525"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srcRect/>
                    <a:stretch>
                      <a:fillRect/>
                    </a:stretch>
                  </pic:blipFill>
                  <pic:spPr bwMode="auto">
                    <a:xfrm>
                      <a:off x="0" y="0"/>
                      <a:ext cx="5514975" cy="3552825"/>
                    </a:xfrm>
                    <a:prstGeom prst="rect">
                      <a:avLst/>
                    </a:prstGeom>
                    <a:noFill/>
                    <a:ln w="9525">
                      <a:noFill/>
                      <a:miter lim="800000"/>
                      <a:headEnd/>
                      <a:tailEnd/>
                    </a:ln>
                  </pic:spPr>
                </pic:pic>
              </a:graphicData>
            </a:graphic>
          </wp:inline>
        </w:drawing>
      </w:r>
    </w:p>
    <w:p w:rsidR="00381F09" w:rsidRPr="00DE4D97" w:rsidRDefault="00B108C3" w:rsidP="00DE4D97">
      <w:pPr>
        <w:pStyle w:val="avotiemft10"/>
      </w:pPr>
      <w:bookmarkStart w:id="691" w:name="_Toc6841642"/>
      <w:r w:rsidRPr="00DE4D97">
        <w:t>Avots: CSP, “MTG040. Mājokļu labiekārtotība (%)”.</w:t>
      </w:r>
      <w:bookmarkEnd w:id="691"/>
    </w:p>
    <w:p w:rsidR="00B108C3" w:rsidRPr="00B108C3" w:rsidRDefault="00B108C3" w:rsidP="00064C1E">
      <w:pPr>
        <w:rPr>
          <w:sz w:val="20"/>
          <w:szCs w:val="20"/>
        </w:rPr>
      </w:pPr>
    </w:p>
    <w:p w:rsidR="0016323C" w:rsidRDefault="0016323C" w:rsidP="0016323C">
      <w:r>
        <w:t xml:space="preserve">Skatoties </w:t>
      </w:r>
      <w:r w:rsidRPr="0016323C">
        <w:rPr>
          <w:b/>
        </w:rPr>
        <w:t>lauku un pilsētu</w:t>
      </w:r>
      <w:r>
        <w:t xml:space="preserve"> griezumā, iespējams secināt, ka mājsaimniecībām, kuras atrodas pilsētās, aukstais ūdens ir pieejams biežāk nekā mājsaimniecībām, kuras atrodas laukos. 2017. gadā 97,6% no pilsētu mājsaimniecībām bija pieejams aukstais ūdens, kamēr laukos šis rādītājs bija 81,2%. 2017. gads ir pirmais gads laika periodā no 2009. </w:t>
      </w:r>
      <w:r w:rsidR="00D54545">
        <w:t xml:space="preserve">gada </w:t>
      </w:r>
      <w:r>
        <w:t xml:space="preserve">līdz 2017. gadam, kad vairāk nekā 80% </w:t>
      </w:r>
      <w:r>
        <w:lastRenderedPageBreak/>
        <w:t xml:space="preserve">lauku mājsaimniecību bija pieejams aukstais ūdens, jo iepriekšējos gados šis rādītājs bija nemainīgs – no 2013. </w:t>
      </w:r>
      <w:r w:rsidR="00D54545">
        <w:t xml:space="preserve">gada </w:t>
      </w:r>
      <w:r>
        <w:t>līdz 2016. gadam tas bija robežās no 77% līdz 77,6%, bet 2017. gadā ir vērojams kāpums par 3,6 procentpunktiem. Pilsētās tajā pašā laikā šis rādītājs jau kopš 2009. gada ir saglabājies virs 94,9% robežas.</w:t>
      </w:r>
    </w:p>
    <w:p w:rsidR="00CC5F2C" w:rsidRDefault="00CC5F2C" w:rsidP="0016323C"/>
    <w:p w:rsidR="00BF4385" w:rsidRDefault="00BF4385" w:rsidP="00064C1E">
      <w:r w:rsidRPr="0016323C">
        <w:rPr>
          <w:b/>
        </w:rPr>
        <w:t>Reģionu griezumā</w:t>
      </w:r>
      <w:r>
        <w:t xml:space="preserve"> redzams, ka 2017. gadā aukstais ūdens pieejams praktiski visās Rīgas reģiona mājsaimniecībās – 99,5%, kamēr sliktāka situācija ir Vidzemes reģionā, kur aukstais ūdens pieejams 83,9% mājsaimniecību, nedaudz labāka situācija ir Latgales reģionā, kur tas ir pieejams 85,1% mājsaimniecību, bet pārējos trijos reģionos šie rādītāji ir augstāki – Pierīgas reģionā 93,8%, Kurzemes reģionā – 92,8%, bet Zemgales reģionā 89,3%. Skatoties laika posmā no 2009. </w:t>
      </w:r>
      <w:r w:rsidR="00D54545">
        <w:t xml:space="preserve">gada </w:t>
      </w:r>
      <w:r>
        <w:t>līdz 2017. gadam, visos reģionos vērojams aukstā ūdens pieejamības rādītāja pieaugums. Tā</w:t>
      </w:r>
      <w:r w:rsidR="00C01573">
        <w:t>,</w:t>
      </w:r>
      <w:r>
        <w:t xml:space="preserve"> piemēram,  Latgales reģionā, salīdzinot 2016. </w:t>
      </w:r>
      <w:r w:rsidR="00D54545">
        <w:t xml:space="preserve">gadu </w:t>
      </w:r>
      <w:r>
        <w:t>un 2017. gadu, vērojams pieaugums par 4,6 procentpunktiem, kas nozīmēja, ka Latgales reģionā vairs nav sliktākā aukstā ūdens pieejamība, salīdzinot ar citiem reģioniem, kā tas bija kopš 2012.</w:t>
      </w:r>
      <w:r w:rsidR="00D54545">
        <w:t xml:space="preserve"> </w:t>
      </w:r>
      <w:r>
        <w:t xml:space="preserve">gada. Iepriekšējā posmā – no 2009. </w:t>
      </w:r>
      <w:r w:rsidR="00D54545">
        <w:t xml:space="preserve">gada </w:t>
      </w:r>
      <w:r>
        <w:t>līdz 2011. gadam – visretāk aukstais ūdens bija pieejams Vidzemes reģiona mājsaimniecībām, tā 2009. gadā – 73,5%, kas arī ir zemākais rādītājs šajā laika posmā, skatoties arī pārējo reģionu rādītājus, bet nākamajos gados attiecīgi – 77,9% un 77,7%.</w:t>
      </w:r>
    </w:p>
    <w:p w:rsidR="00BF4385" w:rsidRDefault="00BF4385" w:rsidP="00064C1E"/>
    <w:p w:rsidR="008864A0" w:rsidRDefault="008864A0" w:rsidP="00064C1E">
      <w:r w:rsidRPr="003C2B83">
        <w:t>Salīdzinot ar aukstā ūdens pieejamību, karstais ūdens ir pieejams mazākam skaitam mājsaimniecību</w:t>
      </w:r>
      <w:r>
        <w:t xml:space="preserve"> (</w:t>
      </w:r>
      <w:r w:rsidR="00824DEA">
        <w:t xml:space="preserve">sk. </w:t>
      </w:r>
      <w:r w:rsidR="00AD66E6">
        <w:t>3.15</w:t>
      </w:r>
      <w:r w:rsidR="00824DEA">
        <w:t>. attēlu</w:t>
      </w:r>
      <w:r>
        <w:t>)</w:t>
      </w:r>
      <w:r w:rsidRPr="003C2B83">
        <w:t xml:space="preserve">. </w:t>
      </w:r>
    </w:p>
    <w:p w:rsidR="00381F09" w:rsidRPr="009E1F78" w:rsidRDefault="00AD3EDD" w:rsidP="00A46B54">
      <w:pPr>
        <w:pStyle w:val="Caption"/>
      </w:pPr>
      <w:r>
        <w:fldChar w:fldCharType="begin"/>
      </w:r>
      <w:r w:rsidR="000F1524">
        <w:instrText xml:space="preserve"> STYLEREF 1 \s </w:instrText>
      </w:r>
      <w:r>
        <w:fldChar w:fldCharType="separate"/>
      </w:r>
      <w:bookmarkStart w:id="692" w:name="_Toc6855830"/>
      <w:r w:rsidR="00224B50">
        <w:rPr>
          <w:noProof/>
        </w:rPr>
        <w:t>3</w:t>
      </w:r>
      <w:r>
        <w:rPr>
          <w:noProof/>
        </w:rPr>
        <w:fldChar w:fldCharType="end"/>
      </w:r>
      <w:r w:rsidR="006B5456">
        <w:t>.</w:t>
      </w:r>
      <w:r>
        <w:fldChar w:fldCharType="begin"/>
      </w:r>
      <w:r w:rsidR="000F1524">
        <w:instrText xml:space="preserve"> SEQ Ilustrācija \* ARABIC \s 1 </w:instrText>
      </w:r>
      <w:r>
        <w:fldChar w:fldCharType="separate"/>
      </w:r>
      <w:r w:rsidR="00224B50">
        <w:rPr>
          <w:noProof/>
        </w:rPr>
        <w:t>15</w:t>
      </w:r>
      <w:r>
        <w:rPr>
          <w:noProof/>
        </w:rPr>
        <w:fldChar w:fldCharType="end"/>
      </w:r>
      <w:r w:rsidR="009E1F78">
        <w:t xml:space="preserve">.attēls. </w:t>
      </w:r>
      <w:r w:rsidR="00381F09" w:rsidRPr="009E1F78">
        <w:t>Mājokļu labiekārtotība</w:t>
      </w:r>
      <w:r w:rsidR="00B108C3">
        <w:t>: k</w:t>
      </w:r>
      <w:r w:rsidR="00381F09" w:rsidRPr="009E1F78">
        <w:t>arstā ūdens apgāde</w:t>
      </w:r>
      <w:r w:rsidR="00B108C3">
        <w:t xml:space="preserve"> (m</w:t>
      </w:r>
      <w:r w:rsidR="00381F09" w:rsidRPr="009E1F78">
        <w:t>ājsaimniecību tipi</w:t>
      </w:r>
      <w:r w:rsidR="00B108C3">
        <w:t>, %)</w:t>
      </w:r>
      <w:bookmarkEnd w:id="692"/>
      <w:r w:rsidR="00B108C3">
        <w:t xml:space="preserve"> </w:t>
      </w:r>
    </w:p>
    <w:p w:rsidR="007678BB" w:rsidRDefault="007678BB" w:rsidP="00064C1E">
      <w:pPr>
        <w:rPr>
          <w:noProof/>
        </w:rPr>
      </w:pPr>
      <w:r w:rsidRPr="007678BB">
        <w:rPr>
          <w:noProof/>
        </w:rPr>
        <w:drawing>
          <wp:inline distT="0" distB="0" distL="0" distR="0">
            <wp:extent cx="5657850" cy="4097064"/>
            <wp:effectExtent l="1905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a:srcRect/>
                    <a:stretch>
                      <a:fillRect/>
                    </a:stretch>
                  </pic:blipFill>
                  <pic:spPr bwMode="auto">
                    <a:xfrm>
                      <a:off x="0" y="0"/>
                      <a:ext cx="5657850" cy="4097064"/>
                    </a:xfrm>
                    <a:prstGeom prst="rect">
                      <a:avLst/>
                    </a:prstGeom>
                    <a:noFill/>
                    <a:ln w="9525">
                      <a:noFill/>
                      <a:miter lim="800000"/>
                      <a:headEnd/>
                      <a:tailEnd/>
                    </a:ln>
                  </pic:spPr>
                </pic:pic>
              </a:graphicData>
            </a:graphic>
          </wp:inline>
        </w:drawing>
      </w:r>
    </w:p>
    <w:p w:rsidR="00B108C3" w:rsidRPr="00DE4D97" w:rsidRDefault="00B108C3" w:rsidP="00DE4D97">
      <w:pPr>
        <w:pStyle w:val="avotiemft10"/>
      </w:pPr>
      <w:bookmarkStart w:id="693" w:name="_Toc6841643"/>
      <w:r w:rsidRPr="00DE4D97">
        <w:t>Avots: CSP, “MTG040. Mājokļu labiekārtotība (%)”.</w:t>
      </w:r>
      <w:bookmarkEnd w:id="693"/>
    </w:p>
    <w:p w:rsidR="00713650" w:rsidRDefault="005C06D7" w:rsidP="00064C1E">
      <w:r w:rsidRPr="003C2B83">
        <w:lastRenderedPageBreak/>
        <w:t xml:space="preserve">2017. gadā augstākie </w:t>
      </w:r>
      <w:r w:rsidRPr="00713650">
        <w:rPr>
          <w:b/>
        </w:rPr>
        <w:t>karstā ūdens pieejamības rādītāji</w:t>
      </w:r>
      <w:r w:rsidRPr="003C2B83">
        <w:t xml:space="preserve"> bija </w:t>
      </w:r>
      <w:r w:rsidR="00713650">
        <w:t>ģimenēm</w:t>
      </w:r>
      <w:r w:rsidRPr="003C2B83">
        <w:t xml:space="preserve"> ar vienu bērnu – 93,9%, salīdzinoši augsti</w:t>
      </w:r>
      <w:r>
        <w:t xml:space="preserve"> tie</w:t>
      </w:r>
      <w:r w:rsidRPr="003C2B83">
        <w:t xml:space="preserve"> bija arī </w:t>
      </w:r>
      <w:r w:rsidR="00713650">
        <w:t>ģimenēm</w:t>
      </w:r>
      <w:r>
        <w:t xml:space="preserve"> ar diviem bērniem un pāris ar trīs un vairāk bērniem, kur tie bija attiecīgi 91,8% un 91,9%. Zemākie karstā ūdens pieejamības rādītāji bija </w:t>
      </w:r>
      <w:r w:rsidR="00713650">
        <w:t>atsevišķi dz</w:t>
      </w:r>
      <w:r w:rsidR="00450352">
        <w:t>ī</w:t>
      </w:r>
      <w:r w:rsidR="00713650">
        <w:t>vojošiem senioriem</w:t>
      </w:r>
      <w:r>
        <w:t xml:space="preserve"> – 79,1%. </w:t>
      </w:r>
    </w:p>
    <w:p w:rsidR="00713650" w:rsidRDefault="00713650" w:rsidP="00064C1E"/>
    <w:p w:rsidR="005C06D7" w:rsidRDefault="005C06D7" w:rsidP="00064C1E">
      <w:r>
        <w:t xml:space="preserve">Laika posmā no 2009. </w:t>
      </w:r>
      <w:r w:rsidR="00D54545">
        <w:t xml:space="preserve">gada </w:t>
      </w:r>
      <w:r>
        <w:t xml:space="preserve">līdz 2017. gadam karstā ūdens pieejamība ir svārstījusies, tā ievērojams kritums novērojams laika posmā no 2009. līdz 2011. gadam, kad karstā ūdens pieejamība </w:t>
      </w:r>
      <w:r w:rsidR="00906F8A">
        <w:t>daudzbērnu ģimenēs</w:t>
      </w:r>
      <w:r>
        <w:t xml:space="preserve"> nokritās no 68,9% 2009. gadā uz 52,9% 2010. gadā un 52% 2011. gadā. Šeit gan ir vērts piebilst, ka laika posmā no 2010. </w:t>
      </w:r>
      <w:r w:rsidR="00D54545">
        <w:t xml:space="preserve">gada </w:t>
      </w:r>
      <w:r>
        <w:t>līdz 2011. gadam karstā ūdens pieejamība kritās visiem mājsaimniecību tipiem, taču tik ievērojams kritums citur konstatēts netika. Pēc 2011. gadā dažiem rādītājiem vēl bija vērojami nelieli kritumi, piemēram, no 2015. gada uz 2016. gadu mājsaimniecībām, kurās ir pāris bez bērniem, karstā ūdens pieejamība nokritās par 0,7 procentpunktiem, taču kopumā ir iespējams secināt, ka karstā ūdens pieejamība ir pieaugusi.</w:t>
      </w:r>
    </w:p>
    <w:p w:rsidR="005C06D7" w:rsidRDefault="005C06D7" w:rsidP="00064C1E"/>
    <w:p w:rsidR="008864A0" w:rsidRDefault="008864A0" w:rsidP="00064C1E">
      <w:r>
        <w:t xml:space="preserve">Skatoties </w:t>
      </w:r>
      <w:r w:rsidRPr="0016323C">
        <w:rPr>
          <w:b/>
        </w:rPr>
        <w:t>lauku un pilsētu</w:t>
      </w:r>
      <w:r>
        <w:t xml:space="preserve"> griezumā, jāsecina, ka ir būtiskas atšķirības starp lauku un pilsētu mājsaimniecībām saistībā ar karstā ūdens pieejamību. 2017. gadā 66,1% lauku mājsaimniecību bija pieejams karstais ūdens. Lai gan šis rādītājs kopš 2012. gada ir pieaudzis par 8,2 procentpunktiem, tas tāpat atpaliek no rādītāja, kas raksturo karstā ūdens pieejamību pilsētās. 2017. gadā pilsētās karstais ūdens bija pieejams 91,8% mājsaimniecību, kas ir par 25,7 procentpunktiem vairāk nekā lauku mājsaimniecībās. Skatoties laika periodu no 2009. </w:t>
      </w:r>
      <w:r w:rsidR="00D54545">
        <w:t xml:space="preserve">gada </w:t>
      </w:r>
      <w:r>
        <w:t xml:space="preserve">līdz 2017. gadam, šāda situācija ir saglabājusies ilgstoši, jo pilsētās šis rādītājs vienmēr bijis virs 80% robežas, zemāko rādītāju sasniedzot 2011. gadā, kad tas bija 82,5%. </w:t>
      </w:r>
    </w:p>
    <w:p w:rsidR="008864A0" w:rsidRDefault="008864A0" w:rsidP="00064C1E"/>
    <w:p w:rsidR="008864A0" w:rsidRDefault="0016323C" w:rsidP="00064C1E">
      <w:r>
        <w:rPr>
          <w:b/>
        </w:rPr>
        <w:t>R</w:t>
      </w:r>
      <w:r w:rsidR="008864A0" w:rsidRPr="0016323C">
        <w:rPr>
          <w:b/>
        </w:rPr>
        <w:t>eģionu griezumā</w:t>
      </w:r>
      <w:r w:rsidR="008864A0">
        <w:t>, tāpat kā aukstais ūdens, arī karstais ūdens visbiežāk pieejams Rīgas reģiona mājsaimniecībām. 2017. gadā 96% šī reģiona mājsaimniecību bija pieejams karstais ūdens, augsti karstā ūdens pieejamības rādītāji bija arī Pierīgas reģionā un Kurzemes reģionā, kur 2017. gadā tie bija attiecīgi 86,7% un 83,7%. Tāpat kā ar aukstā ūdens pieejamību, arī karstais ūdens 2017. gadā visretāk bija pieejams Vidzemes reģiona mājsaimniecībās (69,1%). Laika posmā no 2009. līdz 2017. gadam visos reģionos karstā ūdens pieejamības rādītāji ir piedzīvojuši nelielus kāpumus, zemākais karstā ūdens pieejamības līmenis šajā laika posmā konstatēts 2009. gadā Vidzemē, kad tas bija pieejams 51,4% mājsaimniecību, bet pēc tam tas ir sasniedzis jau minētos 69,1%.</w:t>
      </w:r>
    </w:p>
    <w:p w:rsidR="005C06D7" w:rsidRPr="0086074F" w:rsidRDefault="005C06D7" w:rsidP="00064C1E"/>
    <w:p w:rsidR="0016323C" w:rsidRDefault="00841B9C" w:rsidP="0016323C">
      <w:bookmarkStart w:id="694" w:name="_Ref875094"/>
      <w:r w:rsidRPr="00713650">
        <w:rPr>
          <w:b/>
        </w:rPr>
        <w:t>2017. gadā kanalizācija ir bijusi pieejama praktiski visās mājsaimniecībās</w:t>
      </w:r>
      <w:r>
        <w:t>.</w:t>
      </w:r>
      <w:r w:rsidRPr="009E1F78">
        <w:t xml:space="preserve"> 2017. gadā rādītājs, kas raksturo kanalizācijas pieejamību visās mājsaimniecībās kopā</w:t>
      </w:r>
      <w:r>
        <w:t>,</w:t>
      </w:r>
      <w:r w:rsidRPr="009E1F78">
        <w:t xml:space="preserve"> ir 91,4%</w:t>
      </w:r>
      <w:r>
        <w:t xml:space="preserve"> (sk. </w:t>
      </w:r>
      <w:r w:rsidR="00AD66E6">
        <w:t>3.16</w:t>
      </w:r>
      <w:r>
        <w:t>. attēlu</w:t>
      </w:r>
      <w:r w:rsidR="0016323C">
        <w:t xml:space="preserve"> nākamajā lapā</w:t>
      </w:r>
      <w:r>
        <w:t>)</w:t>
      </w:r>
      <w:r w:rsidRPr="009E1F78">
        <w:t xml:space="preserve">. </w:t>
      </w:r>
      <w:r w:rsidR="0016323C">
        <w:t>Vērtējot šos datus sadalījumā pa mājsaimniecību tipiem, secināms, ka v</w:t>
      </w:r>
      <w:r w:rsidR="0016323C" w:rsidRPr="009E1F78">
        <w:t xml:space="preserve">isbiežāk tā ir </w:t>
      </w:r>
      <w:r w:rsidR="0016323C">
        <w:t xml:space="preserve">bijusi </w:t>
      </w:r>
      <w:r w:rsidR="0016323C" w:rsidRPr="009E1F78">
        <w:t>pieejama</w:t>
      </w:r>
      <w:r w:rsidR="0016323C">
        <w:t xml:space="preserve"> nepilnā</w:t>
      </w:r>
      <w:r w:rsidR="00C01573">
        <w:t>s</w:t>
      </w:r>
      <w:r w:rsidR="0016323C">
        <w:t xml:space="preserve"> ģimenēs (98%), savukārt</w:t>
      </w:r>
      <w:r w:rsidR="00C01573">
        <w:t>,</w:t>
      </w:r>
      <w:r w:rsidR="0016323C">
        <w:t xml:space="preserve"> visre</w:t>
      </w:r>
      <w:r w:rsidR="00450352">
        <w:t>tāk – atsevišķi dzīvojošiem sen</w:t>
      </w:r>
      <w:r w:rsidR="0016323C">
        <w:t xml:space="preserve">ioriem (88,7%), citos mājsaimniecību tipos 2017. gadā kanalizācijas pieejamības rādītāji pārsniedz 90%. Laika posmā no 2009. </w:t>
      </w:r>
      <w:r w:rsidR="00D54545">
        <w:t xml:space="preserve">gada </w:t>
      </w:r>
      <w:r w:rsidR="0016323C">
        <w:t>līdz 2017. gadam šie rādītāji pārsvarā ir vienmērīgi pieauguši, izņēmums ir laika posms no 2012.</w:t>
      </w:r>
      <w:r w:rsidR="00D54545">
        <w:t xml:space="preserve"> gada</w:t>
      </w:r>
      <w:r w:rsidR="0016323C">
        <w:t xml:space="preserve"> līdz 2013. gadam, kad salīdzinoši strauju pieaugumu piedzīvoja rādītājs, kas raksturo kanalizācijas pieejamību mājsaimniecībās, kurās ir pāris ar trīs un vairāk bērniem, kad tas no 77,9% 2012. gadā pieauga par 10,1 procentpunktiem un sasniedza 88% 2013. gadā. Citas tik strauja</w:t>
      </w:r>
      <w:r w:rsidR="009A2F1F">
        <w:t>s</w:t>
      </w:r>
      <w:r w:rsidR="0016323C">
        <w:t xml:space="preserve"> izmaiņas šajā laika posmā mājsaimniecības tipu griezumā nav novērojamas, taču kopumā jānorāda, ka 2017. gadā kanalizācija ir pieejama lielākam mājsaimniecību īpatsvaram nekā 2009. gadā.</w:t>
      </w:r>
    </w:p>
    <w:bookmarkEnd w:id="694"/>
    <w:p w:rsidR="00381F09" w:rsidRPr="009E1F78" w:rsidRDefault="00AD3EDD" w:rsidP="00A46B54">
      <w:pPr>
        <w:pStyle w:val="Caption"/>
      </w:pPr>
      <w:r>
        <w:lastRenderedPageBreak/>
        <w:fldChar w:fldCharType="begin"/>
      </w:r>
      <w:r w:rsidR="006B5456">
        <w:instrText xml:space="preserve"> STYLEREF 1 \s </w:instrText>
      </w:r>
      <w:r>
        <w:fldChar w:fldCharType="separate"/>
      </w:r>
      <w:bookmarkStart w:id="695" w:name="_Toc6855831"/>
      <w:r w:rsidR="00224B50">
        <w:rPr>
          <w:noProof/>
        </w:rPr>
        <w:t>3</w:t>
      </w:r>
      <w:r>
        <w:fldChar w:fldCharType="end"/>
      </w:r>
      <w:r w:rsidR="006B5456">
        <w:t>.</w:t>
      </w:r>
      <w:r>
        <w:fldChar w:fldCharType="begin"/>
      </w:r>
      <w:r w:rsidR="000F1524">
        <w:instrText xml:space="preserve"> SEQ Ilustrācija \* ARABIC \s 1 </w:instrText>
      </w:r>
      <w:r>
        <w:fldChar w:fldCharType="separate"/>
      </w:r>
      <w:r w:rsidR="00224B50">
        <w:rPr>
          <w:noProof/>
        </w:rPr>
        <w:t>16</w:t>
      </w:r>
      <w:r>
        <w:rPr>
          <w:noProof/>
        </w:rPr>
        <w:fldChar w:fldCharType="end"/>
      </w:r>
      <w:r w:rsidR="009E1F78">
        <w:t xml:space="preserve">.attēls. </w:t>
      </w:r>
      <w:r w:rsidR="00381F09" w:rsidRPr="009E1F78">
        <w:t>Mājokļu labiekārtotība</w:t>
      </w:r>
      <w:r w:rsidR="00B108C3">
        <w:t>: k</w:t>
      </w:r>
      <w:r w:rsidR="00381F09" w:rsidRPr="009E1F78">
        <w:t>a</w:t>
      </w:r>
      <w:r w:rsidR="009E1F78">
        <w:t>nalizācija</w:t>
      </w:r>
      <w:r w:rsidR="00B108C3">
        <w:t xml:space="preserve"> (m</w:t>
      </w:r>
      <w:r w:rsidR="009E1F78">
        <w:t>ājsaimniecību tipi</w:t>
      </w:r>
      <w:r w:rsidR="00B108C3">
        <w:t>, %)</w:t>
      </w:r>
      <w:bookmarkEnd w:id="695"/>
    </w:p>
    <w:p w:rsidR="00381F09" w:rsidRDefault="007678BB" w:rsidP="00064C1E">
      <w:pPr>
        <w:rPr>
          <w:b/>
        </w:rPr>
      </w:pPr>
      <w:r w:rsidRPr="007678BB">
        <w:rPr>
          <w:noProof/>
        </w:rPr>
        <w:drawing>
          <wp:inline distT="0" distB="0" distL="0" distR="0">
            <wp:extent cx="6067425" cy="3619500"/>
            <wp:effectExtent l="19050" t="0" r="9525"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a:srcRect/>
                    <a:stretch>
                      <a:fillRect/>
                    </a:stretch>
                  </pic:blipFill>
                  <pic:spPr bwMode="auto">
                    <a:xfrm>
                      <a:off x="0" y="0"/>
                      <a:ext cx="6067425" cy="3619500"/>
                    </a:xfrm>
                    <a:prstGeom prst="rect">
                      <a:avLst/>
                    </a:prstGeom>
                    <a:noFill/>
                    <a:ln w="9525">
                      <a:noFill/>
                      <a:miter lim="800000"/>
                      <a:headEnd/>
                      <a:tailEnd/>
                    </a:ln>
                  </pic:spPr>
                </pic:pic>
              </a:graphicData>
            </a:graphic>
          </wp:inline>
        </w:drawing>
      </w:r>
    </w:p>
    <w:p w:rsidR="00381F09" w:rsidRPr="00B108C3" w:rsidRDefault="00B108C3" w:rsidP="00C33A64">
      <w:pPr>
        <w:pStyle w:val="avotiemft10"/>
      </w:pPr>
      <w:bookmarkStart w:id="696" w:name="_Toc6841644"/>
      <w:r w:rsidRPr="00B108C3">
        <w:t>Avots: CSP, “</w:t>
      </w:r>
      <w:r w:rsidRPr="00DA49DB">
        <w:t>MTG040</w:t>
      </w:r>
      <w:r w:rsidRPr="00B108C3">
        <w:t>. Mājokļu labiekārtotība (%)”.</w:t>
      </w:r>
      <w:bookmarkEnd w:id="696"/>
    </w:p>
    <w:p w:rsidR="007A0EC6" w:rsidRDefault="007A0EC6" w:rsidP="00064C1E"/>
    <w:p w:rsidR="00381F09" w:rsidRPr="002931AF" w:rsidRDefault="00381F09" w:rsidP="00064C1E">
      <w:r w:rsidRPr="00CC1C3B">
        <w:t>Līdzīgi kā ar iepriekšējiem rādītājiem, kas raksturoja aukstā un karstā ūdens pieejamību mājsaimniecībās, arī rādītājā par kanalizācijas pieejamību redzams, ka pilsētās tā ir pieejama lielākam skaitam mājsaimniecību. 2017. gadā 97% pilsētas mājsaimniecību bija pieejama kanalizācija, kamēr laukos šis rādītājs bija par 19,2</w:t>
      </w:r>
      <w:r w:rsidR="004D69CE">
        <w:t xml:space="preserve"> procentpunktiem</w:t>
      </w:r>
      <w:r w:rsidRPr="00CC1C3B">
        <w:t xml:space="preserve"> mazāks – 77,8%. Laika posmā no 2009. </w:t>
      </w:r>
      <w:r w:rsidR="00D54545">
        <w:t xml:space="preserve">gada </w:t>
      </w:r>
      <w:r w:rsidRPr="00CC1C3B">
        <w:t>līdz 2017. gadam šāda tendence bijusi nepārtraukti, mainoties tikai procentuālajai atšķirībai starp šiem rādītājiem. Jā</w:t>
      </w:r>
      <w:r w:rsidR="00814BA8">
        <w:t>uzsver</w:t>
      </w:r>
      <w:r w:rsidRPr="00CC1C3B">
        <w:t>, ka, lai gan šiem rādītājiem ir tendence mainīties, tomēr ir vērojams kopējs pieaugums –</w:t>
      </w:r>
      <w:r>
        <w:t xml:space="preserve"> ja pilsētās šis rādītājs vienmēr bijis </w:t>
      </w:r>
      <w:r w:rsidR="00814BA8">
        <w:t>virs</w:t>
      </w:r>
      <w:r>
        <w:t xml:space="preserve"> 93,6%, tad laukos tas ir pieaudzis no 64,4% 2009. gadā līdz jau minētajiem 77,8% 2017. gadā, kas veido kopējo pieaugumu – 13,4</w:t>
      </w:r>
      <w:r w:rsidR="00814BA8">
        <w:t xml:space="preserve"> procentpunkti</w:t>
      </w:r>
      <w:r>
        <w:t>.</w:t>
      </w:r>
    </w:p>
    <w:p w:rsidR="00381F09" w:rsidRDefault="00381F09" w:rsidP="00064C1E"/>
    <w:p w:rsidR="00381F09" w:rsidRDefault="00381F09" w:rsidP="00064C1E">
      <w:r>
        <w:t>Skatoties reģionu griezumā, kanalizācija visbiežāk pieejama praktiski visām Rīgas reģiona mājsaimniecībām, - 99,5%. Tāpat kā ar karstā un aukstā ūdens pieejamību arī kanalizācija 2017. gadā visretāk bijusi pieejama Vidzemes reģiona mājsaimniecībām, šeit tā 2017. gadā bija pieejama 80% mājsaimniecīb</w:t>
      </w:r>
      <w:r w:rsidR="00814BA8">
        <w:t>u</w:t>
      </w:r>
      <w:r>
        <w:t xml:space="preserve">, kamēr citos reģionos pieejamība ir augstāka – Latgalē – 82,2%, Zemgalē – 86,6%, bet Kurzemē un Pierīgā </w:t>
      </w:r>
      <w:r w:rsidR="00814BA8">
        <w:t xml:space="preserve">kanalizācijas </w:t>
      </w:r>
      <w:r>
        <w:t xml:space="preserve">pieejamības rādītāji sasniedza attiecīgi 91,8% un 92,7%. Laika posmā no 2009. </w:t>
      </w:r>
      <w:r w:rsidR="00D54545">
        <w:t xml:space="preserve">gada </w:t>
      </w:r>
      <w:r>
        <w:t xml:space="preserve">līdz 2017. gadam reģionu griezumā izmaiņas nav bijušas sevišķi ievērojamas, atsevišķos gados ir redzami kritumi, piemēram, no 2014. </w:t>
      </w:r>
      <w:r w:rsidR="00D54545">
        <w:t xml:space="preserve">gada </w:t>
      </w:r>
      <w:r>
        <w:t>uz 2015. gadu kanalizācijas pieejamība par 1,3</w:t>
      </w:r>
      <w:r w:rsidR="00814BA8">
        <w:t xml:space="preserve"> procentpunktiem</w:t>
      </w:r>
      <w:r>
        <w:t xml:space="preserve"> samazinājās Kurzemes reģionā, taču šie kritumi ir reti un pārsvarā šim rādītājam raksturīgs kāpums.</w:t>
      </w:r>
    </w:p>
    <w:p w:rsidR="00381F09" w:rsidRDefault="00381F09" w:rsidP="00064C1E"/>
    <w:p w:rsidR="00381F09" w:rsidRDefault="00381F09" w:rsidP="00064C1E">
      <w:r>
        <w:t xml:space="preserve">Kopumā, ja pieņem, ka šie trīs </w:t>
      </w:r>
      <w:r w:rsidR="00814BA8">
        <w:t>rādītāji</w:t>
      </w:r>
      <w:r>
        <w:t xml:space="preserve"> raksturo mājokļu </w:t>
      </w:r>
      <w:r w:rsidR="00713650">
        <w:t>labiekārtotības līmeni</w:t>
      </w:r>
      <w:r>
        <w:t xml:space="preserve">, var secināt, ka </w:t>
      </w:r>
      <w:r w:rsidRPr="00713650">
        <w:rPr>
          <w:b/>
        </w:rPr>
        <w:t xml:space="preserve">pilsētās mājokļu </w:t>
      </w:r>
      <w:r w:rsidR="00713650">
        <w:rPr>
          <w:b/>
        </w:rPr>
        <w:t>labiekārtojuma līmenis</w:t>
      </w:r>
      <w:r w:rsidRPr="00713650">
        <w:rPr>
          <w:b/>
        </w:rPr>
        <w:t xml:space="preserve"> ir augstāk</w:t>
      </w:r>
      <w:r w:rsidR="00713650">
        <w:rPr>
          <w:b/>
        </w:rPr>
        <w:t>s</w:t>
      </w:r>
      <w:r>
        <w:t xml:space="preserve">. Papildus šiem trīs rādītājiem EU-SILC </w:t>
      </w:r>
      <w:r>
        <w:lastRenderedPageBreak/>
        <w:t xml:space="preserve">apsekojumā apskatīta </w:t>
      </w:r>
      <w:r w:rsidR="00814BA8">
        <w:t xml:space="preserve">arī </w:t>
      </w:r>
      <w:r>
        <w:t>mājokļu pieejamība tīkla gāzei, balonu gāze</w:t>
      </w:r>
      <w:r w:rsidR="00814BA8">
        <w:t>i</w:t>
      </w:r>
      <w:r>
        <w:t xml:space="preserve">, kā arī stacionārajai elektriskajai plītij, kas būtu </w:t>
      </w:r>
      <w:r w:rsidR="00814BA8">
        <w:t>analizējami</w:t>
      </w:r>
      <w:r>
        <w:t xml:space="preserve"> kā papildus </w:t>
      </w:r>
      <w:r w:rsidR="00814BA8">
        <w:t xml:space="preserve">mājokļa kvalitāti raksturojoši </w:t>
      </w:r>
      <w:r>
        <w:t>faktori.</w:t>
      </w:r>
    </w:p>
    <w:p w:rsidR="00387344" w:rsidRPr="00966D80" w:rsidRDefault="00387344" w:rsidP="00824DEA">
      <w:r>
        <w:t>CSP EU-SILC apsekojumā ikgadēji tiek apkopoti dati</w:t>
      </w:r>
      <w:r w:rsidRPr="00966D80">
        <w:t>, kas raksturo mājokli, kuru apdzīvo</w:t>
      </w:r>
      <w:r>
        <w:t xml:space="preserve"> apsekojumā ietvertās mājsaimniecības</w:t>
      </w:r>
      <w:r w:rsidRPr="00966D80">
        <w:t xml:space="preserve">, </w:t>
      </w:r>
      <w:r>
        <w:t>ieskaitot</w:t>
      </w:r>
      <w:r w:rsidRPr="00966D80">
        <w:t xml:space="preserve"> </w:t>
      </w:r>
      <w:r w:rsidRPr="00713650">
        <w:rPr>
          <w:b/>
        </w:rPr>
        <w:t>mājoklim raksturīgās problēmas</w:t>
      </w:r>
      <w:r w:rsidRPr="00966D80">
        <w:t>. Apsekojumā tika iekļautas četras problēmas, kas raksturīgas mājoklim</w:t>
      </w:r>
      <w:r>
        <w:t xml:space="preserve"> un kas tādējādi ļauj noteikt apdzīvoto mājokļu kvalitāti pēc būtības</w:t>
      </w:r>
      <w:r w:rsidRPr="00966D80">
        <w:t>:</w:t>
      </w:r>
    </w:p>
    <w:p w:rsidR="00387344" w:rsidRPr="00966D80" w:rsidRDefault="00713650" w:rsidP="003F469F">
      <w:pPr>
        <w:pStyle w:val="ListParagraph"/>
        <w:numPr>
          <w:ilvl w:val="0"/>
          <w:numId w:val="130"/>
        </w:numPr>
        <w:spacing w:line="276" w:lineRule="auto"/>
        <w:jc w:val="both"/>
      </w:pPr>
      <w:r>
        <w:t>t</w:t>
      </w:r>
      <w:r w:rsidR="00387344" w:rsidRPr="00966D80">
        <w:t>ekošs jumts</w:t>
      </w:r>
      <w:r w:rsidR="00387344">
        <w:t>,</w:t>
      </w:r>
      <w:r w:rsidR="00387344" w:rsidRPr="00966D80">
        <w:t xml:space="preserve"> mitras sienas, griesti, grīdas, pamati vai trupe</w:t>
      </w:r>
      <w:r w:rsidR="00387344">
        <w:t xml:space="preserve"> logu rāmjos, durvīs vai grīdās;</w:t>
      </w:r>
    </w:p>
    <w:p w:rsidR="00387344" w:rsidRPr="00966D80" w:rsidRDefault="00713650" w:rsidP="003F469F">
      <w:pPr>
        <w:pStyle w:val="ListParagraph"/>
        <w:numPr>
          <w:ilvl w:val="0"/>
          <w:numId w:val="130"/>
        </w:numPr>
        <w:spacing w:line="276" w:lineRule="auto"/>
        <w:jc w:val="both"/>
      </w:pPr>
      <w:r>
        <w:t>s</w:t>
      </w:r>
      <w:r w:rsidR="00387344" w:rsidRPr="00966D80">
        <w:t>pēja</w:t>
      </w:r>
      <w:r w:rsidR="00387344">
        <w:t xml:space="preserve"> uzturēt māj</w:t>
      </w:r>
      <w:r w:rsidR="009A2F1F">
        <w:t>okli</w:t>
      </w:r>
      <w:r w:rsidR="00387344">
        <w:t xml:space="preserve"> pietiekami siltu;</w:t>
      </w:r>
    </w:p>
    <w:p w:rsidR="00387344" w:rsidRPr="00966D80" w:rsidRDefault="00713650" w:rsidP="003F469F">
      <w:pPr>
        <w:pStyle w:val="ListParagraph"/>
        <w:numPr>
          <w:ilvl w:val="0"/>
          <w:numId w:val="130"/>
        </w:numPr>
        <w:spacing w:line="276" w:lineRule="auto"/>
        <w:jc w:val="both"/>
      </w:pPr>
      <w:r>
        <w:t>v</w:t>
      </w:r>
      <w:r w:rsidR="00387344">
        <w:t>annas vai dušas esamība mājoklī;</w:t>
      </w:r>
    </w:p>
    <w:p w:rsidR="00387344" w:rsidRPr="00966D80" w:rsidRDefault="00713650" w:rsidP="003F469F">
      <w:pPr>
        <w:pStyle w:val="ListParagraph"/>
        <w:numPr>
          <w:ilvl w:val="0"/>
          <w:numId w:val="130"/>
        </w:numPr>
        <w:spacing w:line="276" w:lineRule="auto"/>
        <w:jc w:val="both"/>
      </w:pPr>
      <w:r>
        <w:t>i</w:t>
      </w:r>
      <w:r w:rsidR="00387344" w:rsidRPr="00966D80">
        <w:t>ekštelpas tualete ar ūdens klozetu esamība tikai mājsaimniecības lietošanai.</w:t>
      </w:r>
    </w:p>
    <w:p w:rsidR="00387344" w:rsidRDefault="00387344" w:rsidP="00064C1E"/>
    <w:p w:rsidR="00387344" w:rsidRDefault="00387344" w:rsidP="00064C1E">
      <w:r>
        <w:t xml:space="preserve">Pieejamais EU-SILC apsekojums ļauj izsekot šo rādītāju izmaiņu dinamikai laika posmā no 2015. līdz 2017. gadam. Visu </w:t>
      </w:r>
      <w:r w:rsidR="00713650">
        <w:t xml:space="preserve">četru </w:t>
      </w:r>
      <w:r>
        <w:t xml:space="preserve">minēto problēmu sastopamības raksturojums Latvijas </w:t>
      </w:r>
      <w:r w:rsidRPr="008864A0">
        <w:t xml:space="preserve">mājsaimniecībās apkopots </w:t>
      </w:r>
      <w:r w:rsidR="00AD66E6">
        <w:t>3.17</w:t>
      </w:r>
      <w:r w:rsidRPr="008864A0">
        <w:t xml:space="preserve">. attēlā. </w:t>
      </w:r>
    </w:p>
    <w:p w:rsidR="00387344" w:rsidRPr="00966D80" w:rsidRDefault="00AD3EDD" w:rsidP="00A46B54">
      <w:pPr>
        <w:pStyle w:val="Caption"/>
      </w:pPr>
      <w:r>
        <w:fldChar w:fldCharType="begin"/>
      </w:r>
      <w:r w:rsidR="000F1524">
        <w:instrText xml:space="preserve"> STYLEREF 1 \s </w:instrText>
      </w:r>
      <w:r>
        <w:fldChar w:fldCharType="separate"/>
      </w:r>
      <w:bookmarkStart w:id="697" w:name="_Toc6855832"/>
      <w:r w:rsidR="00224B50">
        <w:rPr>
          <w:noProof/>
        </w:rPr>
        <w:t>3</w:t>
      </w:r>
      <w:r>
        <w:rPr>
          <w:noProof/>
        </w:rPr>
        <w:fldChar w:fldCharType="end"/>
      </w:r>
      <w:r w:rsidR="006B5456">
        <w:t>.</w:t>
      </w:r>
      <w:r>
        <w:fldChar w:fldCharType="begin"/>
      </w:r>
      <w:r w:rsidR="000F1524">
        <w:instrText xml:space="preserve"> SEQ Ilustrācija \* ARABIC \s 1 </w:instrText>
      </w:r>
      <w:r>
        <w:fldChar w:fldCharType="separate"/>
      </w:r>
      <w:r w:rsidR="00224B50">
        <w:rPr>
          <w:noProof/>
        </w:rPr>
        <w:t>17</w:t>
      </w:r>
      <w:r>
        <w:rPr>
          <w:noProof/>
        </w:rPr>
        <w:fldChar w:fldCharType="end"/>
      </w:r>
      <w:r w:rsidR="00387344" w:rsidRPr="008864A0">
        <w:t>. attēls. Mājokļa kvalitātes problēmu izplatība (% no visām mājsaimniecībām, kuras ir saskārušās ar attiecīgo problēmu)</w:t>
      </w:r>
      <w:bookmarkEnd w:id="697"/>
    </w:p>
    <w:p w:rsidR="00387344" w:rsidRPr="00966D80" w:rsidRDefault="00CC5F2C" w:rsidP="00064C1E">
      <w:r w:rsidRPr="00CC5F2C">
        <w:rPr>
          <w:noProof/>
        </w:rPr>
        <w:drawing>
          <wp:inline distT="0" distB="0" distL="0" distR="0">
            <wp:extent cx="6154420" cy="3769675"/>
            <wp:effectExtent l="19050" t="0" r="0" b="0"/>
            <wp:docPr id="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3"/>
                    <a:srcRect/>
                    <a:stretch>
                      <a:fillRect/>
                    </a:stretch>
                  </pic:blipFill>
                  <pic:spPr bwMode="auto">
                    <a:xfrm>
                      <a:off x="0" y="0"/>
                      <a:ext cx="6154420" cy="3769675"/>
                    </a:xfrm>
                    <a:prstGeom prst="rect">
                      <a:avLst/>
                    </a:prstGeom>
                    <a:noFill/>
                    <a:ln w="9525">
                      <a:noFill/>
                      <a:miter lim="800000"/>
                      <a:headEnd/>
                      <a:tailEnd/>
                    </a:ln>
                  </pic:spPr>
                </pic:pic>
              </a:graphicData>
            </a:graphic>
          </wp:inline>
        </w:drawing>
      </w:r>
    </w:p>
    <w:p w:rsidR="00B108C3" w:rsidRPr="00B108C3" w:rsidRDefault="00D54545" w:rsidP="00DA49DB">
      <w:pPr>
        <w:pStyle w:val="avotiemft10"/>
      </w:pPr>
      <w:r>
        <w:t>Avots: EU-</w:t>
      </w:r>
      <w:r w:rsidR="00B108C3">
        <w:t>SILC, CSP, 2015-2017.</w:t>
      </w:r>
    </w:p>
    <w:p w:rsidR="00387344" w:rsidRPr="00C85EB4" w:rsidRDefault="00387344" w:rsidP="00064C1E">
      <w:pPr>
        <w:rPr>
          <w:sz w:val="20"/>
          <w:szCs w:val="20"/>
        </w:rPr>
      </w:pPr>
      <w:r w:rsidRPr="00C85EB4">
        <w:rPr>
          <w:sz w:val="20"/>
          <w:szCs w:val="20"/>
        </w:rPr>
        <w:t xml:space="preserve">Piezīme: Mājoklī nav vanna vai duša – rādītājs atspoguļo mājsaimniecību īpatsvaru, kurās </w:t>
      </w:r>
      <w:r w:rsidRPr="00C85EB4">
        <w:rPr>
          <w:sz w:val="20"/>
          <w:szCs w:val="20"/>
          <w:u w:val="single"/>
        </w:rPr>
        <w:t>vispār</w:t>
      </w:r>
      <w:r w:rsidRPr="00C85EB4">
        <w:rPr>
          <w:sz w:val="20"/>
          <w:szCs w:val="20"/>
        </w:rPr>
        <w:t xml:space="preserve"> nav sastopamas šīs ērtības, t.i., arī ne koplietošanā ar citām mājsaimniecībām</w:t>
      </w:r>
    </w:p>
    <w:p w:rsidR="00387344" w:rsidRPr="00C85EB4" w:rsidRDefault="00387344" w:rsidP="00064C1E">
      <w:pPr>
        <w:rPr>
          <w:sz w:val="20"/>
          <w:szCs w:val="20"/>
        </w:rPr>
      </w:pPr>
      <w:r w:rsidRPr="00C85EB4">
        <w:rPr>
          <w:sz w:val="20"/>
          <w:szCs w:val="20"/>
        </w:rPr>
        <w:t>Mājoklī nav iekštelpas tualete ar ūdens klozetu (WC) tikai mājsaimniecības lietošanai – rādītājs atspoguļo mājsaimniecību īpatsvaru, kurās vispār nav sastopamas šīs ērtības, t.i., arī ne koplietošanā ar citām mājsaimniecībām</w:t>
      </w:r>
    </w:p>
    <w:p w:rsidR="00387344" w:rsidRDefault="00387344" w:rsidP="00064C1E"/>
    <w:p w:rsidR="005C06D7" w:rsidRDefault="00713650" w:rsidP="005C06D7">
      <w:r>
        <w:t>Datu analīzē</w:t>
      </w:r>
      <w:r w:rsidR="005C06D7" w:rsidRPr="008864A0">
        <w:t xml:space="preserve"> visas problēmas ir aplūkotas arī detalizēti par katru gadu, dalot pēc mājokļa tipiem, kuros dzīvo konkrētā mājsaimniecība. Lai noskaidrotu, kāda tipa mājokļiem visbiežāk raksturīgas </w:t>
      </w:r>
      <w:r w:rsidR="005C06D7" w:rsidRPr="008864A0">
        <w:lastRenderedPageBreak/>
        <w:t>iepriekš minētās kvalitātes problēmas, balstoties uz EU-SILC datiem</w:t>
      </w:r>
      <w:r w:rsidR="005E76FD">
        <w:t>,</w:t>
      </w:r>
      <w:r w:rsidR="005C06D7" w:rsidRPr="008864A0">
        <w:t xml:space="preserve"> ir aprēķināts apkopojošs rādītājs. </w:t>
      </w:r>
      <w:r w:rsidR="00AD66E6" w:rsidRPr="00AD66E6">
        <w:rPr>
          <w:b/>
        </w:rPr>
        <w:t>V</w:t>
      </w:r>
      <w:r w:rsidR="005C06D7" w:rsidRPr="00713650">
        <w:rPr>
          <w:b/>
        </w:rPr>
        <w:t>isbiežāk mājsaimniecības saskaras ar mitrumu un tā radītām problēmām</w:t>
      </w:r>
      <w:r w:rsidR="005C06D7">
        <w:t xml:space="preserve"> – t</w:t>
      </w:r>
      <w:r w:rsidR="005C06D7" w:rsidRPr="00103A94">
        <w:t>ekoš</w:t>
      </w:r>
      <w:r w:rsidR="005C06D7">
        <w:t>u</w:t>
      </w:r>
      <w:r w:rsidR="005C06D7" w:rsidRPr="00103A94">
        <w:t xml:space="preserve"> jumt</w:t>
      </w:r>
      <w:r w:rsidR="005C06D7">
        <w:t>u</w:t>
      </w:r>
      <w:r w:rsidR="005C06D7" w:rsidRPr="00103A94">
        <w:t>, mitr</w:t>
      </w:r>
      <w:r w:rsidR="005C06D7">
        <w:t>ām</w:t>
      </w:r>
      <w:r w:rsidR="005C06D7" w:rsidRPr="00103A94">
        <w:t xml:space="preserve"> sien</w:t>
      </w:r>
      <w:r w:rsidR="005C06D7">
        <w:t>ām</w:t>
      </w:r>
      <w:r w:rsidR="005C06D7" w:rsidRPr="00103A94">
        <w:t>, griesti</w:t>
      </w:r>
      <w:r w:rsidR="005C06D7">
        <w:t>em</w:t>
      </w:r>
      <w:r w:rsidR="005C06D7" w:rsidRPr="00103A94">
        <w:t>, grīd</w:t>
      </w:r>
      <w:r w:rsidR="005C06D7">
        <w:t>ām</w:t>
      </w:r>
      <w:r w:rsidR="005C06D7" w:rsidRPr="00103A94">
        <w:t>, pamati</w:t>
      </w:r>
      <w:r w:rsidR="005C06D7">
        <w:t>em</w:t>
      </w:r>
      <w:r w:rsidR="005C06D7" w:rsidRPr="00103A94">
        <w:t xml:space="preserve"> vai trup</w:t>
      </w:r>
      <w:r w:rsidR="005C06D7">
        <w:t>i</w:t>
      </w:r>
      <w:r w:rsidR="005C06D7" w:rsidRPr="00103A94">
        <w:t xml:space="preserve"> logu rāmjos, durvīs vai grīdās</w:t>
      </w:r>
      <w:r w:rsidR="005C06D7">
        <w:t xml:space="preserve"> (23,4% 2017. gadā), citas mājokļos sastopamas problēmas ir dušas vai vannas neesamība mājoklī (14,5% 2017. gadā), grūtības uzturēt mājās pietiekamu siltumu finanšu ierobežojumu dēļ (13,3% 2017. gadā) un iekštelpas tualetes, kas ir tikai mājsaimniecības lietošanā, neesamība (13,0% 2017. gadā). </w:t>
      </w:r>
    </w:p>
    <w:p w:rsidR="005C06D7" w:rsidRDefault="005C06D7" w:rsidP="00064C1E"/>
    <w:p w:rsidR="00713650" w:rsidRDefault="00387344" w:rsidP="00B87378">
      <w:bookmarkStart w:id="698" w:name="_Toc6219285"/>
      <w:bookmarkStart w:id="699" w:name="_Toc6220228"/>
      <w:r>
        <w:t xml:space="preserve">Turpinājumā </w:t>
      </w:r>
      <w:r w:rsidR="00713650">
        <w:t>šie</w:t>
      </w:r>
      <w:r>
        <w:t xml:space="preserve"> dati ir analizēti dažādu </w:t>
      </w:r>
      <w:r w:rsidRPr="00713650">
        <w:rPr>
          <w:b/>
        </w:rPr>
        <w:t>mājokļu tipu griezumā 2015., 2016. un 2017. gadā</w:t>
      </w:r>
      <w:r>
        <w:t>.</w:t>
      </w:r>
      <w:bookmarkEnd w:id="698"/>
      <w:bookmarkEnd w:id="699"/>
      <w:r>
        <w:t xml:space="preserve"> Mājsaimniecības, kuras dzīvo </w:t>
      </w:r>
      <w:r w:rsidRPr="00713650">
        <w:rPr>
          <w:b/>
        </w:rPr>
        <w:t>savrupmājā vai viensētā</w:t>
      </w:r>
      <w:r>
        <w:t xml:space="preserve">, visbiežāk saskārās ar </w:t>
      </w:r>
      <w:r w:rsidR="009A2F1F">
        <w:t xml:space="preserve">tādām </w:t>
      </w:r>
      <w:r>
        <w:t>problēmām</w:t>
      </w:r>
      <w:r w:rsidR="009A2F1F">
        <w:t xml:space="preserve"> kā</w:t>
      </w:r>
      <w:r>
        <w:t xml:space="preserve"> vannas vai dušas un iekštelpas tualetes ar ūdens klozetu nepieejamīb</w:t>
      </w:r>
      <w:r w:rsidR="009A2F1F">
        <w:t>a</w:t>
      </w:r>
      <w:r>
        <w:t xml:space="preserve"> mājsaimniecībā </w:t>
      </w:r>
      <w:r w:rsidRPr="001F37C8">
        <w:t>(</w:t>
      </w:r>
      <w:r w:rsidR="00824DEA">
        <w:t xml:space="preserve">sk. </w:t>
      </w:r>
      <w:r w:rsidR="00AD66E6">
        <w:t>3.18</w:t>
      </w:r>
      <w:r w:rsidR="00824DEA">
        <w:t>. attēlu</w:t>
      </w:r>
      <w:r w:rsidRPr="001F37C8">
        <w:t xml:space="preserve">). </w:t>
      </w:r>
      <w:r w:rsidR="00713650">
        <w:t>D</w:t>
      </w:r>
      <w:r w:rsidR="00713650" w:rsidRPr="001F37C8">
        <w:t xml:space="preserve">atu apskatā nav ietverti tie gadījumi, kad šīs </w:t>
      </w:r>
      <w:r w:rsidR="00713650">
        <w:t>ērtības</w:t>
      </w:r>
      <w:r w:rsidR="00713650" w:rsidRPr="001F37C8">
        <w:t xml:space="preserve"> mājsaimniecībai ir</w:t>
      </w:r>
      <w:r w:rsidR="00713650">
        <w:t xml:space="preserve"> koplietošanā ar kādu citu mājsaimniecību. 2015. gadā redzams, ka gadījumā, </w:t>
      </w:r>
      <w:r w:rsidR="00713650" w:rsidRPr="000C42AD">
        <w:t>ja mājsaimniecība dzīvoja savrupmājā vai viensētā</w:t>
      </w:r>
      <w:r w:rsidR="00713650">
        <w:t>, tad to mājokļiem</w:t>
      </w:r>
      <w:r w:rsidR="00713650" w:rsidRPr="000C42AD">
        <w:t xml:space="preserve"> </w:t>
      </w:r>
      <w:r w:rsidR="00713650">
        <w:t>37,7% gadījumu nebija vannas vai dušas, bet 35,6% gadījumu nebija iekštelpas tualetes ar ūdens klozetu. Trešā biežāk sastopamā problēma 2015. gadā savrupmājas vai viensētu tipa mājokļiem bija tekošs jumts un  mitruma problēmas, kas bija raksturīgas 30,5% mājokļu, bet finansiāli šo mājokli siltu nespēja uzturēt 14,1% mājsaimniecību.</w:t>
      </w:r>
    </w:p>
    <w:p w:rsidR="00387344" w:rsidRPr="00CD0B56" w:rsidRDefault="00AD3EDD" w:rsidP="00A46B54">
      <w:pPr>
        <w:pStyle w:val="Caption"/>
      </w:pPr>
      <w:r>
        <w:fldChar w:fldCharType="begin"/>
      </w:r>
      <w:r w:rsidR="000F1524">
        <w:instrText xml:space="preserve"> STYLEREF 1 \s </w:instrText>
      </w:r>
      <w:r>
        <w:fldChar w:fldCharType="separate"/>
      </w:r>
      <w:bookmarkStart w:id="700" w:name="_Toc6855833"/>
      <w:r w:rsidR="00224B50">
        <w:rPr>
          <w:noProof/>
        </w:rPr>
        <w:t>3</w:t>
      </w:r>
      <w:r>
        <w:rPr>
          <w:noProof/>
        </w:rPr>
        <w:fldChar w:fldCharType="end"/>
      </w:r>
      <w:r w:rsidR="006B5456">
        <w:t>.</w:t>
      </w:r>
      <w:r>
        <w:fldChar w:fldCharType="begin"/>
      </w:r>
      <w:r w:rsidR="000F1524">
        <w:instrText xml:space="preserve"> SEQ Ilustrācija \* ARABIC \s 1 </w:instrText>
      </w:r>
      <w:r>
        <w:fldChar w:fldCharType="separate"/>
      </w:r>
      <w:r w:rsidR="00224B50">
        <w:rPr>
          <w:noProof/>
        </w:rPr>
        <w:t>18</w:t>
      </w:r>
      <w:r>
        <w:rPr>
          <w:noProof/>
        </w:rPr>
        <w:fldChar w:fldCharType="end"/>
      </w:r>
      <w:r w:rsidR="00387344">
        <w:t xml:space="preserve">. attēls. </w:t>
      </w:r>
      <w:r w:rsidR="00387344" w:rsidRPr="00CD0B56">
        <w:t>Problēmas, kas raksturīgas savr</w:t>
      </w:r>
      <w:r w:rsidR="00387344">
        <w:t>upmājām/viensētām</w:t>
      </w:r>
      <w:r w:rsidR="00B108C3">
        <w:t>,</w:t>
      </w:r>
      <w:r w:rsidR="00387344" w:rsidRPr="00CD0B56">
        <w:t xml:space="preserve"> 2015. -2017. </w:t>
      </w:r>
      <w:r w:rsidR="007137F4">
        <w:t>g</w:t>
      </w:r>
      <w:r w:rsidR="00387344" w:rsidRPr="00CD0B56">
        <w:t>ads</w:t>
      </w:r>
      <w:r w:rsidR="007137F4">
        <w:t xml:space="preserve"> (%)</w:t>
      </w:r>
      <w:bookmarkEnd w:id="700"/>
    </w:p>
    <w:p w:rsidR="00387344" w:rsidRPr="0067223C" w:rsidRDefault="007678BB" w:rsidP="00064C1E">
      <w:r w:rsidRPr="007678BB">
        <w:rPr>
          <w:noProof/>
        </w:rPr>
        <w:drawing>
          <wp:inline distT="0" distB="0" distL="0" distR="0">
            <wp:extent cx="5429250" cy="4038600"/>
            <wp:effectExtent l="1905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a:srcRect/>
                    <a:stretch>
                      <a:fillRect/>
                    </a:stretch>
                  </pic:blipFill>
                  <pic:spPr bwMode="auto">
                    <a:xfrm>
                      <a:off x="0" y="0"/>
                      <a:ext cx="5429250" cy="4038600"/>
                    </a:xfrm>
                    <a:prstGeom prst="rect">
                      <a:avLst/>
                    </a:prstGeom>
                    <a:noFill/>
                    <a:ln w="9525">
                      <a:noFill/>
                      <a:miter lim="800000"/>
                      <a:headEnd/>
                      <a:tailEnd/>
                    </a:ln>
                  </pic:spPr>
                </pic:pic>
              </a:graphicData>
            </a:graphic>
          </wp:inline>
        </w:drawing>
      </w:r>
    </w:p>
    <w:p w:rsidR="004A56BE" w:rsidRDefault="00D54545" w:rsidP="00C33A64">
      <w:pPr>
        <w:pStyle w:val="avotiemft10"/>
      </w:pPr>
      <w:bookmarkStart w:id="701" w:name="_Toc6841645"/>
      <w:r>
        <w:t>Avots: EU-</w:t>
      </w:r>
      <w:r w:rsidR="004A56BE">
        <w:t>SILC, CSP, 2015-</w:t>
      </w:r>
      <w:r w:rsidR="004A56BE" w:rsidRPr="00DA49DB">
        <w:t>2017</w:t>
      </w:r>
      <w:r w:rsidR="004A56BE">
        <w:t>.</w:t>
      </w:r>
      <w:bookmarkEnd w:id="701"/>
    </w:p>
    <w:p w:rsidR="004A56BE" w:rsidRDefault="004A56BE" w:rsidP="005C06D7"/>
    <w:p w:rsidR="005C06D7" w:rsidRDefault="005C06D7" w:rsidP="005C06D7">
      <w:r>
        <w:t>2016. gadā un 2017. gadā tendences ir līdzīgas kā 2015, gadā, procentuālie lielumi ir nedaudz samazinājušies, taču problēmu izkārtojums biežumā, kādās tās parādās</w:t>
      </w:r>
      <w:r w:rsidR="008D07CA">
        <w:t>,</w:t>
      </w:r>
      <w:r>
        <w:t xml:space="preserve"> ir tāds pats. 2017. gadā redzams, ka 31,9% no mājsaimniecībām, kuras dzīvo savrupmājā vai viensētā, nebija vannas vai </w:t>
      </w:r>
      <w:r>
        <w:lastRenderedPageBreak/>
        <w:t xml:space="preserve">dušas (2016. gadā šis rādītājs – 36,8%), bet 31,8% mājoklī nebija iekštelpu tualetes ar ūdens klozetu (2016. gadā – 35,7%). Abas pārējās problēmas sastopamas retāk. 2017. gadā 28,3% mājsaimniecību mājokļu bija tekošs jumts un dažāda veida mitruma problēmas, bet 11,3% mājsaimniecību saskārās ar situāciju, kad finansiāli nespēja uzturēt mājokli siltu. 2016. gadā šie rādītāji ir attiecīgi 28,7% un 11,1%. </w:t>
      </w:r>
    </w:p>
    <w:p w:rsidR="005C06D7" w:rsidRDefault="005C06D7" w:rsidP="00064C1E"/>
    <w:p w:rsidR="00387344" w:rsidRDefault="00387344" w:rsidP="00064C1E">
      <w:r>
        <w:t>Pievēršoties mājsaimniecībām, kuras dzīvo savrupmājas daļā vai rindu mājās, redzams, ka situācija, kādā izkārtojas mājokļa kvalitātes problēmas pēc to biežuma, ir līdzīga kā mājsaimniecībām, kuras dzīvo savrupmājās vai viensētās. Šajā gadā redzams, ka gandrīz pusei – 48,1% – mājsaimniecību, kuras dzīvo savrupmājā vai rindu mājā, 2015. gadā nebija pieejama vanna vai duša, bet 45,2% mājokļu šajā gadā nebija pieejama iekštelpas tualete ar ūdens klozetu. 38,9% mājsaimniecību, kuras dzīvo savrupmājas daļā vai rindu mājā bija tekošs jum</w:t>
      </w:r>
      <w:r w:rsidR="008D07CA">
        <w:t>t</w:t>
      </w:r>
      <w:r>
        <w:t xml:space="preserve">s un dažāda veida mitruma problēmas, kamēr </w:t>
      </w:r>
      <w:r w:rsidRPr="001F37C8">
        <w:t>17,5% mājsaimniecību 2015. gadā finansiāli nespēja uzturēt savu mājokli siltu (</w:t>
      </w:r>
      <w:r w:rsidR="00824DEA">
        <w:t xml:space="preserve">sk. </w:t>
      </w:r>
      <w:r w:rsidR="00AD66E6">
        <w:t>3.19</w:t>
      </w:r>
      <w:r w:rsidR="00824DEA">
        <w:t>. attēlu</w:t>
      </w:r>
      <w:r w:rsidRPr="001F37C8">
        <w:t>).</w:t>
      </w:r>
    </w:p>
    <w:p w:rsidR="00387344" w:rsidRPr="00CD0B56" w:rsidRDefault="00AD3EDD" w:rsidP="00A46B54">
      <w:pPr>
        <w:pStyle w:val="Caption"/>
      </w:pPr>
      <w:r>
        <w:fldChar w:fldCharType="begin"/>
      </w:r>
      <w:r w:rsidR="000F1524">
        <w:instrText xml:space="preserve"> STYLEREF 1 \s </w:instrText>
      </w:r>
      <w:r>
        <w:fldChar w:fldCharType="separate"/>
      </w:r>
      <w:bookmarkStart w:id="702" w:name="_Toc6855834"/>
      <w:r w:rsidR="00224B50">
        <w:rPr>
          <w:noProof/>
        </w:rPr>
        <w:t>3</w:t>
      </w:r>
      <w:r>
        <w:rPr>
          <w:noProof/>
        </w:rPr>
        <w:fldChar w:fldCharType="end"/>
      </w:r>
      <w:r w:rsidR="006B5456">
        <w:t>.</w:t>
      </w:r>
      <w:r>
        <w:fldChar w:fldCharType="begin"/>
      </w:r>
      <w:r w:rsidR="000F1524">
        <w:instrText xml:space="preserve"> SEQ Ilustrācija \* ARABIC \s 1 </w:instrText>
      </w:r>
      <w:r>
        <w:fldChar w:fldCharType="separate"/>
      </w:r>
      <w:r w:rsidR="00224B50">
        <w:rPr>
          <w:noProof/>
        </w:rPr>
        <w:t>19</w:t>
      </w:r>
      <w:r>
        <w:rPr>
          <w:noProof/>
        </w:rPr>
        <w:fldChar w:fldCharType="end"/>
      </w:r>
      <w:r w:rsidR="00387344">
        <w:t xml:space="preserve">. attēls. </w:t>
      </w:r>
      <w:r w:rsidR="00387344" w:rsidRPr="00CD0B56">
        <w:t xml:space="preserve">Problēmas, kas raksturīgas </w:t>
      </w:r>
      <w:r w:rsidR="00387344">
        <w:t>savrupmājas daļām vai rindu mājām</w:t>
      </w:r>
      <w:r w:rsidR="00387344" w:rsidRPr="00CD0B56">
        <w:t>. 2015. -2017. gads</w:t>
      </w:r>
      <w:r w:rsidR="007137F4">
        <w:t xml:space="preserve"> (%)</w:t>
      </w:r>
      <w:bookmarkEnd w:id="702"/>
    </w:p>
    <w:p w:rsidR="00387344" w:rsidRPr="0067223C" w:rsidRDefault="00387344" w:rsidP="00064C1E">
      <w:r w:rsidRPr="0067223C">
        <w:rPr>
          <w:noProof/>
        </w:rPr>
        <w:drawing>
          <wp:inline distT="0" distB="0" distL="0" distR="0">
            <wp:extent cx="5760085" cy="40513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191" cy="4052781"/>
                    </a:xfrm>
                    <a:prstGeom prst="rect">
                      <a:avLst/>
                    </a:prstGeom>
                    <a:noFill/>
                    <a:ln>
                      <a:noFill/>
                    </a:ln>
                  </pic:spPr>
                </pic:pic>
              </a:graphicData>
            </a:graphic>
          </wp:inline>
        </w:drawing>
      </w:r>
    </w:p>
    <w:p w:rsidR="00387344" w:rsidRDefault="00D54545" w:rsidP="00C33A64">
      <w:pPr>
        <w:pStyle w:val="avotiemft10"/>
      </w:pPr>
      <w:bookmarkStart w:id="703" w:name="_Toc6841646"/>
      <w:r>
        <w:t>Avots: EU-</w:t>
      </w:r>
      <w:r w:rsidR="004A56BE">
        <w:t>SILC, CSP, 2015-</w:t>
      </w:r>
      <w:r w:rsidR="004A56BE" w:rsidRPr="00DA49DB">
        <w:t>2017</w:t>
      </w:r>
      <w:r w:rsidR="004A56BE">
        <w:t>.</w:t>
      </w:r>
      <w:bookmarkEnd w:id="703"/>
    </w:p>
    <w:p w:rsidR="004A56BE" w:rsidRDefault="004A56BE" w:rsidP="00064C1E">
      <w:pPr>
        <w:rPr>
          <w:b/>
        </w:rPr>
      </w:pPr>
    </w:p>
    <w:p w:rsidR="005C06D7" w:rsidRDefault="005C06D7" w:rsidP="005C06D7">
      <w:r>
        <w:t>Ja 2016. gadā situācija</w:t>
      </w:r>
      <w:r w:rsidR="008D07CA">
        <w:t>,</w:t>
      </w:r>
      <w:r>
        <w:t xml:space="preserve"> kādā izkārtojas savrupmājas daļas vai rindu mājas kvalitātes problēmas</w:t>
      </w:r>
      <w:r w:rsidR="008D07CA">
        <w:t>,</w:t>
      </w:r>
      <w:r>
        <w:t xml:space="preserve"> ir tāda pa</w:t>
      </w:r>
      <w:r w:rsidR="008D07CA">
        <w:t>ti</w:t>
      </w:r>
      <w:r>
        <w:t xml:space="preserve"> kā 2015. gadā, tad 2017. gadā ir vērojama atšķirība, jo šajā gadā visbiežāk sastopamā problēma, ar kuru saskārās mājsaimniecības, kuras dzīvo savrupmājas daļā vai rindu mājā, ir tekošs jumts un dažādas mitruma problēmas, ka bija raksturīgas 44,1% šādu mājokļu (2016.</w:t>
      </w:r>
      <w:r w:rsidR="008D07CA">
        <w:t xml:space="preserve"> gadā – 33,5%). Tajā pašā laikā</w:t>
      </w:r>
      <w:r>
        <w:t xml:space="preserve"> 2017. gadā 42,9% savrupmājas daļas vai rindu mājokļiem nebija pieejama vanna vai </w:t>
      </w:r>
      <w:r>
        <w:lastRenderedPageBreak/>
        <w:t>duša (2016. gadā – 42,6%), bet 41,2% šāda veida mājokļu nebija pieejama iekštelpas tualete ar ūdens klozetu (2106. gadā – 41,5%). Problēma, ar kuru 2016. un 2017. gadā visretāk saskaras mājsaimniecības, kuras dzīvo savrupmājas daļā vai rindu mājā</w:t>
      </w:r>
      <w:r w:rsidR="008D07CA">
        <w:t>,</w:t>
      </w:r>
      <w:r>
        <w:t xml:space="preserve"> ir finansiāla nespēja uzturēt mājokli siltu – 2017. gadā šāda problēma bija 10%, mājsaimniecību, kuras dzīvo šajā mājokļu tipā, bet 2016. gadā – 16,5%. </w:t>
      </w:r>
    </w:p>
    <w:p w:rsidR="005C06D7" w:rsidRDefault="005C06D7" w:rsidP="00064C1E"/>
    <w:p w:rsidR="00387344" w:rsidRDefault="00713650" w:rsidP="00064C1E">
      <w:r>
        <w:t>P</w:t>
      </w:r>
      <w:r w:rsidR="00387344">
        <w:t>ievēršotie</w:t>
      </w:r>
      <w:r>
        <w:t>s mājsaimniecībām, kuras dzīvo dzīvokļo</w:t>
      </w:r>
      <w:r w:rsidR="00387344">
        <w:t xml:space="preserve">s, iesākumā tiks </w:t>
      </w:r>
      <w:r w:rsidR="00387344" w:rsidRPr="001F37C8">
        <w:t xml:space="preserve">aplūkoti tie </w:t>
      </w:r>
      <w:r w:rsidR="00387344" w:rsidRPr="00713650">
        <w:rPr>
          <w:b/>
        </w:rPr>
        <w:t>mājokļi, kuri atrodas daudzdzīvokļu mājā, kurā ir līdz deviņiem dzīvokļiem</w:t>
      </w:r>
      <w:r w:rsidR="00387344" w:rsidRPr="001F37C8">
        <w:t xml:space="preserve"> </w:t>
      </w:r>
      <w:r w:rsidR="001F37C8" w:rsidRPr="001F37C8">
        <w:t>(</w:t>
      </w:r>
      <w:r w:rsidR="00824DEA">
        <w:t xml:space="preserve">sk. </w:t>
      </w:r>
      <w:r w:rsidR="00AD66E6">
        <w:t>3.20</w:t>
      </w:r>
      <w:r w:rsidR="00824DEA">
        <w:t>. attēlu</w:t>
      </w:r>
      <w:r w:rsidR="00387344" w:rsidRPr="001F37C8">
        <w:t>). Šāda tipa mājokļiem 2015. gadā visbiežāk – 45,4% gadījumu – bija raksturīgs tekošs jumts</w:t>
      </w:r>
      <w:r w:rsidR="00387344">
        <w:t xml:space="preserve"> un dažāda veida mitruma problēmas. Nedaudz mazāk – 44% gadījumu – šāda veida mājokļiem nebija pieejama vanna vai duša, bet 34,8% gadījumu – iekštelpas tualete ar ūdens klozetu. Tāpat kā jau iepriekš aprakstītajos mājokļa tipos, arī šajā visretāk sastopamā problēma ir finansiāla nespēja uzturēt mājokli siltu</w:t>
      </w:r>
      <w:r w:rsidR="008D07CA">
        <w:t>. A</w:t>
      </w:r>
      <w:r w:rsidR="00387344">
        <w:t>r šādu problēmu 2015. gadā saskārās 23,3% mājsaimniecību, kuras dzīvo dzīvoklī, kas atrodas daudzdzīvokļu mājā, kurā ir līdz deviņiem dzīvokļiem.</w:t>
      </w:r>
    </w:p>
    <w:p w:rsidR="00387344" w:rsidRPr="00CD0B56" w:rsidRDefault="00AD3EDD" w:rsidP="00A46B54">
      <w:pPr>
        <w:pStyle w:val="Caption"/>
      </w:pPr>
      <w:r>
        <w:fldChar w:fldCharType="begin"/>
      </w:r>
      <w:r w:rsidR="000F1524">
        <w:instrText xml:space="preserve"> STYLEREF 1 \s </w:instrText>
      </w:r>
      <w:r>
        <w:fldChar w:fldCharType="separate"/>
      </w:r>
      <w:bookmarkStart w:id="704" w:name="_Toc6855835"/>
      <w:r w:rsidR="00224B50">
        <w:rPr>
          <w:noProof/>
        </w:rPr>
        <w:t>3</w:t>
      </w:r>
      <w:r>
        <w:rPr>
          <w:noProof/>
        </w:rPr>
        <w:fldChar w:fldCharType="end"/>
      </w:r>
      <w:r w:rsidR="006B5456">
        <w:t>.</w:t>
      </w:r>
      <w:r>
        <w:fldChar w:fldCharType="begin"/>
      </w:r>
      <w:r w:rsidR="000F1524">
        <w:instrText xml:space="preserve"> SEQ Ilustrācija \* ARABIC \s 1 </w:instrText>
      </w:r>
      <w:r>
        <w:fldChar w:fldCharType="separate"/>
      </w:r>
      <w:r w:rsidR="00224B50">
        <w:rPr>
          <w:noProof/>
        </w:rPr>
        <w:t>20</w:t>
      </w:r>
      <w:r>
        <w:rPr>
          <w:noProof/>
        </w:rPr>
        <w:fldChar w:fldCharType="end"/>
      </w:r>
      <w:r w:rsidR="00387344" w:rsidRPr="001F37C8">
        <w:t>. attēls. Problēmas, kas raksturīgas dzīvokļiem, kas atrodas daudzdzīvokļu mājā, kurā ir līdz deviņiem dzīvokļiem 2015. -2017. gads</w:t>
      </w:r>
      <w:r w:rsidR="007137F4">
        <w:t xml:space="preserve"> (%)</w:t>
      </w:r>
      <w:bookmarkEnd w:id="704"/>
    </w:p>
    <w:p w:rsidR="00387344" w:rsidRPr="00EF14B4" w:rsidRDefault="00387344" w:rsidP="00064C1E">
      <w:r w:rsidRPr="00EF14B4">
        <w:rPr>
          <w:noProof/>
        </w:rPr>
        <w:drawing>
          <wp:inline distT="0" distB="0" distL="0" distR="0">
            <wp:extent cx="5518150" cy="4051300"/>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8150" cy="4051300"/>
                    </a:xfrm>
                    <a:prstGeom prst="rect">
                      <a:avLst/>
                    </a:prstGeom>
                    <a:noFill/>
                    <a:ln>
                      <a:noFill/>
                    </a:ln>
                  </pic:spPr>
                </pic:pic>
              </a:graphicData>
            </a:graphic>
          </wp:inline>
        </w:drawing>
      </w:r>
    </w:p>
    <w:p w:rsidR="00387344" w:rsidRDefault="00D54545" w:rsidP="00C33A64">
      <w:pPr>
        <w:pStyle w:val="avotiemft10"/>
      </w:pPr>
      <w:bookmarkStart w:id="705" w:name="_Toc6841647"/>
      <w:r>
        <w:t>Avots: EU-</w:t>
      </w:r>
      <w:r w:rsidR="004A56BE">
        <w:t>SILC, CSP, 2015-</w:t>
      </w:r>
      <w:r w:rsidR="004A56BE" w:rsidRPr="00DA49DB">
        <w:t>2017</w:t>
      </w:r>
      <w:r w:rsidR="004A56BE">
        <w:t>.</w:t>
      </w:r>
      <w:bookmarkEnd w:id="705"/>
    </w:p>
    <w:p w:rsidR="004A56BE" w:rsidRDefault="004A56BE" w:rsidP="005C06D7"/>
    <w:p w:rsidR="005C06D7" w:rsidRDefault="005C06D7" w:rsidP="005C06D7">
      <w:r>
        <w:t xml:space="preserve">2016. </w:t>
      </w:r>
      <w:r w:rsidR="00D54545">
        <w:t xml:space="preserve">gadā </w:t>
      </w:r>
      <w:r>
        <w:t xml:space="preserve">un 2017. gadā situācija ir līdzīga, jo 2017. gadā 44,3% mājokļu saskārās tekoša jumta un dažāda veida mitruma problēmām (2016. gadā – 42,2%). Otra biežāk sastopamā problēma abos šajos gados, tāpat kā 2015. gadā, bija vannas vai dušas nepieejamība mājoklī. 2017. gadā 37,8% mājsaimniecību dzīvokļos, kas atrodas daudzdzīvokļu mājā līdz deviņiem dzīvokļiem, nebija </w:t>
      </w:r>
      <w:r>
        <w:lastRenderedPageBreak/>
        <w:t>pieejama vanna vai duša (2016. gadā – 41%), savukārt iekštelpas tualete ar ūdens klozetu nebija 30,1% šāda tipa mājokļu (2016. gadā – 33,5%). Visretāk sastopamā problēma, tāpat kā 2015. gadā, bija mājsaimniecības finansiālā nespēja uzturēt mājokli siltu, 2017. gadā ar šādu problēmu saskārās 21,8% mājsaimniecību, kuras dzīvo dzīvoklī, kas atrodas daudzdzīvokļu mājā, kurā ir līdz deviņiem dzīvokļiem.</w:t>
      </w:r>
    </w:p>
    <w:p w:rsidR="005C06D7" w:rsidRDefault="005C06D7" w:rsidP="00064C1E"/>
    <w:p w:rsidR="00387344" w:rsidRDefault="00387344" w:rsidP="00064C1E">
      <w:r>
        <w:t xml:space="preserve">Noslēgumā par mājokļa kvalitātes problēmām, kas bija raksturīgas visbiežāk sastopamajam mājokļa </w:t>
      </w:r>
      <w:r w:rsidRPr="001F37C8">
        <w:t xml:space="preserve">tipam, proti, </w:t>
      </w:r>
      <w:r w:rsidRPr="00486EB1">
        <w:rPr>
          <w:b/>
        </w:rPr>
        <w:t xml:space="preserve">dzīvoklī, kas atrodas daudzdzīvokļu mājā, kurā ir 10 un vairāk dzīvokļu </w:t>
      </w:r>
      <w:r w:rsidRPr="001F37C8">
        <w:t>(</w:t>
      </w:r>
      <w:r w:rsidR="00824DEA">
        <w:t xml:space="preserve">sk. </w:t>
      </w:r>
      <w:r w:rsidR="00AD66E6">
        <w:t>3.21</w:t>
      </w:r>
      <w:r w:rsidR="00824DEA">
        <w:t>. attēlu</w:t>
      </w:r>
      <w:r w:rsidRPr="001F37C8">
        <w:t>).</w:t>
      </w:r>
      <w:r>
        <w:t xml:space="preserve"> 2015. gadā šādās mājsaimniecības visbiežāk – 19,2% gadījumu – saskārās ar tekoša jumta un dažāda veida mitruma problēmām. Otra biežāk sastopamā problēma šajā gadā atšķir šo mājokļu tipu no citiem, jo tā ir finansiāla nespēja uzturēt mājokli siltu, kas bija raksturīga 18,2% šāda veida mājsaimniecību. Līdzīgi ir jāsaka arī par problēmām, kas saistās ar vannas vai dušas un iekštelpas tualetes ar ūdens klozetu pieejamību, jo šīs problēmas šim mājokļu tipam ir sastopamas ievērojami retāk nekā citiem tipiem. 2015. gadā 3,3% mājsaimniecībām, kuras dzīvo dzīvoklī, kas atrodas daudzdzīvokļu mājā, kurā ir 10 un vairāk dzīvokļi nebija pieejama vanna vai duša, bet 1,5% nebija pieejama iekštelpas tualete ar ūdens klozetu.</w:t>
      </w:r>
    </w:p>
    <w:p w:rsidR="00387344" w:rsidRPr="00ED5C78" w:rsidRDefault="00AD3EDD" w:rsidP="00A46B54">
      <w:pPr>
        <w:pStyle w:val="Caption"/>
      </w:pPr>
      <w:r>
        <w:fldChar w:fldCharType="begin"/>
      </w:r>
      <w:r w:rsidR="000F1524">
        <w:instrText xml:space="preserve"> STYLEREF 1 \s </w:instrText>
      </w:r>
      <w:r>
        <w:fldChar w:fldCharType="separate"/>
      </w:r>
      <w:bookmarkStart w:id="706" w:name="_Toc6855836"/>
      <w:r w:rsidR="00224B50">
        <w:rPr>
          <w:noProof/>
        </w:rPr>
        <w:t>3</w:t>
      </w:r>
      <w:r>
        <w:rPr>
          <w:noProof/>
        </w:rPr>
        <w:fldChar w:fldCharType="end"/>
      </w:r>
      <w:r w:rsidR="006B5456">
        <w:t>.</w:t>
      </w:r>
      <w:r>
        <w:fldChar w:fldCharType="begin"/>
      </w:r>
      <w:r w:rsidR="000F1524">
        <w:instrText xml:space="preserve"> SEQ Ilustrācija \* ARABIC \s 1 </w:instrText>
      </w:r>
      <w:r>
        <w:fldChar w:fldCharType="separate"/>
      </w:r>
      <w:r w:rsidR="00224B50">
        <w:rPr>
          <w:noProof/>
        </w:rPr>
        <w:t>21</w:t>
      </w:r>
      <w:r>
        <w:rPr>
          <w:noProof/>
        </w:rPr>
        <w:fldChar w:fldCharType="end"/>
      </w:r>
      <w:r w:rsidR="00387344">
        <w:t xml:space="preserve">. attēls. </w:t>
      </w:r>
      <w:r w:rsidR="00387344" w:rsidRPr="00CD0B56">
        <w:t xml:space="preserve">Problēmas, kas raksturīgas </w:t>
      </w:r>
      <w:r w:rsidR="00387344">
        <w:t>dzīvokļiem</w:t>
      </w:r>
      <w:r w:rsidR="00387344" w:rsidRPr="00CD0B56">
        <w:t>, kas atrodas daudzdzīvokļu mājā, k</w:t>
      </w:r>
      <w:r w:rsidR="00387344">
        <w:t>urā desmit un vairāk dzīvokļu 2015. -2017. gads</w:t>
      </w:r>
      <w:r w:rsidR="007137F4">
        <w:t xml:space="preserve"> (%)</w:t>
      </w:r>
      <w:bookmarkEnd w:id="706"/>
    </w:p>
    <w:p w:rsidR="00387344" w:rsidRPr="00EF14B4" w:rsidRDefault="00387344" w:rsidP="00064C1E">
      <w:r w:rsidRPr="00EF14B4">
        <w:rPr>
          <w:noProof/>
        </w:rPr>
        <w:drawing>
          <wp:inline distT="0" distB="0" distL="0" distR="0">
            <wp:extent cx="5454650" cy="40087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4650" cy="4008755"/>
                    </a:xfrm>
                    <a:prstGeom prst="rect">
                      <a:avLst/>
                    </a:prstGeom>
                    <a:noFill/>
                    <a:ln>
                      <a:noFill/>
                    </a:ln>
                  </pic:spPr>
                </pic:pic>
              </a:graphicData>
            </a:graphic>
          </wp:inline>
        </w:drawing>
      </w:r>
    </w:p>
    <w:p w:rsidR="00387344" w:rsidRDefault="004A56BE" w:rsidP="00C33A64">
      <w:pPr>
        <w:pStyle w:val="avotiemft10"/>
      </w:pPr>
      <w:bookmarkStart w:id="707" w:name="_Toc6841648"/>
      <w:r>
        <w:t>Avots: EU</w:t>
      </w:r>
      <w:r w:rsidR="00D54545">
        <w:t>-</w:t>
      </w:r>
      <w:r>
        <w:t xml:space="preserve">SILC, CSP, </w:t>
      </w:r>
      <w:r w:rsidRPr="00DA49DB">
        <w:t>2015</w:t>
      </w:r>
      <w:r>
        <w:t>-2017.</w:t>
      </w:r>
      <w:bookmarkEnd w:id="707"/>
    </w:p>
    <w:p w:rsidR="004A56BE" w:rsidRPr="005F5CC0" w:rsidRDefault="004A56BE" w:rsidP="00064C1E"/>
    <w:p w:rsidR="005C06D7" w:rsidRPr="004F36EE" w:rsidRDefault="005C06D7" w:rsidP="005C06D7">
      <w:r>
        <w:t xml:space="preserve">Arī 2016. </w:t>
      </w:r>
      <w:r w:rsidR="00D54545">
        <w:t xml:space="preserve">gadā </w:t>
      </w:r>
      <w:r>
        <w:t>un 2017. gadā situācija ir līdzīga. Visbiežāk sastopamā problēma mājsaimniecībām, kuras dzīvo dzīvoklī,</w:t>
      </w:r>
      <w:r w:rsidRPr="00962D85">
        <w:t xml:space="preserve"> </w:t>
      </w:r>
      <w:r>
        <w:t>kas atrodas daudzdzīvokļu mājā, kurā ir 10 un vairāk dzīvokļi</w:t>
      </w:r>
      <w:r w:rsidR="00486EB1">
        <w:t>,</w:t>
      </w:r>
      <w:r>
        <w:t xml:space="preserve"> bija tekošs jumts un dažāda veida mitruma problēmas – 17,7% (2016. gadā 16,6%). 13,6% mājsaimniecību, </w:t>
      </w:r>
      <w:r>
        <w:lastRenderedPageBreak/>
        <w:t>kuras dzīvo dzīvoklī</w:t>
      </w:r>
      <w:r w:rsidR="002B5C69">
        <w:t>,</w:t>
      </w:r>
      <w:r w:rsidRPr="00B81BD0">
        <w:t xml:space="preserve"> </w:t>
      </w:r>
      <w:r>
        <w:t>kas atrodas daudzdzīvokļu mājā, kurā ir 10 un vairāk dzīvokļi</w:t>
      </w:r>
      <w:r w:rsidR="002B5C69">
        <w:t>,</w:t>
      </w:r>
      <w:r>
        <w:t xml:space="preserve"> nespēja uzturēt mājokli pietiekami siltu (2</w:t>
      </w:r>
      <w:r w:rsidR="00D54545">
        <w:t>016</w:t>
      </w:r>
      <w:r>
        <w:t>. gadā – 14,1%). Vannas vai dušas un iekštelpas tualetes ar ūdens klozetu pieejamība šim mājokļu tipam arī šajo</w:t>
      </w:r>
      <w:r w:rsidR="00D54545">
        <w:t>s gados ir augsta, jo 2017. gadā</w:t>
      </w:r>
      <w:r>
        <w:t xml:space="preserve"> 2,7% mājsaimniecību, kas dzīvo dzīvoklī,</w:t>
      </w:r>
      <w:r w:rsidRPr="00962D85">
        <w:t xml:space="preserve"> </w:t>
      </w:r>
      <w:r>
        <w:t>kas atrodas daudzdzīvokļu mājā, kurā ir 10 un vairāk dzīvokļi</w:t>
      </w:r>
      <w:r w:rsidR="002B5C69">
        <w:t>,</w:t>
      </w:r>
      <w:r>
        <w:t xml:space="preserve"> nebija pieejama vanna vai duša (2</w:t>
      </w:r>
      <w:r w:rsidR="00D54545">
        <w:t>016</w:t>
      </w:r>
      <w:r>
        <w:t>. gadā – 2,3%), bet 1,3% nebija pieejama iekštelpu tualete ar ūdens klozetu (2</w:t>
      </w:r>
      <w:r w:rsidR="00D54545">
        <w:t>016</w:t>
      </w:r>
      <w:r>
        <w:t>. gadā – 1,4%).</w:t>
      </w:r>
    </w:p>
    <w:p w:rsidR="005C06D7" w:rsidRDefault="005C06D7" w:rsidP="00064C1E"/>
    <w:p w:rsidR="0016323C" w:rsidRPr="001F37C8" w:rsidRDefault="00387344" w:rsidP="0016323C">
      <w:r w:rsidRPr="00486EB1">
        <w:rPr>
          <w:b/>
        </w:rPr>
        <w:t>Lai raksturotu mājsaimniecības, kuras dzīvo zemas kvalitātes mājokļos, izmantojot EU-SILC datus, tika izveidots rādītājs, kurā ir apkopotas visas iepriekš minētās problēmas</w:t>
      </w:r>
      <w:r w:rsidRPr="005F5CC0">
        <w:t xml:space="preserve">, proti, tekošs jumts ar mitruma problēmām, finansiāla nespēja uzturēt mājokli pietiekami siltu, mājokļa rīcībā esoša vannas vai dušas nepieejamība, mājokļa rīcībā esoša iekštelpas tualetes ar ūdens klozetu nepieejamība. </w:t>
      </w:r>
      <w:r w:rsidRPr="00F501A7">
        <w:t>2015. gadā šād</w:t>
      </w:r>
      <w:r w:rsidR="001F37C8">
        <w:t>ā</w:t>
      </w:r>
      <w:r w:rsidRPr="00F501A7">
        <w:t xml:space="preserve"> situācijā atradās 2,8% no visām EU-SILC apsekotajām mājsaimniecībām, 2016. gadā – 2,2% no </w:t>
      </w:r>
      <w:r w:rsidRPr="001F37C8">
        <w:t>visām mājsaimniecībām un 2017. gadā – 1,9%</w:t>
      </w:r>
      <w:r w:rsidR="0016323C">
        <w:t xml:space="preserve"> </w:t>
      </w:r>
      <w:r w:rsidR="0016323C" w:rsidRPr="001F37C8">
        <w:t>(</w:t>
      </w:r>
      <w:r w:rsidR="0016323C">
        <w:t xml:space="preserve">sk. </w:t>
      </w:r>
      <w:r w:rsidR="00AD66E6">
        <w:t>3.22</w:t>
      </w:r>
      <w:r w:rsidR="0016323C">
        <w:t>. attēlu</w:t>
      </w:r>
      <w:r w:rsidR="0016323C" w:rsidRPr="001F37C8">
        <w:t>)</w:t>
      </w:r>
      <w:r w:rsidRPr="001F37C8">
        <w:t xml:space="preserve">. </w:t>
      </w:r>
    </w:p>
    <w:p w:rsidR="00387344" w:rsidRPr="00966D80" w:rsidRDefault="00AD3EDD" w:rsidP="00A46B54">
      <w:pPr>
        <w:pStyle w:val="Caption"/>
      </w:pPr>
      <w:r>
        <w:fldChar w:fldCharType="begin"/>
      </w:r>
      <w:r w:rsidR="000F1524">
        <w:instrText xml:space="preserve"> STYLEREF 1 \s </w:instrText>
      </w:r>
      <w:r>
        <w:fldChar w:fldCharType="separate"/>
      </w:r>
      <w:bookmarkStart w:id="708" w:name="_Toc6855837"/>
      <w:r w:rsidR="00224B50">
        <w:rPr>
          <w:noProof/>
        </w:rPr>
        <w:t>3</w:t>
      </w:r>
      <w:r>
        <w:rPr>
          <w:noProof/>
        </w:rPr>
        <w:fldChar w:fldCharType="end"/>
      </w:r>
      <w:r w:rsidR="006B5456">
        <w:t>.</w:t>
      </w:r>
      <w:r>
        <w:fldChar w:fldCharType="begin"/>
      </w:r>
      <w:r w:rsidR="000F1524">
        <w:instrText xml:space="preserve"> SEQ Ilustrācija \* ARABIC \s 1 </w:instrText>
      </w:r>
      <w:r>
        <w:fldChar w:fldCharType="separate"/>
      </w:r>
      <w:r w:rsidR="00224B50">
        <w:rPr>
          <w:noProof/>
        </w:rPr>
        <w:t>22</w:t>
      </w:r>
      <w:r>
        <w:rPr>
          <w:noProof/>
        </w:rPr>
        <w:fldChar w:fldCharType="end"/>
      </w:r>
      <w:r w:rsidR="00387344" w:rsidRPr="001F37C8">
        <w:t>. attēls. Zemu mājokļa kvalitāti raksturojošo problēmu izplatība atkarībā no mājokļa tipa (raksturīgas visas problēmas – tekošs jumts ar mitruma problēmām, finansiāla nespēja uzturēt mājokli pietiekami siltu, mājokļa rīcībā esoša vannas vai dušas pieejamība, mājokļa</w:t>
      </w:r>
      <w:r w:rsidR="00387344">
        <w:t xml:space="preserve"> rīcībā</w:t>
      </w:r>
      <w:r w:rsidR="00387344" w:rsidRPr="00966D80">
        <w:t xml:space="preserve"> esoša iekštelpas tualetes ar ūdens klozetu pieejamība) %</w:t>
      </w:r>
      <w:bookmarkEnd w:id="708"/>
    </w:p>
    <w:p w:rsidR="00387344" w:rsidRPr="00966D80" w:rsidRDefault="00CC5F2C" w:rsidP="00064C1E">
      <w:r w:rsidRPr="00CC5F2C">
        <w:rPr>
          <w:noProof/>
        </w:rPr>
        <w:drawing>
          <wp:inline distT="0" distB="0" distL="0" distR="0">
            <wp:extent cx="6154420" cy="3971343"/>
            <wp:effectExtent l="19050" t="0" r="0" b="0"/>
            <wp:docPr id="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
                    <a:srcRect/>
                    <a:stretch>
                      <a:fillRect/>
                    </a:stretch>
                  </pic:blipFill>
                  <pic:spPr bwMode="auto">
                    <a:xfrm>
                      <a:off x="0" y="0"/>
                      <a:ext cx="6154420" cy="3971343"/>
                    </a:xfrm>
                    <a:prstGeom prst="rect">
                      <a:avLst/>
                    </a:prstGeom>
                    <a:noFill/>
                    <a:ln w="9525">
                      <a:noFill/>
                      <a:miter lim="800000"/>
                      <a:headEnd/>
                      <a:tailEnd/>
                    </a:ln>
                  </pic:spPr>
                </pic:pic>
              </a:graphicData>
            </a:graphic>
          </wp:inline>
        </w:drawing>
      </w:r>
    </w:p>
    <w:p w:rsidR="00387344" w:rsidRPr="00966D80" w:rsidRDefault="00D54545" w:rsidP="00C33A64">
      <w:pPr>
        <w:pStyle w:val="avotiemft10"/>
      </w:pPr>
      <w:bookmarkStart w:id="709" w:name="_Toc6841649"/>
      <w:r>
        <w:t>Avots: EU-</w:t>
      </w:r>
      <w:r w:rsidR="004A56BE">
        <w:t>SILC, CSP, 2015-2017.</w:t>
      </w:r>
      <w:bookmarkEnd w:id="709"/>
    </w:p>
    <w:p w:rsidR="0016323C" w:rsidRDefault="0016323C" w:rsidP="00064C1E"/>
    <w:p w:rsidR="0016323C" w:rsidRPr="001F37C8" w:rsidRDefault="0016323C" w:rsidP="0016323C">
      <w:r>
        <w:t>V</w:t>
      </w:r>
      <w:r w:rsidRPr="001F37C8">
        <w:t xml:space="preserve">isretāk visas četras problēmas ir sastopamas dzīvokļos daudzdzīvokļu mājās ar 10 un vairāk dzīvokļiem, </w:t>
      </w:r>
      <w:r w:rsidR="002B5C69">
        <w:t>pamatā</w:t>
      </w:r>
      <w:r w:rsidRPr="001F37C8">
        <w:t xml:space="preserve"> tāpēc, ka šajos mājokļos duša/ vanna un iekštelpas tualete ar ūdensklozetu ir pieejama. Savukārt pārējo mājokļu tipu vidū dati aplūkotajā laika posmā nav viendabīgi – tie </w:t>
      </w:r>
      <w:r w:rsidRPr="001F37C8">
        <w:lastRenderedPageBreak/>
        <w:t>svārstās, turklāt mājokļu tips, kurā situācija ir viskritiskākā, gadu no gada mainās. Tādējādi</w:t>
      </w:r>
      <w:r>
        <w:t xml:space="preserve"> </w:t>
      </w:r>
      <w:r w:rsidRPr="001F37C8">
        <w:t xml:space="preserve">var teikt, ka kopumā 5-8% mājsaimniecību, kas dzīvo savrupmājās/ viensētās, savrupmājas daļā vai rindu mājā un dzīvokļos daudzdzīvokļu mājās līdz 9 dzīvokļiem, dzīvo zemas kvalitātes mājokļos, kuru apstākļi, saglabājoties ilgtermiņā, atstāj negatīvu iespaidu uz iedzīvotāju veselību. </w:t>
      </w:r>
    </w:p>
    <w:p w:rsidR="0016323C" w:rsidRDefault="0016323C" w:rsidP="00064C1E"/>
    <w:p w:rsidR="00387344" w:rsidRPr="00966D80" w:rsidRDefault="00486EB1" w:rsidP="00064C1E">
      <w:r>
        <w:t>Tālāk</w:t>
      </w:r>
      <w:r w:rsidR="00387344" w:rsidRPr="00632078">
        <w:t xml:space="preserve"> </w:t>
      </w:r>
      <w:r w:rsidR="00387344" w:rsidRPr="00486EB1">
        <w:rPr>
          <w:b/>
        </w:rPr>
        <w:t>mājokļa kvalitātes problēmu sastopamība ir analizēta saistī</w:t>
      </w:r>
      <w:r w:rsidRPr="00486EB1">
        <w:rPr>
          <w:b/>
        </w:rPr>
        <w:t>b</w:t>
      </w:r>
      <w:r w:rsidR="00387344" w:rsidRPr="00486EB1">
        <w:rPr>
          <w:b/>
        </w:rPr>
        <w:t>ā ar</w:t>
      </w:r>
      <w:r w:rsidR="00387344" w:rsidRPr="00632078">
        <w:t xml:space="preserve"> </w:t>
      </w:r>
      <w:r w:rsidR="00387344" w:rsidRPr="00486EB1">
        <w:rPr>
          <w:b/>
        </w:rPr>
        <w:t>rādītājiem, kas raksturo iedzīvotāju ienākumus un materiālo nodrošinātību</w:t>
      </w:r>
      <w:r w:rsidR="00387344" w:rsidRPr="00632078">
        <w:t xml:space="preserve">. </w:t>
      </w:r>
    </w:p>
    <w:p w:rsidR="005C06D7" w:rsidRPr="00966D80" w:rsidRDefault="00AD3EDD" w:rsidP="00A46B54">
      <w:pPr>
        <w:pStyle w:val="Caption"/>
      </w:pPr>
      <w:r>
        <w:fldChar w:fldCharType="begin"/>
      </w:r>
      <w:r w:rsidR="000F1524">
        <w:instrText xml:space="preserve"> STYLEREF 1 \s </w:instrText>
      </w:r>
      <w:r>
        <w:fldChar w:fldCharType="separate"/>
      </w:r>
      <w:bookmarkStart w:id="710" w:name="_Toc6855838"/>
      <w:r w:rsidR="00224B50">
        <w:rPr>
          <w:noProof/>
        </w:rPr>
        <w:t>3</w:t>
      </w:r>
      <w:r>
        <w:rPr>
          <w:noProof/>
        </w:rPr>
        <w:fldChar w:fldCharType="end"/>
      </w:r>
      <w:r w:rsidR="006B5456">
        <w:t>.</w:t>
      </w:r>
      <w:r>
        <w:fldChar w:fldCharType="begin"/>
      </w:r>
      <w:r w:rsidR="000F1524">
        <w:instrText xml:space="preserve"> SEQ Ilustrācija \* ARABIC \s 1 </w:instrText>
      </w:r>
      <w:r>
        <w:fldChar w:fldCharType="separate"/>
      </w:r>
      <w:r w:rsidR="00224B50">
        <w:rPr>
          <w:noProof/>
        </w:rPr>
        <w:t>23</w:t>
      </w:r>
      <w:r>
        <w:rPr>
          <w:noProof/>
        </w:rPr>
        <w:fldChar w:fldCharType="end"/>
      </w:r>
      <w:r w:rsidR="005C06D7" w:rsidRPr="001F37C8">
        <w:t>. attēls. Mājsaimniecību kvintiļu grupas un procentuālais biežums, ar kādu katra kvintiļu grupa saskaras ar konkrēto problēmu (% no mājsaimniecību skaita kvintiļu grupā)</w:t>
      </w:r>
      <w:bookmarkEnd w:id="710"/>
    </w:p>
    <w:p w:rsidR="005C06D7" w:rsidRDefault="00CC5F2C" w:rsidP="005C06D7">
      <w:pPr>
        <w:rPr>
          <w:b/>
        </w:rPr>
      </w:pPr>
      <w:r w:rsidRPr="00CC5F2C">
        <w:rPr>
          <w:noProof/>
        </w:rPr>
        <w:drawing>
          <wp:inline distT="0" distB="0" distL="0" distR="0">
            <wp:extent cx="6154420" cy="3740051"/>
            <wp:effectExtent l="19050" t="0" r="0" b="0"/>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9"/>
                    <a:srcRect/>
                    <a:stretch>
                      <a:fillRect/>
                    </a:stretch>
                  </pic:blipFill>
                  <pic:spPr bwMode="auto">
                    <a:xfrm>
                      <a:off x="0" y="0"/>
                      <a:ext cx="6154420" cy="3740051"/>
                    </a:xfrm>
                    <a:prstGeom prst="rect">
                      <a:avLst/>
                    </a:prstGeom>
                    <a:noFill/>
                    <a:ln w="9525">
                      <a:noFill/>
                      <a:miter lim="800000"/>
                      <a:headEnd/>
                      <a:tailEnd/>
                    </a:ln>
                  </pic:spPr>
                </pic:pic>
              </a:graphicData>
            </a:graphic>
          </wp:inline>
        </w:drawing>
      </w:r>
    </w:p>
    <w:p w:rsidR="005C06D7" w:rsidRDefault="00D54545" w:rsidP="00C33A64">
      <w:pPr>
        <w:pStyle w:val="avotiemft10"/>
      </w:pPr>
      <w:bookmarkStart w:id="711" w:name="_Toc6841650"/>
      <w:r>
        <w:t>Avots: EU-</w:t>
      </w:r>
      <w:r w:rsidR="004A56BE">
        <w:t>SILC, CSP, 2015-2017.</w:t>
      </w:r>
      <w:bookmarkEnd w:id="711"/>
    </w:p>
    <w:p w:rsidR="004A56BE" w:rsidRPr="00966D80" w:rsidRDefault="004A56BE" w:rsidP="00064C1E"/>
    <w:p w:rsidR="0016323C" w:rsidRDefault="0016323C" w:rsidP="0016323C">
      <w:r>
        <w:t>Vispirms apskatīts</w:t>
      </w:r>
      <w:r w:rsidRPr="00966D80">
        <w:t xml:space="preserve"> </w:t>
      </w:r>
      <w:r w:rsidRPr="002E5CE4">
        <w:rPr>
          <w:b/>
        </w:rPr>
        <w:t>2015. gads</w:t>
      </w:r>
      <w:r w:rsidRPr="00966D80">
        <w:t xml:space="preserve"> un problēmas </w:t>
      </w:r>
      <w:r w:rsidRPr="002E5CE4">
        <w:rPr>
          <w:b/>
        </w:rPr>
        <w:t>tekošs jumts, mitras sienas, griesti, grīdas, pamati vai trupe logu rāmjos, durvīs vai grīdās</w:t>
      </w:r>
      <w:r w:rsidRPr="00966D80">
        <w:t xml:space="preserve"> griezum</w:t>
      </w:r>
      <w:r>
        <w:t>os</w:t>
      </w:r>
      <w:r w:rsidRPr="00966D80">
        <w:t xml:space="preserve"> pa </w:t>
      </w:r>
      <w:r>
        <w:t>ienākumu kvintiļu grupām</w:t>
      </w:r>
      <w:r w:rsidRPr="00966D80">
        <w:t>, kā arī griez</w:t>
      </w:r>
      <w:r>
        <w:t>umos</w:t>
      </w:r>
      <w:r w:rsidRPr="00966D80">
        <w:t>, kas raksturo dziļo materiālo nenodrošinātību</w:t>
      </w:r>
      <w:r w:rsidRPr="00966D80">
        <w:rPr>
          <w:rStyle w:val="FootnoteReference"/>
        </w:rPr>
        <w:footnoteReference w:id="321"/>
      </w:r>
      <w:r w:rsidRPr="00966D80">
        <w:t xml:space="preserve"> un materiālo nenodrošinātību</w:t>
      </w:r>
      <w:r w:rsidRPr="00966D80">
        <w:rPr>
          <w:rStyle w:val="FootnoteReference"/>
        </w:rPr>
        <w:footnoteReference w:id="322"/>
      </w:r>
      <w:r>
        <w:t>. 1. kvint</w:t>
      </w:r>
      <w:r w:rsidRPr="00966D80">
        <w:t>iļu grupa raksturo mājsaimniecības ar zemāko ienākumu līmeni</w:t>
      </w:r>
      <w:r>
        <w:t>, un</w:t>
      </w:r>
      <w:r w:rsidRPr="00966D80">
        <w:t xml:space="preserve"> 40,2% no šajā grupā iekļautajām mājsaimniecībām saskaras ar šo problēmu</w:t>
      </w:r>
      <w:r>
        <w:t>. Problēmas īpatsvars</w:t>
      </w:r>
      <w:r w:rsidRPr="00966D80">
        <w:t xml:space="preserve"> samazinās ar katru </w:t>
      </w:r>
      <w:r w:rsidRPr="00966D80">
        <w:lastRenderedPageBreak/>
        <w:t>nākamo kvintiļu grupu</w:t>
      </w:r>
      <w:r>
        <w:t xml:space="preserve"> – </w:t>
      </w:r>
      <w:r w:rsidRPr="00966D80">
        <w:t>2</w:t>
      </w:r>
      <w:r>
        <w:t>. kvint</w:t>
      </w:r>
      <w:r w:rsidRPr="00966D80">
        <w:t>iļu grupā</w:t>
      </w:r>
      <w:r>
        <w:t xml:space="preserve"> – </w:t>
      </w:r>
      <w:r w:rsidRPr="00966D80">
        <w:t>27,6% mājs</w:t>
      </w:r>
      <w:r>
        <w:t>aimniecību saskārās ar šo problēmu, 3. kvint</w:t>
      </w:r>
      <w:r w:rsidRPr="00966D80">
        <w:t>iļu grupā</w:t>
      </w:r>
      <w:r>
        <w:t xml:space="preserve"> – </w:t>
      </w:r>
      <w:r w:rsidRPr="00966D80">
        <w:t>22,2%, 4</w:t>
      </w:r>
      <w:r>
        <w:t>. kvint</w:t>
      </w:r>
      <w:r w:rsidRPr="00966D80">
        <w:t>iļu grupā</w:t>
      </w:r>
      <w:r>
        <w:t xml:space="preserve"> – </w:t>
      </w:r>
      <w:r w:rsidRPr="00966D80">
        <w:t>18,3%, bet 5</w:t>
      </w:r>
      <w:r>
        <w:t>. kvint</w:t>
      </w:r>
      <w:r w:rsidRPr="00966D80">
        <w:t xml:space="preserve">iļu grupā, kurā tiek iekļautas turīgākās </w:t>
      </w:r>
      <w:r w:rsidRPr="00983812">
        <w:t xml:space="preserve">mājsaimniecības – 14,5% (sk. </w:t>
      </w:r>
      <w:r w:rsidR="00AD66E6">
        <w:t>3.23.</w:t>
      </w:r>
      <w:r w:rsidRPr="00983812">
        <w:t xml:space="preserve"> attēlu).</w:t>
      </w:r>
    </w:p>
    <w:p w:rsidR="00CC5F2C" w:rsidRDefault="00CC5F2C" w:rsidP="0016323C"/>
    <w:p w:rsidR="00387344" w:rsidRPr="00966D80" w:rsidRDefault="00387344" w:rsidP="00064C1E">
      <w:r w:rsidRPr="00486EB1">
        <w:rPr>
          <w:b/>
        </w:rPr>
        <w:t>Dziļā materiālajā nenodrošinātībā 2015. gadā atradās 19,5% mājsaimniecību</w:t>
      </w:r>
      <w:r w:rsidRPr="00F60641">
        <w:t>, un no šīm</w:t>
      </w:r>
      <w:r w:rsidRPr="00966D80">
        <w:t xml:space="preserve"> mājsaimniecībām 43,4% mājsaimniecību mājokļiem bija raksturīga tekoša jumta vai dažāda veida mitruma problēmas. </w:t>
      </w:r>
      <w:r>
        <w:t xml:space="preserve">Redzams, ka </w:t>
      </w:r>
      <w:r w:rsidRPr="00966D80">
        <w:t>mājsaimniecīb</w:t>
      </w:r>
      <w:r>
        <w:t>as</w:t>
      </w:r>
      <w:r w:rsidRPr="00966D80">
        <w:t xml:space="preserve">, </w:t>
      </w:r>
      <w:r>
        <w:t>kas</w:t>
      </w:r>
      <w:r w:rsidRPr="00966D80">
        <w:t xml:space="preserve"> nav pakļauta</w:t>
      </w:r>
      <w:r w:rsidR="00DC3FD5">
        <w:t>s dziļ</w:t>
      </w:r>
      <w:r w:rsidRPr="00966D80">
        <w:t>ai materiālajai nenodrošinātība, ar šo problēmu</w:t>
      </w:r>
      <w:r>
        <w:t xml:space="preserve"> sastopas gandrīz divas reizes retāk</w:t>
      </w:r>
      <w:r w:rsidRPr="00966D80">
        <w:t xml:space="preserve">, proti, 20,5% </w:t>
      </w:r>
      <w:r>
        <w:t>gadījumos</w:t>
      </w:r>
      <w:r w:rsidRPr="00966D80">
        <w:t>.</w:t>
      </w:r>
      <w:r>
        <w:t xml:space="preserve"> </w:t>
      </w:r>
      <w:r w:rsidRPr="00966D80">
        <w:t xml:space="preserve">Raksturojot </w:t>
      </w:r>
      <w:r>
        <w:t xml:space="preserve">šo rādītāju </w:t>
      </w:r>
      <w:r w:rsidRPr="00966D80">
        <w:t>materiālās nenodrošinātības griezumā</w:t>
      </w:r>
      <w:r>
        <w:t xml:space="preserve">, redzama līdzīga situācija. </w:t>
      </w:r>
      <w:r w:rsidRPr="00966D80">
        <w:t xml:space="preserve">Kopumā </w:t>
      </w:r>
      <w:r w:rsidRPr="00486EB1">
        <w:rPr>
          <w:b/>
        </w:rPr>
        <w:t>materiālajai nenodrošinātībai ir pakļautas 34,2% no visām mājsaimniecībām</w:t>
      </w:r>
      <w:r>
        <w:t xml:space="preserve">, </w:t>
      </w:r>
      <w:r w:rsidRPr="00966D80">
        <w:t xml:space="preserve">no kurām 38,4% </w:t>
      </w:r>
      <w:r>
        <w:t>saskārās ar mājokļa</w:t>
      </w:r>
      <w:r w:rsidRPr="00966D80">
        <w:t xml:space="preserve"> tekoša jumta vai mitruma problēm</w:t>
      </w:r>
      <w:r>
        <w:t>u</w:t>
      </w:r>
      <w:r w:rsidRPr="00966D80">
        <w:t xml:space="preserve">, </w:t>
      </w:r>
      <w:r>
        <w:t>savukārt</w:t>
      </w:r>
      <w:r w:rsidRPr="00966D80">
        <w:t xml:space="preserve"> mājsaimniecīb</w:t>
      </w:r>
      <w:r>
        <w:t>as</w:t>
      </w:r>
      <w:r w:rsidRPr="00966D80">
        <w:t xml:space="preserve">, </w:t>
      </w:r>
      <w:r>
        <w:t>kuras nav pakļautas materiālajai nenodrošinātībai</w:t>
      </w:r>
      <w:r w:rsidRPr="00966D80">
        <w:t xml:space="preserve">, </w:t>
      </w:r>
      <w:r>
        <w:t>ar šo mājokļa kvalitātes problēmu saskārās</w:t>
      </w:r>
      <w:r w:rsidRPr="00966D80">
        <w:t xml:space="preserve"> </w:t>
      </w:r>
      <w:r>
        <w:t>18</w:t>
      </w:r>
      <w:r w:rsidRPr="00966D80">
        <w:t>%</w:t>
      </w:r>
      <w:r>
        <w:t xml:space="preserve"> gadījumu.</w:t>
      </w:r>
    </w:p>
    <w:p w:rsidR="005C06D7" w:rsidRPr="00966D80" w:rsidRDefault="00AD3EDD" w:rsidP="00A46B54">
      <w:pPr>
        <w:pStyle w:val="Caption"/>
      </w:pPr>
      <w:r>
        <w:fldChar w:fldCharType="begin"/>
      </w:r>
      <w:r w:rsidR="000F1524">
        <w:instrText xml:space="preserve"> STYLEREF 1 \s </w:instrText>
      </w:r>
      <w:r>
        <w:fldChar w:fldCharType="separate"/>
      </w:r>
      <w:bookmarkStart w:id="712" w:name="_Toc6855839"/>
      <w:r w:rsidR="00224B50">
        <w:rPr>
          <w:noProof/>
        </w:rPr>
        <w:t>3</w:t>
      </w:r>
      <w:r>
        <w:rPr>
          <w:noProof/>
        </w:rPr>
        <w:fldChar w:fldCharType="end"/>
      </w:r>
      <w:r w:rsidR="006B5456">
        <w:t>.</w:t>
      </w:r>
      <w:r>
        <w:fldChar w:fldCharType="begin"/>
      </w:r>
      <w:r w:rsidR="000F1524">
        <w:instrText xml:space="preserve"> SEQ Ilustrācija \* ARABIC \s 1 </w:instrText>
      </w:r>
      <w:r>
        <w:fldChar w:fldCharType="separate"/>
      </w:r>
      <w:r w:rsidR="00224B50">
        <w:rPr>
          <w:noProof/>
        </w:rPr>
        <w:t>24</w:t>
      </w:r>
      <w:r>
        <w:rPr>
          <w:noProof/>
        </w:rPr>
        <w:fldChar w:fldCharType="end"/>
      </w:r>
      <w:r w:rsidR="005C06D7" w:rsidRPr="001F37C8">
        <w:t>. attēls. Māj</w:t>
      </w:r>
      <w:r w:rsidR="00DC5439">
        <w:t>saimniecības, kas atrodas dziļ</w:t>
      </w:r>
      <w:r w:rsidR="005C06D7" w:rsidRPr="001F37C8">
        <w:t>ā materiālajā nenodrošinātībā, un</w:t>
      </w:r>
      <w:r w:rsidR="005C06D7" w:rsidRPr="00966D80">
        <w:t xml:space="preserve"> procentuālais biežums</w:t>
      </w:r>
      <w:r w:rsidR="00DC3FD5">
        <w:t>,</w:t>
      </w:r>
      <w:r w:rsidR="005C06D7" w:rsidRPr="00966D80">
        <w:t xml:space="preserve"> ar kādu katra grupām saskaras ar konkrēto problēmu (% no mājsaimniecību</w:t>
      </w:r>
      <w:r w:rsidR="00DC5439">
        <w:t xml:space="preserve"> skaita, kuras atrodas dziļ</w:t>
      </w:r>
      <w:r w:rsidR="005C06D7">
        <w:t>ā materiālajā nenodrošinātībā)</w:t>
      </w:r>
      <w:bookmarkEnd w:id="712"/>
    </w:p>
    <w:p w:rsidR="005C06D7" w:rsidRDefault="00CC5F2C" w:rsidP="005C06D7">
      <w:r w:rsidRPr="00CC5F2C">
        <w:rPr>
          <w:noProof/>
        </w:rPr>
        <w:drawing>
          <wp:inline distT="0" distB="0" distL="0" distR="0">
            <wp:extent cx="6154420" cy="3775401"/>
            <wp:effectExtent l="19050" t="0" r="0" b="0"/>
            <wp:docPr id="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0"/>
                    <a:srcRect/>
                    <a:stretch>
                      <a:fillRect/>
                    </a:stretch>
                  </pic:blipFill>
                  <pic:spPr bwMode="auto">
                    <a:xfrm>
                      <a:off x="0" y="0"/>
                      <a:ext cx="6154420" cy="3775401"/>
                    </a:xfrm>
                    <a:prstGeom prst="rect">
                      <a:avLst/>
                    </a:prstGeom>
                    <a:noFill/>
                    <a:ln w="9525">
                      <a:noFill/>
                      <a:miter lim="800000"/>
                      <a:headEnd/>
                      <a:tailEnd/>
                    </a:ln>
                  </pic:spPr>
                </pic:pic>
              </a:graphicData>
            </a:graphic>
          </wp:inline>
        </w:drawing>
      </w:r>
    </w:p>
    <w:p w:rsidR="009C0AA3" w:rsidRDefault="00D54545" w:rsidP="00C33A64">
      <w:pPr>
        <w:pStyle w:val="avotiemft10"/>
      </w:pPr>
      <w:bookmarkStart w:id="713" w:name="_Toc6841651"/>
      <w:r>
        <w:t>Avots: EU-</w:t>
      </w:r>
      <w:r w:rsidR="004A56BE">
        <w:t xml:space="preserve">SILC, CSP, </w:t>
      </w:r>
      <w:r w:rsidR="004A56BE" w:rsidRPr="00DA49DB">
        <w:t>2015</w:t>
      </w:r>
      <w:r w:rsidR="004A56BE">
        <w:t>-2017.</w:t>
      </w:r>
      <w:bookmarkEnd w:id="713"/>
    </w:p>
    <w:p w:rsidR="004A56BE" w:rsidRDefault="004A56BE" w:rsidP="005C06D7"/>
    <w:p w:rsidR="0016323C" w:rsidRDefault="0016323C" w:rsidP="0016323C">
      <w:r w:rsidRPr="000011D0">
        <w:t xml:space="preserve">Pievēršoties nākamajai problēmai – mājsaimniecības </w:t>
      </w:r>
      <w:r w:rsidRPr="002E5CE4">
        <w:rPr>
          <w:b/>
        </w:rPr>
        <w:t>nespējai finansiāli nodrošināt siltumu mājoklī</w:t>
      </w:r>
      <w:r w:rsidRPr="000011D0">
        <w:t>, redzams, ka arī tās izplatībai 2015. gadā ir raksturīga līdzīga tendence, proti, trūcīgāko mājsaimniecību grupā jeb 1. kvintiļu grupā tā ir sastopama 28,1% gadījumu, pēc tam ar katru nākamo kvintiļu grupu š</w:t>
      </w:r>
      <w:r w:rsidR="00DC3FD5">
        <w:t>i</w:t>
      </w:r>
      <w:r w:rsidRPr="000011D0">
        <w:t xml:space="preserve">s īpatsvars samazinās un, sasniedzot 5. kvintiļu grupu, kurā iekļautas </w:t>
      </w:r>
      <w:r w:rsidRPr="00F74C2D">
        <w:t>turīgākās mājsaimniecības, rādītājs ir 3,7% (sk. 3.24. attēlu). 61,9% mājs</w:t>
      </w:r>
      <w:r w:rsidR="00DC5439">
        <w:t>aimniecību, kas pakļautas dziļ</w:t>
      </w:r>
      <w:r w:rsidRPr="00F74C2D">
        <w:t xml:space="preserve">ai materiālajai nenodrošinātībai, 2015. gadā bija finansiālas problēmas nodrošināt mājsaimniecību ar siltumu. </w:t>
      </w:r>
    </w:p>
    <w:p w:rsidR="0016323C" w:rsidRDefault="0016323C" w:rsidP="009C0AA3"/>
    <w:p w:rsidR="009C0AA3" w:rsidRDefault="009C0AA3" w:rsidP="009C0AA3">
      <w:r w:rsidRPr="00F74C2D">
        <w:t>Citāda situācija ir gadījumos, kad mājs</w:t>
      </w:r>
      <w:r w:rsidR="00DC3FD5">
        <w:t>aimniecības nav pakļautas dziļ</w:t>
      </w:r>
      <w:r w:rsidRPr="00F74C2D">
        <w:t>ai materiālajai nenodrošinātībai – finansiāla nespēja nodrošināt mājsaimniecību ar siltumu bija 6,8% (sk. 3.25. attēlu). Arī materiālās nenodrošinātības gadījumā atšķirība starp mājsaimniecībām, kas tai</w:t>
      </w:r>
      <w:r w:rsidRPr="00983812">
        <w:t xml:space="preserve"> ir un nav pakļautas, ir ievērojama. No mājsaimniecībām, kas ir pakļautas materiālās</w:t>
      </w:r>
      <w:r w:rsidRPr="00966D80">
        <w:t xml:space="preserve"> nenodrošinātības riskam, 44,7% gadījumu bija raksturīga finansiāla nespēja nodrošināt mājoklī siltumu</w:t>
      </w:r>
      <w:r>
        <w:t xml:space="preserve">, kamēr mājsaimniecībām, </w:t>
      </w:r>
      <w:r w:rsidR="00DC3FD5">
        <w:t>kur</w:t>
      </w:r>
      <w:r w:rsidR="00DC3FD5" w:rsidRPr="00966D80">
        <w:t xml:space="preserve">as </w:t>
      </w:r>
      <w:r w:rsidR="00DC3FD5">
        <w:t>materiālās nenodrošinātības riskam</w:t>
      </w:r>
      <w:r w:rsidR="00DC3FD5" w:rsidRPr="00966D80">
        <w:t xml:space="preserve"> netika pakļautas</w:t>
      </w:r>
      <w:r w:rsidRPr="00966D80">
        <w:t>, šis rādītājs ir 3,4%.</w:t>
      </w:r>
    </w:p>
    <w:p w:rsidR="005C06D7" w:rsidRPr="00FF6FA3" w:rsidRDefault="00AD3EDD" w:rsidP="00A46B54">
      <w:pPr>
        <w:pStyle w:val="Caption"/>
      </w:pPr>
      <w:r>
        <w:fldChar w:fldCharType="begin"/>
      </w:r>
      <w:r w:rsidR="000F1524">
        <w:instrText xml:space="preserve"> STYLEREF 1 \s </w:instrText>
      </w:r>
      <w:r>
        <w:fldChar w:fldCharType="separate"/>
      </w:r>
      <w:bookmarkStart w:id="714" w:name="_Toc6855840"/>
      <w:r w:rsidR="00224B50">
        <w:rPr>
          <w:noProof/>
        </w:rPr>
        <w:t>3</w:t>
      </w:r>
      <w:r>
        <w:rPr>
          <w:noProof/>
        </w:rPr>
        <w:fldChar w:fldCharType="end"/>
      </w:r>
      <w:r w:rsidR="006B5456">
        <w:t>.</w:t>
      </w:r>
      <w:r>
        <w:fldChar w:fldCharType="begin"/>
      </w:r>
      <w:r w:rsidR="000F1524">
        <w:instrText xml:space="preserve"> SEQ Ilustrācija \* ARABIC \s 1 </w:instrText>
      </w:r>
      <w:r>
        <w:fldChar w:fldCharType="separate"/>
      </w:r>
      <w:r w:rsidR="00224B50">
        <w:rPr>
          <w:noProof/>
        </w:rPr>
        <w:t>25</w:t>
      </w:r>
      <w:r>
        <w:rPr>
          <w:noProof/>
        </w:rPr>
        <w:fldChar w:fldCharType="end"/>
      </w:r>
      <w:r w:rsidR="005C06D7">
        <w:t xml:space="preserve">. </w:t>
      </w:r>
      <w:r w:rsidR="005C06D7" w:rsidRPr="001F37C8">
        <w:t>attēls. Mājsaimniecības, kas atrodas materiālajā nenodrošinātībā, un procentuālais</w:t>
      </w:r>
      <w:r w:rsidR="005C06D7" w:rsidRPr="00966D80">
        <w:t xml:space="preserve"> biežums ar kādu katra grupām saskaras ar konkrēto problēmu (% no mājsaimniecību skaita, kuras atrodas materiālajā nenodrošinātībā)</w:t>
      </w:r>
      <w:bookmarkEnd w:id="714"/>
    </w:p>
    <w:p w:rsidR="005C06D7" w:rsidRPr="00966D80" w:rsidRDefault="00CC5F2C" w:rsidP="005C06D7">
      <w:r w:rsidRPr="00CC5F2C">
        <w:rPr>
          <w:noProof/>
        </w:rPr>
        <w:drawing>
          <wp:inline distT="0" distB="0" distL="0" distR="0">
            <wp:extent cx="6154420" cy="3797565"/>
            <wp:effectExtent l="19050" t="0" r="0" b="0"/>
            <wp:docPr id="5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1"/>
                    <a:srcRect/>
                    <a:stretch>
                      <a:fillRect/>
                    </a:stretch>
                  </pic:blipFill>
                  <pic:spPr bwMode="auto">
                    <a:xfrm>
                      <a:off x="0" y="0"/>
                      <a:ext cx="6154420" cy="3797565"/>
                    </a:xfrm>
                    <a:prstGeom prst="rect">
                      <a:avLst/>
                    </a:prstGeom>
                    <a:noFill/>
                    <a:ln w="9525">
                      <a:noFill/>
                      <a:miter lim="800000"/>
                      <a:headEnd/>
                      <a:tailEnd/>
                    </a:ln>
                  </pic:spPr>
                </pic:pic>
              </a:graphicData>
            </a:graphic>
          </wp:inline>
        </w:drawing>
      </w:r>
    </w:p>
    <w:p w:rsidR="00387344" w:rsidRDefault="00D54545" w:rsidP="00C33A64">
      <w:pPr>
        <w:pStyle w:val="avotiemft10"/>
      </w:pPr>
      <w:bookmarkStart w:id="715" w:name="_Toc6841652"/>
      <w:r>
        <w:t>Avots: EU-</w:t>
      </w:r>
      <w:r w:rsidR="004A56BE">
        <w:t xml:space="preserve">SILC, CSP, </w:t>
      </w:r>
      <w:r w:rsidR="004A56BE" w:rsidRPr="00DA49DB">
        <w:t>2015</w:t>
      </w:r>
      <w:r w:rsidR="004A56BE">
        <w:t>-2017.</w:t>
      </w:r>
      <w:bookmarkEnd w:id="715"/>
    </w:p>
    <w:p w:rsidR="004A56BE" w:rsidRPr="00966D80" w:rsidRDefault="004A56BE" w:rsidP="00064C1E"/>
    <w:p w:rsidR="00387344" w:rsidRPr="00966D80" w:rsidRDefault="00387344" w:rsidP="00064C1E">
      <w:r>
        <w:t>Aplūkojot datus</w:t>
      </w:r>
      <w:r w:rsidRPr="00966D80">
        <w:t xml:space="preserve">, kas raksturo </w:t>
      </w:r>
      <w:r w:rsidRPr="009C0AA3">
        <w:rPr>
          <w:b/>
        </w:rPr>
        <w:t>vannas vai dušas pieejamības rādītājus</w:t>
      </w:r>
      <w:r w:rsidRPr="00966D80">
        <w:t xml:space="preserve"> mājsaimniecībā 2015</w:t>
      </w:r>
      <w:r>
        <w:t>. gadā</w:t>
      </w:r>
      <w:r w:rsidRPr="00966D80">
        <w:t>, redzams, ka</w:t>
      </w:r>
      <w:r w:rsidR="00486EB1">
        <w:t>,</w:t>
      </w:r>
      <w:r w:rsidRPr="00966D80">
        <w:t xml:space="preserve"> palielinoties mājsaimniecības ienākumiem, samazinās arī iespējamība, ka mājsaimniecība saskaras ar šo problēmu. 1</w:t>
      </w:r>
      <w:r>
        <w:t>. kvint</w:t>
      </w:r>
      <w:r w:rsidRPr="00966D80">
        <w:t xml:space="preserve">ilē, kas raksturo trūcīgākas mājsaimniecības, vannas istaba vai duša nav pieejama 36,6% mājsaimniecību, kamēr katrā nākamā kvintilē šis rādītājs </w:t>
      </w:r>
      <w:r w:rsidRPr="001F37C8">
        <w:t xml:space="preserve">samazinās, līdz 5. kvintilē tādas ir 3,5% </w:t>
      </w:r>
      <w:r w:rsidRPr="009C0AA3">
        <w:t xml:space="preserve">(sk. </w:t>
      </w:r>
      <w:r w:rsidR="00FE57B4">
        <w:t>3.25</w:t>
      </w:r>
      <w:r w:rsidRPr="009C0AA3">
        <w:t>. attēlu).</w:t>
      </w:r>
      <w:r w:rsidRPr="001F37C8">
        <w:t xml:space="preserve"> No mājsaimniecībām, kas</w:t>
      </w:r>
      <w:r w:rsidRPr="00966D80">
        <w:t xml:space="preserve"> pakļautas d</w:t>
      </w:r>
      <w:r w:rsidR="00DC3FD5">
        <w:t>ziļ</w:t>
      </w:r>
      <w:r w:rsidRPr="00966D80">
        <w:t>ai materiālajai nenodrošinātībai 30,8% mājsaimniecību saskārās ar vannas vai dušas nepieejamību mājoklī, kamēr gadījumos, kad mājsaimniecība šai situācijai netika pakļauta, šis rādītājs ir 14%.</w:t>
      </w:r>
      <w:r>
        <w:t xml:space="preserve"> </w:t>
      </w:r>
      <w:r w:rsidR="00DC3FD5">
        <w:t>Materiālā</w:t>
      </w:r>
      <w:r w:rsidRPr="00966D80">
        <w:t>s nenodrošinātības gadīju</w:t>
      </w:r>
      <w:r>
        <w:t>mā 27,1% no mājsaimniecībām, k</w:t>
      </w:r>
      <w:r w:rsidRPr="00966D80">
        <w:t>as ir pakļautas šai situācijai, saskārās ar vannas vai dušas nepieejamību māj</w:t>
      </w:r>
      <w:r>
        <w:t>oklī, kamēr mājsaimniecībām, k</w:t>
      </w:r>
      <w:r w:rsidRPr="00966D80">
        <w:t>as šajā situācij</w:t>
      </w:r>
      <w:r w:rsidR="00DC3FD5">
        <w:t>ā</w:t>
      </w:r>
      <w:r w:rsidRPr="00966D80">
        <w:t xml:space="preserve"> neatradās</w:t>
      </w:r>
      <w:r>
        <w:t>,</w:t>
      </w:r>
      <w:r w:rsidRPr="00966D80">
        <w:t xml:space="preserve"> duša vai vanna nebija pieejama 12,2% gadījumu.</w:t>
      </w:r>
    </w:p>
    <w:p w:rsidR="002B5C69" w:rsidRDefault="002B5C69" w:rsidP="00064C1E"/>
    <w:p w:rsidR="00387344" w:rsidRPr="00966D80" w:rsidRDefault="00387344" w:rsidP="00064C1E">
      <w:r>
        <w:lastRenderedPageBreak/>
        <w:t xml:space="preserve">Līdzīga tendence atklājas, aplūkojot </w:t>
      </w:r>
      <w:r w:rsidRPr="002E5CE4">
        <w:rPr>
          <w:b/>
        </w:rPr>
        <w:t>iekštelpas tualetes ar ūdens klozeta pieejamību</w:t>
      </w:r>
      <w:r>
        <w:t xml:space="preserve"> mājsaimniecībām.</w:t>
      </w:r>
      <w:r w:rsidRPr="00966D80">
        <w:t xml:space="preserve"> </w:t>
      </w:r>
      <w:r>
        <w:t>T</w:t>
      </w:r>
      <w:r w:rsidRPr="00966D80">
        <w:t>rūcīgākajā kvintiļu grupā ar šo problēmu saskārās 32,6% mājsaimniecību, kamēr katrā nākamā kvintilē šis rādītājs samazinājās, līdz 5</w:t>
      </w:r>
      <w:r>
        <w:t>. kvint</w:t>
      </w:r>
      <w:r w:rsidRPr="00966D80">
        <w:t>ilē, kurā iekļautas turīgākās mājsaimniecības, rādītājs ir 3%.</w:t>
      </w:r>
      <w:r>
        <w:t xml:space="preserve"> No mājsaimniecībām, k</w:t>
      </w:r>
      <w:r w:rsidRPr="00966D80">
        <w:t xml:space="preserve">as pakļautas dziļai materiālajai nenodrošinātībai, 24,8% saskārās ar problēmu, ka mājoklī nebija pieejama tualete ar ūdens klozetu, kamēr gadījumos, kad mājsaimniecība šai situācijai </w:t>
      </w:r>
      <w:r>
        <w:t>nebija</w:t>
      </w:r>
      <w:r w:rsidRPr="004D48BC">
        <w:t xml:space="preserve"> </w:t>
      </w:r>
      <w:r w:rsidRPr="00966D80">
        <w:t>pakļauta, šis rādītājs ir 12,3%.</w:t>
      </w:r>
      <w:r>
        <w:t xml:space="preserve"> Ja m</w:t>
      </w:r>
      <w:r w:rsidRPr="00966D80">
        <w:t xml:space="preserve">ājsaimniecība </w:t>
      </w:r>
      <w:r>
        <w:t>bija</w:t>
      </w:r>
      <w:r w:rsidRPr="00966D80">
        <w:t xml:space="preserve"> pakļauta materiālajai nenodrošinātībai</w:t>
      </w:r>
      <w:r>
        <w:t>,</w:t>
      </w:r>
      <w:r w:rsidRPr="00966D80">
        <w:t xml:space="preserve"> </w:t>
      </w:r>
      <w:r>
        <w:t>tad</w:t>
      </w:r>
      <w:r w:rsidRPr="00966D80">
        <w:t xml:space="preserve"> 22,7% gadījumu </w:t>
      </w:r>
      <w:r>
        <w:t>tās</w:t>
      </w:r>
      <w:r w:rsidRPr="00966D80">
        <w:t xml:space="preserve"> saskārās ar šo problēmu, kamēr gadījumos, kad mājsaimniecības šai nenodrošinātības situācijai ne</w:t>
      </w:r>
      <w:r>
        <w:t>bija</w:t>
      </w:r>
      <w:r w:rsidRPr="00966D80">
        <w:t xml:space="preserve"> pakļautas, šis rādītājs ir 10,7%.</w:t>
      </w:r>
    </w:p>
    <w:p w:rsidR="00387344" w:rsidRPr="00966D80" w:rsidRDefault="00387344" w:rsidP="00064C1E"/>
    <w:p w:rsidR="00DC3FD5" w:rsidRPr="00966D80" w:rsidRDefault="00DC3FD5" w:rsidP="00064C1E">
      <w:r>
        <w:t xml:space="preserve">Apkopojot datu analīzes rezultātus </w:t>
      </w:r>
      <w:r w:rsidRPr="00966D80">
        <w:t xml:space="preserve">par </w:t>
      </w:r>
      <w:r w:rsidRPr="002E5CE4">
        <w:rPr>
          <w:b/>
        </w:rPr>
        <w:t>2015. gadu</w:t>
      </w:r>
      <w:r w:rsidRPr="00966D80">
        <w:t>, jānorāda</w:t>
      </w:r>
      <w:r>
        <w:t>, ka</w:t>
      </w:r>
      <w:r w:rsidRPr="00966D80">
        <w:t xml:space="preserve"> </w:t>
      </w:r>
      <w:r w:rsidRPr="002E5CE4">
        <w:rPr>
          <w:b/>
        </w:rPr>
        <w:t>171 mājsaimniecība</w:t>
      </w:r>
      <w:r>
        <w:rPr>
          <w:b/>
        </w:rPr>
        <w:t>i</w:t>
      </w:r>
      <w:r w:rsidRPr="002E5CE4">
        <w:rPr>
          <w:b/>
        </w:rPr>
        <w:t xml:space="preserve"> jeb 2,8% no visām apsekojumā iekļautajām</w:t>
      </w:r>
      <w:r w:rsidRPr="00966D80">
        <w:t xml:space="preserve"> bija raksturīgas </w:t>
      </w:r>
      <w:r w:rsidRPr="002E5CE4">
        <w:rPr>
          <w:b/>
        </w:rPr>
        <w:t>visas iepriekš minētās problēmas</w:t>
      </w:r>
      <w:r>
        <w:t xml:space="preserve"> – </w:t>
      </w:r>
      <w:r w:rsidRPr="00966D80">
        <w:t>tekošs jumts</w:t>
      </w:r>
      <w:r>
        <w:t>,</w:t>
      </w:r>
      <w:r w:rsidRPr="00966D80">
        <w:t xml:space="preserve"> mitras sienas, griesti, grīdas, pamati vai trupe logu rāmjos, durvīs vai grīdās, spēja uzturēt mājās pietiekamu siltumu, mājoklī ir vanna vai duša, </w:t>
      </w:r>
      <w:r>
        <w:t>i</w:t>
      </w:r>
      <w:r w:rsidRPr="00966D80">
        <w:t>ekštelpas tualete ar ūdens klozetu tikai mājsaimniecības lietošanai.</w:t>
      </w:r>
    </w:p>
    <w:p w:rsidR="00387344" w:rsidRPr="00966D80" w:rsidRDefault="00387344" w:rsidP="00064C1E"/>
    <w:p w:rsidR="00DC3FD5" w:rsidRDefault="00387344" w:rsidP="00064C1E">
      <w:r w:rsidRPr="0059093D">
        <w:t>Visu problēmu esamība kvintiļu grup</w:t>
      </w:r>
      <w:r w:rsidR="00DC3FD5">
        <w:t>u</w:t>
      </w:r>
      <w:r w:rsidRPr="0059093D">
        <w:t xml:space="preserve"> </w:t>
      </w:r>
      <w:r w:rsidR="00DC3FD5" w:rsidRPr="0059093D">
        <w:t xml:space="preserve">griezumā </w:t>
      </w:r>
      <w:r w:rsidRPr="0059093D">
        <w:t xml:space="preserve">atklāj to pašu situāciju, ko jau iepriekš atklāja katras problēmas atsevišķs apraksts, proti, </w:t>
      </w:r>
      <w:r w:rsidRPr="002E5CE4">
        <w:rPr>
          <w:b/>
        </w:rPr>
        <w:t>palielinoties mājsaimniecības turīgumam, samazinās iespēja, ka mājoklī ir minētās problēmas</w:t>
      </w:r>
      <w:r w:rsidRPr="0059093D">
        <w:t>. 1. kvintilē, kas raksturo trūcīgākas mājsaimniecības, 103 jeb 8,3% mājsaimniecību</w:t>
      </w:r>
      <w:r>
        <w:t xml:space="preserve"> saskārās ar visām četrām zemu mājokļa kvalitāti raksturojošām problēmām</w:t>
      </w:r>
      <w:r w:rsidRPr="0059093D">
        <w:t xml:space="preserve">, kamēr 5. kvintilē, kurā iekļautas turīgākās mājsaimniecības, </w:t>
      </w:r>
      <w:r>
        <w:t>tādas bija tikai</w:t>
      </w:r>
      <w:r w:rsidRPr="0059093D">
        <w:t xml:space="preserve"> divas mājsaimniecības jeb 0,2% no visām mājsaimniecībām</w:t>
      </w:r>
      <w:r>
        <w:t>.</w:t>
      </w:r>
      <w:r w:rsidR="001F37C8">
        <w:t xml:space="preserve"> </w:t>
      </w:r>
      <w:r w:rsidR="00DC3FD5">
        <w:t>Dziļ</w:t>
      </w:r>
      <w:r w:rsidRPr="0059093D">
        <w:t>ā materiālajā nenodrošinātībā kopumā atradās 1193 mājsaimniecības</w:t>
      </w:r>
      <w:r>
        <w:t>,</w:t>
      </w:r>
      <w:r w:rsidRPr="0059093D">
        <w:t xml:space="preserve"> no kurām 142</w:t>
      </w:r>
      <w:r>
        <w:t xml:space="preserve"> mājsaimniecību mājokļiem</w:t>
      </w:r>
      <w:r w:rsidRPr="0059093D">
        <w:t xml:space="preserve"> bija raksturīgas visas iepriekš minētās problēmas</w:t>
      </w:r>
      <w:r>
        <w:t>.</w:t>
      </w:r>
      <w:r w:rsidRPr="0059093D">
        <w:t xml:space="preserve"> </w:t>
      </w:r>
      <w:r>
        <w:t>P</w:t>
      </w:r>
      <w:r w:rsidRPr="0059093D">
        <w:t>ārrēķinot šo rādītāju procento</w:t>
      </w:r>
      <w:r w:rsidR="00DC3FD5">
        <w:t>s, var teikt, ka 11,9% no dziļ</w:t>
      </w:r>
      <w:r w:rsidRPr="0059093D">
        <w:t>ā materiālajā nenodrošinātībā esoš</w:t>
      </w:r>
      <w:r w:rsidR="00DC3FD5">
        <w:t>o</w:t>
      </w:r>
      <w:r w:rsidRPr="0059093D">
        <w:t xml:space="preserve"> mājsaimniecīb</w:t>
      </w:r>
      <w:r w:rsidR="00DC3FD5">
        <w:t xml:space="preserve">u </w:t>
      </w:r>
      <w:r>
        <w:t>mājokļiem</w:t>
      </w:r>
      <w:r w:rsidRPr="0059093D">
        <w:t xml:space="preserve"> bija tekošs jumts un mitruma problēmas, </w:t>
      </w:r>
      <w:r w:rsidR="00DC3FD5">
        <w:t>šīs mājsaimniecības</w:t>
      </w:r>
      <w:r w:rsidRPr="0059093D">
        <w:t xml:space="preserve"> nespēja uzturēt mājokli siltu, </w:t>
      </w:r>
      <w:r w:rsidR="00DC3FD5">
        <w:t>mājokļos</w:t>
      </w:r>
      <w:r w:rsidRPr="0059093D">
        <w:t xml:space="preserve"> trūka vannas vai duš</w:t>
      </w:r>
      <w:r w:rsidR="00DC3FD5">
        <w:t>a</w:t>
      </w:r>
      <w:r w:rsidRPr="0059093D">
        <w:t>s, nebija pieejama tualete ar ūdens klozetu.</w:t>
      </w:r>
      <w:r>
        <w:t xml:space="preserve"> Ārpus dziļās materiālās nenodrošinātības šis rādītājs ir 0,6%.</w:t>
      </w:r>
      <w:r w:rsidR="001F37C8">
        <w:t xml:space="preserve"> </w:t>
      </w:r>
    </w:p>
    <w:p w:rsidR="00DC3FD5" w:rsidRDefault="00DC3FD5" w:rsidP="00064C1E"/>
    <w:p w:rsidR="00387344" w:rsidRPr="00966D80" w:rsidRDefault="00387344" w:rsidP="00064C1E">
      <w:r w:rsidRPr="0059093D">
        <w:t xml:space="preserve">Materiālajā nenodrošinātībā </w:t>
      </w:r>
      <w:r>
        <w:t xml:space="preserve">esošām mājsaimniecībām </w:t>
      </w:r>
      <w:r w:rsidRPr="0059093D">
        <w:t xml:space="preserve">šie rādītāji ir </w:t>
      </w:r>
      <w:r>
        <w:t>zemāki, taču ar līdzīgu tendenci. No kopumā</w:t>
      </w:r>
      <w:r w:rsidRPr="0059093D">
        <w:t xml:space="preserve"> </w:t>
      </w:r>
      <w:r>
        <w:t>2089 mājsaimniecībām, kuras ir pa</w:t>
      </w:r>
      <w:r w:rsidR="00450352">
        <w:t>kļautas materiālajai nenodrošinā</w:t>
      </w:r>
      <w:r>
        <w:t xml:space="preserve">tībai, </w:t>
      </w:r>
      <w:r w:rsidRPr="0059093D">
        <w:t>165</w:t>
      </w:r>
      <w:r>
        <w:t xml:space="preserve"> </w:t>
      </w:r>
      <w:r w:rsidRPr="0059093D">
        <w:t>jeb 7,9%</w:t>
      </w:r>
      <w:r>
        <w:t xml:space="preserve"> no šo mājsaimniecību mājokļiem bija raksturīgs </w:t>
      </w:r>
      <w:r w:rsidRPr="0059093D">
        <w:t>gan tekoš</w:t>
      </w:r>
      <w:r>
        <w:t>s</w:t>
      </w:r>
      <w:r w:rsidRPr="0059093D">
        <w:t xml:space="preserve"> jumts un mitruma problēmas, gan nespēja uzturēt mājokli siltu, </w:t>
      </w:r>
      <w:r>
        <w:t>kā arī šiem mājokļiem</w:t>
      </w:r>
      <w:r w:rsidRPr="0059093D">
        <w:t xml:space="preserve"> trūka vannas vai duš</w:t>
      </w:r>
      <w:r w:rsidR="00DC3FD5">
        <w:t>a</w:t>
      </w:r>
      <w:r w:rsidRPr="0059093D">
        <w:t>s</w:t>
      </w:r>
      <w:r>
        <w:t xml:space="preserve"> un</w:t>
      </w:r>
      <w:r w:rsidRPr="0059093D">
        <w:t xml:space="preserve"> nebija pieejama tualete ar ūdens klozetu.</w:t>
      </w:r>
      <w:r w:rsidRPr="00C12E45">
        <w:t xml:space="preserve"> </w:t>
      </w:r>
      <w:r>
        <w:t>Ārpus materiālās nenodrošinātības šis rādītājs ir 0,1%.</w:t>
      </w:r>
    </w:p>
    <w:p w:rsidR="00387344" w:rsidRPr="00966D80" w:rsidRDefault="00387344" w:rsidP="00064C1E"/>
    <w:p w:rsidR="00387344" w:rsidRPr="00966D80" w:rsidRDefault="00387344" w:rsidP="00064C1E">
      <w:r w:rsidRPr="00842B3D">
        <w:t xml:space="preserve">Arī </w:t>
      </w:r>
      <w:r w:rsidRPr="002E5CE4">
        <w:rPr>
          <w:b/>
        </w:rPr>
        <w:t>2016. gadā</w:t>
      </w:r>
      <w:r w:rsidRPr="00842B3D">
        <w:t xml:space="preserve"> tendence saistībā ar problēmu </w:t>
      </w:r>
      <w:r w:rsidR="002E5CE4">
        <w:rPr>
          <w:b/>
        </w:rPr>
        <w:t>t</w:t>
      </w:r>
      <w:r w:rsidRPr="002E5CE4">
        <w:rPr>
          <w:b/>
        </w:rPr>
        <w:t>ekošs jumts, mitras sienas, griesti, grīdas, pamati vai trupe logu rāmjos, durvīs vai grīdās</w:t>
      </w:r>
      <w:r w:rsidRPr="00842B3D">
        <w:t xml:space="preserve"> ir saglabājusies tāda pati kā 2015. gadā, proti, ceļoties mājsaimniecības turībai, samazinās iespēja, ka mājsaimniecība saskaras ar šo problēmu. 2016. gadā 40% no 1. kvintiļu grupā iekļautajām mājsaimniecībām saskārās ar šo problēmu, bet līdz ar katru nākamo kvintiļu grupu šis procentuālais rādītājs samazinājās –</w:t>
      </w:r>
      <w:r w:rsidR="00D54545">
        <w:t xml:space="preserve"> </w:t>
      </w:r>
      <w:r w:rsidRPr="00842B3D">
        <w:t>2. kvintiļu grupā – 24,1% mājsaimniecību bija šī problēma, 3. kvintiļu grupā – 19,1%, 4. kvintiļu grupā – 16,2%, bet 5. kvintiļu grupā, kurā tiek iekļautas turīgākās mājsaimniecības – 10,3%.</w:t>
      </w:r>
    </w:p>
    <w:p w:rsidR="00387344" w:rsidRPr="00966D80" w:rsidRDefault="00387344" w:rsidP="00064C1E"/>
    <w:p w:rsidR="00387344" w:rsidRDefault="00DC3FD5" w:rsidP="00064C1E">
      <w:r>
        <w:rPr>
          <w:b/>
        </w:rPr>
        <w:lastRenderedPageBreak/>
        <w:t>2016. gadā dziļ</w:t>
      </w:r>
      <w:r w:rsidR="00387344" w:rsidRPr="002E5CE4">
        <w:rPr>
          <w:b/>
        </w:rPr>
        <w:t>ai materiālajai nenodrošinātībai tika pakļautas 16,1% mājsaimniecību</w:t>
      </w:r>
      <w:r w:rsidR="00387344" w:rsidRPr="00966D80">
        <w:t>, kas, salīdzinot ar 2015</w:t>
      </w:r>
      <w:r w:rsidR="00387344">
        <w:t>. gadu</w:t>
      </w:r>
      <w:r w:rsidR="00387344" w:rsidRPr="00966D80">
        <w:t>, ir samazinājums par 3,4</w:t>
      </w:r>
      <w:r w:rsidR="00387344">
        <w:t xml:space="preserve"> procentpunktiem</w:t>
      </w:r>
      <w:r w:rsidR="00387344" w:rsidRPr="00966D80">
        <w:t xml:space="preserve">. No mājsaimniecībām, </w:t>
      </w:r>
      <w:r w:rsidR="00387344">
        <w:t>kas</w:t>
      </w:r>
      <w:r w:rsidR="00DC5439">
        <w:t xml:space="preserve"> pakļautas dziļ</w:t>
      </w:r>
      <w:r w:rsidR="00387344" w:rsidRPr="00966D80">
        <w:t xml:space="preserve">ai materiālajai nenodrošinātībai, 42,7% mājsaimniecību mājokļiem bija raksturīga tekoša jumta vai dažāda veida mitruma problēmas. Salīdzinot šo rādītāju ar to mājsaimniecību grupu, </w:t>
      </w:r>
      <w:r w:rsidR="00387344">
        <w:t>kas</w:t>
      </w:r>
      <w:r w:rsidR="00DC5439">
        <w:t xml:space="preserve"> nav pakļauta dziļ</w:t>
      </w:r>
      <w:r w:rsidR="00387344" w:rsidRPr="00966D80">
        <w:t>ai materiālajai nenodrošinātība, redzama 24,1</w:t>
      </w:r>
      <w:r w:rsidR="00387344">
        <w:t xml:space="preserve"> procentpunktu</w:t>
      </w:r>
      <w:r w:rsidR="00387344" w:rsidRPr="00966D80">
        <w:t xml:space="preserve"> at</w:t>
      </w:r>
      <w:r w:rsidR="00387344">
        <w:t>šķirība, jo mājsaimniecības, k</w:t>
      </w:r>
      <w:r w:rsidR="00387344" w:rsidRPr="00966D80">
        <w:t>as nav pakļautas</w:t>
      </w:r>
      <w:r>
        <w:t xml:space="preserve"> dziļ</w:t>
      </w:r>
      <w:r w:rsidR="00387344" w:rsidRPr="00966D80">
        <w:t>ai materiālajai nenodrošinātībai</w:t>
      </w:r>
      <w:r w:rsidR="00387344">
        <w:t>,</w:t>
      </w:r>
      <w:r w:rsidR="00387344" w:rsidRPr="00966D80">
        <w:t xml:space="preserve"> ar tekoša jumta vai dažāda veida mitruma problēmām saskārās 18,6% gadījumu.</w:t>
      </w:r>
      <w:r w:rsidR="00387344">
        <w:t xml:space="preserve"> Savukārt </w:t>
      </w:r>
      <w:r w:rsidR="00387344" w:rsidRPr="002E5CE4">
        <w:rPr>
          <w:b/>
        </w:rPr>
        <w:t>materiālajai nenodrošinātībai 2016. gadā bija pakļautas 31,3% mājsaimniecību</w:t>
      </w:r>
      <w:r w:rsidR="00387344" w:rsidRPr="00966D80">
        <w:t>, kas, salīdzinot ar 2015</w:t>
      </w:r>
      <w:r w:rsidR="00387344">
        <w:t>. gadu</w:t>
      </w:r>
      <w:r w:rsidR="00387344" w:rsidRPr="00966D80">
        <w:t>, ir samazinājums par 3</w:t>
      </w:r>
      <w:r w:rsidR="00387344">
        <w:t xml:space="preserve"> procentpunktiem</w:t>
      </w:r>
      <w:r w:rsidR="00387344" w:rsidRPr="00966D80">
        <w:t xml:space="preserve">. No mājsaimniecībām, kas pakļautas materiālajai nenodrošinātībai, 36,3% mājsaimniecību mājokļiem bija raksturīga tekoša jumta vai dažāda veida mitruma problēmas. </w:t>
      </w:r>
      <w:r w:rsidR="00387344">
        <w:t>Š</w:t>
      </w:r>
      <w:r w:rsidR="00387344" w:rsidRPr="00966D80">
        <w:t xml:space="preserve">is rādītājs ir </w:t>
      </w:r>
      <w:r w:rsidR="00387344">
        <w:t>zemāks tām</w:t>
      </w:r>
      <w:r w:rsidR="00387344" w:rsidRPr="00966D80">
        <w:t xml:space="preserve"> mājsaimniecībām, kas nav pakļautas materiālajai nenodrošinātībai, proti, 16,2% šādu gadījumu mājsaimniecība saskārās ar tekoša jumta vai dažāda veida mitruma problēmām.</w:t>
      </w:r>
    </w:p>
    <w:p w:rsidR="00E35FEA" w:rsidRDefault="00E35FEA" w:rsidP="00064C1E"/>
    <w:p w:rsidR="00387344" w:rsidRPr="00966D80" w:rsidRDefault="00387344" w:rsidP="00064C1E">
      <w:r w:rsidRPr="002B249D">
        <w:t xml:space="preserve">Apskatot problēmu, kas raksturo mājsaimniecības </w:t>
      </w:r>
      <w:r w:rsidRPr="00E35FEA">
        <w:rPr>
          <w:b/>
        </w:rPr>
        <w:t>nespēju finansiāli uzturēt mājokli siltu</w:t>
      </w:r>
      <w:r w:rsidR="00DC3FD5" w:rsidRPr="00DC3FD5">
        <w:t>,</w:t>
      </w:r>
      <w:r w:rsidRPr="002B249D">
        <w:t xml:space="preserve"> arī</w:t>
      </w:r>
      <w:r w:rsidRPr="00966D80">
        <w:t xml:space="preserve"> 2016</w:t>
      </w:r>
      <w:r>
        <w:t>. gadā</w:t>
      </w:r>
      <w:r w:rsidRPr="00966D80">
        <w:t>, tāpat kā 2015</w:t>
      </w:r>
      <w:r>
        <w:t>. gadā</w:t>
      </w:r>
      <w:r w:rsidRPr="00966D80">
        <w:t>, šai problēmai raksturīga tendence, ka trūcīgāko mājsaimniecību grupā jeb 1</w:t>
      </w:r>
      <w:r>
        <w:t>. kvint</w:t>
      </w:r>
      <w:r w:rsidRPr="00966D80">
        <w:t>iļu grupā šī problēma ir sastopama 24,4% gadījumu, pēc tam a</w:t>
      </w:r>
      <w:r w:rsidR="00DC3FD5">
        <w:t>r katru nākamo kvintiļu grupu ši</w:t>
      </w:r>
      <w:r w:rsidRPr="00966D80">
        <w:t>s procentuālais rādītājs samazinās un sasniedzot 5</w:t>
      </w:r>
      <w:r>
        <w:t>. kvint</w:t>
      </w:r>
      <w:r w:rsidRPr="00966D80">
        <w:t xml:space="preserve">iļu grupu, kurā iekļautas turīgākās mājsaimniecības, rādītājs ir tikai 3,9%. </w:t>
      </w:r>
      <w:r>
        <w:t>No mājsaimniecībām, k</w:t>
      </w:r>
      <w:r w:rsidR="00DC5439">
        <w:t>as pakļautas dziļ</w:t>
      </w:r>
      <w:r w:rsidRPr="00966D80">
        <w:t>ai materiālajai nenodrošinātībai</w:t>
      </w:r>
      <w:r>
        <w:t>,</w:t>
      </w:r>
      <w:r w:rsidRPr="00966D80">
        <w:t xml:space="preserve"> 52,9% mājsaimniecību 2016</w:t>
      </w:r>
      <w:r>
        <w:t>. gadā</w:t>
      </w:r>
      <w:r w:rsidRPr="00966D80">
        <w:t xml:space="preserve"> bija finansiālas problēmas nodrošināt mājsaimniecību ar siltumu. Pretēja situācija ir gadījumos, kad mājsaimn</w:t>
      </w:r>
      <w:r w:rsidR="00DC5439">
        <w:t>iecības nav pakļautas dziļ</w:t>
      </w:r>
      <w:r w:rsidRPr="00966D80">
        <w:t>ai materiālajai nenodrošinātībai</w:t>
      </w:r>
      <w:r>
        <w:t xml:space="preserve"> – </w:t>
      </w:r>
      <w:r w:rsidRPr="00966D80">
        <w:t>tika</w:t>
      </w:r>
      <w:r>
        <w:t>i</w:t>
      </w:r>
      <w:r w:rsidRPr="00966D80">
        <w:t xml:space="preserve"> 6,5% no šiem gadījumiem mājsaimniecībām bija finansiāla nespēja nodrošināt mājsaimniecību ar siltumu.</w:t>
      </w:r>
      <w:r w:rsidR="001F37C8">
        <w:t xml:space="preserve"> </w:t>
      </w:r>
      <w:r w:rsidRPr="00966D80">
        <w:t>Noslēdzot 2016</w:t>
      </w:r>
      <w:r>
        <w:t>. gada</w:t>
      </w:r>
      <w:r w:rsidRPr="00966D80">
        <w:t xml:space="preserve"> datu apskatu par šo problēmu, jānorāda, ka 37% gadījumu mājsaimniecības, kas atradās materiālajā nenodrošinātībā</w:t>
      </w:r>
      <w:r>
        <w:t>,</w:t>
      </w:r>
      <w:r w:rsidRPr="00966D80">
        <w:t xml:space="preserve"> saskārās ar šo problēmu, bet mājsaimniecības, kas materiālajā nenodrošinātībā neatradās, ar šo problēmu saskārās 3,4% gadījumu.</w:t>
      </w:r>
    </w:p>
    <w:p w:rsidR="00387344" w:rsidRPr="00966D80" w:rsidRDefault="00387344" w:rsidP="00064C1E"/>
    <w:p w:rsidR="00387344" w:rsidRPr="00966D80" w:rsidRDefault="00387344" w:rsidP="00064C1E">
      <w:r w:rsidRPr="00966D80">
        <w:t>2016</w:t>
      </w:r>
      <w:r>
        <w:t>. gadā</w:t>
      </w:r>
      <w:r w:rsidRPr="00966D80">
        <w:t xml:space="preserve"> </w:t>
      </w:r>
      <w:r w:rsidRPr="00E35FEA">
        <w:rPr>
          <w:b/>
        </w:rPr>
        <w:t>vannas vai dušas pieejamība</w:t>
      </w:r>
      <w:r w:rsidRPr="00966D80">
        <w:t xml:space="preserve"> mājsaimniecības griezumā pa kvintilēm turpina iepriekš aprakstīto tendenci</w:t>
      </w:r>
      <w:r>
        <w:t xml:space="preserve"> – </w:t>
      </w:r>
      <w:r w:rsidRPr="00966D80">
        <w:t>1</w:t>
      </w:r>
      <w:r>
        <w:t>. kvint</w:t>
      </w:r>
      <w:r w:rsidRPr="00966D80">
        <w:t>iļu grupā, kurā tiek iekļautas trūcīgākās mājsaimniecības, vanna vai duša ir pieejama retāk</w:t>
      </w:r>
      <w:r>
        <w:t>,</w:t>
      </w:r>
      <w:r w:rsidRPr="00966D80">
        <w:t xml:space="preserve"> un 35,4% mājsaimniecību n</w:t>
      </w:r>
      <w:r>
        <w:t>o šīs grupas norādījušas, ka t</w:t>
      </w:r>
      <w:r w:rsidRPr="00966D80">
        <w:t>ām mājoklī šīs lietas nav. Ar katru nākamo kvintiļu grupu šis rādītājs samazinās līdz sasniedz 2,9%, kas ir raksturīgs 5</w:t>
      </w:r>
      <w:r>
        <w:t>. kvint</w:t>
      </w:r>
      <w:r w:rsidRPr="00966D80">
        <w:t>ilei, kurā iekļautas turīgākās mājsaimniecības.</w:t>
      </w:r>
      <w:r>
        <w:t xml:space="preserve"> No mājsaimniecībām, k</w:t>
      </w:r>
      <w:r w:rsidR="00DC3FD5">
        <w:t>as pakļautas dziļ</w:t>
      </w:r>
      <w:r w:rsidRPr="00966D80">
        <w:t xml:space="preserve">ai materiālajai nenodrošinātībai, 32% saskārās ar problēmu, kad mājoklī nebija pieejama vanna vai duša, kamēr </w:t>
      </w:r>
      <w:r>
        <w:t>pārējos gadījumos</w:t>
      </w:r>
      <w:r w:rsidRPr="00966D80">
        <w:t xml:space="preserve"> šis rādītājs ir 13,3%.</w:t>
      </w:r>
      <w:r>
        <w:t xml:space="preserve"> </w:t>
      </w:r>
      <w:r w:rsidRPr="00966D80">
        <w:t xml:space="preserve">Materiālajā </w:t>
      </w:r>
      <w:r>
        <w:t>n</w:t>
      </w:r>
      <w:r w:rsidRPr="00966D80">
        <w:t>enodrošinātībā dzīvojošās mājsaimniecības 27,7% gadījumu saskārās ar problēmu, kad tām mājoklī nebija dušas vai vannas, kamēr situācijā, kad mājsaimniecība neatradās materiālās nenodrošinātības situācijā, šis rādītājs ir 11,1%.</w:t>
      </w:r>
    </w:p>
    <w:p w:rsidR="00387344" w:rsidRPr="00966D80" w:rsidRDefault="00387344" w:rsidP="00064C1E"/>
    <w:p w:rsidR="00387344" w:rsidRPr="00966D80" w:rsidRDefault="00387344" w:rsidP="00064C1E">
      <w:r>
        <w:t>Kvint</w:t>
      </w:r>
      <w:r w:rsidRPr="00966D80">
        <w:t>iļu griezumā, salīdzinot ar 2015</w:t>
      </w:r>
      <w:r>
        <w:t>. gadu</w:t>
      </w:r>
      <w:r w:rsidRPr="00966D80">
        <w:t xml:space="preserve">, nekas nav mainījies </w:t>
      </w:r>
      <w:r w:rsidR="00E35FEA">
        <w:t xml:space="preserve">arī attiecībā uz </w:t>
      </w:r>
      <w:r w:rsidR="00E35FEA" w:rsidRPr="00966D80">
        <w:t>iekštelpas tualetes ar ūdens klozeta pieejamību mājsaimniecībām</w:t>
      </w:r>
      <w:r w:rsidR="00E35FEA">
        <w:t>.</w:t>
      </w:r>
      <w:r w:rsidR="00E35FEA" w:rsidRPr="00966D80">
        <w:t xml:space="preserve"> </w:t>
      </w:r>
      <w:r w:rsidRPr="00966D80">
        <w:t>2016</w:t>
      </w:r>
      <w:r>
        <w:t>. gadā.</w:t>
      </w:r>
      <w:r w:rsidRPr="00966D80">
        <w:t xml:space="preserve"> 1</w:t>
      </w:r>
      <w:r>
        <w:t>. kvint</w:t>
      </w:r>
      <w:r w:rsidRPr="00966D80">
        <w:t>iļu grupa ar šo problēmu saskārās biežāk</w:t>
      </w:r>
      <w:r>
        <w:t xml:space="preserve"> – </w:t>
      </w:r>
      <w:r w:rsidRPr="00966D80">
        <w:t xml:space="preserve">32,3% </w:t>
      </w:r>
      <w:r>
        <w:t>–</w:t>
      </w:r>
      <w:r w:rsidRPr="00966D80">
        <w:t xml:space="preserve"> nekā mājsaimniecības, kas atrodas kvintilēs, kas raksturo turīgākas mājsaimniecības. Šīs rādītājs sasniedz zemāko punktu 5</w:t>
      </w:r>
      <w:r>
        <w:t>. kvint</w:t>
      </w:r>
      <w:r w:rsidRPr="00966D80">
        <w:t>ilē</w:t>
      </w:r>
      <w:r>
        <w:t xml:space="preserve"> – </w:t>
      </w:r>
      <w:r w:rsidRPr="00966D80">
        <w:t>2,4%.</w:t>
      </w:r>
    </w:p>
    <w:p w:rsidR="00387344" w:rsidRPr="00966D80" w:rsidRDefault="00387344" w:rsidP="00064C1E"/>
    <w:p w:rsidR="00387344" w:rsidRPr="00966D80" w:rsidRDefault="00387344" w:rsidP="00064C1E">
      <w:r w:rsidRPr="00966D80">
        <w:lastRenderedPageBreak/>
        <w:t>No mājsaim</w:t>
      </w:r>
      <w:r w:rsidR="00DC3FD5">
        <w:t>niecībām, kuras pakļautas dziļ</w:t>
      </w:r>
      <w:r w:rsidRPr="00966D80">
        <w:t>ai materiālajai nenodrošinātībai 27,2% mājsaimniecību 2016</w:t>
      </w:r>
      <w:r>
        <w:t>. gadā</w:t>
      </w:r>
      <w:r w:rsidRPr="00966D80">
        <w:t xml:space="preserve"> mājoklī nebija pieejama iekš</w:t>
      </w:r>
      <w:r w:rsidR="00E35FEA">
        <w:t>telpas tualete ar ūdens klozetu</w:t>
      </w:r>
      <w:r w:rsidRPr="00966D80">
        <w:t xml:space="preserve">. </w:t>
      </w:r>
      <w:r>
        <w:t>Citāda</w:t>
      </w:r>
      <w:r w:rsidRPr="00966D80">
        <w:t xml:space="preserve"> situācija ir gadījumos, kad mājs</w:t>
      </w:r>
      <w:r w:rsidR="00DC3FD5">
        <w:t>aimniecības nav pakļautas dziļ</w:t>
      </w:r>
      <w:r w:rsidRPr="00966D80">
        <w:t>ai materiālajai nenodrošinātībai, šādā situācija 12% mājsaimniecībai nebija pieejama iekštelpu tualete ar ūdens klozetu.</w:t>
      </w:r>
      <w:r>
        <w:t xml:space="preserve"> </w:t>
      </w:r>
      <w:r w:rsidRPr="00966D80">
        <w:t xml:space="preserve">Kā pēdējie rādītāji apskatāmi gadījumi, kad mājsaimniecība ir pakļauta materiālajai nenodrošinātībai un </w:t>
      </w:r>
      <w:r>
        <w:t>vienlaikus</w:t>
      </w:r>
      <w:r w:rsidRPr="00966D80">
        <w:t xml:space="preserve"> saskaras ar problēmu, kad mājsaimniecībā nav pieejama iekštelpas tualete ar ūdens klozetu. No šīs grupas 23,9% gadījumu mājsaimniecības saskārās ar šo problēmu, kamēr gadījumos, kad mājsaimniecības šai nenodrošinātības situācijai pakļautas netika, šis rādītājs ir 10,1%.</w:t>
      </w:r>
    </w:p>
    <w:p w:rsidR="00387344" w:rsidRPr="00966D80" w:rsidRDefault="00387344" w:rsidP="00064C1E"/>
    <w:p w:rsidR="00387344" w:rsidRPr="00E35FEA" w:rsidRDefault="00E35FEA" w:rsidP="00064C1E">
      <w:r>
        <w:t>Apkopojot datus par</w:t>
      </w:r>
      <w:r w:rsidR="00387344" w:rsidRPr="00966D80">
        <w:t xml:space="preserve"> </w:t>
      </w:r>
      <w:r w:rsidR="00387344" w:rsidRPr="00E35FEA">
        <w:rPr>
          <w:b/>
        </w:rPr>
        <w:t>2016. gadu</w:t>
      </w:r>
      <w:r w:rsidR="00387344" w:rsidRPr="00966D80">
        <w:t xml:space="preserve">, rādītājs, kas raksturo mājsaimniecības, </w:t>
      </w:r>
      <w:r>
        <w:t xml:space="preserve">kuras saskārās ar </w:t>
      </w:r>
      <w:r w:rsidR="00387344" w:rsidRPr="00966D80">
        <w:t xml:space="preserve"> </w:t>
      </w:r>
      <w:r w:rsidR="00387344" w:rsidRPr="00E35FEA">
        <w:rPr>
          <w:b/>
        </w:rPr>
        <w:t>vis</w:t>
      </w:r>
      <w:r>
        <w:rPr>
          <w:b/>
        </w:rPr>
        <w:t>ām</w:t>
      </w:r>
      <w:r w:rsidR="00387344" w:rsidRPr="00E35FEA">
        <w:rPr>
          <w:b/>
        </w:rPr>
        <w:t xml:space="preserve"> </w:t>
      </w:r>
      <w:r>
        <w:rPr>
          <w:b/>
        </w:rPr>
        <w:t>četrām aplūkotajām</w:t>
      </w:r>
      <w:r w:rsidR="00387344" w:rsidRPr="00E35FEA">
        <w:rPr>
          <w:b/>
        </w:rPr>
        <w:t xml:space="preserve"> problēm</w:t>
      </w:r>
      <w:r>
        <w:rPr>
          <w:b/>
        </w:rPr>
        <w:t>ām</w:t>
      </w:r>
      <w:r>
        <w:t>, bija</w:t>
      </w:r>
      <w:r w:rsidR="00387344" w:rsidRPr="00966D80">
        <w:t xml:space="preserve"> </w:t>
      </w:r>
      <w:r w:rsidR="00387344" w:rsidRPr="00E35FEA">
        <w:rPr>
          <w:b/>
        </w:rPr>
        <w:t xml:space="preserve">131 mājsaimniecība jeb 2,1% </w:t>
      </w:r>
      <w:r w:rsidR="00387344" w:rsidRPr="00E35FEA">
        <w:t>no visām mājsaimniecībām.</w:t>
      </w:r>
    </w:p>
    <w:p w:rsidR="00387344" w:rsidRPr="006E4FB8" w:rsidRDefault="00387344" w:rsidP="00064C1E">
      <w:r w:rsidRPr="006E4FB8">
        <w:t>Visu</w:t>
      </w:r>
      <w:r>
        <w:t xml:space="preserve"> iepriekš minēto</w:t>
      </w:r>
      <w:r w:rsidRPr="006E4FB8">
        <w:t xml:space="preserve"> problēmu esamība griezumā ar kvintiļu grupām atklāj to pašu situāciju, ko jau iepriekš atklāja apraksts</w:t>
      </w:r>
      <w:r>
        <w:t xml:space="preserve"> par</w:t>
      </w:r>
      <w:r w:rsidRPr="006E4FB8">
        <w:t xml:space="preserve"> katru problēmu individuāli gan par 2015., gan par 2016. gadu. Šī tendence ir –</w:t>
      </w:r>
      <w:r>
        <w:t xml:space="preserve"> </w:t>
      </w:r>
      <w:r w:rsidRPr="00E35FEA">
        <w:rPr>
          <w:b/>
        </w:rPr>
        <w:t>palielinoties mājsaimniecības turīgumam, samazinās iespēja, ka mājoklī ir visas noteiktās zemu kvalitāti raksturojošās problēmas</w:t>
      </w:r>
      <w:r w:rsidRPr="006E4FB8">
        <w:t>. 1. kvintilē, kas raksturo trūcīgākas mājsaimniecības</w:t>
      </w:r>
      <w:r>
        <w:t>,</w:t>
      </w:r>
      <w:r w:rsidRPr="006E4FB8">
        <w:t xml:space="preserve"> iekļāvās </w:t>
      </w:r>
      <w:r>
        <w:t>1266 mājsaimniecības</w:t>
      </w:r>
      <w:r w:rsidRPr="006E4FB8">
        <w:t xml:space="preserve"> no </w:t>
      </w:r>
      <w:r>
        <w:t>kurām 95</w:t>
      </w:r>
      <w:r w:rsidRPr="006E4FB8">
        <w:t xml:space="preserve"> jeb 7,5% mājsaimniecību</w:t>
      </w:r>
      <w:r>
        <w:t xml:space="preserve"> mājokļiem bija raksturīgas visas iepriekš minētās problēmas.</w:t>
      </w:r>
      <w:r w:rsidRPr="006E4FB8">
        <w:t xml:space="preserve"> </w:t>
      </w:r>
      <w:r w:rsidR="00DC3FD5">
        <w:t>No 5. kvintilē</w:t>
      </w:r>
      <w:r w:rsidRPr="006E4FB8">
        <w:t xml:space="preserve"> </w:t>
      </w:r>
      <w:r>
        <w:t xml:space="preserve">esošajām mājsaimniecībām 0,2% mājokļiem bija raksturīgas visas iepriekš minētās problēmas. </w:t>
      </w:r>
    </w:p>
    <w:p w:rsidR="00387344" w:rsidRPr="006E4FB8" w:rsidRDefault="00387344" w:rsidP="00064C1E"/>
    <w:p w:rsidR="00387344" w:rsidRPr="00966D80" w:rsidRDefault="00DC3FD5" w:rsidP="00064C1E">
      <w:r>
        <w:t>2016. gadā dziļai materiālajai nenodrošinātībai</w:t>
      </w:r>
      <w:r w:rsidR="00387344">
        <w:t xml:space="preserve"> bija pakļautas 975 mājsaimniecības. No šīm mājsaimniecībām 106 jeb 10,9% </w:t>
      </w:r>
      <w:r w:rsidR="001F37C8">
        <w:t>saskārās</w:t>
      </w:r>
      <w:r w:rsidR="00387344">
        <w:t xml:space="preserve"> ar situāciju, kad viņu mājoklim bija </w:t>
      </w:r>
      <w:r w:rsidR="00387344" w:rsidRPr="0059093D">
        <w:t>gan tekoš</w:t>
      </w:r>
      <w:r w:rsidR="00387344">
        <w:t>s</w:t>
      </w:r>
      <w:r w:rsidR="00387344" w:rsidRPr="0059093D">
        <w:t xml:space="preserve"> jumts un mitruma problēmas, gan nespēja uzturēt mājokli siltu, </w:t>
      </w:r>
      <w:r w:rsidR="00387344">
        <w:t>kā arī šiem mājokļiem</w:t>
      </w:r>
      <w:r w:rsidR="00387344" w:rsidRPr="0059093D">
        <w:t xml:space="preserve"> trūka vannas vai duš</w:t>
      </w:r>
      <w:r>
        <w:t>a</w:t>
      </w:r>
      <w:r w:rsidR="00387344" w:rsidRPr="0059093D">
        <w:t>s</w:t>
      </w:r>
      <w:r w:rsidR="00387344">
        <w:t xml:space="preserve"> un</w:t>
      </w:r>
      <w:r w:rsidR="00387344" w:rsidRPr="0059093D">
        <w:t xml:space="preserve"> nebija pieejama tualete ar ūdens klozetu.</w:t>
      </w:r>
      <w:r w:rsidR="00387344">
        <w:t xml:space="preserve"> Ārpus dziļās materiālās nenodrošinātības šis rādītājs ir 0,5%. </w:t>
      </w:r>
      <w:r w:rsidR="00387344" w:rsidRPr="006E4FB8">
        <w:tab/>
        <w:t xml:space="preserve">Materiālajā nenodrošinātībā šie rādītāji ir </w:t>
      </w:r>
      <w:r w:rsidR="00387344">
        <w:t>zemāki</w:t>
      </w:r>
      <w:r w:rsidR="00DC5439">
        <w:t xml:space="preserve"> nekā dziļ</w:t>
      </w:r>
      <w:r w:rsidR="00387344" w:rsidRPr="006E4FB8">
        <w:t xml:space="preserve">ā materiālajā nenodrošinātībā. </w:t>
      </w:r>
      <w:r w:rsidR="00387344">
        <w:t>Materiālajai nenodrošinātībai 2016. gadā bija pakļautas 1892</w:t>
      </w:r>
      <w:r w:rsidR="00387344" w:rsidRPr="006E4FB8">
        <w:t xml:space="preserve"> mājsaimniecīb</w:t>
      </w:r>
      <w:r w:rsidR="00387344">
        <w:t>as</w:t>
      </w:r>
      <w:r w:rsidR="00387344" w:rsidRPr="006E4FB8">
        <w:t xml:space="preserve">, </w:t>
      </w:r>
      <w:r w:rsidR="00387344">
        <w:t xml:space="preserve">no </w:t>
      </w:r>
      <w:r w:rsidR="00387344" w:rsidRPr="006E4FB8">
        <w:t xml:space="preserve">kurām </w:t>
      </w:r>
      <w:r w:rsidR="00387344">
        <w:t xml:space="preserve">6,5% </w:t>
      </w:r>
      <w:r w:rsidR="00387344" w:rsidRPr="006E4FB8">
        <w:t>bija visas iepriekš minētās problēma</w:t>
      </w:r>
      <w:r>
        <w:t>s</w:t>
      </w:r>
      <w:r w:rsidR="00387344" w:rsidRPr="006E4FB8">
        <w:t>.</w:t>
      </w:r>
      <w:r w:rsidR="00387344" w:rsidRPr="00C12E45">
        <w:t xml:space="preserve"> </w:t>
      </w:r>
      <w:r w:rsidR="00387344">
        <w:t>Ārpus materiālās nenodrošinātības šis rādītājs ir 0,2%.</w:t>
      </w:r>
    </w:p>
    <w:p w:rsidR="00387344" w:rsidRPr="00966D80" w:rsidRDefault="00387344" w:rsidP="00064C1E"/>
    <w:p w:rsidR="00387344" w:rsidRPr="00966D80" w:rsidRDefault="00A9777A" w:rsidP="00064C1E">
      <w:r>
        <w:rPr>
          <w:b/>
        </w:rPr>
        <w:t>2017. gadā</w:t>
      </w:r>
      <w:r w:rsidR="00387344" w:rsidRPr="00966D80">
        <w:t xml:space="preserve"> </w:t>
      </w:r>
      <w:r>
        <w:t xml:space="preserve">tendence, kas raksturo tādas mājokļa problēmas kā </w:t>
      </w:r>
      <w:r w:rsidR="00E35FEA" w:rsidRPr="00E35FEA">
        <w:rPr>
          <w:b/>
        </w:rPr>
        <w:t>t</w:t>
      </w:r>
      <w:r w:rsidR="00387344" w:rsidRPr="00E35FEA">
        <w:rPr>
          <w:b/>
        </w:rPr>
        <w:t>ekošs jumts, mitras sienas, griesti, grīdas, pamati vai trupe logu rāmjos, durvīs vai grīdās</w:t>
      </w:r>
      <w:r w:rsidR="00387344" w:rsidRPr="00966D80">
        <w:t xml:space="preserve"> </w:t>
      </w:r>
      <w:r w:rsidR="00E35FEA">
        <w:t>sadalījumā</w:t>
      </w:r>
      <w:r w:rsidR="00387344" w:rsidRPr="00966D80">
        <w:t xml:space="preserve"> pa kvintilēm, kā arī </w:t>
      </w:r>
      <w:r w:rsidR="00E35FEA">
        <w:t>griezumos</w:t>
      </w:r>
      <w:r w:rsidR="00387344" w:rsidRPr="00966D80">
        <w:t xml:space="preserve">, kas raksturo </w:t>
      </w:r>
      <w:r w:rsidR="00E35FEA">
        <w:t xml:space="preserve">mājsaimniecību </w:t>
      </w:r>
      <w:r w:rsidR="00387344" w:rsidRPr="00966D80">
        <w:t>dziļ</w:t>
      </w:r>
      <w:r w:rsidR="00E35FEA">
        <w:t>ā</w:t>
      </w:r>
      <w:r w:rsidR="00387344" w:rsidRPr="00966D80">
        <w:t xml:space="preserve"> materiāl</w:t>
      </w:r>
      <w:r w:rsidR="00E35FEA">
        <w:t>ā</w:t>
      </w:r>
      <w:r w:rsidR="00387344" w:rsidRPr="00966D80">
        <w:t xml:space="preserve"> nenodrošinātīb</w:t>
      </w:r>
      <w:r w:rsidR="00E35FEA">
        <w:t>ā</w:t>
      </w:r>
      <w:r w:rsidR="00387344">
        <w:t xml:space="preserve"> un materiāl</w:t>
      </w:r>
      <w:r w:rsidR="00E35FEA">
        <w:t>ā</w:t>
      </w:r>
      <w:r w:rsidR="00387344">
        <w:t xml:space="preserve"> nenodrošinātīb</w:t>
      </w:r>
      <w:r w:rsidR="00E35FEA">
        <w:t>ā mājokļu kvalitāti un labiekārtojumu</w:t>
      </w:r>
      <w:r>
        <w:t xml:space="preserve">, </w:t>
      </w:r>
      <w:r w:rsidR="00387344" w:rsidRPr="00966D80">
        <w:t xml:space="preserve">saglabājusies identiska, proti, ceļoties mājsaimniecības turībai, samazinās iespēja, </w:t>
      </w:r>
      <w:r>
        <w:t>ka mājsaimniecība saskaras ar šīm</w:t>
      </w:r>
      <w:r w:rsidR="00387344" w:rsidRPr="00966D80">
        <w:t xml:space="preserve"> problēm</w:t>
      </w:r>
      <w:r>
        <w:t>ām</w:t>
      </w:r>
      <w:r w:rsidR="00387344" w:rsidRPr="00966D80">
        <w:t>. 2017</w:t>
      </w:r>
      <w:r w:rsidR="00387344">
        <w:t>. gadā</w:t>
      </w:r>
      <w:r w:rsidR="00387344" w:rsidRPr="00966D80">
        <w:t xml:space="preserve"> 38,6% no 1</w:t>
      </w:r>
      <w:r w:rsidR="00387344">
        <w:t>. kvint</w:t>
      </w:r>
      <w:r w:rsidR="00387344" w:rsidRPr="00966D80">
        <w:t>iļu grupā iekļautajām mājsaimniecībām saskaras ar šo problēmu, bet līdz ar katru nākamo kvintiļu grupu šis procentuālais rādītājs samazinās</w:t>
      </w:r>
      <w:r w:rsidR="00387344">
        <w:t xml:space="preserve"> – </w:t>
      </w:r>
      <w:r w:rsidR="00387344" w:rsidRPr="00966D80">
        <w:t>2</w:t>
      </w:r>
      <w:r w:rsidR="00387344">
        <w:t>. kvint</w:t>
      </w:r>
      <w:r w:rsidR="00387344" w:rsidRPr="00966D80">
        <w:t>iļu grupā</w:t>
      </w:r>
      <w:r w:rsidR="00387344">
        <w:t xml:space="preserve"> – </w:t>
      </w:r>
      <w:r w:rsidR="00387344" w:rsidRPr="00966D80">
        <w:t>25,3% mājsaimniecību bija šī problēma, 3</w:t>
      </w:r>
      <w:r w:rsidR="00387344">
        <w:t>. kvint</w:t>
      </w:r>
      <w:r w:rsidR="00387344" w:rsidRPr="00966D80">
        <w:t>iļu grupā</w:t>
      </w:r>
      <w:r w:rsidR="00387344">
        <w:t xml:space="preserve"> – </w:t>
      </w:r>
      <w:r w:rsidR="00387344" w:rsidRPr="00966D80">
        <w:t>22,4%, 4</w:t>
      </w:r>
      <w:r w:rsidR="00387344">
        <w:t>. kvint</w:t>
      </w:r>
      <w:r w:rsidR="00387344" w:rsidRPr="00966D80">
        <w:t>iļu grupā</w:t>
      </w:r>
      <w:r w:rsidR="00387344">
        <w:t xml:space="preserve"> – </w:t>
      </w:r>
      <w:r w:rsidR="00387344" w:rsidRPr="00966D80">
        <w:t>16,8%, bet 5</w:t>
      </w:r>
      <w:r w:rsidR="00387344">
        <w:t>. kvint</w:t>
      </w:r>
      <w:r w:rsidR="00387344" w:rsidRPr="00966D80">
        <w:t>iļu grupā, kurā tiek iekļautas turīgākās mājsaimniecības</w:t>
      </w:r>
      <w:r w:rsidR="00387344">
        <w:t xml:space="preserve"> – </w:t>
      </w:r>
      <w:r w:rsidR="00387344" w:rsidRPr="00966D80">
        <w:t>11%.</w:t>
      </w:r>
    </w:p>
    <w:p w:rsidR="00387344" w:rsidRPr="00966D80" w:rsidRDefault="00387344" w:rsidP="00064C1E"/>
    <w:p w:rsidR="00387344" w:rsidRPr="00966D80" w:rsidRDefault="00387344" w:rsidP="00064C1E">
      <w:r w:rsidRPr="00966D80">
        <w:t xml:space="preserve">Dziļai materiālajai nenodrošinātībai </w:t>
      </w:r>
      <w:r w:rsidRPr="00E35FEA">
        <w:rPr>
          <w:b/>
        </w:rPr>
        <w:t>2017. gadā tika pakļautas 14,5% mājsaimniecību</w:t>
      </w:r>
      <w:r w:rsidRPr="00966D80">
        <w:t>, kas, salīdzinot ar 2016</w:t>
      </w:r>
      <w:r>
        <w:t>. gadu</w:t>
      </w:r>
      <w:r w:rsidRPr="00966D80">
        <w:t>, ir samazinājums par 1,6%. No mājsaim</w:t>
      </w:r>
      <w:r w:rsidR="00A9777A">
        <w:t>niecībām, kuras pakļautas dziļ</w:t>
      </w:r>
      <w:r w:rsidRPr="00966D80">
        <w:t>ai materiālajai nenodrošinātībai, 47,7% mājsaimniecību mājokļiem bija raksturīga tekoša jumta vai dažāda veida mitruma problēmas. Savukārt mājsaimniecību grupā, kura na</w:t>
      </w:r>
      <w:r w:rsidR="00A9777A">
        <w:t>v pakļauta dziļ</w:t>
      </w:r>
      <w:r w:rsidRPr="00966D80">
        <w:t xml:space="preserve">ai materiālajai nenodrošinātība, šis rādītājs ir par 28,4% </w:t>
      </w:r>
      <w:r>
        <w:t>zemāks</w:t>
      </w:r>
      <w:r w:rsidRPr="00966D80">
        <w:t xml:space="preserve"> un sasniedz 19,3%.</w:t>
      </w:r>
      <w:r>
        <w:t xml:space="preserve"> </w:t>
      </w:r>
      <w:r w:rsidRPr="00E35FEA">
        <w:rPr>
          <w:b/>
        </w:rPr>
        <w:t>Materiālajai nenodrošinātībai 2017. gadā tika pakļautas 29,1% mājsaimniecību</w:t>
      </w:r>
      <w:r w:rsidRPr="00966D80">
        <w:t>, kas, salīdzinot ar 2016</w:t>
      </w:r>
      <w:r>
        <w:t>. gadu</w:t>
      </w:r>
      <w:r w:rsidR="00A9777A">
        <w:t>, ir samazinājums par 2,2 procentpunktiem</w:t>
      </w:r>
      <w:r w:rsidRPr="00966D80">
        <w:t xml:space="preserve">. No tām mājsaimniecībām, kas pakļautas </w:t>
      </w:r>
      <w:r w:rsidRPr="00966D80">
        <w:lastRenderedPageBreak/>
        <w:t xml:space="preserve">materiālajai nenodrošinātībai 39,8% mājsaimniecību mājokļiem bija raksturīga tekoša jumta vai dažāda veida mitruma problēmas. </w:t>
      </w:r>
      <w:r>
        <w:t>Š</w:t>
      </w:r>
      <w:r w:rsidRPr="00966D80">
        <w:t xml:space="preserve">is rādītājs ir </w:t>
      </w:r>
      <w:r>
        <w:t xml:space="preserve">zemāks </w:t>
      </w:r>
      <w:r w:rsidRPr="00966D80">
        <w:t>mājsaimniecībā</w:t>
      </w:r>
      <w:r>
        <w:t>s</w:t>
      </w:r>
      <w:r w:rsidRPr="00966D80">
        <w:t>, kas nav pakļautas materiālajai nenodrošinātībai, proti, 16,7% šādu gadījumu mājsaimniecība saskārās ar tekoša jumta vai dažāda veida mitruma problēmām.</w:t>
      </w:r>
    </w:p>
    <w:p w:rsidR="00387344" w:rsidRPr="00966D80" w:rsidRDefault="00387344" w:rsidP="00064C1E"/>
    <w:p w:rsidR="00387344" w:rsidRPr="00966D80" w:rsidRDefault="00A9777A" w:rsidP="00064C1E">
      <w:r>
        <w:t>Attiecībā uz</w:t>
      </w:r>
      <w:r w:rsidR="00387344">
        <w:t xml:space="preserve"> </w:t>
      </w:r>
      <w:r w:rsidR="00387344" w:rsidRPr="00966D80">
        <w:t>mājsaimniecīb</w:t>
      </w:r>
      <w:r>
        <w:t>u</w:t>
      </w:r>
      <w:r w:rsidR="00387344" w:rsidRPr="00966D80">
        <w:t xml:space="preserve"> </w:t>
      </w:r>
      <w:r w:rsidR="00387344" w:rsidRPr="00E35FEA">
        <w:rPr>
          <w:b/>
        </w:rPr>
        <w:t>nespēj</w:t>
      </w:r>
      <w:r>
        <w:rPr>
          <w:b/>
        </w:rPr>
        <w:t xml:space="preserve">u </w:t>
      </w:r>
      <w:r w:rsidR="00387344" w:rsidRPr="00E35FEA">
        <w:rPr>
          <w:b/>
        </w:rPr>
        <w:t>finansiāli nodrošināt siltumu mājoklī</w:t>
      </w:r>
      <w:r>
        <w:rPr>
          <w:b/>
        </w:rPr>
        <w:t xml:space="preserve"> </w:t>
      </w:r>
      <w:r w:rsidRPr="00A9777A">
        <w:t>t</w:t>
      </w:r>
      <w:r w:rsidR="00387344" w:rsidRPr="00966D80">
        <w:t>āpat kā iepriekšējos gados, arī 2017</w:t>
      </w:r>
      <w:r w:rsidR="00387344">
        <w:t>. gadā</w:t>
      </w:r>
      <w:r w:rsidR="00387344" w:rsidRPr="00966D80">
        <w:t xml:space="preserve"> šai problēmai raksturīga līdzīga tendence</w:t>
      </w:r>
      <w:r w:rsidR="00387344">
        <w:t>,</w:t>
      </w:r>
      <w:r w:rsidR="00387344" w:rsidRPr="00966D80">
        <w:t xml:space="preserve"> proti, trūcīgāko mājsaimniecību grupā jeb 1</w:t>
      </w:r>
      <w:r w:rsidR="00387344">
        <w:t>. kvint</w:t>
      </w:r>
      <w:r w:rsidR="00387344" w:rsidRPr="00966D80">
        <w:t xml:space="preserve">iļu grupā šī problēma ir sastopama biežāk </w:t>
      </w:r>
      <w:r w:rsidR="00DC5439">
        <w:t xml:space="preserve">- </w:t>
      </w:r>
      <w:r w:rsidR="00387344" w:rsidRPr="00966D80">
        <w:t>21,8% gadījumu, bet mājsaimniecībām paliekot turīgākām, procentuālais skaits mājsaimniecību, kas ar šo problēmu saskārās samazinās un sasniedzot 5</w:t>
      </w:r>
      <w:r w:rsidR="00387344">
        <w:t>. kvint</w:t>
      </w:r>
      <w:r w:rsidR="00387344" w:rsidRPr="00966D80">
        <w:t>iļu grupu, kurā iekļautas turīgākās mājsaimni</w:t>
      </w:r>
      <w:r w:rsidR="00387344">
        <w:t xml:space="preserve">ecības, rādītājs ir tikai 3,9%. </w:t>
      </w:r>
      <w:r w:rsidR="00387344" w:rsidRPr="00966D80">
        <w:t>2017</w:t>
      </w:r>
      <w:r w:rsidR="00387344">
        <w:t>. gadā</w:t>
      </w:r>
      <w:r w:rsidR="00DC5439">
        <w:t xml:space="preserve"> dziļ</w:t>
      </w:r>
      <w:r w:rsidR="00387344" w:rsidRPr="00966D80">
        <w:t>ā materiālajā nenodrošinātībā esošajām mājsaimniecībām 56,5% gadījumos bija raksturīga nespēja uzturēt mājokli siltu. Mājsaimniecības, kuru dziļā materiālā nenodrošinātība neskāra, ar šo problēmu saskārās 5,9% gadījumu.</w:t>
      </w:r>
      <w:r w:rsidR="00387344">
        <w:t xml:space="preserve"> </w:t>
      </w:r>
      <w:r w:rsidR="00387344" w:rsidRPr="00966D80">
        <w:t>Arī 2017</w:t>
      </w:r>
      <w:r w:rsidR="00387344">
        <w:t>. gadā</w:t>
      </w:r>
      <w:r w:rsidR="00E35FEA">
        <w:t xml:space="preserve"> </w:t>
      </w:r>
      <w:r w:rsidR="00387344" w:rsidRPr="00966D80">
        <w:t xml:space="preserve">materiālajā nenodrošinātībā esošas mājsaimniecības biežāk saskārušās ar finansiālu nespēju uzturēt mājokli siltu. 37,1% gadījumu no šīm mājsaimniecībām norādīja, ka tām ir finansiāla nespēja uzturēt mājokli siltu, kamēr gadījumos, kad mājsaimniecības neatradās materiālās nenodrošinātības stāvoklī, šis </w:t>
      </w:r>
      <w:r w:rsidR="00387344">
        <w:t>rādītājs</w:t>
      </w:r>
      <w:r w:rsidR="00387344" w:rsidRPr="00966D80">
        <w:t xml:space="preserve"> bija 3,5%.</w:t>
      </w:r>
    </w:p>
    <w:p w:rsidR="00387344" w:rsidRPr="00966D80" w:rsidRDefault="00387344" w:rsidP="00064C1E"/>
    <w:p w:rsidR="00387344" w:rsidRPr="00966D80" w:rsidRDefault="00387344" w:rsidP="00064C1E">
      <w:r w:rsidRPr="00966D80">
        <w:t>2017</w:t>
      </w:r>
      <w:r>
        <w:t>. gadā</w:t>
      </w:r>
      <w:r w:rsidRPr="00966D80">
        <w:t xml:space="preserve"> </w:t>
      </w:r>
      <w:r w:rsidRPr="00E35FEA">
        <w:rPr>
          <w:b/>
        </w:rPr>
        <w:t>vanna vai duš</w:t>
      </w:r>
      <w:r w:rsidR="00E35FEA" w:rsidRPr="00E35FEA">
        <w:rPr>
          <w:b/>
        </w:rPr>
        <w:t>a</w:t>
      </w:r>
      <w:r w:rsidR="00E35FEA">
        <w:t xml:space="preserve"> </w:t>
      </w:r>
      <w:r w:rsidRPr="00966D80">
        <w:t>visretāk bija sastopama 1</w:t>
      </w:r>
      <w:r>
        <w:t>. kvint</w:t>
      </w:r>
      <w:r w:rsidRPr="00966D80">
        <w:t>iļu grup</w:t>
      </w:r>
      <w:r w:rsidR="00E35FEA">
        <w:t>as apdzīvotajos mājokļos</w:t>
      </w:r>
      <w:r w:rsidRPr="00966D80">
        <w:t xml:space="preserve">, šajā grupā 32,8% mājsaimniecību šāda </w:t>
      </w:r>
      <w:r w:rsidR="00E35FEA">
        <w:t>ērtība</w:t>
      </w:r>
      <w:r w:rsidRPr="00966D80">
        <w:t xml:space="preserve"> nav pieejama. Līdzīgi kā iepriekš, paaugstinoties ienākumu līmenim, samazinās arī iespēja, ka mājsaimniecībā nav vannas vai dušas, jo 5</w:t>
      </w:r>
      <w:r>
        <w:t>. kvint</w:t>
      </w:r>
      <w:r w:rsidRPr="00966D80">
        <w:t>ilē tikai 2,7% mājsaimniecību nav vanna vai duša.</w:t>
      </w:r>
      <w:r>
        <w:t xml:space="preserve"> </w:t>
      </w:r>
      <w:r w:rsidRPr="00966D80">
        <w:t>No mājsaim</w:t>
      </w:r>
      <w:r w:rsidR="00DC5439">
        <w:t>niecībām, kuras pakļautas dziļ</w:t>
      </w:r>
      <w:r w:rsidRPr="00966D80">
        <w:t>ai materiālajai nenodrošinātībai</w:t>
      </w:r>
      <w:r w:rsidR="00DC5439">
        <w:t>, 32,6% gadījumu</w:t>
      </w:r>
      <w:r w:rsidRPr="00966D80">
        <w:t xml:space="preserve"> bija raksturīga situācija, kad mājoklī nav pieejama vanna vai duša. Pretēja situācija ir gadījumos, kad mājsaimniecība šāda situācijai nav pakļauta</w:t>
      </w:r>
      <w:r>
        <w:t xml:space="preserve"> – </w:t>
      </w:r>
      <w:r w:rsidRPr="00966D80">
        <w:t>11,5% mājsaimn</w:t>
      </w:r>
      <w:r w:rsidR="00DC5439">
        <w:t>iecību, kas nav pakļautas dziļ</w:t>
      </w:r>
      <w:r w:rsidRPr="00966D80">
        <w:t>ai materiālajai nenodrošinātībai</w:t>
      </w:r>
      <w:r w:rsidR="00DC5439">
        <w:t>,</w:t>
      </w:r>
      <w:r w:rsidRPr="00966D80">
        <w:t xml:space="preserve"> norādījušas, ka tām nav pieejama</w:t>
      </w:r>
      <w:r>
        <w:t xml:space="preserve"> vanna vai duša. M</w:t>
      </w:r>
      <w:r w:rsidRPr="00966D80">
        <w:t>ateriālas nenodrošinātības gadījumā 25,9% no mājsaimniecībām, kuras ir pakļautas šai situācijai, saskārās ar vannas vai dušas nepieejamību mājoklī, kamēr mājsaimniecībām, kuras šajā situācija neatradās</w:t>
      </w:r>
      <w:r w:rsidR="00DC5439">
        <w:t>,</w:t>
      </w:r>
      <w:r w:rsidRPr="00966D80">
        <w:t xml:space="preserve"> duša vai vanna nebija pieejama 9,9% gadījumu.</w:t>
      </w:r>
    </w:p>
    <w:p w:rsidR="00387344" w:rsidRPr="00966D80" w:rsidRDefault="00387344" w:rsidP="00064C1E"/>
    <w:p w:rsidR="00387344" w:rsidRPr="00966D80" w:rsidRDefault="00E35FEA" w:rsidP="00064C1E">
      <w:r>
        <w:t>2017</w:t>
      </w:r>
      <w:r w:rsidR="00D54545">
        <w:t xml:space="preserve">. </w:t>
      </w:r>
      <w:r>
        <w:t>gada dati par i</w:t>
      </w:r>
      <w:r w:rsidR="00387344" w:rsidRPr="00966D80">
        <w:t>ekštelpas tualetes ar ūdens klozet</w:t>
      </w:r>
      <w:r w:rsidR="00387344">
        <w:t>u</w:t>
      </w:r>
      <w:r w:rsidR="00387344" w:rsidRPr="00966D80">
        <w:t xml:space="preserve"> pieejamīb</w:t>
      </w:r>
      <w:r>
        <w:t>u</w:t>
      </w:r>
      <w:r w:rsidR="00387344" w:rsidRPr="00966D80">
        <w:t xml:space="preserve"> mājsaimniecībām</w:t>
      </w:r>
      <w:r>
        <w:t xml:space="preserve"> atklāj, ka </w:t>
      </w:r>
      <w:r w:rsidR="00387344" w:rsidRPr="00966D80">
        <w:t>1</w:t>
      </w:r>
      <w:r w:rsidR="00387344">
        <w:t>. kvint</w:t>
      </w:r>
      <w:r w:rsidR="00387344" w:rsidRPr="00966D80">
        <w:t xml:space="preserve">iļu grupā 29,8% gadījumu mājsaimniecībām </w:t>
      </w:r>
      <w:r>
        <w:t xml:space="preserve">tā </w:t>
      </w:r>
      <w:r w:rsidR="00387344" w:rsidRPr="00966D80">
        <w:t>nebija pieejama, bet 5</w:t>
      </w:r>
      <w:r w:rsidR="00387344">
        <w:t>. kvint</w:t>
      </w:r>
      <w:r w:rsidR="00387344" w:rsidRPr="00966D80">
        <w:t xml:space="preserve">iļu grupā, kurā ir iekļautas turīgākās mājsaimniecības, šis rādītājs </w:t>
      </w:r>
      <w:r w:rsidR="00DC5439">
        <w:t>bija</w:t>
      </w:r>
      <w:r w:rsidR="00387344" w:rsidRPr="00966D80">
        <w:t xml:space="preserve"> </w:t>
      </w:r>
      <w:r>
        <w:t xml:space="preserve">vairs tikai </w:t>
      </w:r>
      <w:r w:rsidR="00387344" w:rsidRPr="00966D80">
        <w:t>2%.</w:t>
      </w:r>
      <w:r w:rsidR="00387344">
        <w:t xml:space="preserve"> </w:t>
      </w:r>
      <w:r>
        <w:t>T</w:t>
      </w:r>
      <w:r w:rsidR="00387344" w:rsidRPr="00966D80">
        <w:t>āpat kā iepriekšējos divos gados, arī 2017</w:t>
      </w:r>
      <w:r w:rsidR="00387344">
        <w:t>. gadā</w:t>
      </w:r>
      <w:r w:rsidR="00387344" w:rsidRPr="00966D80">
        <w:t xml:space="preserve"> mājsaimniecības, kas atrodas dziļās materiālās nenodrošinātības situācijā</w:t>
      </w:r>
      <w:r w:rsidR="00DC5439">
        <w:t>,</w:t>
      </w:r>
      <w:r w:rsidR="00387344" w:rsidRPr="00966D80">
        <w:t xml:space="preserve"> biežāk saskārušās ar gadījumiem, kad tām nav</w:t>
      </w:r>
      <w:r w:rsidR="00387344">
        <w:t xml:space="preserve"> </w:t>
      </w:r>
      <w:r w:rsidR="00387344" w:rsidRPr="00966D80">
        <w:t>pieejama iekštelpu tualete ar ūdens klozetu</w:t>
      </w:r>
      <w:r w:rsidR="00387344">
        <w:t xml:space="preserve"> – </w:t>
      </w:r>
      <w:r w:rsidR="00387344" w:rsidRPr="00966D80">
        <w:t xml:space="preserve">28,9%. Gadījumos, kad mājsaimniecība šajā situācijā neatrodas, </w:t>
      </w:r>
      <w:r>
        <w:t>šāda problēma</w:t>
      </w:r>
      <w:r w:rsidR="00387344" w:rsidRPr="00966D80">
        <w:t xml:space="preserve"> </w:t>
      </w:r>
      <w:r w:rsidR="00DC5439">
        <w:t>bija</w:t>
      </w:r>
      <w:r w:rsidR="00387344" w:rsidRPr="00966D80">
        <w:t xml:space="preserve"> 10,3%.</w:t>
      </w:r>
      <w:r w:rsidR="00387344">
        <w:t xml:space="preserve"> </w:t>
      </w:r>
      <w:r>
        <w:t>M</w:t>
      </w:r>
      <w:r w:rsidR="00387344" w:rsidRPr="00966D80">
        <w:t>ājsaimniecīb</w:t>
      </w:r>
      <w:r>
        <w:t>u grupā, kuras</w:t>
      </w:r>
      <w:r w:rsidR="00387344" w:rsidRPr="00966D80">
        <w:t xml:space="preserve"> ir pakļauta</w:t>
      </w:r>
      <w:r>
        <w:t>s</w:t>
      </w:r>
      <w:r w:rsidR="00387344" w:rsidRPr="00966D80">
        <w:t xml:space="preserve"> materiālajai nenodrošinātībai un </w:t>
      </w:r>
      <w:r w:rsidR="00387344">
        <w:t>vienlaikus</w:t>
      </w:r>
      <w:r w:rsidR="00387344" w:rsidRPr="00966D80">
        <w:t xml:space="preserve"> saskaras ar </w:t>
      </w:r>
      <w:r>
        <w:t xml:space="preserve">aplūkojamo </w:t>
      </w:r>
      <w:r w:rsidR="00387344" w:rsidRPr="00966D80">
        <w:t xml:space="preserve">problēmu, </w:t>
      </w:r>
      <w:r>
        <w:t xml:space="preserve">ir </w:t>
      </w:r>
      <w:r w:rsidR="00387344" w:rsidRPr="00966D80">
        <w:t>22,5%</w:t>
      </w:r>
      <w:r>
        <w:t xml:space="preserve"> mājsaimniecību,</w:t>
      </w:r>
      <w:r w:rsidR="00387344" w:rsidRPr="00966D80">
        <w:t xml:space="preserve"> kamēr gadījumos, kad mājsaimniecības šai nenodrošinātības situācijai pakļautas netika, šis rādītājs </w:t>
      </w:r>
      <w:r w:rsidR="00DC5439">
        <w:t>bija</w:t>
      </w:r>
      <w:r w:rsidR="00387344" w:rsidRPr="00966D80">
        <w:t xml:space="preserve"> 9,1%.</w:t>
      </w:r>
    </w:p>
    <w:p w:rsidR="00387344" w:rsidRPr="00966D80" w:rsidRDefault="00387344" w:rsidP="00064C1E"/>
    <w:p w:rsidR="00387344" w:rsidRPr="00966D80" w:rsidRDefault="00E35FEA" w:rsidP="00064C1E">
      <w:r>
        <w:t>Apkopojot datus par</w:t>
      </w:r>
      <w:r w:rsidRPr="00966D80">
        <w:t xml:space="preserve"> </w:t>
      </w:r>
      <w:r w:rsidRPr="00E35FEA">
        <w:rPr>
          <w:b/>
        </w:rPr>
        <w:t>201</w:t>
      </w:r>
      <w:r>
        <w:rPr>
          <w:b/>
        </w:rPr>
        <w:t>7</w:t>
      </w:r>
      <w:r w:rsidRPr="00E35FEA">
        <w:rPr>
          <w:b/>
        </w:rPr>
        <w:t>. gadu</w:t>
      </w:r>
      <w:r w:rsidRPr="00966D80">
        <w:t xml:space="preserve">, rādītājs, kas raksturo mājsaimniecības, </w:t>
      </w:r>
      <w:r>
        <w:t xml:space="preserve">kuras saskārās ar </w:t>
      </w:r>
      <w:r w:rsidRPr="00966D80">
        <w:t xml:space="preserve"> </w:t>
      </w:r>
      <w:r w:rsidRPr="00E35FEA">
        <w:rPr>
          <w:b/>
        </w:rPr>
        <w:t>vis</w:t>
      </w:r>
      <w:r>
        <w:rPr>
          <w:b/>
        </w:rPr>
        <w:t>ām</w:t>
      </w:r>
      <w:r w:rsidRPr="00E35FEA">
        <w:rPr>
          <w:b/>
        </w:rPr>
        <w:t xml:space="preserve"> </w:t>
      </w:r>
      <w:r>
        <w:rPr>
          <w:b/>
        </w:rPr>
        <w:t>četrām aplūkotajām</w:t>
      </w:r>
      <w:r w:rsidRPr="00E35FEA">
        <w:rPr>
          <w:b/>
        </w:rPr>
        <w:t xml:space="preserve"> problēm</w:t>
      </w:r>
      <w:r>
        <w:rPr>
          <w:b/>
        </w:rPr>
        <w:t>ām</w:t>
      </w:r>
      <w:r>
        <w:t xml:space="preserve">, </w:t>
      </w:r>
      <w:r w:rsidR="009E5D47">
        <w:t xml:space="preserve">bija </w:t>
      </w:r>
      <w:r w:rsidR="00387344" w:rsidRPr="00966D80">
        <w:t>131 mājsaimniecība jeb 1,9% no visām mājsaimniecībām atradās šādā situācijā.</w:t>
      </w:r>
      <w:r w:rsidR="009E5D47">
        <w:t xml:space="preserve"> </w:t>
      </w:r>
    </w:p>
    <w:p w:rsidR="00387344" w:rsidRPr="00966D80" w:rsidRDefault="00387344" w:rsidP="00064C1E"/>
    <w:p w:rsidR="00387344" w:rsidRPr="00966D80" w:rsidRDefault="00387344" w:rsidP="00064C1E">
      <w:r w:rsidRPr="009237E1">
        <w:t xml:space="preserve">Visu problēmu esamība </w:t>
      </w:r>
      <w:r w:rsidR="00A7649F">
        <w:t xml:space="preserve">ienākumu </w:t>
      </w:r>
      <w:r w:rsidRPr="009237E1">
        <w:t>kvintiļu grup</w:t>
      </w:r>
      <w:r w:rsidR="00A7649F">
        <w:t>u griezumā 2017.</w:t>
      </w:r>
      <w:r w:rsidR="00DE1C08">
        <w:t xml:space="preserve"> </w:t>
      </w:r>
      <w:r w:rsidR="00A7649F">
        <w:t>gadā</w:t>
      </w:r>
      <w:r w:rsidRPr="009237E1">
        <w:t xml:space="preserve"> atklāj </w:t>
      </w:r>
      <w:r w:rsidR="00A7649F">
        <w:t>tās pašas tendences, kas bija raksturīgas 2015., 2016.</w:t>
      </w:r>
      <w:r w:rsidR="00D54545">
        <w:t xml:space="preserve"> </w:t>
      </w:r>
      <w:r w:rsidR="00A7649F">
        <w:t>gadā. P</w:t>
      </w:r>
      <w:r w:rsidRPr="009237E1">
        <w:t>alielinoties mājsaimniecības turīguma</w:t>
      </w:r>
      <w:r w:rsidR="00A7649F">
        <w:t xml:space="preserve"> līmenim, samazinās </w:t>
      </w:r>
      <w:r w:rsidR="00A7649F">
        <w:lastRenderedPageBreak/>
        <w:t xml:space="preserve">iespēja, ka </w:t>
      </w:r>
      <w:r w:rsidRPr="009237E1">
        <w:t xml:space="preserve">mājoklī ir </w:t>
      </w:r>
      <w:r w:rsidR="00A7649F">
        <w:t>konkrētās</w:t>
      </w:r>
      <w:r w:rsidRPr="009237E1">
        <w:t xml:space="preserve"> problēmas. 1. </w:t>
      </w:r>
      <w:r w:rsidR="00A7649F">
        <w:t>kvintilē, kas raksturo trūcīgākā</w:t>
      </w:r>
      <w:r w:rsidRPr="009237E1">
        <w:t xml:space="preserve">s mājsaimniecības, 5,6% mājsaimniecību mājokļiem bija raksturīgas visas minētās problēmas, kamēr 5. kvintilē, kurā iekļautas turīgākās mājsaimniecības, </w:t>
      </w:r>
      <w:r w:rsidR="00DC5439">
        <w:t>šis rādītājs bija 0,1%. Dziļ</w:t>
      </w:r>
      <w:r w:rsidR="009E5D47">
        <w:t>ā</w:t>
      </w:r>
      <w:r w:rsidRPr="009237E1">
        <w:t xml:space="preserve"> materiālajā nenodrošinātībā esošas mājsaimniecības 11,0% gadījumos saskārās ar visām iepriekš minētajām problēmām. Savukārt materiālajā nenodrošinātībā </w:t>
      </w:r>
      <w:r w:rsidR="00A7649F">
        <w:t xml:space="preserve">esošo mājsaimniecību vidū </w:t>
      </w:r>
      <w:r w:rsidRPr="009237E1">
        <w:t xml:space="preserve">šie rādītāji bija </w:t>
      </w:r>
      <w:r w:rsidR="00A7649F">
        <w:t>nedaudz</w:t>
      </w:r>
      <w:r w:rsidRPr="009237E1">
        <w:t xml:space="preserve"> zemāki – 6,3% mājsaimniecību saskārās ar visām nosauktajās zemu mājokļa kvalitāti raksturojošām problēmām.</w:t>
      </w:r>
    </w:p>
    <w:p w:rsidR="00387344" w:rsidRPr="00966D80" w:rsidRDefault="00387344" w:rsidP="00064C1E"/>
    <w:p w:rsidR="00387344" w:rsidRDefault="00FE57B4" w:rsidP="00064C1E">
      <w:r>
        <w:t>3.24</w:t>
      </w:r>
      <w:r w:rsidR="00387344" w:rsidRPr="001F37C8">
        <w:t>.</w:t>
      </w:r>
      <w:r w:rsidR="00D81A8E">
        <w:t xml:space="preserve"> attēls</w:t>
      </w:r>
      <w:r w:rsidR="00387344" w:rsidRPr="001F37C8">
        <w:t xml:space="preserve"> un </w:t>
      </w:r>
      <w:r>
        <w:t>3.25</w:t>
      </w:r>
      <w:r w:rsidR="00387344" w:rsidRPr="001F37C8">
        <w:t>. attēls rāda kopīgās tendences</w:t>
      </w:r>
      <w:r w:rsidR="00D81A8E">
        <w:t xml:space="preserve"> par p</w:t>
      </w:r>
      <w:r w:rsidR="00387344" w:rsidRPr="001F37C8">
        <w:t>roblēm</w:t>
      </w:r>
      <w:r w:rsidR="00D81A8E">
        <w:t>ām, kas</w:t>
      </w:r>
      <w:r w:rsidR="00387344" w:rsidRPr="001F37C8">
        <w:t xml:space="preserve"> ir raksturīgas to mājsaimniecību mājokļiem, kuras atrodas dziļā materiālajā nenodrošinātībā vai materiālajā nenodrošinātībā.</w:t>
      </w:r>
      <w:r w:rsidR="00387344">
        <w:t xml:space="preserve"> </w:t>
      </w:r>
      <w:r w:rsidR="00387344" w:rsidRPr="00966D80">
        <w:t>Apskatot tendences, redzams, ka mājsaimni</w:t>
      </w:r>
      <w:r w:rsidR="00DC5439">
        <w:t>ecību skaits, kas atrodas dziļ</w:t>
      </w:r>
      <w:r w:rsidR="00387344" w:rsidRPr="00966D80">
        <w:t>ā materiālajā nenodrošinātībā un kas norādījušas, ka tām nav pieejama vanna vai duša, kā arī iekštelpas tualete ar ūdens klozetu, la</w:t>
      </w:r>
      <w:r w:rsidR="00D81A8E">
        <w:t>i</w:t>
      </w:r>
      <w:r w:rsidR="00387344" w:rsidRPr="00966D80">
        <w:t xml:space="preserve">ka posmā no 2015. </w:t>
      </w:r>
      <w:r w:rsidR="00D54545">
        <w:t xml:space="preserve">gada </w:t>
      </w:r>
      <w:r w:rsidR="00387344" w:rsidRPr="00966D80">
        <w:t>līdz 2017</w:t>
      </w:r>
      <w:r w:rsidR="00387344">
        <w:t>. gada</w:t>
      </w:r>
      <w:r w:rsidR="00387344" w:rsidRPr="00966D80">
        <w:t>m ir pieaudzis. Vannas vai dušas pieejamības gadījumā šis pieaugums ir 1,8</w:t>
      </w:r>
      <w:r w:rsidR="00D81A8E">
        <w:t xml:space="preserve"> procentpunkti</w:t>
      </w:r>
      <w:r w:rsidR="00387344" w:rsidRPr="00966D80">
        <w:t>, bet iekštelpas tualetes ar ūdens klozetu gadījumā 4,1</w:t>
      </w:r>
      <w:r w:rsidR="00D81A8E">
        <w:t xml:space="preserve"> procentpunkti</w:t>
      </w:r>
      <w:r w:rsidR="00387344" w:rsidRPr="00966D80">
        <w:t>. Kas attiecas uz tekoša jumta un mitruma problēmām, kā arī finansiāl</w:t>
      </w:r>
      <w:r w:rsidR="00D81A8E">
        <w:t>ām</w:t>
      </w:r>
      <w:r w:rsidR="00387344" w:rsidRPr="00966D80">
        <w:t xml:space="preserve"> </w:t>
      </w:r>
      <w:r w:rsidR="00D81A8E">
        <w:t>ie</w:t>
      </w:r>
      <w:r w:rsidR="00387344" w:rsidRPr="00966D80">
        <w:t>spēj</w:t>
      </w:r>
      <w:r w:rsidR="00D81A8E">
        <w:t>ām</w:t>
      </w:r>
      <w:r w:rsidR="00387344" w:rsidRPr="00966D80">
        <w:t xml:space="preserve"> uzturēt mājokli siltu, jānor</w:t>
      </w:r>
      <w:r w:rsidR="00220F9B">
        <w:t>ā</w:t>
      </w:r>
      <w:r w:rsidR="00387344" w:rsidRPr="00966D80">
        <w:t xml:space="preserve">da, ka šo problēmu biežumam bija </w:t>
      </w:r>
      <w:r w:rsidR="00D81A8E">
        <w:t>novērojams</w:t>
      </w:r>
      <w:r w:rsidR="00387344" w:rsidRPr="00966D80">
        <w:t xml:space="preserve"> kritums no 2015.</w:t>
      </w:r>
      <w:r w:rsidR="00D54545">
        <w:t xml:space="preserve"> </w:t>
      </w:r>
      <w:r w:rsidR="00D81A8E">
        <w:t>gada</w:t>
      </w:r>
      <w:r w:rsidR="00387344" w:rsidRPr="00966D80">
        <w:t xml:space="preserve"> uz 2016</w:t>
      </w:r>
      <w:r w:rsidR="00387344">
        <w:t>. gadu</w:t>
      </w:r>
      <w:r w:rsidR="00387344" w:rsidRPr="00966D80">
        <w:t xml:space="preserve">, </w:t>
      </w:r>
      <w:r w:rsidR="00D81A8E">
        <w:t>kam sekoja pieaugums no 2016.</w:t>
      </w:r>
      <w:r w:rsidR="00D54545">
        <w:t xml:space="preserve"> </w:t>
      </w:r>
      <w:r w:rsidR="00D81A8E">
        <w:t xml:space="preserve">gada </w:t>
      </w:r>
      <w:r w:rsidR="00387344" w:rsidRPr="00966D80">
        <w:t>uz 2017</w:t>
      </w:r>
      <w:r w:rsidR="00387344">
        <w:t>. gadu</w:t>
      </w:r>
      <w:r w:rsidR="00387344" w:rsidRPr="00966D80">
        <w:t>.</w:t>
      </w:r>
    </w:p>
    <w:p w:rsidR="00387344" w:rsidRDefault="00387344" w:rsidP="00064C1E"/>
    <w:p w:rsidR="00387344" w:rsidRDefault="00387344" w:rsidP="00064C1E">
      <w:r w:rsidRPr="00966D80">
        <w:t>Apskatot tendences, redzams, ka mājsaimniecību skaits, kas atrodas materiālajā nenodrošinātībā un saskaras ar kādu no problēmām</w:t>
      </w:r>
      <w:r>
        <w:t>,</w:t>
      </w:r>
      <w:r w:rsidRPr="00966D80">
        <w:t xml:space="preserve"> ir mainīgs un vienotu tendenci, kas raksturo visas problēmas</w:t>
      </w:r>
      <w:r>
        <w:t>,</w:t>
      </w:r>
      <w:r w:rsidRPr="00966D80">
        <w:t xml:space="preserve"> saskatīt nav iespējams. Tekoša jumta un mitruma</w:t>
      </w:r>
      <w:r w:rsidR="00D81A8E">
        <w:t>, kā arī</w:t>
      </w:r>
      <w:r w:rsidRPr="00966D80">
        <w:t xml:space="preserve"> mājsaimniecības nespējas uzturēt mājokli siltu problēmu gadījum</w:t>
      </w:r>
      <w:r w:rsidR="00D81A8E">
        <w:t>ā</w:t>
      </w:r>
      <w:r w:rsidRPr="00966D80">
        <w:t xml:space="preserve"> </w:t>
      </w:r>
      <w:r w:rsidR="00D81A8E">
        <w:t>vērojams</w:t>
      </w:r>
      <w:r w:rsidRPr="00966D80">
        <w:t xml:space="preserve"> kritums no 2015.</w:t>
      </w:r>
      <w:r w:rsidR="00D54545">
        <w:t xml:space="preserve"> </w:t>
      </w:r>
      <w:r w:rsidR="00D81A8E">
        <w:t>gada</w:t>
      </w:r>
      <w:r w:rsidRPr="00966D80">
        <w:t xml:space="preserve"> </w:t>
      </w:r>
      <w:r>
        <w:t xml:space="preserve">uz </w:t>
      </w:r>
      <w:r w:rsidRPr="00966D80">
        <w:t>2016</w:t>
      </w:r>
      <w:r>
        <w:t>. gadu</w:t>
      </w:r>
      <w:r w:rsidRPr="00966D80">
        <w:t xml:space="preserve">, bet pēc tam </w:t>
      </w:r>
      <w:r w:rsidR="00D81A8E">
        <w:t>sekoja</w:t>
      </w:r>
      <w:r w:rsidRPr="00966D80">
        <w:t xml:space="preserve"> kāpums abu problēmu gadījumā. Savukārt vannas vai dušas un iekštelpu tualetes ar ūdens klozetu pieejamības gadījumā </w:t>
      </w:r>
      <w:r w:rsidR="00D81A8E">
        <w:t>bijis</w:t>
      </w:r>
      <w:r w:rsidRPr="00966D80">
        <w:t xml:space="preserve"> kāpums no 2015.</w:t>
      </w:r>
      <w:r w:rsidR="00D54545">
        <w:t xml:space="preserve"> </w:t>
      </w:r>
      <w:r w:rsidR="00D81A8E">
        <w:t>gada</w:t>
      </w:r>
      <w:r w:rsidRPr="00966D80">
        <w:t xml:space="preserve"> uz 2016</w:t>
      </w:r>
      <w:r>
        <w:t>. gadu</w:t>
      </w:r>
      <w:r w:rsidRPr="00966D80">
        <w:t>, bet pēc tam redzams kritums.</w:t>
      </w:r>
    </w:p>
    <w:p w:rsidR="00EA1A95" w:rsidRPr="00824DEA" w:rsidRDefault="00381F09" w:rsidP="003945E0">
      <w:pPr>
        <w:pStyle w:val="Heading3"/>
      </w:pPr>
      <w:bookmarkStart w:id="716" w:name="_Toc6841653"/>
      <w:r w:rsidRPr="00665FAA">
        <w:t>Mājsaimniecību izdevumi par mājokli</w:t>
      </w:r>
      <w:bookmarkEnd w:id="716"/>
    </w:p>
    <w:p w:rsidR="00381F09" w:rsidRDefault="00972E13" w:rsidP="00824DEA">
      <w:r>
        <w:t xml:space="preserve">Mājokļa uzturēšanas izdevumos </w:t>
      </w:r>
      <w:r w:rsidR="00DF675A">
        <w:t xml:space="preserve">EU-SILC apsekojumā </w:t>
      </w:r>
      <w:r>
        <w:t xml:space="preserve">tiek </w:t>
      </w:r>
      <w:r w:rsidR="00381F09">
        <w:t>iekļau</w:t>
      </w:r>
      <w:r>
        <w:t xml:space="preserve">tas </w:t>
      </w:r>
      <w:r w:rsidR="00381F09">
        <w:t>piecas izdevumu pozīcijas, par kurām tiek iegūti dati:</w:t>
      </w:r>
    </w:p>
    <w:p w:rsidR="00381F09" w:rsidRDefault="00381F09" w:rsidP="003F469F">
      <w:pPr>
        <w:pStyle w:val="ListParagraph"/>
        <w:numPr>
          <w:ilvl w:val="0"/>
          <w:numId w:val="71"/>
        </w:numPr>
        <w:spacing w:line="276" w:lineRule="auto"/>
        <w:jc w:val="both"/>
      </w:pPr>
      <w:r>
        <w:t>īre par mājokļa izmantošanu (tikai īrniekiem);</w:t>
      </w:r>
    </w:p>
    <w:p w:rsidR="00DF675A" w:rsidRDefault="00DF675A" w:rsidP="003F469F">
      <w:pPr>
        <w:pStyle w:val="ListParagraph"/>
        <w:numPr>
          <w:ilvl w:val="0"/>
          <w:numId w:val="71"/>
        </w:numPr>
        <w:spacing w:line="276" w:lineRule="auto"/>
        <w:jc w:val="both"/>
      </w:pPr>
      <w:r w:rsidRPr="00DF675A">
        <w:t>hipotekārā kredīta pamatsummu (tiem, kas par savu mājokli maksā hipotekāro kredītu)</w:t>
      </w:r>
      <w:r>
        <w:t>;</w:t>
      </w:r>
    </w:p>
    <w:p w:rsidR="00381F09" w:rsidRDefault="00381F09" w:rsidP="003F469F">
      <w:pPr>
        <w:pStyle w:val="ListParagraph"/>
        <w:numPr>
          <w:ilvl w:val="0"/>
          <w:numId w:val="71"/>
        </w:numPr>
        <w:spacing w:line="276" w:lineRule="auto"/>
        <w:jc w:val="both"/>
      </w:pPr>
      <w:r>
        <w:t>īpašuma nodoklis par mājokli (tikai īpašniekiem);</w:t>
      </w:r>
    </w:p>
    <w:p w:rsidR="00381F09" w:rsidRDefault="00381F09" w:rsidP="003F469F">
      <w:pPr>
        <w:pStyle w:val="ListParagraph"/>
        <w:numPr>
          <w:ilvl w:val="0"/>
          <w:numId w:val="71"/>
        </w:numPr>
        <w:spacing w:line="276" w:lineRule="auto"/>
        <w:jc w:val="both"/>
      </w:pPr>
      <w:r>
        <w:t>apkure, elektrība, ūdensapgāde un kanalizācija, atkritumu izvešana u.c. ar mājokli saistītie maksājumi;</w:t>
      </w:r>
    </w:p>
    <w:p w:rsidR="00381F09" w:rsidRDefault="00381F09" w:rsidP="003F469F">
      <w:pPr>
        <w:pStyle w:val="ListParagraph"/>
        <w:numPr>
          <w:ilvl w:val="0"/>
          <w:numId w:val="71"/>
        </w:numPr>
        <w:spacing w:line="276" w:lineRule="auto"/>
        <w:jc w:val="both"/>
      </w:pPr>
      <w:r>
        <w:t>mājokļa kārtējā remonta un regulārās uzturēšanas izdevumi;</w:t>
      </w:r>
    </w:p>
    <w:p w:rsidR="00381F09" w:rsidRDefault="00381F09" w:rsidP="003F469F">
      <w:pPr>
        <w:pStyle w:val="ListParagraph"/>
        <w:numPr>
          <w:ilvl w:val="0"/>
          <w:numId w:val="71"/>
        </w:numPr>
        <w:spacing w:line="276" w:lineRule="auto"/>
        <w:jc w:val="both"/>
      </w:pPr>
      <w:r>
        <w:t>mājokļa apdrošināšanas izmaksas.</w:t>
      </w:r>
      <w:r>
        <w:rPr>
          <w:rStyle w:val="FootnoteReference"/>
        </w:rPr>
        <w:footnoteReference w:id="323"/>
      </w:r>
    </w:p>
    <w:p w:rsidR="00381F09" w:rsidRDefault="00381F09" w:rsidP="00064C1E"/>
    <w:p w:rsidR="000545BD" w:rsidRDefault="000545BD" w:rsidP="00064C1E">
      <w:r w:rsidRPr="00C45A27">
        <w:t>CSP iegūst datus gan par ar mājokļa uzturēšanu saistītajiem izdevumiem uz vienu mājsaimniecību procentos pret rīcībā esošo ienākumu, gan par ar mājokļa uzturēšanu saistītos izdevumus uz vienu mājsaimniecības locekli procentos pret rīcībā esošo ienākumu.</w:t>
      </w:r>
    </w:p>
    <w:p w:rsidR="000545BD" w:rsidRDefault="000545BD" w:rsidP="00064C1E">
      <w:pPr>
        <w:rPr>
          <w:b/>
        </w:rPr>
      </w:pPr>
    </w:p>
    <w:p w:rsidR="00381F09" w:rsidRDefault="00381F09" w:rsidP="00064C1E">
      <w:r w:rsidRPr="00BC282B">
        <w:rPr>
          <w:b/>
        </w:rPr>
        <w:t>2017. gadā kopējie ar mājokļa uzturēšanu saistītie izdevum</w:t>
      </w:r>
      <w:r w:rsidR="00972E13" w:rsidRPr="00BC282B">
        <w:rPr>
          <w:b/>
        </w:rPr>
        <w:t>i</w:t>
      </w:r>
      <w:r w:rsidRPr="00BC282B">
        <w:rPr>
          <w:b/>
        </w:rPr>
        <w:t xml:space="preserve"> uz vienu mājsaimniecību mēnesī ir 138,1 </w:t>
      </w:r>
      <w:r w:rsidR="00235F1B" w:rsidRPr="00BC282B">
        <w:rPr>
          <w:b/>
        </w:rPr>
        <w:t>EUR</w:t>
      </w:r>
      <w:r w:rsidR="00235F1B">
        <w:t xml:space="preserve"> </w:t>
      </w:r>
      <w:r w:rsidR="00EA1A95">
        <w:t>(</w:t>
      </w:r>
      <w:r w:rsidR="00824DEA">
        <w:t>sk.</w:t>
      </w:r>
      <w:r w:rsidR="00FE57B4">
        <w:t>3.26</w:t>
      </w:r>
      <w:r w:rsidR="00824DEA">
        <w:t>. attēlu</w:t>
      </w:r>
      <w:r w:rsidR="00EA1A95">
        <w:t>)</w:t>
      </w:r>
      <w:r>
        <w:t xml:space="preserve">. Salīdzinot šo rādītāju ar 2016. gada rādītājiem, jānorāda, ka ir </w:t>
      </w:r>
      <w:r>
        <w:lastRenderedPageBreak/>
        <w:t xml:space="preserve">vērojams 1,9 </w:t>
      </w:r>
      <w:r w:rsidR="00235F1B">
        <w:t xml:space="preserve">EUR </w:t>
      </w:r>
      <w:r>
        <w:t xml:space="preserve">kritums. Laika posmā no 2009. </w:t>
      </w:r>
      <w:r w:rsidR="00F74B8F">
        <w:t xml:space="preserve">gada </w:t>
      </w:r>
      <w:r>
        <w:t>līdz 2017. gadam ir vērojamas divu veidu tendences. Pirmā novērojama laika posm</w:t>
      </w:r>
      <w:r w:rsidR="00972E13">
        <w:t>ā</w:t>
      </w:r>
      <w:r>
        <w:t xml:space="preserve"> no 2009. </w:t>
      </w:r>
      <w:r w:rsidR="00D54545">
        <w:t>gad</w:t>
      </w:r>
      <w:r w:rsidR="00FE57B4">
        <w:t>a</w:t>
      </w:r>
      <w:r w:rsidR="00D54545">
        <w:t xml:space="preserve"> </w:t>
      </w:r>
      <w:r>
        <w:t xml:space="preserve">līdz 2015. gadam, kad bija kopējo ar mājokļa uzturēšanu saistīto izdevumu pieaugums par 24,5 </w:t>
      </w:r>
      <w:r w:rsidR="00235F1B">
        <w:t xml:space="preserve">EUR </w:t>
      </w:r>
      <w:r w:rsidR="00972E13">
        <w:t>(</w:t>
      </w:r>
      <w:r>
        <w:t xml:space="preserve">no 117,4 </w:t>
      </w:r>
      <w:r w:rsidR="00235F1B">
        <w:t xml:space="preserve">EUR </w:t>
      </w:r>
      <w:r>
        <w:t xml:space="preserve">2009. gadā līdz 141,9 </w:t>
      </w:r>
      <w:r w:rsidR="00235F1B">
        <w:t xml:space="preserve">EUR </w:t>
      </w:r>
      <w:r>
        <w:t>2015. gadā</w:t>
      </w:r>
      <w:r w:rsidR="00972E13">
        <w:t>)</w:t>
      </w:r>
      <w:r>
        <w:t>. Pēc 2015. gada redzama otra tendence – kritums, kura laikā, kā jau minēts iepriekš</w:t>
      </w:r>
      <w:r w:rsidR="00972E13">
        <w:t>,</w:t>
      </w:r>
      <w:r>
        <w:t xml:space="preserve"> izdevumi samazinājušies par 3,8 </w:t>
      </w:r>
      <w:r w:rsidR="00235F1B">
        <w:t>EUR,</w:t>
      </w:r>
      <w:r>
        <w:t xml:space="preserve"> 2017. gadā sasniedz</w:t>
      </w:r>
      <w:r w:rsidR="00972E13">
        <w:t>ot</w:t>
      </w:r>
      <w:r>
        <w:t xml:space="preserve"> 138,1 </w:t>
      </w:r>
      <w:r w:rsidR="00235F1B">
        <w:t>EUR.</w:t>
      </w:r>
    </w:p>
    <w:p w:rsidR="00381F09" w:rsidRPr="00EA1A95" w:rsidRDefault="00AD3EDD" w:rsidP="00A46B54">
      <w:pPr>
        <w:pStyle w:val="Caption"/>
      </w:pPr>
      <w:r>
        <w:fldChar w:fldCharType="begin"/>
      </w:r>
      <w:r w:rsidR="000F1524">
        <w:instrText xml:space="preserve"> STYLEREF 1 \s </w:instrText>
      </w:r>
      <w:r>
        <w:fldChar w:fldCharType="separate"/>
      </w:r>
      <w:bookmarkStart w:id="717" w:name="_Toc6855841"/>
      <w:r w:rsidR="00224B50">
        <w:rPr>
          <w:noProof/>
        </w:rPr>
        <w:t>3</w:t>
      </w:r>
      <w:r>
        <w:rPr>
          <w:noProof/>
        </w:rPr>
        <w:fldChar w:fldCharType="end"/>
      </w:r>
      <w:r w:rsidR="006B5456">
        <w:t>.</w:t>
      </w:r>
      <w:r>
        <w:fldChar w:fldCharType="begin"/>
      </w:r>
      <w:r w:rsidR="000F1524">
        <w:instrText xml:space="preserve"> SEQ Ilustrācija \* ARABIC \s 1 </w:instrText>
      </w:r>
      <w:r>
        <w:fldChar w:fldCharType="separate"/>
      </w:r>
      <w:r w:rsidR="00224B50">
        <w:rPr>
          <w:noProof/>
        </w:rPr>
        <w:t>26</w:t>
      </w:r>
      <w:r>
        <w:rPr>
          <w:noProof/>
        </w:rPr>
        <w:fldChar w:fldCharType="end"/>
      </w:r>
      <w:r w:rsidR="00EA1A95">
        <w:t>.</w:t>
      </w:r>
      <w:r w:rsidR="00EA1A95" w:rsidRPr="00EA1A95">
        <w:t xml:space="preserve">attēls. </w:t>
      </w:r>
      <w:r w:rsidR="00381F09" w:rsidRPr="00EA1A95">
        <w:t>Ar mājokļa uzturēšanu saistītie izdevumi uz vienu mājsaimniecību. Kopējie ar mājokļa uzturēšanu saistītie izdevumi uz vienu mājsaimniecību mēne</w:t>
      </w:r>
      <w:r w:rsidR="00EA1A95" w:rsidRPr="00EA1A95">
        <w:t xml:space="preserve">sī, </w:t>
      </w:r>
      <w:r w:rsidR="00235F1B">
        <w:t>EUR</w:t>
      </w:r>
      <w:r w:rsidR="004A56BE">
        <w:t xml:space="preserve"> (v</w:t>
      </w:r>
      <w:r w:rsidR="00EA1A95" w:rsidRPr="00EA1A95">
        <w:t>isas mājsaimniecības</w:t>
      </w:r>
      <w:r w:rsidR="004A56BE">
        <w:t>)</w:t>
      </w:r>
      <w:bookmarkEnd w:id="717"/>
    </w:p>
    <w:p w:rsidR="00381F09" w:rsidRDefault="00316778" w:rsidP="00064C1E">
      <w:r w:rsidRPr="00316778">
        <w:rPr>
          <w:noProof/>
        </w:rPr>
        <w:drawing>
          <wp:inline distT="0" distB="0" distL="0" distR="0">
            <wp:extent cx="6154420" cy="174970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4420" cy="1749701"/>
                    </a:xfrm>
                    <a:prstGeom prst="rect">
                      <a:avLst/>
                    </a:prstGeom>
                    <a:noFill/>
                    <a:ln>
                      <a:noFill/>
                    </a:ln>
                  </pic:spPr>
                </pic:pic>
              </a:graphicData>
            </a:graphic>
          </wp:inline>
        </w:drawing>
      </w:r>
    </w:p>
    <w:p w:rsidR="00381F09" w:rsidRPr="004A56BE" w:rsidRDefault="004A56BE" w:rsidP="00C33A64">
      <w:pPr>
        <w:pStyle w:val="avotiemft10"/>
      </w:pPr>
      <w:bookmarkStart w:id="718" w:name="_Toc6841654"/>
      <w:r w:rsidRPr="004A56BE">
        <w:t>Avots: CSP, “</w:t>
      </w:r>
      <w:r w:rsidRPr="00DA49DB">
        <w:t>MTG050</w:t>
      </w:r>
      <w:r w:rsidRPr="004A56BE">
        <w:t>. Ar mājokļa uzturēšanu saistītie izdevumi uz vienu mājsaimniecību”.</w:t>
      </w:r>
      <w:bookmarkEnd w:id="718"/>
    </w:p>
    <w:p w:rsidR="004A56BE" w:rsidRDefault="004A56BE" w:rsidP="00064C1E"/>
    <w:p w:rsidR="005C06D7" w:rsidRDefault="005C06D7" w:rsidP="005C06D7">
      <w:r>
        <w:t xml:space="preserve">Skatoties </w:t>
      </w:r>
      <w:r w:rsidRPr="00BC282B">
        <w:rPr>
          <w:b/>
        </w:rPr>
        <w:t>lauku un pilsētu</w:t>
      </w:r>
      <w:r>
        <w:t xml:space="preserve"> griezumā, iespējams secināt, ka pilsētās ar mājokļa uzturēšanu saistītie izdevumi ir augstāki. Skatoties datus par 2017. gadu, vērojama 31,4 EUR atšķirība starp lauku un pilsētu mājsaimniecībām, tas ir, pilsētās šie izdevumi 2017. gadā ir 147,1 EUR mēnesī, kamēr laukos </w:t>
      </w:r>
      <w:r w:rsidR="00D81A8E">
        <w:t xml:space="preserve">- </w:t>
      </w:r>
      <w:r>
        <w:t>115,47 EUR. Arī laika posmā no 2009.</w:t>
      </w:r>
      <w:r w:rsidR="00D81A8E">
        <w:t xml:space="preserve"> gada</w:t>
      </w:r>
      <w:r>
        <w:t xml:space="preserve"> līdz 2017. gadam vērojama tā pati tendence, proti, ka pilsētās izdevumi ir augstāki, mainās tikai atšķirību lielums, bet vidēji tie bijuši par 36,6 EUR mēnesī augstāki. Tāpat kā kopējā tendenc</w:t>
      </w:r>
      <w:r w:rsidR="00D81A8E">
        <w:t>e</w:t>
      </w:r>
      <w:r>
        <w:t>, tā gan pilsētās, gan laukos vērojams izdevumu pieaugums līdz 2015. gadam un neliels kritums pēc 2015. gada. Pilsētās šis pieaugums bija no 131,6 EUR 2009. gadā līdz 151,7 EUR 2015. gadā un pēc tam kritums līdz 147,1 EUR, bet laukos šis pieaugums bija no 86 EUR 2009. gadā līdz 118,5 EUR 2015. gadā un pēc tam kritums līdz 115,7 EUR 2017. gadā.</w:t>
      </w:r>
    </w:p>
    <w:p w:rsidR="005C06D7" w:rsidRDefault="005C06D7" w:rsidP="005C06D7"/>
    <w:p w:rsidR="005C06D7" w:rsidRDefault="005C06D7" w:rsidP="005C06D7">
      <w:r w:rsidRPr="00BC282B">
        <w:rPr>
          <w:b/>
        </w:rPr>
        <w:t>Reģionu griezumā</w:t>
      </w:r>
      <w:r>
        <w:t xml:space="preserve"> lielāki ar mājokļa uzturēšanu saistītie izdevumi 2017. gadā ir novērojami Rīgas reģionā, ku</w:t>
      </w:r>
      <w:r w:rsidR="00D81A8E">
        <w:t>r tie sasniedz 164,1 EUR mēnesī. S</w:t>
      </w:r>
      <w:r>
        <w:t xml:space="preserve">alīdzinoši augsti tie ir arī Pierīgas reģionā, kur tie ir 158,1 EUR, bet pārējos reģionos tie ir zemāki. Viszemākie ar mājokļa uzturēšanu saistītie izdevumi ir Latgales reģionā, kur 2017. gadā tie bija 99,4 EUR mēnesī. Laika posmā no 2009. </w:t>
      </w:r>
      <w:r w:rsidR="00D54545">
        <w:t xml:space="preserve">gada </w:t>
      </w:r>
      <w:r>
        <w:t xml:space="preserve">līdz 2017. gadam nevar novērot tādas pašas tendences kā iepriekš, jo dati reģionu griezumā nav bijuši tik konstanti savā pieaugumā vai kritumā. Tas parādās piemērā ar jau iepriekš apskatīto periodu no 2015. gada līdz 2016. gadam. Šajā periodā Pierīgas </w:t>
      </w:r>
      <w:r w:rsidRPr="00EA1A95">
        <w:t xml:space="preserve">reģionā redzams kritums par 8,8 </w:t>
      </w:r>
      <w:r>
        <w:t>EUR,</w:t>
      </w:r>
      <w:r w:rsidRPr="00EA1A95">
        <w:t xml:space="preserve"> taču Zemgales reģionā tajā pašā laikā redzams pieaugums par</w:t>
      </w:r>
      <w:r>
        <w:t xml:space="preserve"> 16,3 EUR. Neskatoties uz to, ja salīdzina 2009. </w:t>
      </w:r>
      <w:r w:rsidR="00D54545">
        <w:t>gadu un 2017. gadu</w:t>
      </w:r>
      <w:r>
        <w:t xml:space="preserve">, iespējams secināt, ka </w:t>
      </w:r>
      <w:r w:rsidRPr="00972E13">
        <w:rPr>
          <w:b/>
        </w:rPr>
        <w:t>kopējie ar mājokļa uzturēšanu saistītie izdevumi ir pieauguši</w:t>
      </w:r>
      <w:r>
        <w:t>.</w:t>
      </w:r>
    </w:p>
    <w:p w:rsidR="005C06D7" w:rsidRDefault="005C06D7" w:rsidP="00064C1E"/>
    <w:p w:rsidR="00381F09" w:rsidRDefault="00381F09" w:rsidP="00064C1E">
      <w:r>
        <w:lastRenderedPageBreak/>
        <w:t xml:space="preserve">Mājsaimniecību </w:t>
      </w:r>
      <w:r w:rsidR="00972E13">
        <w:t xml:space="preserve">tipu </w:t>
      </w:r>
      <w:r>
        <w:t xml:space="preserve">griezumā </w:t>
      </w:r>
      <w:r w:rsidRPr="000545BD">
        <w:rPr>
          <w:b/>
        </w:rPr>
        <w:t xml:space="preserve">vislielākos ar mājokli saistītos izdevumus 2017. gadā maksāja </w:t>
      </w:r>
      <w:r w:rsidR="0066684F" w:rsidRPr="000545BD">
        <w:rPr>
          <w:b/>
        </w:rPr>
        <w:t>daudzbērnu ģimenes</w:t>
      </w:r>
      <w:r>
        <w:t xml:space="preserve">, šāda tipa mājsaimniecībām šie izdevumi 2017. gadā sasniedz 208,2 </w:t>
      </w:r>
      <w:r w:rsidR="00235F1B">
        <w:t xml:space="preserve">EUR </w:t>
      </w:r>
      <w:r w:rsidR="00972E13">
        <w:t xml:space="preserve">mēnesī </w:t>
      </w:r>
      <w:r w:rsidR="00EA1A95">
        <w:t>(</w:t>
      </w:r>
      <w:r w:rsidR="00824DEA">
        <w:t xml:space="preserve">sk. </w:t>
      </w:r>
      <w:r w:rsidR="00FE57B4">
        <w:t>3.27</w:t>
      </w:r>
      <w:r w:rsidR="00824DEA">
        <w:t>. attēlu</w:t>
      </w:r>
      <w:r w:rsidR="00EA1A95">
        <w:t>)</w:t>
      </w:r>
      <w:r>
        <w:t xml:space="preserve">. </w:t>
      </w:r>
    </w:p>
    <w:p w:rsidR="00381F09" w:rsidRPr="00EA1A95" w:rsidRDefault="00AD3EDD" w:rsidP="00A46B54">
      <w:pPr>
        <w:pStyle w:val="Caption"/>
      </w:pPr>
      <w:r>
        <w:fldChar w:fldCharType="begin"/>
      </w:r>
      <w:r w:rsidR="000F1524">
        <w:instrText xml:space="preserve"> STYLEREF 1 \s </w:instrText>
      </w:r>
      <w:r>
        <w:fldChar w:fldCharType="separate"/>
      </w:r>
      <w:bookmarkStart w:id="719" w:name="_Toc6855842"/>
      <w:r w:rsidR="00224B50">
        <w:rPr>
          <w:noProof/>
        </w:rPr>
        <w:t>3</w:t>
      </w:r>
      <w:r>
        <w:rPr>
          <w:noProof/>
        </w:rPr>
        <w:fldChar w:fldCharType="end"/>
      </w:r>
      <w:r w:rsidR="006B5456">
        <w:t>.</w:t>
      </w:r>
      <w:r>
        <w:fldChar w:fldCharType="begin"/>
      </w:r>
      <w:r w:rsidR="000F1524">
        <w:instrText xml:space="preserve"> SEQ Ilustrācija \* ARABIC \s 1 </w:instrText>
      </w:r>
      <w:r>
        <w:fldChar w:fldCharType="separate"/>
      </w:r>
      <w:r w:rsidR="00224B50">
        <w:rPr>
          <w:noProof/>
        </w:rPr>
        <w:t>27</w:t>
      </w:r>
      <w:r>
        <w:rPr>
          <w:noProof/>
        </w:rPr>
        <w:fldChar w:fldCharType="end"/>
      </w:r>
      <w:r w:rsidR="00EA1A95">
        <w:t xml:space="preserve">.attēls. </w:t>
      </w:r>
      <w:r w:rsidR="00381F09" w:rsidRPr="00EA1A95">
        <w:t>Kopējie ar mājokļa uzturēšanu saistītie izdevumi uz vienu mājsaimniecību mē</w:t>
      </w:r>
      <w:r w:rsidR="00EA1A95">
        <w:t xml:space="preserve">nesī, </w:t>
      </w:r>
      <w:r w:rsidR="00235F1B">
        <w:t>EUR</w:t>
      </w:r>
      <w:r w:rsidR="00E62E93">
        <w:t xml:space="preserve"> (m</w:t>
      </w:r>
      <w:r w:rsidR="00EA1A95">
        <w:t>ājsaimniecību tipi</w:t>
      </w:r>
      <w:r w:rsidR="00E62E93">
        <w:t>)</w:t>
      </w:r>
      <w:bookmarkEnd w:id="719"/>
      <w:r w:rsidR="00E62E93">
        <w:t xml:space="preserve"> </w:t>
      </w:r>
    </w:p>
    <w:p w:rsidR="00381F09" w:rsidRDefault="00316778" w:rsidP="00064C1E">
      <w:r w:rsidRPr="00316778">
        <w:rPr>
          <w:noProof/>
        </w:rPr>
        <w:drawing>
          <wp:inline distT="0" distB="0" distL="0" distR="0">
            <wp:extent cx="6154420" cy="275947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4420" cy="2759478"/>
                    </a:xfrm>
                    <a:prstGeom prst="rect">
                      <a:avLst/>
                    </a:prstGeom>
                    <a:noFill/>
                    <a:ln>
                      <a:noFill/>
                    </a:ln>
                  </pic:spPr>
                </pic:pic>
              </a:graphicData>
            </a:graphic>
          </wp:inline>
        </w:drawing>
      </w:r>
    </w:p>
    <w:p w:rsidR="00381F09" w:rsidRPr="00E62E93" w:rsidRDefault="00E62E93" w:rsidP="00C33A64">
      <w:pPr>
        <w:pStyle w:val="avotiemft10"/>
      </w:pPr>
      <w:bookmarkStart w:id="720" w:name="_Toc6841655"/>
      <w:r w:rsidRPr="00E62E93">
        <w:t>Avots: CSP, “MTG050. Ar mājokļa uzturēšanu saistītie izdevumi uz vienu mājsaimniecību”.</w:t>
      </w:r>
      <w:bookmarkEnd w:id="720"/>
    </w:p>
    <w:p w:rsidR="00E62E93" w:rsidRDefault="00E62E93" w:rsidP="00064C1E"/>
    <w:p w:rsidR="005C06D7" w:rsidRPr="00EA1A95" w:rsidRDefault="005C06D7" w:rsidP="005C06D7">
      <w:r>
        <w:t xml:space="preserve">Salīdzinoši augsti izdevumi bija </w:t>
      </w:r>
      <w:r w:rsidR="00BC282B">
        <w:t>arī ģimenēm</w:t>
      </w:r>
      <w:r>
        <w:t xml:space="preserve"> ar diviem bērniem – šāda veida mājsaimniecībām ar mājokli saistītie izdevumi 2017. gadā bija 204,8 EUR, taču, kas arī ir būtiski, salīdzinot ar 2016. gadu, šie izdevumi pieauga par 28 EUR. Šajā pašā periodā liels ar mājokli saistīto izdevumu kritums bijis arī </w:t>
      </w:r>
      <w:r w:rsidR="00BC282B">
        <w:t>ģimenēm</w:t>
      </w:r>
      <w:r>
        <w:t xml:space="preserve"> ar vienu bērnu – 15,4 EUR. Laika posmā no 2009. </w:t>
      </w:r>
      <w:r w:rsidR="00D54545">
        <w:t xml:space="preserve">gada </w:t>
      </w:r>
      <w:r>
        <w:t xml:space="preserve">līdz 2017. gadam vērojama tendence, kas raksturo ar mājokli saistītos izdevumus, kuri bija nepieciešami </w:t>
      </w:r>
      <w:r w:rsidR="00BC282B">
        <w:t>daudzbērnu ģimenēm</w:t>
      </w:r>
      <w:r>
        <w:t xml:space="preserve">. Šādām mājsaimniecībām no 2009. </w:t>
      </w:r>
      <w:r w:rsidR="00F74B8F">
        <w:t xml:space="preserve">gada </w:t>
      </w:r>
      <w:r>
        <w:t xml:space="preserve">līdz 2010. gadam bija vērojams mājokļa uzturēšanas izdevumu kritums par 9 EUR, taču tad līdz 2015. gadam notika straujš kāpums – par 91,2 EUR. Jāpiebilst gan, ka 2016. gadā šie izdevumi samazinājās par 23,4 EUR. Izmaiņas piedzīvoja arī citas mājsaimniecības, kurās ir bērni, tā ar mājokli saistītie izdevumi pāra un viena bērna mājsaimniecībām no 2012. </w:t>
      </w:r>
      <w:r w:rsidR="00D54545">
        <w:t xml:space="preserve">gada </w:t>
      </w:r>
      <w:r>
        <w:t>uz 2015. gadu pieauga par 46,3 EUR, bet pārim ar diviem bērniem no 2014. gada līdz 2016. gadam vērojams 34,1 EUR pieaugums. Taču kopumā mājsaimniecību</w:t>
      </w:r>
      <w:r w:rsidR="00D81A8E">
        <w:t xml:space="preserve"> ar bērniem gadījumos</w:t>
      </w:r>
      <w:r w:rsidRPr="00EA1A95">
        <w:t xml:space="preserve"> </w:t>
      </w:r>
      <w:r w:rsidR="00D81A8E">
        <w:t>rādītāja vērtībām</w:t>
      </w:r>
      <w:r>
        <w:t xml:space="preserve"> par mājokļa uzturēšanas izdevumu apjomu</w:t>
      </w:r>
      <w:r w:rsidRPr="00EA1A95">
        <w:t xml:space="preserve"> ir tendence svārstīties.</w:t>
      </w:r>
    </w:p>
    <w:p w:rsidR="005C06D7" w:rsidRPr="00BC282B" w:rsidRDefault="005C06D7" w:rsidP="00064C1E">
      <w:pPr>
        <w:rPr>
          <w:b/>
        </w:rPr>
      </w:pPr>
    </w:p>
    <w:p w:rsidR="00BC282B" w:rsidRDefault="00381F09" w:rsidP="00064C1E">
      <w:r w:rsidRPr="00BC282B">
        <w:rPr>
          <w:b/>
        </w:rPr>
        <w:t>Skatoties tendences par kopējiem</w:t>
      </w:r>
      <w:r>
        <w:t xml:space="preserve"> mājokļa izdevumiem procentos pret rīcībā esošo ienākumu</w:t>
      </w:r>
      <w:r w:rsidR="00EA1A95">
        <w:t xml:space="preserve"> (</w:t>
      </w:r>
      <w:r w:rsidR="00824DEA">
        <w:t xml:space="preserve">sk. </w:t>
      </w:r>
      <w:r w:rsidR="00FE57B4">
        <w:t>3.28</w:t>
      </w:r>
      <w:r w:rsidR="00824DEA">
        <w:t>. attēlu</w:t>
      </w:r>
      <w:r w:rsidR="00EA1A95">
        <w:t>)</w:t>
      </w:r>
      <w:r>
        <w:t xml:space="preserve">, saskatāmi </w:t>
      </w:r>
      <w:r w:rsidR="00A15206">
        <w:t xml:space="preserve">vairāki posmi: </w:t>
      </w:r>
    </w:p>
    <w:p w:rsidR="00BC282B" w:rsidRDefault="00A15206" w:rsidP="00F90925">
      <w:pPr>
        <w:ind w:firstLine="709"/>
      </w:pPr>
      <w:r>
        <w:t xml:space="preserve">1) </w:t>
      </w:r>
      <w:r w:rsidR="00381F09">
        <w:t xml:space="preserve">no 2009. </w:t>
      </w:r>
      <w:r w:rsidR="00D54545">
        <w:t xml:space="preserve">gada </w:t>
      </w:r>
      <w:r w:rsidR="00381F09">
        <w:t>līdz 2011. gadam redzams kāpums par 3,8</w:t>
      </w:r>
      <w:r>
        <w:t xml:space="preserve"> procentpunktiem,</w:t>
      </w:r>
      <w:r w:rsidR="00381F09">
        <w:t xml:space="preserve"> un 2011. gadā 17,9% no mājsaimniecības ienākumiem tika iztērēti ar mājokli saistītos izdevumos</w:t>
      </w:r>
      <w:r w:rsidR="00BC282B">
        <w:t>;</w:t>
      </w:r>
    </w:p>
    <w:p w:rsidR="00BC282B" w:rsidRDefault="00A15206" w:rsidP="00F90925">
      <w:pPr>
        <w:ind w:firstLine="709"/>
      </w:pPr>
      <w:r>
        <w:t xml:space="preserve">2) </w:t>
      </w:r>
      <w:r w:rsidR="00381F09">
        <w:t>pēc 2011. gada vērojams kritums par 0,7</w:t>
      </w:r>
      <w:r>
        <w:t xml:space="preserve"> procentpunktiem, kam seko</w:t>
      </w:r>
      <w:r w:rsidR="00381F09">
        <w:t xml:space="preserve"> </w:t>
      </w:r>
      <w:r>
        <w:t>neliels</w:t>
      </w:r>
      <w:r w:rsidR="00381F09">
        <w:t xml:space="preserve"> kāpums par 0,1</w:t>
      </w:r>
      <w:r>
        <w:t xml:space="preserve"> procentpunktiem</w:t>
      </w:r>
      <w:r w:rsidR="00381F09">
        <w:t xml:space="preserve"> </w:t>
      </w:r>
      <w:r>
        <w:t xml:space="preserve">2013. </w:t>
      </w:r>
      <w:r w:rsidR="00BC282B">
        <w:t>g</w:t>
      </w:r>
      <w:r>
        <w:t>adā</w:t>
      </w:r>
      <w:r w:rsidR="00BC282B">
        <w:t>;</w:t>
      </w:r>
    </w:p>
    <w:p w:rsidR="00381F09" w:rsidRDefault="00A15206" w:rsidP="00F90925">
      <w:pPr>
        <w:ind w:firstLine="709"/>
      </w:pPr>
      <w:r>
        <w:lastRenderedPageBreak/>
        <w:t>3) p</w:t>
      </w:r>
      <w:r w:rsidR="00381F09">
        <w:t>ēc tam šis rādītājs ir kriti</w:t>
      </w:r>
      <w:r>
        <w:t>e</w:t>
      </w:r>
      <w:r w:rsidR="00381F09">
        <w:t>s</w:t>
      </w:r>
      <w:r>
        <w:t>,</w:t>
      </w:r>
      <w:r w:rsidR="00381F09">
        <w:t xml:space="preserve"> un par mājokli tika tērēta aizvien mazāka izdevumu daļa</w:t>
      </w:r>
      <w:r>
        <w:t>, līdz</w:t>
      </w:r>
      <w:r w:rsidR="00381F09">
        <w:t xml:space="preserve"> </w:t>
      </w:r>
      <w:r w:rsidR="00381F09" w:rsidRPr="00BC282B">
        <w:rPr>
          <w:b/>
        </w:rPr>
        <w:t xml:space="preserve">2017. </w:t>
      </w:r>
      <w:r w:rsidRPr="00BC282B">
        <w:rPr>
          <w:b/>
        </w:rPr>
        <w:t>g</w:t>
      </w:r>
      <w:r w:rsidR="00381F09" w:rsidRPr="00BC282B">
        <w:rPr>
          <w:b/>
        </w:rPr>
        <w:t>ad</w:t>
      </w:r>
      <w:r w:rsidRPr="00BC282B">
        <w:rPr>
          <w:b/>
        </w:rPr>
        <w:t xml:space="preserve">ā </w:t>
      </w:r>
      <w:r w:rsidR="00BC282B" w:rsidRPr="00BC282B">
        <w:rPr>
          <w:b/>
        </w:rPr>
        <w:t xml:space="preserve">vidēji </w:t>
      </w:r>
      <w:r w:rsidR="00381F09" w:rsidRPr="00BC282B">
        <w:rPr>
          <w:b/>
        </w:rPr>
        <w:t>13,5% no mājsaimniecības rīcībā esošajiem ienākumiem tiek iztērēti izdevumos par mājokli</w:t>
      </w:r>
      <w:r w:rsidR="00381F09">
        <w:t xml:space="preserve">. Kopējais kritums no 2013. gada </w:t>
      </w:r>
      <w:r>
        <w:t xml:space="preserve">līdz 2017. gadam </w:t>
      </w:r>
      <w:r w:rsidR="00381F09">
        <w:t>ir 3,8</w:t>
      </w:r>
      <w:r>
        <w:t xml:space="preserve"> procentpunkti</w:t>
      </w:r>
      <w:r w:rsidR="00381F09">
        <w:t>.</w:t>
      </w:r>
    </w:p>
    <w:p w:rsidR="00381F09" w:rsidRPr="00EA1A95" w:rsidRDefault="00AD3EDD" w:rsidP="00A46B54">
      <w:pPr>
        <w:pStyle w:val="Caption"/>
      </w:pPr>
      <w:r>
        <w:fldChar w:fldCharType="begin"/>
      </w:r>
      <w:r w:rsidR="000F1524">
        <w:instrText xml:space="preserve"> STYLEREF 1 \s </w:instrText>
      </w:r>
      <w:r>
        <w:fldChar w:fldCharType="separate"/>
      </w:r>
      <w:bookmarkStart w:id="721" w:name="_Toc6855843"/>
      <w:r w:rsidR="00224B50">
        <w:rPr>
          <w:noProof/>
        </w:rPr>
        <w:t>3</w:t>
      </w:r>
      <w:r>
        <w:rPr>
          <w:noProof/>
        </w:rPr>
        <w:fldChar w:fldCharType="end"/>
      </w:r>
      <w:r w:rsidR="006B5456">
        <w:t>.</w:t>
      </w:r>
      <w:r>
        <w:fldChar w:fldCharType="begin"/>
      </w:r>
      <w:r w:rsidR="000F1524">
        <w:instrText xml:space="preserve"> SEQ Ilustrācija \* ARABIC \s 1 </w:instrText>
      </w:r>
      <w:r>
        <w:fldChar w:fldCharType="separate"/>
      </w:r>
      <w:r w:rsidR="00224B50">
        <w:rPr>
          <w:noProof/>
        </w:rPr>
        <w:t>28</w:t>
      </w:r>
      <w:r>
        <w:rPr>
          <w:noProof/>
        </w:rPr>
        <w:fldChar w:fldCharType="end"/>
      </w:r>
      <w:r w:rsidR="001F37C8">
        <w:t xml:space="preserve">. </w:t>
      </w:r>
      <w:r w:rsidR="00381F09" w:rsidRPr="00EA1A95">
        <w:t>attēls. Ar mājokļa uzturēšanu saistītie izdevumi uz vienu mājsaimniecību. Mājsaimniecību izdevumi par mājokli. Mājokļa izdevumi</w:t>
      </w:r>
      <w:r w:rsidR="00BC282B">
        <w:t xml:space="preserve"> %</w:t>
      </w:r>
      <w:r w:rsidR="00381F09" w:rsidRPr="00EA1A95">
        <w:t xml:space="preserve"> pret rīcībā esošo ienākumu</w:t>
      </w:r>
      <w:r w:rsidR="00BA3707">
        <w:t xml:space="preserve"> (v</w:t>
      </w:r>
      <w:r w:rsidR="00381F09" w:rsidRPr="00EA1A95">
        <w:t>isas mājsaimniecības</w:t>
      </w:r>
      <w:r w:rsidR="00BA3707">
        <w:t>)</w:t>
      </w:r>
      <w:bookmarkEnd w:id="721"/>
    </w:p>
    <w:p w:rsidR="00381F09" w:rsidRDefault="00316778" w:rsidP="00064C1E">
      <w:r w:rsidRPr="00316778">
        <w:rPr>
          <w:noProof/>
        </w:rPr>
        <w:drawing>
          <wp:inline distT="0" distB="0" distL="0" distR="0">
            <wp:extent cx="6124575" cy="1866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1866900"/>
                    </a:xfrm>
                    <a:prstGeom prst="rect">
                      <a:avLst/>
                    </a:prstGeom>
                    <a:noFill/>
                    <a:ln>
                      <a:noFill/>
                    </a:ln>
                  </pic:spPr>
                </pic:pic>
              </a:graphicData>
            </a:graphic>
          </wp:inline>
        </w:drawing>
      </w:r>
    </w:p>
    <w:p w:rsidR="005C06D7" w:rsidRPr="00BA3707" w:rsidRDefault="00BA3707" w:rsidP="00064C1E">
      <w:pPr>
        <w:rPr>
          <w:sz w:val="20"/>
          <w:szCs w:val="20"/>
        </w:rPr>
      </w:pPr>
      <w:r w:rsidRPr="00BA3707">
        <w:rPr>
          <w:sz w:val="20"/>
          <w:szCs w:val="20"/>
        </w:rPr>
        <w:t>Avots: CSP, “MTG050. Ar mājokļa uzturēšanu saistītie izdevumi uz vienu mājsaimniecību”.</w:t>
      </w:r>
    </w:p>
    <w:p w:rsidR="00381F09" w:rsidRPr="00EA1A95" w:rsidRDefault="00AD3EDD" w:rsidP="00A46B54">
      <w:pPr>
        <w:pStyle w:val="Caption"/>
      </w:pPr>
      <w:r>
        <w:fldChar w:fldCharType="begin"/>
      </w:r>
      <w:r w:rsidR="000F1524">
        <w:instrText xml:space="preserve"> STYLEREF 1 \s </w:instrText>
      </w:r>
      <w:r>
        <w:fldChar w:fldCharType="separate"/>
      </w:r>
      <w:bookmarkStart w:id="722" w:name="_Toc6855844"/>
      <w:r w:rsidR="00224B50">
        <w:rPr>
          <w:noProof/>
        </w:rPr>
        <w:t>3</w:t>
      </w:r>
      <w:r>
        <w:rPr>
          <w:noProof/>
        </w:rPr>
        <w:fldChar w:fldCharType="end"/>
      </w:r>
      <w:r w:rsidR="006B5456">
        <w:t>.</w:t>
      </w:r>
      <w:r>
        <w:fldChar w:fldCharType="begin"/>
      </w:r>
      <w:r w:rsidR="000F1524">
        <w:instrText xml:space="preserve"> SEQ Ilustrācija \* ARABIC \s 1 </w:instrText>
      </w:r>
      <w:r>
        <w:fldChar w:fldCharType="separate"/>
      </w:r>
      <w:r w:rsidR="00224B50">
        <w:rPr>
          <w:noProof/>
        </w:rPr>
        <w:t>29</w:t>
      </w:r>
      <w:r>
        <w:rPr>
          <w:noProof/>
        </w:rPr>
        <w:fldChar w:fldCharType="end"/>
      </w:r>
      <w:r w:rsidR="00EA1A95">
        <w:t xml:space="preserve">.attēls. </w:t>
      </w:r>
      <w:r w:rsidR="00381F09" w:rsidRPr="00EA1A95">
        <w:t>Ar mājokļa uzturēšanu saistītie izdevumi uz vienu mājsaimniecību</w:t>
      </w:r>
      <w:r w:rsidR="00EA1A95">
        <w:t>: mājokļa izdevumi</w:t>
      </w:r>
      <w:r w:rsidR="00381F09" w:rsidRPr="00EA1A95">
        <w:t xml:space="preserve"> </w:t>
      </w:r>
      <w:r w:rsidR="00BA3707">
        <w:t>%</w:t>
      </w:r>
      <w:r w:rsidR="00381F09" w:rsidRPr="00EA1A95">
        <w:t xml:space="preserve"> pret rīcībā esoš</w:t>
      </w:r>
      <w:r w:rsidR="00EA1A95">
        <w:t>o ienākumu</w:t>
      </w:r>
      <w:r w:rsidR="00BA3707">
        <w:t xml:space="preserve"> (m</w:t>
      </w:r>
      <w:r w:rsidR="00EA1A95">
        <w:t>ājsaimniecību tipi</w:t>
      </w:r>
      <w:r w:rsidR="00BA3707">
        <w:t>)</w:t>
      </w:r>
      <w:bookmarkEnd w:id="722"/>
      <w:r w:rsidR="00BA3707">
        <w:t xml:space="preserve"> </w:t>
      </w:r>
    </w:p>
    <w:p w:rsidR="00381F09" w:rsidRDefault="0085343E" w:rsidP="00064C1E">
      <w:r w:rsidRPr="0085343E">
        <w:rPr>
          <w:noProof/>
        </w:rPr>
        <w:drawing>
          <wp:inline distT="0" distB="0" distL="0" distR="0">
            <wp:extent cx="6134100" cy="2886075"/>
            <wp:effectExtent l="19050" t="0" r="0" b="0"/>
            <wp:docPr id="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
                    <a:srcRect/>
                    <a:stretch>
                      <a:fillRect/>
                    </a:stretch>
                  </pic:blipFill>
                  <pic:spPr bwMode="auto">
                    <a:xfrm>
                      <a:off x="0" y="0"/>
                      <a:ext cx="6134100" cy="2886075"/>
                    </a:xfrm>
                    <a:prstGeom prst="rect">
                      <a:avLst/>
                    </a:prstGeom>
                    <a:noFill/>
                    <a:ln w="9525">
                      <a:noFill/>
                      <a:miter lim="800000"/>
                      <a:headEnd/>
                      <a:tailEnd/>
                    </a:ln>
                  </pic:spPr>
                </pic:pic>
              </a:graphicData>
            </a:graphic>
          </wp:inline>
        </w:drawing>
      </w:r>
    </w:p>
    <w:p w:rsidR="001F37C8" w:rsidRDefault="00BA3707" w:rsidP="00064C1E">
      <w:pPr>
        <w:rPr>
          <w:sz w:val="20"/>
          <w:szCs w:val="20"/>
        </w:rPr>
      </w:pPr>
      <w:r w:rsidRPr="00BA3707">
        <w:rPr>
          <w:sz w:val="20"/>
          <w:szCs w:val="20"/>
        </w:rPr>
        <w:t>Avots: CSP, “MTG050. Ar mājokļa uzturēšanu saistītie izdevumi uz vienu mājsaimniecību”.</w:t>
      </w:r>
    </w:p>
    <w:p w:rsidR="0085343E" w:rsidRDefault="0085343E" w:rsidP="00F90925"/>
    <w:p w:rsidR="00F90925" w:rsidRDefault="00F90925" w:rsidP="00F90925">
      <w:r>
        <w:t xml:space="preserve">Dažādu mājsaimniecības tipu griezumā iespējams saskatīt, ka gadu gaitā ir vērojamas izmaiņas un viena kopēja tendence nav novērota (sk. </w:t>
      </w:r>
      <w:r w:rsidR="00FE57B4">
        <w:t>3.29</w:t>
      </w:r>
      <w:r>
        <w:t xml:space="preserve">. attēlu). </w:t>
      </w:r>
    </w:p>
    <w:p w:rsidR="00BA3707" w:rsidRDefault="00BA3707" w:rsidP="00064C1E"/>
    <w:p w:rsidR="00316778" w:rsidRDefault="00316778" w:rsidP="00064C1E">
      <w:r w:rsidRPr="00BC282B">
        <w:rPr>
          <w:b/>
        </w:rPr>
        <w:t>2017. gadā visaugstākie mājokļa izdevumi procentos pret kopējo ienākumu bij</w:t>
      </w:r>
      <w:r>
        <w:rPr>
          <w:b/>
        </w:rPr>
        <w:t>a</w:t>
      </w:r>
      <w:r w:rsidRPr="00BC282B">
        <w:rPr>
          <w:b/>
        </w:rPr>
        <w:t xml:space="preserve"> atsevišķi dzīvojošiem senioriem pensijas vecumā</w:t>
      </w:r>
      <w:r>
        <w:t xml:space="preserve">. Šāda veida mājsaimniecībām izdevumi procentos pret ienākumu bija 25,5%, taču citos gados tie bijuši augstāki. Tā 2013. gadā šāda veida mājsaimniecībām izdevumi procentos pret ienākumu bija 31,6%, bet nākamajos gados šis rādītājs </w:t>
      </w:r>
      <w:r>
        <w:lastRenderedPageBreak/>
        <w:t xml:space="preserve">kritās. Līdzīga situācija bijusi </w:t>
      </w:r>
      <w:r w:rsidRPr="000545BD">
        <w:rPr>
          <w:b/>
        </w:rPr>
        <w:t xml:space="preserve">nepilnajām ģimenēm – 2017. gadā </w:t>
      </w:r>
      <w:r>
        <w:rPr>
          <w:b/>
        </w:rPr>
        <w:t>to</w:t>
      </w:r>
      <w:r w:rsidRPr="000545BD">
        <w:rPr>
          <w:b/>
        </w:rPr>
        <w:t xml:space="preserve"> izdevumi par mājokli procentos pret kopējo ienākumu bija 21,7%</w:t>
      </w:r>
      <w:r>
        <w:t>, bet 2012. gadā šis rādītājs bija 28,3%, bet pēc tam nākošajos gados tas kritās, kopējais kritums līdz 2017. gadam bija 6,6%. Vismazākie mājokļa izdevumi, kas izteikti procentos pret kopējo ienākumu, 2017. gadā bija mājsaimniecībās, kurās ir pāris bez bērniem, kur šie izdevumi, rēķinot pret procentuālo ienākumu, bija 12,6%. Nedaudz lielāki tie bija mājsaimniecībās, kurās ir pāris ar vienu bērnu, un mājsaimniecībās, kurās ir pāris ar trīs un vairāk bērniem – abos gadījumos 2017. gadā tie ir 12,8%.</w:t>
      </w:r>
    </w:p>
    <w:p w:rsidR="00316778" w:rsidRDefault="00316778" w:rsidP="00064C1E"/>
    <w:p w:rsidR="00381F09" w:rsidRDefault="00381F09" w:rsidP="00064C1E">
      <w:r>
        <w:t xml:space="preserve">Skatoties </w:t>
      </w:r>
      <w:r w:rsidRPr="000545BD">
        <w:rPr>
          <w:b/>
        </w:rPr>
        <w:t>lauku un pilsētu</w:t>
      </w:r>
      <w:r>
        <w:t xml:space="preserve"> griezumā, redzams, ka  2017. gadā pilsētu mājsaimniecības </w:t>
      </w:r>
      <w:r w:rsidR="00A15206">
        <w:t xml:space="preserve">vidēji </w:t>
      </w:r>
      <w:r>
        <w:t xml:space="preserve">tērēja 14,1% no saviem ienākumiem izdevumiem, kuri saistīti ar </w:t>
      </w:r>
      <w:r w:rsidR="0016390D">
        <w:t>mājokļa uzturēšanu</w:t>
      </w:r>
      <w:r>
        <w:t>, kamēr lauk</w:t>
      </w:r>
      <w:r w:rsidR="00A15206">
        <w:t>os dzīvojošās</w:t>
      </w:r>
      <w:r>
        <w:t xml:space="preserve"> mājsaimniecības – 12,1%. Šo tendenci var raksturot līdzīgi kā tendenci, kura bija raksturīga visām mājsaimniecībām, proti, kāpumu no 2009. līdz 2013. gadam un tad kritums līdz 2017. gadam. No 2013. gada kopējais </w:t>
      </w:r>
      <w:r w:rsidR="00A15206">
        <w:t>rādītāja</w:t>
      </w:r>
      <w:r>
        <w:t xml:space="preserve"> kritums pilsētām ir 4</w:t>
      </w:r>
      <w:r w:rsidR="00A15206">
        <w:t xml:space="preserve"> procentpunkti, bet laukiem – 3 procentpunkti</w:t>
      </w:r>
      <w:r>
        <w:t xml:space="preserve">. Kopumā no 2009. </w:t>
      </w:r>
      <w:r w:rsidR="00D54545">
        <w:t xml:space="preserve">gada </w:t>
      </w:r>
      <w:r>
        <w:t>līdz 2017. gadam pilsētu mājsaimniecību izdevumi mājoklim procentos pret ienākumu ir vidēji par 2,9% augstāki.</w:t>
      </w:r>
    </w:p>
    <w:p w:rsidR="00381F09" w:rsidRDefault="00381F09" w:rsidP="00064C1E"/>
    <w:p w:rsidR="00381F09" w:rsidRDefault="00381F09" w:rsidP="00064C1E">
      <w:r>
        <w:t>Reģionu griezumā augstākie mājokļa izdevumi procentos pret kopējo ienākumu bij</w:t>
      </w:r>
      <w:r w:rsidR="00D057B9">
        <w:t>uši Latgales reģionā – 14,7%</w:t>
      </w:r>
      <w:r>
        <w:t>, tāpat virs 14% tie bijuši Zemgales reģionā, kur tie sasnieguši 14,1%. Vi</w:t>
      </w:r>
      <w:r w:rsidR="00FF7AD6">
        <w:t>smazāk Kurzemes reģionā – 12,4%.</w:t>
      </w:r>
      <w:r>
        <w:t xml:space="preserve"> </w:t>
      </w:r>
      <w:r w:rsidR="00FF7AD6">
        <w:t>Š</w:t>
      </w:r>
      <w:r>
        <w:t xml:space="preserve">eit gan ir būtiski </w:t>
      </w:r>
      <w:r w:rsidR="00A15206">
        <w:t>uzsvērt</w:t>
      </w:r>
      <w:r>
        <w:t xml:space="preserve">, ka 2017. gadā Kurzemes reģiona mājsaimniecības vienīgās ir piedzīvojušas izdevumu procentuālo kāpumu attiecībā pret kopējo ienākumu, jo 2016. gadā šīm mājsaimniecībām </w:t>
      </w:r>
      <w:r w:rsidR="00FF7AD6">
        <w:t>minētais</w:t>
      </w:r>
      <w:r>
        <w:t xml:space="preserve"> rādītājs bija 11,6%, līdz ar to – kāpums par 0,8%. Citu reģionu mājsaimniecībā, salīdzinot 2017. un 2016. gada gadus, bija vērojams kritums – vislielākais – Zemgales reģionā, kur novērots 1,7% kritums. </w:t>
      </w:r>
      <w:r w:rsidR="00FF7AD6">
        <w:t>L</w:t>
      </w:r>
      <w:r>
        <w:t xml:space="preserve">aika posmā no 2009. </w:t>
      </w:r>
      <w:r w:rsidR="00FF7AD6">
        <w:t xml:space="preserve">gada </w:t>
      </w:r>
      <w:r>
        <w:t>līdz 2017. gadam, procentuālās izmaiņas reģionu griezumā bij</w:t>
      </w:r>
      <w:r w:rsidR="00FF7AD6">
        <w:t>a</w:t>
      </w:r>
      <w:r>
        <w:t xml:space="preserve"> dažādas. Latgales reģionā 2013. gadā mājokļa izdevumi procentos pret kopējo ienākumu bija 19,1%, kas ir augstākais novērotais rādītājs, zemākais – jau iepriekš minētais Kurzemes reģiona 2016. gada rādījās – 11,6%.</w:t>
      </w:r>
      <w:r w:rsidR="00FF7AD6">
        <w:t xml:space="preserve"> </w:t>
      </w:r>
      <w:r>
        <w:t xml:space="preserve">Tāpat tuvu 19% izdevumiem par mājokli bijuši citi reģioni – Rīgas reģionā 2011. gadā šis rādītājs bija 18,7%, bet Kurzemē tajā pašā gadā – 18,3%. Kopumā jāsecina, ka rādītājiem reģionu griezumā ir tendence </w:t>
      </w:r>
      <w:r w:rsidR="00A15206">
        <w:t>svārstīties,</w:t>
      </w:r>
      <w:r>
        <w:t xml:space="preserve"> un nav vienotas kāpuma vai krituma parādības.</w:t>
      </w:r>
    </w:p>
    <w:p w:rsidR="00316778" w:rsidRPr="00063AD9" w:rsidRDefault="00316778" w:rsidP="00064C1E"/>
    <w:p w:rsidR="000545BD" w:rsidRDefault="00FF7AD6" w:rsidP="00064C1E">
      <w:r>
        <w:t>Dati</w:t>
      </w:r>
      <w:r w:rsidR="00381F09">
        <w:t xml:space="preserve"> </w:t>
      </w:r>
      <w:r>
        <w:t>p</w:t>
      </w:r>
      <w:r w:rsidR="00381F09">
        <w:t xml:space="preserve">ar </w:t>
      </w:r>
      <w:r>
        <w:t xml:space="preserve">ar </w:t>
      </w:r>
      <w:r w:rsidR="00381F09" w:rsidRPr="000545BD">
        <w:rPr>
          <w:b/>
        </w:rPr>
        <w:t>mājokļa uzturēšanu saistīt</w:t>
      </w:r>
      <w:r>
        <w:rPr>
          <w:b/>
        </w:rPr>
        <w:t>ajiem</w:t>
      </w:r>
      <w:r w:rsidR="00381F09" w:rsidRPr="000545BD">
        <w:rPr>
          <w:b/>
        </w:rPr>
        <w:t xml:space="preserve"> izdevum</w:t>
      </w:r>
      <w:r>
        <w:rPr>
          <w:b/>
        </w:rPr>
        <w:t>iem</w:t>
      </w:r>
      <w:r w:rsidR="00381F09" w:rsidRPr="000545BD">
        <w:rPr>
          <w:b/>
        </w:rPr>
        <w:t xml:space="preserve"> uz vienu mājsaimniecības locekli procentos pret esošo ienākumu</w:t>
      </w:r>
      <w:r>
        <w:rPr>
          <w:b/>
        </w:rPr>
        <w:t xml:space="preserve"> </w:t>
      </w:r>
      <w:r>
        <w:t xml:space="preserve">un no tiem izrietošās </w:t>
      </w:r>
      <w:r w:rsidR="00381F09">
        <w:t xml:space="preserve">tendences ir līdzīgas kā </w:t>
      </w:r>
      <w:r>
        <w:t xml:space="preserve">rādītājam, kas atspoguļo </w:t>
      </w:r>
      <w:r w:rsidR="00381F09">
        <w:t>m</w:t>
      </w:r>
      <w:r w:rsidR="00D46262">
        <w:t>ājokļa izdevum</w:t>
      </w:r>
      <w:r>
        <w:t>us</w:t>
      </w:r>
      <w:r w:rsidR="00381F09" w:rsidRPr="00215377">
        <w:t xml:space="preserve"> procentos pret rīcībā esošo ienākumu</w:t>
      </w:r>
      <w:r w:rsidR="00381F09">
        <w:t xml:space="preserve">. Vienīgā atšķirība </w:t>
      </w:r>
      <w:r w:rsidR="00940447">
        <w:t>ir tā, ka</w:t>
      </w:r>
      <w:r w:rsidR="00D46262">
        <w:t xml:space="preserve"> </w:t>
      </w:r>
      <w:r w:rsidR="00381F09">
        <w:t>2009. gadā m</w:t>
      </w:r>
      <w:r w:rsidR="00D46262">
        <w:t>ājokļa izdevumi</w:t>
      </w:r>
      <w:r w:rsidR="00381F09" w:rsidRPr="00215377">
        <w:t xml:space="preserve"> procentos pret rīcībā esošo ienākumu</w:t>
      </w:r>
      <w:r w:rsidR="00381F09">
        <w:t xml:space="preserve"> ir 14%, bet izdevum</w:t>
      </w:r>
      <w:r>
        <w:t>i</w:t>
      </w:r>
      <w:r w:rsidR="00381F09">
        <w:t xml:space="preserve"> uz vienu mājsaimniecības locekli procen</w:t>
      </w:r>
      <w:r w:rsidR="00D057B9">
        <w:t>tos pret esošo ienākumu - 14,1%. C</w:t>
      </w:r>
      <w:r w:rsidR="00381F09">
        <w:t xml:space="preserve">itādi tendences ir </w:t>
      </w:r>
      <w:r>
        <w:t>līdzīgas</w:t>
      </w:r>
      <w:r w:rsidR="00D057B9">
        <w:t>,</w:t>
      </w:r>
      <w:r w:rsidR="00381F09">
        <w:t xml:space="preserve"> </w:t>
      </w:r>
      <w:r>
        <w:t>kas iedalāmas trīs posmos</w:t>
      </w:r>
      <w:r w:rsidR="00D057B9">
        <w:t xml:space="preserve">: </w:t>
      </w:r>
    </w:p>
    <w:p w:rsidR="000545BD" w:rsidRDefault="00D057B9" w:rsidP="000545BD">
      <w:pPr>
        <w:spacing w:before="120"/>
        <w:ind w:firstLine="720"/>
      </w:pPr>
      <w:r>
        <w:t>1)</w:t>
      </w:r>
      <w:r w:rsidR="00381F09" w:rsidRPr="00215377">
        <w:t xml:space="preserve"> no 2009. </w:t>
      </w:r>
      <w:r w:rsidR="00D54545">
        <w:t xml:space="preserve">gada </w:t>
      </w:r>
      <w:r w:rsidR="00381F09" w:rsidRPr="00215377">
        <w:t xml:space="preserve">līdz 2011. gadam </w:t>
      </w:r>
      <w:r w:rsidR="00FF7AD6">
        <w:t>vērojams</w:t>
      </w:r>
      <w:r w:rsidR="00381F09" w:rsidRPr="00215377">
        <w:t xml:space="preserve"> kāpums par 3,</w:t>
      </w:r>
      <w:r w:rsidR="00381F09">
        <w:t>9</w:t>
      </w:r>
      <w:r w:rsidR="00381F09" w:rsidRPr="00215377">
        <w:t>% un 2011. gadā 17,9% no mājsaimniecības ienākumiem tika iztērēti</w:t>
      </w:r>
      <w:r w:rsidR="000545BD">
        <w:t xml:space="preserve"> ar mājokli saistītos izdevumos;</w:t>
      </w:r>
    </w:p>
    <w:p w:rsidR="000545BD" w:rsidRDefault="00D057B9" w:rsidP="000545BD">
      <w:pPr>
        <w:spacing w:before="120"/>
        <w:ind w:firstLine="720"/>
      </w:pPr>
      <w:r>
        <w:t xml:space="preserve">2) </w:t>
      </w:r>
      <w:r w:rsidR="00381F09" w:rsidRPr="00215377">
        <w:t>pēc 2011. gada vērojams kritums par 0,7</w:t>
      </w:r>
      <w:r w:rsidR="00940447">
        <w:t xml:space="preserve"> procentpunktiem, kam seko neliels </w:t>
      </w:r>
      <w:r w:rsidR="00381F09">
        <w:t>kāpums par 0,1</w:t>
      </w:r>
      <w:r w:rsidR="00940447">
        <w:t xml:space="preserve"> procentpunkt</w:t>
      </w:r>
      <w:r w:rsidR="00FF7AD6">
        <w:t>u</w:t>
      </w:r>
      <w:r w:rsidR="00381F09">
        <w:t xml:space="preserve"> </w:t>
      </w:r>
      <w:r w:rsidR="00381F09" w:rsidRPr="00215377">
        <w:t xml:space="preserve">2013. gadā, taču pēc tam šis rādītājs ir </w:t>
      </w:r>
      <w:r w:rsidR="00940447">
        <w:t>atkal</w:t>
      </w:r>
      <w:r w:rsidR="00961EFE">
        <w:t xml:space="preserve"> </w:t>
      </w:r>
      <w:r w:rsidR="00381F09" w:rsidRPr="00215377">
        <w:t>kriti</w:t>
      </w:r>
      <w:r>
        <w:t>e</w:t>
      </w:r>
      <w:r w:rsidR="00381F09" w:rsidRPr="00215377">
        <w:t>s</w:t>
      </w:r>
      <w:r>
        <w:t>,</w:t>
      </w:r>
      <w:r w:rsidR="00381F09" w:rsidRPr="00215377">
        <w:t xml:space="preserve"> un par mājokli tika tērēta </w:t>
      </w:r>
      <w:r w:rsidR="000545BD">
        <w:t>aizvien mazāka izdevumu daļa;</w:t>
      </w:r>
    </w:p>
    <w:p w:rsidR="00381F09" w:rsidRDefault="000545BD" w:rsidP="000545BD">
      <w:pPr>
        <w:spacing w:before="120"/>
        <w:ind w:firstLine="720"/>
      </w:pPr>
      <w:r>
        <w:lastRenderedPageBreak/>
        <w:t>3)</w:t>
      </w:r>
      <w:r w:rsidR="00D057B9">
        <w:t xml:space="preserve"> </w:t>
      </w:r>
      <w:r w:rsidR="00381F09" w:rsidRPr="000545BD">
        <w:rPr>
          <w:b/>
        </w:rPr>
        <w:t>2017. gad</w:t>
      </w:r>
      <w:r w:rsidRPr="000545BD">
        <w:rPr>
          <w:b/>
        </w:rPr>
        <w:t>ā</w:t>
      </w:r>
      <w:r w:rsidR="00D057B9" w:rsidRPr="000545BD">
        <w:rPr>
          <w:b/>
        </w:rPr>
        <w:t xml:space="preserve"> tie ir</w:t>
      </w:r>
      <w:r w:rsidR="00381F09" w:rsidRPr="000545BD">
        <w:rPr>
          <w:b/>
        </w:rPr>
        <w:t xml:space="preserve"> 13,5% uz vienu mājsaimniecības locekli procentos pret esošo ienākumu</w:t>
      </w:r>
      <w:r w:rsidR="00381F09" w:rsidRPr="00215377">
        <w:t xml:space="preserve">. Kopējais kritums no 2013. gada </w:t>
      </w:r>
      <w:r w:rsidR="00961EFE">
        <w:t xml:space="preserve">līdz 2017. gadam </w:t>
      </w:r>
      <w:r w:rsidR="00FF7AD6">
        <w:t>bija</w:t>
      </w:r>
      <w:r w:rsidR="00381F09" w:rsidRPr="00215377">
        <w:t xml:space="preserve"> 3,8</w:t>
      </w:r>
      <w:r w:rsidR="00961EFE">
        <w:t xml:space="preserve"> procentpunkti</w:t>
      </w:r>
      <w:r w:rsidR="00381F09" w:rsidRPr="00215377">
        <w:t>.</w:t>
      </w:r>
    </w:p>
    <w:p w:rsidR="00F3288F" w:rsidRDefault="00692670" w:rsidP="00F3288F">
      <w:r>
        <w:rPr>
          <w:b/>
        </w:rPr>
        <w:t>M</w:t>
      </w:r>
      <w:r w:rsidR="00F3288F" w:rsidRPr="000545BD">
        <w:rPr>
          <w:b/>
        </w:rPr>
        <w:t>ājsaimniecību izdevum</w:t>
      </w:r>
      <w:r>
        <w:rPr>
          <w:b/>
        </w:rPr>
        <w:t>i</w:t>
      </w:r>
      <w:r w:rsidR="00F3288F" w:rsidRPr="000545BD">
        <w:rPr>
          <w:b/>
        </w:rPr>
        <w:t xml:space="preserve"> uz vienu mājsaimniecības locekli procentos pret rīcībā esošo ienākumu</w:t>
      </w:r>
      <w:r w:rsidR="00F3288F">
        <w:t xml:space="preserve"> ir augstāki mājsaimniecības tipam, kurā dzīvo tikai viena persona (sk. </w:t>
      </w:r>
      <w:r w:rsidR="00FE57B4">
        <w:t>3.30</w:t>
      </w:r>
      <w:r w:rsidR="00F3288F">
        <w:t xml:space="preserve">. attēlu). </w:t>
      </w:r>
    </w:p>
    <w:p w:rsidR="00381F09" w:rsidRPr="00C45A27" w:rsidRDefault="00AD3EDD" w:rsidP="00A46B54">
      <w:pPr>
        <w:pStyle w:val="Caption"/>
      </w:pPr>
      <w:r>
        <w:fldChar w:fldCharType="begin"/>
      </w:r>
      <w:r w:rsidR="000F1524">
        <w:instrText xml:space="preserve"> STYLEREF 1 \s </w:instrText>
      </w:r>
      <w:r>
        <w:fldChar w:fldCharType="separate"/>
      </w:r>
      <w:bookmarkStart w:id="723" w:name="_Toc6855845"/>
      <w:r w:rsidR="00224B50">
        <w:rPr>
          <w:noProof/>
        </w:rPr>
        <w:t>3</w:t>
      </w:r>
      <w:r>
        <w:rPr>
          <w:noProof/>
        </w:rPr>
        <w:fldChar w:fldCharType="end"/>
      </w:r>
      <w:r w:rsidR="006B5456">
        <w:t>.</w:t>
      </w:r>
      <w:r>
        <w:fldChar w:fldCharType="begin"/>
      </w:r>
      <w:r w:rsidR="000F1524">
        <w:instrText xml:space="preserve"> SEQ Ilustrācija \* ARABIC \s 1 </w:instrText>
      </w:r>
      <w:r>
        <w:fldChar w:fldCharType="separate"/>
      </w:r>
      <w:r w:rsidR="00224B50">
        <w:rPr>
          <w:noProof/>
        </w:rPr>
        <w:t>30</w:t>
      </w:r>
      <w:r>
        <w:rPr>
          <w:noProof/>
        </w:rPr>
        <w:fldChar w:fldCharType="end"/>
      </w:r>
      <w:r w:rsidR="00C45A27">
        <w:t xml:space="preserve">. attēls. </w:t>
      </w:r>
      <w:r w:rsidR="00381F09" w:rsidRPr="00C45A27">
        <w:t>Ar mājokļa uzturēšanu saistītie izdevumi uz vienu mājsaimniecības locekli. Mājokļa izde</w:t>
      </w:r>
      <w:r w:rsidR="00D057B9">
        <w:t>vumi uz mājsaimniecības locekli</w:t>
      </w:r>
      <w:r w:rsidR="00381F09" w:rsidRPr="00C45A27">
        <w:t xml:space="preserve"> </w:t>
      </w:r>
      <w:r w:rsidR="00BA3707">
        <w:t>%</w:t>
      </w:r>
      <w:r w:rsidR="00381F09" w:rsidRPr="00C45A27">
        <w:t xml:space="preserve"> pret rīcībā esoš</w:t>
      </w:r>
      <w:r w:rsidR="00C45A27">
        <w:t>o ienākumu</w:t>
      </w:r>
      <w:r w:rsidR="00BA3707">
        <w:t xml:space="preserve"> (m</w:t>
      </w:r>
      <w:r w:rsidR="00C45A27">
        <w:t>ājsaimniecību tipi</w:t>
      </w:r>
      <w:r w:rsidR="00BA3707">
        <w:t>)</w:t>
      </w:r>
      <w:bookmarkEnd w:id="723"/>
    </w:p>
    <w:p w:rsidR="00381F09" w:rsidRDefault="00316778" w:rsidP="00064C1E">
      <w:r w:rsidRPr="00316778">
        <w:rPr>
          <w:noProof/>
        </w:rPr>
        <w:drawing>
          <wp:inline distT="0" distB="0" distL="0" distR="0">
            <wp:extent cx="5848350" cy="3067559"/>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9557" cy="3068192"/>
                    </a:xfrm>
                    <a:prstGeom prst="rect">
                      <a:avLst/>
                    </a:prstGeom>
                    <a:noFill/>
                    <a:ln>
                      <a:noFill/>
                    </a:ln>
                  </pic:spPr>
                </pic:pic>
              </a:graphicData>
            </a:graphic>
          </wp:inline>
        </w:drawing>
      </w:r>
    </w:p>
    <w:p w:rsidR="00381F09" w:rsidRPr="00BA3707" w:rsidRDefault="00BA3707" w:rsidP="00C33A64">
      <w:pPr>
        <w:pStyle w:val="avotiemft10"/>
      </w:pPr>
      <w:bookmarkStart w:id="724" w:name="_Toc6841656"/>
      <w:r w:rsidRPr="00BA3707">
        <w:t>Avots: CSP, “MTG070. Ar mājokļa uzturēšanu saistītie izdevumi uz vienu mājsaimniecības locekli”.</w:t>
      </w:r>
      <w:bookmarkEnd w:id="724"/>
    </w:p>
    <w:p w:rsidR="000545BD" w:rsidRDefault="000545BD" w:rsidP="00064C1E"/>
    <w:p w:rsidR="00F74B8F" w:rsidRDefault="00F74B8F" w:rsidP="00F74B8F">
      <w:r>
        <w:t>2017. gadā šis rādītājs bija 22,4%. Palielinoties personu skaitam, krītas arī izdevumi, un vismazākie izdevumi uz vienu mājsaimniecības locekli procentos pret rīcībā esošo ienākumu ir mājsaimniecībām, kurās ir piecas vai vairāk personas. Šāda tipa mājsaimniecībām šis rādītājs ir 9,8%. Laika posmā no 2009.</w:t>
      </w:r>
      <w:r w:rsidR="00D54545">
        <w:t xml:space="preserve"> gada</w:t>
      </w:r>
      <w:r>
        <w:t xml:space="preserve"> līdz 2017. gadam vērojamas vienotas tendences – augstākais punkts sasniegts 2011. gadā, bet pēc tam vērojams kritums, ar vienīgo izņēmumu mājsaimniecību tipam, kurā ir viena persona. Šim tipam pēc aplūkojamā rādītāja krituma 2012. gadā sekoja tā kāpums, 2013. gadā rādītājam sasniedzot augstāko punktu salīdzinājumā ar citām mājsaimniecībām (28,1%), taču tam atkal sekoja rādītāja kritums. </w:t>
      </w:r>
    </w:p>
    <w:p w:rsidR="00F74B8F" w:rsidRDefault="00F74B8F" w:rsidP="00064C1E"/>
    <w:p w:rsidR="00381F09" w:rsidRDefault="00381F09" w:rsidP="00064C1E">
      <w:r w:rsidRPr="00C45A27">
        <w:t>Ar mājokļa uzturēšanu saistīto izdevumu ietekme uz mājsaimniecības finansiālo situāciju</w:t>
      </w:r>
      <w:r w:rsidRPr="00BD3ECE">
        <w:rPr>
          <w:color w:val="FF0000"/>
        </w:rPr>
        <w:t xml:space="preserve"> </w:t>
      </w:r>
      <w:r>
        <w:t>pēdējos gados nav viennozīmīgi vērtējama</w:t>
      </w:r>
      <w:r w:rsidR="00C45A27">
        <w:t xml:space="preserve"> (</w:t>
      </w:r>
      <w:r w:rsidR="00824DEA">
        <w:t xml:space="preserve">sk. </w:t>
      </w:r>
      <w:r w:rsidR="00FE57B4">
        <w:t>3.31</w:t>
      </w:r>
      <w:r w:rsidR="00824DEA">
        <w:t>. attēlu</w:t>
      </w:r>
      <w:r w:rsidR="00C45A27">
        <w:t>)</w:t>
      </w:r>
      <w:r>
        <w:t>. Skatoties 2017. gada datus, redzams, ka 20,2% mājsaimniecību ir atzīmējušas, ka mājokļa uzturēšanai nepieciešamie izdevumu nekādā veidā neapgrūtina mājsa</w:t>
      </w:r>
      <w:r w:rsidR="00961EFE">
        <w:t>imniecības finansiālo situāciju.</w:t>
      </w:r>
      <w:r>
        <w:t xml:space="preserve"> </w:t>
      </w:r>
      <w:r w:rsidR="00961EFE">
        <w:t>Š</w:t>
      </w:r>
      <w:r>
        <w:t>ajā rādītājā redzams pieaugums no 2011. gada, ka</w:t>
      </w:r>
      <w:r w:rsidR="00961EFE">
        <w:t>d</w:t>
      </w:r>
      <w:r>
        <w:t xml:space="preserve"> tas bija 10,4%, līdz ar to var secināt, ka laika posmā no 2010. </w:t>
      </w:r>
      <w:r w:rsidR="00D54545">
        <w:t xml:space="preserve">gada </w:t>
      </w:r>
      <w:r>
        <w:t xml:space="preserve">līdz 2017. gadam 9,8% mājsaimniecību izdevumi par mājokli kļuva vieglāk sedzami. </w:t>
      </w:r>
    </w:p>
    <w:p w:rsidR="00381F09" w:rsidRDefault="00381F09" w:rsidP="00064C1E"/>
    <w:p w:rsidR="00381F09" w:rsidRDefault="00381F09" w:rsidP="00064C1E">
      <w:r>
        <w:t>Pievēršoties tām mājsaimniecībām, kuras norādījuš</w:t>
      </w:r>
      <w:r w:rsidR="00961EFE">
        <w:t>a</w:t>
      </w:r>
      <w:r>
        <w:t>s</w:t>
      </w:r>
      <w:r w:rsidR="00961EFE">
        <w:t>,</w:t>
      </w:r>
      <w:r>
        <w:t xml:space="preserve"> ka ar mājokļa uzturēšanu saistītie izdevumi nedaudz apgrūtinājuši mājsaimniecības finansiālo situāciju, tad, salīdzinot 2017. un 2016. gadu, </w:t>
      </w:r>
      <w:r w:rsidR="00961EFE">
        <w:t>bija</w:t>
      </w:r>
      <w:r>
        <w:t xml:space="preserve"> </w:t>
      </w:r>
      <w:r>
        <w:lastRenderedPageBreak/>
        <w:t>vērojams 3,2</w:t>
      </w:r>
      <w:r w:rsidR="00961EFE">
        <w:t xml:space="preserve"> procentpunktu</w:t>
      </w:r>
      <w:r>
        <w:t xml:space="preserve"> kāpums, taču no 2013. gada bija ievērojams kritums</w:t>
      </w:r>
      <w:r w:rsidR="00961EFE">
        <w:t xml:space="preserve"> par 10,1 procentpunktiem</w:t>
      </w:r>
      <w:r>
        <w:t>. Pirms 2013. gada šiem rādītājiem bija vērojama zināma stabilitāte –</w:t>
      </w:r>
      <w:r w:rsidR="00961EFE">
        <w:t xml:space="preserve"> </w:t>
      </w:r>
      <w:r>
        <w:t xml:space="preserve">no 2009. </w:t>
      </w:r>
      <w:r w:rsidR="00961EFE">
        <w:t xml:space="preserve">gada </w:t>
      </w:r>
      <w:r>
        <w:t xml:space="preserve">līdz 2013. gadam bija vērojams kritums no 48,7% līdz 40%, </w:t>
      </w:r>
      <w:r w:rsidR="00961EFE">
        <w:t>tad sekoja rādītāja vērtību</w:t>
      </w:r>
      <w:r>
        <w:t xml:space="preserve"> kāpums no 45,5% 2014. gadā līdz 50,1% 2016, gadā pēc kura, kā jau minēts, </w:t>
      </w:r>
      <w:r w:rsidR="00961EFE">
        <w:t>rādītājs atkal samazinājās</w:t>
      </w:r>
      <w:r>
        <w:t xml:space="preserve">. </w:t>
      </w:r>
    </w:p>
    <w:p w:rsidR="00381F09" w:rsidRDefault="00AD3EDD" w:rsidP="00A46B54">
      <w:pPr>
        <w:pStyle w:val="Caption"/>
      </w:pPr>
      <w:r>
        <w:fldChar w:fldCharType="begin"/>
      </w:r>
      <w:r w:rsidR="000F1524">
        <w:instrText xml:space="preserve"> STYLEREF 1 \s </w:instrText>
      </w:r>
      <w:r>
        <w:fldChar w:fldCharType="separate"/>
      </w:r>
      <w:bookmarkStart w:id="725" w:name="_Toc6855846"/>
      <w:r w:rsidR="00224B50">
        <w:rPr>
          <w:noProof/>
        </w:rPr>
        <w:t>3</w:t>
      </w:r>
      <w:r>
        <w:rPr>
          <w:noProof/>
        </w:rPr>
        <w:fldChar w:fldCharType="end"/>
      </w:r>
      <w:r w:rsidR="006B5456">
        <w:t>.</w:t>
      </w:r>
      <w:r>
        <w:fldChar w:fldCharType="begin"/>
      </w:r>
      <w:r w:rsidR="000F1524">
        <w:instrText xml:space="preserve"> SEQ Ilustrācija \* ARABIC \s 1 </w:instrText>
      </w:r>
      <w:r>
        <w:fldChar w:fldCharType="separate"/>
      </w:r>
      <w:r w:rsidR="00224B50">
        <w:rPr>
          <w:noProof/>
        </w:rPr>
        <w:t>31</w:t>
      </w:r>
      <w:r>
        <w:rPr>
          <w:noProof/>
        </w:rPr>
        <w:fldChar w:fldCharType="end"/>
      </w:r>
      <w:r w:rsidR="00C45A27">
        <w:t xml:space="preserve">.attēls. </w:t>
      </w:r>
      <w:r w:rsidR="00381F09" w:rsidRPr="00C45A27">
        <w:t>Ar mājokļa uzturēšanu saistīto izdevumu ietekme uz mājsaimniecības finansiālo situā</w:t>
      </w:r>
      <w:r w:rsidR="00C45A27">
        <w:t>ciju (</w:t>
      </w:r>
      <w:r w:rsidR="00BA3707">
        <w:t xml:space="preserve">visas mājsaimniecības, </w:t>
      </w:r>
      <w:r w:rsidR="00C45A27">
        <w:t>%)</w:t>
      </w:r>
      <w:bookmarkEnd w:id="725"/>
    </w:p>
    <w:p w:rsidR="00381F09" w:rsidRPr="00316778" w:rsidRDefault="00316778" w:rsidP="00064C1E">
      <w:r w:rsidRPr="00316778">
        <w:rPr>
          <w:noProof/>
        </w:rPr>
        <w:drawing>
          <wp:inline distT="0" distB="0" distL="0" distR="0">
            <wp:extent cx="6076950" cy="2847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6950" cy="2847975"/>
                    </a:xfrm>
                    <a:prstGeom prst="rect">
                      <a:avLst/>
                    </a:prstGeom>
                    <a:noFill/>
                    <a:ln>
                      <a:noFill/>
                    </a:ln>
                  </pic:spPr>
                </pic:pic>
              </a:graphicData>
            </a:graphic>
          </wp:inline>
        </w:drawing>
      </w:r>
    </w:p>
    <w:p w:rsidR="00381F09" w:rsidRPr="00BA3707" w:rsidRDefault="00BA3707" w:rsidP="00C33A64">
      <w:pPr>
        <w:pStyle w:val="avotiemft10"/>
      </w:pPr>
      <w:bookmarkStart w:id="726" w:name="_Toc6841657"/>
      <w:r w:rsidRPr="00BA3707">
        <w:t>Avots: CSP, “MTG060. Ar mājokļa uzturēšanu saistīto izdevumu ietekme uz mājsaimniecības finansiālo situāciju (%)”.</w:t>
      </w:r>
      <w:bookmarkEnd w:id="726"/>
    </w:p>
    <w:p w:rsidR="00BA3707" w:rsidRDefault="00BA3707" w:rsidP="00064C1E"/>
    <w:p w:rsidR="00BF4385" w:rsidRDefault="00370F70" w:rsidP="00064C1E">
      <w:r>
        <w:rPr>
          <w:b/>
        </w:rPr>
        <w:t>M</w:t>
      </w:r>
      <w:r w:rsidR="00BF4385" w:rsidRPr="000545BD">
        <w:rPr>
          <w:b/>
        </w:rPr>
        <w:t>ājsaimniecīb</w:t>
      </w:r>
      <w:r>
        <w:rPr>
          <w:b/>
        </w:rPr>
        <w:t>u</w:t>
      </w:r>
      <w:r w:rsidR="00BF4385" w:rsidRPr="000545BD">
        <w:rPr>
          <w:b/>
        </w:rPr>
        <w:t>, kuras norādījušas, ka ar mājokļa uzturēšanu saistītie izdevumi ļoti apgrūtinājuši mājsaimniecības finansiālo situāciju</w:t>
      </w:r>
      <w:r w:rsidR="00BF4385">
        <w:t>, īpatsvars ir mainīgs. 2013. gadā 47,6% mājsaimniecību atzina, ka mājokļa uzturēšanas izdevumi ļoti apgrūtina mājsaimniecības finansiālo stāvokli</w:t>
      </w:r>
      <w:r w:rsidR="00692670">
        <w:t>.</w:t>
      </w:r>
      <w:r w:rsidR="00BF4385">
        <w:t xml:space="preserve"> </w:t>
      </w:r>
      <w:r w:rsidR="00692670">
        <w:t>N</w:t>
      </w:r>
      <w:r w:rsidR="00BF4385">
        <w:t xml:space="preserve">ākamajos gados šis rādītājs nokritās līdz 30,5% 2016. gadā, bet pēc tam </w:t>
      </w:r>
      <w:r w:rsidR="00692670">
        <w:t>sekoja</w:t>
      </w:r>
      <w:r w:rsidR="00BF4385">
        <w:t xml:space="preserve"> 1,4 procentpunktu kāpum</w:t>
      </w:r>
      <w:r w:rsidR="00692670">
        <w:t>s</w:t>
      </w:r>
      <w:r w:rsidR="00BF4385">
        <w:t xml:space="preserve"> 2017. gadā, </w:t>
      </w:r>
      <w:r w:rsidR="00692670">
        <w:t>sasniedzot</w:t>
      </w:r>
      <w:r w:rsidR="00BF4385">
        <w:t xml:space="preserve"> 32,9%. Pirms 2013. gada tendence bija nedaudz </w:t>
      </w:r>
      <w:r w:rsidR="00692670">
        <w:t>cit</w:t>
      </w:r>
      <w:r w:rsidR="00BF4385">
        <w:t>ādāka – no 2009. gada līdz 2011. gadam bija vērojams kāpums no 35% līdz 44,7%, tad 2012. gadā kritums uz 43,6% , kam sekoja atkal kāpums uz jau minētajiem 47,6%.</w:t>
      </w:r>
    </w:p>
    <w:p w:rsidR="00BF4385" w:rsidRDefault="00BF4385" w:rsidP="00064C1E"/>
    <w:p w:rsidR="00381F09" w:rsidRDefault="000545BD" w:rsidP="00064C1E">
      <w:r>
        <w:t>Sadalījumā</w:t>
      </w:r>
      <w:r w:rsidR="00381F09">
        <w:t xml:space="preserve"> pa dažādiem mājsaimniecību tipiem redzams, ka 2017. gadā mājsaimniecības ar mājokļa uzturēšanu saistītos izdevumus visbiežāk raksturoja kā nedaudz apgrūtinoš</w:t>
      </w:r>
      <w:r w:rsidR="00197308">
        <w:t>u</w:t>
      </w:r>
      <w:r w:rsidR="00381F09">
        <w:t>s mājsaimni</w:t>
      </w:r>
      <w:r w:rsidR="00197308">
        <w:t>ecības finansiālajai situācijai.</w:t>
      </w:r>
      <w:r w:rsidR="00381F09">
        <w:t xml:space="preserve"> </w:t>
      </w:r>
      <w:r w:rsidR="00197308">
        <w:t>V</w:t>
      </w:r>
      <w:r w:rsidR="00381F09">
        <w:t xml:space="preserve">ienīgais izņēmums ir </w:t>
      </w:r>
      <w:r w:rsidR="00381F09" w:rsidRPr="000545BD">
        <w:rPr>
          <w:b/>
        </w:rPr>
        <w:t>mājsaimniecības, kurās dzīvo viena persona, kurai ir 65 vai vairāk gadi</w:t>
      </w:r>
      <w:r w:rsidR="00197308" w:rsidRPr="000545BD">
        <w:rPr>
          <w:b/>
        </w:rPr>
        <w:t>, kuras</w:t>
      </w:r>
      <w:r w:rsidR="00381F09" w:rsidRPr="000545BD">
        <w:rPr>
          <w:b/>
        </w:rPr>
        <w:t xml:space="preserve"> 2017. gadā biežāk norādījušas, ka ar mājokli saistīti izdevumi ļoti apgrūtina mājsaimniecības finansiālo stāvokli</w:t>
      </w:r>
      <w:r w:rsidR="00197308">
        <w:t xml:space="preserve"> (49,7%)</w:t>
      </w:r>
      <w:r w:rsidR="00C45A27">
        <w:t xml:space="preserve"> (</w:t>
      </w:r>
      <w:r w:rsidR="00824DEA">
        <w:t xml:space="preserve">sk. </w:t>
      </w:r>
      <w:r w:rsidR="00FE57B4">
        <w:t>3.32</w:t>
      </w:r>
      <w:r w:rsidR="00824DEA">
        <w:t>. attēlu</w:t>
      </w:r>
      <w:r w:rsidR="00C45A27">
        <w:t>)</w:t>
      </w:r>
      <w:r w:rsidR="00381F09">
        <w:t>. Citu mājsaimniecību gadījumos, kā jau minēts iepriekš, biežāk norādīts, ka mājokļa uzturēšanai nepieciešamie līdzekļi nedaudz apgrūtina mājsaimniecības finansiālo situāciju</w:t>
      </w:r>
      <w:r w:rsidR="00197308">
        <w:t>.</w:t>
      </w:r>
      <w:r w:rsidR="00381F09">
        <w:t xml:space="preserve"> </w:t>
      </w:r>
      <w:r w:rsidR="00197308">
        <w:t>V</w:t>
      </w:r>
      <w:r w:rsidR="00381F09">
        <w:t xml:space="preserve">isbiežāk šādi norādījušas </w:t>
      </w:r>
      <w:r w:rsidR="005C78B0">
        <w:t>ģimenes</w:t>
      </w:r>
      <w:r w:rsidR="00197308">
        <w:t xml:space="preserve"> ar diviem bērniem (</w:t>
      </w:r>
      <w:r w:rsidR="00381F09">
        <w:t>57,4%</w:t>
      </w:r>
      <w:r w:rsidR="00197308">
        <w:t>)</w:t>
      </w:r>
      <w:r w:rsidR="005C78B0">
        <w:t xml:space="preserve"> un</w:t>
      </w:r>
      <w:r w:rsidR="00381F09">
        <w:t xml:space="preserve"> vienu bērnu </w:t>
      </w:r>
      <w:r w:rsidR="00197308">
        <w:t>(</w:t>
      </w:r>
      <w:r w:rsidR="00381F09">
        <w:t>54,6%</w:t>
      </w:r>
      <w:r w:rsidR="00197308">
        <w:t>)</w:t>
      </w:r>
      <w:r w:rsidR="00381F09">
        <w:t xml:space="preserve">. Ar mājokļa uzturēšanu saistītos </w:t>
      </w:r>
      <w:r w:rsidR="005C78B0">
        <w:t>izdevumus</w:t>
      </w:r>
      <w:r w:rsidR="00381F09">
        <w:t xml:space="preserve"> kā vismazāk apgrūtinoš</w:t>
      </w:r>
      <w:r w:rsidR="00197308">
        <w:t>us</w:t>
      </w:r>
      <w:r w:rsidR="00381F09">
        <w:t xml:space="preserve"> mājsaimniecības finansiālajam stāvoklim visbiežāk raksturoja </w:t>
      </w:r>
      <w:r w:rsidR="005C78B0">
        <w:t>atsevišķi dzīvojošas pieaugušas personas līdz pensijas vecumam</w:t>
      </w:r>
      <w:r w:rsidR="00381F09">
        <w:t xml:space="preserve"> – 26,9%, tāpat </w:t>
      </w:r>
      <w:r w:rsidR="00197308">
        <w:t xml:space="preserve">salīdzinoši bieži - 23,9% gadījumu </w:t>
      </w:r>
      <w:r w:rsidR="005C78B0">
        <w:t xml:space="preserve">- </w:t>
      </w:r>
      <w:r w:rsidR="00197308">
        <w:t xml:space="preserve">šādu vērtējumu sniedza </w:t>
      </w:r>
      <w:r w:rsidR="005C78B0">
        <w:t>daudzbērnu ģimenes</w:t>
      </w:r>
      <w:r w:rsidR="00197308">
        <w:t>.</w:t>
      </w:r>
      <w:r w:rsidR="00381F09">
        <w:t xml:space="preserve"> </w:t>
      </w:r>
    </w:p>
    <w:p w:rsidR="00381F09" w:rsidRDefault="00AD3EDD" w:rsidP="006B5456">
      <w:pPr>
        <w:pStyle w:val="Caption"/>
      </w:pPr>
      <w:r>
        <w:lastRenderedPageBreak/>
        <w:fldChar w:fldCharType="begin"/>
      </w:r>
      <w:r w:rsidR="000F1524">
        <w:instrText xml:space="preserve"> STYLEREF 1 \s </w:instrText>
      </w:r>
      <w:r>
        <w:fldChar w:fldCharType="separate"/>
      </w:r>
      <w:bookmarkStart w:id="727" w:name="_Toc6855847"/>
      <w:r w:rsidR="00224B50">
        <w:rPr>
          <w:noProof/>
        </w:rPr>
        <w:t>3</w:t>
      </w:r>
      <w:r>
        <w:rPr>
          <w:noProof/>
        </w:rPr>
        <w:fldChar w:fldCharType="end"/>
      </w:r>
      <w:r w:rsidR="006B5456">
        <w:t>.</w:t>
      </w:r>
      <w:r>
        <w:fldChar w:fldCharType="begin"/>
      </w:r>
      <w:r w:rsidR="000F1524">
        <w:instrText xml:space="preserve"> SEQ Ilustrācija \* ARABIC \s 1 </w:instrText>
      </w:r>
      <w:r>
        <w:fldChar w:fldCharType="separate"/>
      </w:r>
      <w:r w:rsidR="00224B50">
        <w:rPr>
          <w:noProof/>
        </w:rPr>
        <w:t>32</w:t>
      </w:r>
      <w:r>
        <w:rPr>
          <w:noProof/>
        </w:rPr>
        <w:fldChar w:fldCharType="end"/>
      </w:r>
      <w:r w:rsidR="00C45A27">
        <w:t xml:space="preserve">.attēls. </w:t>
      </w:r>
      <w:r w:rsidR="00381F09" w:rsidRPr="00C45A27">
        <w:t>Ar mājokļa uzturēšanu saistīto izdevumu ietekme uz mājsaimniecības finansiālo situāciju</w:t>
      </w:r>
      <w:r w:rsidR="00BA3707">
        <w:t xml:space="preserve"> 2017.</w:t>
      </w:r>
      <w:r w:rsidR="00DE1C08">
        <w:t xml:space="preserve"> </w:t>
      </w:r>
      <w:r w:rsidR="00BA3707">
        <w:t>gadā</w:t>
      </w:r>
      <w:r w:rsidR="00381F09" w:rsidRPr="00C45A27">
        <w:t xml:space="preserve"> (</w:t>
      </w:r>
      <w:r w:rsidR="00BA3707">
        <w:t xml:space="preserve">mājsaimniecību tips, </w:t>
      </w:r>
      <w:r w:rsidR="00381F09" w:rsidRPr="00C45A27">
        <w:t>%)</w:t>
      </w:r>
      <w:bookmarkEnd w:id="727"/>
    </w:p>
    <w:p w:rsidR="001A5775" w:rsidRDefault="00D15565" w:rsidP="001A5775">
      <w:r w:rsidRPr="00D15565">
        <w:rPr>
          <w:noProof/>
        </w:rPr>
        <w:drawing>
          <wp:inline distT="0" distB="0" distL="0" distR="0">
            <wp:extent cx="6154420" cy="4012933"/>
            <wp:effectExtent l="19050" t="0" r="0" b="0"/>
            <wp:docPr id="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8"/>
                    <a:srcRect/>
                    <a:stretch>
                      <a:fillRect/>
                    </a:stretch>
                  </pic:blipFill>
                  <pic:spPr bwMode="auto">
                    <a:xfrm>
                      <a:off x="0" y="0"/>
                      <a:ext cx="6154420" cy="4012933"/>
                    </a:xfrm>
                    <a:prstGeom prst="rect">
                      <a:avLst/>
                    </a:prstGeom>
                    <a:noFill/>
                    <a:ln w="9525">
                      <a:noFill/>
                      <a:miter lim="800000"/>
                      <a:headEnd/>
                      <a:tailEnd/>
                    </a:ln>
                  </pic:spPr>
                </pic:pic>
              </a:graphicData>
            </a:graphic>
          </wp:inline>
        </w:drawing>
      </w:r>
    </w:p>
    <w:p w:rsidR="00381F09" w:rsidRPr="00BA3707" w:rsidRDefault="00BA3707" w:rsidP="00C33A64">
      <w:pPr>
        <w:pStyle w:val="avotiemft10"/>
      </w:pPr>
      <w:bookmarkStart w:id="728" w:name="_MON_1616524743"/>
      <w:bookmarkStart w:id="729" w:name="_Toc6841658"/>
      <w:bookmarkEnd w:id="728"/>
      <w:r w:rsidRPr="00BA3707">
        <w:t>Avots: CSP, “MTG060. Ar mājokļa uzturēšanu saistīto izdevumu ietekme uz mājsaimniecības finansiālo situāciju (%)”.</w:t>
      </w:r>
      <w:bookmarkEnd w:id="729"/>
    </w:p>
    <w:p w:rsidR="00BA3707" w:rsidRDefault="00BA3707" w:rsidP="00064C1E"/>
    <w:p w:rsidR="00BF4385" w:rsidRDefault="00BF4385" w:rsidP="00064C1E">
      <w:r>
        <w:t xml:space="preserve">Laika posmā no 2009. </w:t>
      </w:r>
      <w:r w:rsidR="00C85EB4">
        <w:t xml:space="preserve">gada </w:t>
      </w:r>
      <w:r>
        <w:t xml:space="preserve">līdz 2017. gadam dažādiem mājsaimniecību tipiem redzamas dažādas </w:t>
      </w:r>
      <w:r w:rsidRPr="00BF4385">
        <w:t>tendences (</w:t>
      </w:r>
      <w:r w:rsidR="00824DEA">
        <w:t xml:space="preserve">sk. </w:t>
      </w:r>
      <w:r w:rsidR="00FE57B4">
        <w:t>3.33</w:t>
      </w:r>
      <w:r w:rsidRPr="00BF4385">
        <w:t>. attē</w:t>
      </w:r>
      <w:r w:rsidR="00824DEA">
        <w:t>lu</w:t>
      </w:r>
      <w:r w:rsidRPr="00BF4385">
        <w:t xml:space="preserve">). </w:t>
      </w:r>
      <w:r w:rsidR="005C78B0" w:rsidRPr="005C78B0">
        <w:rPr>
          <w:b/>
        </w:rPr>
        <w:t>Atsevišķi dzīvojoši pieaugušie līdz pensijas vecumam, vientuļie sen</w:t>
      </w:r>
      <w:r w:rsidR="00450352">
        <w:rPr>
          <w:b/>
        </w:rPr>
        <w:t>i</w:t>
      </w:r>
      <w:r w:rsidR="005C78B0" w:rsidRPr="005C78B0">
        <w:rPr>
          <w:b/>
        </w:rPr>
        <w:t xml:space="preserve">ori </w:t>
      </w:r>
      <w:r w:rsidRPr="005C78B0">
        <w:rPr>
          <w:b/>
        </w:rPr>
        <w:t xml:space="preserve">un </w:t>
      </w:r>
      <w:r w:rsidR="005C78B0" w:rsidRPr="005C78B0">
        <w:rPr>
          <w:b/>
        </w:rPr>
        <w:t>pāri</w:t>
      </w:r>
      <w:r w:rsidRPr="005C78B0">
        <w:rPr>
          <w:b/>
        </w:rPr>
        <w:t xml:space="preserve"> bez bērniem</w:t>
      </w:r>
      <w:r w:rsidR="005C78B0">
        <w:t xml:space="preserve"> laikā</w:t>
      </w:r>
      <w:r>
        <w:t xml:space="preserve"> no 2009. </w:t>
      </w:r>
      <w:r w:rsidR="00C85EB4">
        <w:t xml:space="preserve">gada </w:t>
      </w:r>
      <w:r>
        <w:t xml:space="preserve">līdz 2013. gadam ar mājokļa uzturēšanu saistītos izdevumus biežāk raksturoja </w:t>
      </w:r>
      <w:r w:rsidRPr="005C78B0">
        <w:rPr>
          <w:b/>
        </w:rPr>
        <w:t>kā ļoti apgrūtinošus mājsaimniecības finansiālajai situācijai</w:t>
      </w:r>
      <w:r>
        <w:t xml:space="preserve">. </w:t>
      </w:r>
      <w:r w:rsidR="005C78B0">
        <w:t xml:space="preserve">Atsevišķi dzīvojošo pieaugušo vidū </w:t>
      </w:r>
      <w:r>
        <w:t xml:space="preserve">šis rādījās pieauga no 36,5% līdz 49,8%, </w:t>
      </w:r>
      <w:r w:rsidR="005C78B0">
        <w:t>vientuļo pensijas vecuma cilvēku vidū - attiecīgi</w:t>
      </w:r>
      <w:r>
        <w:t xml:space="preserve"> no 44,1% līdz 61,2%, bet mājsaimniecīb</w:t>
      </w:r>
      <w:r w:rsidR="005C78B0">
        <w:t>ām</w:t>
      </w:r>
      <w:r>
        <w:t>, kurā</w:t>
      </w:r>
      <w:r w:rsidR="005C78B0">
        <w:t>s</w:t>
      </w:r>
      <w:r>
        <w:t xml:space="preserve"> ir pāris bez bērniem, no 29,3% līdz 40,6%. Pēc tam visiem šiem mājsaimniecību tipiem raksturīgs rādītāja kritums līdz jau iepriekš norādītajam līmenim.</w:t>
      </w:r>
    </w:p>
    <w:p w:rsidR="00BF4385" w:rsidRDefault="00BF4385" w:rsidP="00064C1E"/>
    <w:p w:rsidR="00381F09" w:rsidRDefault="00381F09" w:rsidP="00064C1E">
      <w:r>
        <w:t xml:space="preserve">Citiem mājsaimniecību tipiem laika posmā no 2009. </w:t>
      </w:r>
      <w:r w:rsidR="00C85EB4">
        <w:t xml:space="preserve">gada </w:t>
      </w:r>
      <w:r>
        <w:t>līdz 2017. ga</w:t>
      </w:r>
      <w:r w:rsidR="00197308">
        <w:t xml:space="preserve">dam konstatētas citas tendences. </w:t>
      </w:r>
      <w:r w:rsidR="00C85EB4">
        <w:t>N</w:t>
      </w:r>
      <w:r w:rsidR="005C78B0">
        <w:t>epilno ģimeņu vidū</w:t>
      </w:r>
      <w:r>
        <w:t xml:space="preserve"> šis rādītājs regulāri kāpj un pēc tam krīt, augstāko punktu sasniedzot 2011. gadā, kad 58,5% </w:t>
      </w:r>
      <w:r w:rsidR="005C78B0">
        <w:t>šādu ģimeņu</w:t>
      </w:r>
      <w:r>
        <w:t xml:space="preserve"> norādīja, ka ar mājokli saistītie izdevumi ļoti apgrūtina mājsaimniecības finansiālo situāciju, bet zemāko punktu</w:t>
      </w:r>
      <w:r w:rsidR="00197308">
        <w:t xml:space="preserve"> sasniedzot</w:t>
      </w:r>
      <w:r>
        <w:t xml:space="preserve"> 2017. gadā – 38,6%. </w:t>
      </w:r>
      <w:r w:rsidR="005C78B0">
        <w:t>Daudzbērnu ģimenēs šis</w:t>
      </w:r>
      <w:r>
        <w:t xml:space="preserve"> rādītāj</w:t>
      </w:r>
      <w:r w:rsidR="005C78B0">
        <w:t>s</w:t>
      </w:r>
      <w:r>
        <w:t xml:space="preserve"> laika posmā n</w:t>
      </w:r>
      <w:r w:rsidR="00692670">
        <w:t xml:space="preserve">o 2009. </w:t>
      </w:r>
      <w:r w:rsidR="00C85EB4">
        <w:t xml:space="preserve">gada </w:t>
      </w:r>
      <w:r w:rsidR="00692670">
        <w:t>līdz 2017. gadam mainīj</w:t>
      </w:r>
      <w:r w:rsidR="00C85EB4">
        <w:t xml:space="preserve">ies biežāk. </w:t>
      </w:r>
      <w:r>
        <w:t xml:space="preserve">2011. gadā 60,5% </w:t>
      </w:r>
      <w:r w:rsidR="005C78B0">
        <w:t>šādu ģimeņu</w:t>
      </w:r>
      <w:r>
        <w:t xml:space="preserve"> atzīmēja, ka </w:t>
      </w:r>
      <w:r w:rsidR="00197308">
        <w:t>ar mājokļu uzturēšanu saistītie</w:t>
      </w:r>
      <w:r>
        <w:t xml:space="preserve"> izdevumi ļoti apgrūtina mājsaimniecības finansiālo stāvokli, kas bi</w:t>
      </w:r>
      <w:r w:rsidR="00692670">
        <w:t>ja</w:t>
      </w:r>
      <w:r>
        <w:t xml:space="preserve"> augstāka</w:t>
      </w:r>
      <w:r w:rsidR="006D4D12">
        <w:t>i</w:t>
      </w:r>
      <w:r>
        <w:t>s šī rādītāja punkts, savukārt zemākais konstatēts četrus gadus vēlāk – 2015. gadā, kad tas bija 35,5%.</w:t>
      </w:r>
    </w:p>
    <w:p w:rsidR="00381F09" w:rsidRDefault="00AD3EDD" w:rsidP="006B5456">
      <w:pPr>
        <w:pStyle w:val="Caption"/>
      </w:pPr>
      <w:r>
        <w:rPr>
          <w:noProof/>
        </w:rPr>
        <w:lastRenderedPageBreak/>
        <w:fldChar w:fldCharType="begin"/>
      </w:r>
      <w:r w:rsidR="006B5456">
        <w:rPr>
          <w:noProof/>
        </w:rPr>
        <w:instrText xml:space="preserve"> STYLEREF 1 \s </w:instrText>
      </w:r>
      <w:r>
        <w:rPr>
          <w:noProof/>
        </w:rPr>
        <w:fldChar w:fldCharType="separate"/>
      </w:r>
      <w:bookmarkStart w:id="730" w:name="_Toc6855848"/>
      <w:r w:rsidR="00224B50">
        <w:rPr>
          <w:noProof/>
        </w:rPr>
        <w:t>3</w:t>
      </w:r>
      <w:r>
        <w:rPr>
          <w:noProof/>
        </w:rPr>
        <w:fldChar w:fldCharType="end"/>
      </w:r>
      <w:r w:rsidR="006B5456">
        <w:rPr>
          <w:noProof/>
        </w:rPr>
        <w:t>.</w:t>
      </w:r>
      <w:r>
        <w:rPr>
          <w:noProof/>
        </w:rPr>
        <w:fldChar w:fldCharType="begin"/>
      </w:r>
      <w:r w:rsidR="006B5456">
        <w:rPr>
          <w:noProof/>
        </w:rPr>
        <w:instrText xml:space="preserve"> SEQ Ilustrācija \* ARABIC \s 1 </w:instrText>
      </w:r>
      <w:r>
        <w:rPr>
          <w:noProof/>
        </w:rPr>
        <w:fldChar w:fldCharType="separate"/>
      </w:r>
      <w:r w:rsidR="00224B50">
        <w:rPr>
          <w:noProof/>
        </w:rPr>
        <w:t>33</w:t>
      </w:r>
      <w:r>
        <w:rPr>
          <w:noProof/>
        </w:rPr>
        <w:fldChar w:fldCharType="end"/>
      </w:r>
      <w:r w:rsidR="008138B4">
        <w:t xml:space="preserve">. attēls. </w:t>
      </w:r>
      <w:r w:rsidR="00381F09" w:rsidRPr="008138B4">
        <w:t xml:space="preserve">Ar mājokļa uzturēšanu saistīto izdevumu ietekme uz mājsaimniecības finansiālo situāciju </w:t>
      </w:r>
      <w:r w:rsidR="00BA3707">
        <w:t>2017.</w:t>
      </w:r>
      <w:r w:rsidR="00DE1C08">
        <w:t xml:space="preserve"> </w:t>
      </w:r>
      <w:r w:rsidR="00BA3707">
        <w:t>gadā</w:t>
      </w:r>
      <w:r w:rsidR="00381F09" w:rsidRPr="008138B4">
        <w:t>. Tās mājsaimniecības, kuras norādījušas, ka ar mājokli saistītie izdevumu ļoti apgrūtina mājs</w:t>
      </w:r>
      <w:r w:rsidR="008138B4">
        <w:t>aimniecības finansiālo stāvokli</w:t>
      </w:r>
      <w:r w:rsidR="00BA3707">
        <w:t xml:space="preserve"> </w:t>
      </w:r>
      <w:r w:rsidR="00BA3707" w:rsidRPr="008138B4">
        <w:t>(%)</w:t>
      </w:r>
      <w:bookmarkEnd w:id="730"/>
    </w:p>
    <w:p w:rsidR="00381F09" w:rsidRDefault="0085343E" w:rsidP="00064C1E">
      <w:r w:rsidRPr="0085343E">
        <w:rPr>
          <w:noProof/>
        </w:rPr>
        <w:drawing>
          <wp:inline distT="0" distB="0" distL="0" distR="0">
            <wp:extent cx="6154420" cy="3639353"/>
            <wp:effectExtent l="19050" t="0" r="0" b="0"/>
            <wp:docPr id="6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9"/>
                    <a:srcRect/>
                    <a:stretch>
                      <a:fillRect/>
                    </a:stretch>
                  </pic:blipFill>
                  <pic:spPr bwMode="auto">
                    <a:xfrm>
                      <a:off x="0" y="0"/>
                      <a:ext cx="6154420" cy="3639353"/>
                    </a:xfrm>
                    <a:prstGeom prst="rect">
                      <a:avLst/>
                    </a:prstGeom>
                    <a:noFill/>
                    <a:ln w="9525">
                      <a:noFill/>
                      <a:miter lim="800000"/>
                      <a:headEnd/>
                      <a:tailEnd/>
                    </a:ln>
                  </pic:spPr>
                </pic:pic>
              </a:graphicData>
            </a:graphic>
          </wp:inline>
        </w:drawing>
      </w:r>
    </w:p>
    <w:p w:rsidR="00381F09" w:rsidRPr="00BA3707" w:rsidRDefault="00BA3707" w:rsidP="00C33A64">
      <w:pPr>
        <w:pStyle w:val="avotiemft10"/>
      </w:pPr>
      <w:bookmarkStart w:id="731" w:name="_Toc6841659"/>
      <w:r w:rsidRPr="00BA3707">
        <w:t>Avots: CSP, “MTG060. Ar mājokļa uzturēšanu saistīto izdevumu ietekme uz mājsaimniecības finansiālo situāciju (%)”.</w:t>
      </w:r>
      <w:bookmarkEnd w:id="731"/>
    </w:p>
    <w:p w:rsidR="00BA3707" w:rsidRDefault="00BA3707" w:rsidP="00064C1E"/>
    <w:p w:rsidR="00BF4385" w:rsidRDefault="00BF4385" w:rsidP="00064C1E">
      <w:r>
        <w:t xml:space="preserve">Skatoties </w:t>
      </w:r>
      <w:r w:rsidRPr="005C78B0">
        <w:rPr>
          <w:b/>
        </w:rPr>
        <w:t>lauku un pilsētu</w:t>
      </w:r>
      <w:r>
        <w:t xml:space="preserve"> griezumā, redzams, ka 2017. gadā parādījās nelielas atšķirības starp šiem diviem mājsaimniecību tipiem. Skatoties īpatsvaru ar mājsaimniecībām, kuras norādīja, ka mājokļa uzturēšanas izdevumi nemaz nav apgrūtinājums mājsaimniecības finansiālajai situācijai, tad pilsētās 20,1% mājsaimniecību sniedza šādu atbildi, kamēr laukos par 0,5 procentpunktiem vairāk – 20,6%. Nedaudz apgrūtinoši mājokļa uzturēšanas izdevumi bija 49,3% lauku mājsaimniecību, bet pilsētās par 3,4 procentpunktiem mazāk, savukārt atbildi „ļoti apgrūtinoši” biežāk norādījušas</w:t>
      </w:r>
      <w:r w:rsidRPr="00197308">
        <w:t xml:space="preserve"> </w:t>
      </w:r>
      <w:r>
        <w:t>pilsētu mājsaimniecības (34%), kamēr laukos šādu vērtējumu sniedza par 2,9 procentpunktiem mazāks mājsaimniecību īpatsvars (30,1%).</w:t>
      </w:r>
    </w:p>
    <w:p w:rsidR="00BF4385" w:rsidRDefault="00BF4385" w:rsidP="00064C1E"/>
    <w:p w:rsidR="00381F09" w:rsidRDefault="00381F09" w:rsidP="00064C1E">
      <w:r w:rsidRPr="005C78B0">
        <w:rPr>
          <w:b/>
        </w:rPr>
        <w:t>Reģionu griezumā</w:t>
      </w:r>
      <w:r>
        <w:t xml:space="preserve"> ar mājokli saistīto</w:t>
      </w:r>
      <w:r w:rsidR="00692670">
        <w:t>s</w:t>
      </w:r>
      <w:r>
        <w:t xml:space="preserve"> izdevumus uz mājsaimn</w:t>
      </w:r>
      <w:r w:rsidR="00197308">
        <w:t xml:space="preserve">iecības finansiālo stāvokli kā </w:t>
      </w:r>
      <w:r>
        <w:t>ļoti apgrūtinošus</w:t>
      </w:r>
      <w:r w:rsidR="00197308">
        <w:t xml:space="preserve"> </w:t>
      </w:r>
      <w:r>
        <w:t>2017. gadā visbiežāk raksturoja Zemgales un Latgales reģiona mājsaimniecības. Zemgales reģionā tā norādīja 45,2%, bet Latgales reģionā 42,1%. Visretāk šos izdevumus kā ļoti apgrūtinošus raksturoja Rīgas reģiona mājsaimniecības, no kurām 28,6% norādīja, ka mājokļa izdevumi ļoti apgrūtina mājsaimniecības finansiālo stāvokli</w:t>
      </w:r>
      <w:r w:rsidR="00197308">
        <w:t>.</w:t>
      </w:r>
      <w:r>
        <w:t xml:space="preserve"> Kā nedaudz apgrūtinošos šos izdevumus 2017. gadā visbiežāk raksturoja Vidzemes un Kurzemes reģiona mājsaimniecības, Vidzemes reģionā tā norādīja 54% mājsaimniecību, savukārt Kurzemes reģionā 53,7%. </w:t>
      </w:r>
      <w:r w:rsidR="00197308">
        <w:t>Visbeidzot</w:t>
      </w:r>
      <w:r>
        <w:t xml:space="preserve"> mājokļa uzturēšanas izdevumus</w:t>
      </w:r>
      <w:r w:rsidR="00692670">
        <w:t xml:space="preserve"> kā tādus</w:t>
      </w:r>
      <w:r>
        <w:t xml:space="preserve">, </w:t>
      </w:r>
      <w:r w:rsidR="00692670">
        <w:t>kas</w:t>
      </w:r>
      <w:r>
        <w:t xml:space="preserve"> neatstāj nekāda veida ietekmi uz mājsaimniecības finansiālo stāvokli</w:t>
      </w:r>
      <w:r w:rsidR="00197308">
        <w:t>,</w:t>
      </w:r>
      <w:r>
        <w:t xml:space="preserve"> 2017. gadā visbiežāk raksturoja Rīgas reģiona mājsaimniecības – 24,9%.</w:t>
      </w:r>
    </w:p>
    <w:p w:rsidR="00C85EB4" w:rsidRDefault="00C85EB4" w:rsidP="00064C1E">
      <w:pPr>
        <w:rPr>
          <w:rFonts w:ascii="Open Sans" w:hAnsi="Open Sans"/>
          <w:color w:val="000000"/>
          <w:sz w:val="23"/>
          <w:szCs w:val="23"/>
        </w:rPr>
      </w:pPr>
      <w:r>
        <w:lastRenderedPageBreak/>
        <w:t>Aplūkojot CSP apkopotos datus</w:t>
      </w:r>
      <w:r>
        <w:rPr>
          <w:rStyle w:val="FootnoteReference"/>
        </w:rPr>
        <w:footnoteReference w:id="324"/>
      </w:r>
      <w:r>
        <w:t xml:space="preserve"> par iedzīvotāju parādiem par komunālajiem maksājumiem, ir identificējamas mājsaimniecības, kurām naudas trūkuma dēļ pēdējo 12 mēnešu laikā kaut reizi ir bijuši parādi par komunālo pakalpojumu</w:t>
      </w:r>
      <w:r>
        <w:rPr>
          <w:rStyle w:val="FootnoteReference"/>
        </w:rPr>
        <w:footnoteReference w:id="325"/>
      </w:r>
      <w:r>
        <w:t xml:space="preserve"> maksājumiem. 2017.</w:t>
      </w:r>
      <w:r w:rsidR="00D54545">
        <w:t xml:space="preserve"> </w:t>
      </w:r>
      <w:r>
        <w:t>gadā kopumā tāda situācija bija radusies 11,4% mājsaimniecību, 2018.</w:t>
      </w:r>
      <w:r w:rsidR="00D54545">
        <w:t xml:space="preserve"> </w:t>
      </w:r>
      <w:r>
        <w:t xml:space="preserve">gadā – 11,1% mājsaimniecību. </w:t>
      </w:r>
      <w:r>
        <w:rPr>
          <w:rFonts w:ascii="Open Sans" w:hAnsi="Open Sans"/>
          <w:color w:val="000000"/>
          <w:sz w:val="23"/>
          <w:szCs w:val="23"/>
        </w:rPr>
        <w:t>Visvairāk parādnieku par komunālajiem maksājumiem bija starp nepilnajām ģimenēm (2017.</w:t>
      </w:r>
      <w:r w:rsidR="00D54545">
        <w:rPr>
          <w:rFonts w:ascii="Open Sans" w:hAnsi="Open Sans"/>
          <w:color w:val="000000"/>
          <w:sz w:val="23"/>
          <w:szCs w:val="23"/>
        </w:rPr>
        <w:t xml:space="preserve"> </w:t>
      </w:r>
      <w:r>
        <w:rPr>
          <w:rFonts w:ascii="Open Sans" w:hAnsi="Open Sans"/>
          <w:color w:val="000000"/>
          <w:sz w:val="23"/>
          <w:szCs w:val="23"/>
        </w:rPr>
        <w:t>gadā 24,7 %, 2018.</w:t>
      </w:r>
      <w:r w:rsidR="00D54545">
        <w:rPr>
          <w:rFonts w:ascii="Open Sans" w:hAnsi="Open Sans"/>
          <w:color w:val="000000"/>
          <w:sz w:val="23"/>
          <w:szCs w:val="23"/>
        </w:rPr>
        <w:t xml:space="preserve"> </w:t>
      </w:r>
      <w:r>
        <w:rPr>
          <w:rFonts w:ascii="Open Sans" w:hAnsi="Open Sans"/>
          <w:color w:val="000000"/>
          <w:sz w:val="23"/>
          <w:szCs w:val="23"/>
        </w:rPr>
        <w:t>gadā 20,3%), pāriem ar diviem bērniem (2017.</w:t>
      </w:r>
      <w:r w:rsidR="00D54545">
        <w:rPr>
          <w:rFonts w:ascii="Open Sans" w:hAnsi="Open Sans"/>
          <w:color w:val="000000"/>
          <w:sz w:val="23"/>
          <w:szCs w:val="23"/>
        </w:rPr>
        <w:t xml:space="preserve"> </w:t>
      </w:r>
      <w:r>
        <w:rPr>
          <w:rFonts w:ascii="Open Sans" w:hAnsi="Open Sans"/>
          <w:color w:val="000000"/>
          <w:sz w:val="23"/>
          <w:szCs w:val="23"/>
        </w:rPr>
        <w:t>gadā 16,6 %), daudzbērnu ģimenēm (2018. gadā 19,7%) un mājsaimniecībām, kur dzīvo viena persona vecumā līdz 64 gadiem (2017.</w:t>
      </w:r>
      <w:r w:rsidR="00D54545">
        <w:rPr>
          <w:rFonts w:ascii="Open Sans" w:hAnsi="Open Sans"/>
          <w:color w:val="000000"/>
          <w:sz w:val="23"/>
          <w:szCs w:val="23"/>
        </w:rPr>
        <w:t xml:space="preserve"> </w:t>
      </w:r>
      <w:r>
        <w:rPr>
          <w:rFonts w:ascii="Open Sans" w:hAnsi="Open Sans"/>
          <w:color w:val="000000"/>
          <w:sz w:val="23"/>
          <w:szCs w:val="23"/>
        </w:rPr>
        <w:t>gadā 15,9 %, 2018.</w:t>
      </w:r>
      <w:r w:rsidR="00D54545">
        <w:rPr>
          <w:rFonts w:ascii="Open Sans" w:hAnsi="Open Sans"/>
          <w:color w:val="000000"/>
          <w:sz w:val="23"/>
          <w:szCs w:val="23"/>
        </w:rPr>
        <w:t xml:space="preserve"> </w:t>
      </w:r>
      <w:r>
        <w:rPr>
          <w:rFonts w:ascii="Open Sans" w:hAnsi="Open Sans"/>
          <w:color w:val="000000"/>
          <w:sz w:val="23"/>
          <w:szCs w:val="23"/>
        </w:rPr>
        <w:t>gadā 16,2%). Savukārt vismazāk parādnieku par komunālo pakalpojumu rēķiniem bija starp pāriem bez bērniem (2017. gadā 6,7 %, 2018.</w:t>
      </w:r>
      <w:r w:rsidR="00D54545">
        <w:rPr>
          <w:rFonts w:ascii="Open Sans" w:hAnsi="Open Sans"/>
          <w:color w:val="000000"/>
          <w:sz w:val="23"/>
          <w:szCs w:val="23"/>
        </w:rPr>
        <w:t xml:space="preserve"> </w:t>
      </w:r>
      <w:r>
        <w:rPr>
          <w:rFonts w:ascii="Open Sans" w:hAnsi="Open Sans"/>
          <w:color w:val="000000"/>
          <w:sz w:val="23"/>
          <w:szCs w:val="23"/>
        </w:rPr>
        <w:t>gadā 6,3%) un vientuļo senioru (no 65 gadiem) mājsaimniecībām (2017. gadā 6,8 %, 2018. gadā  6,5%).</w:t>
      </w:r>
    </w:p>
    <w:p w:rsidR="00A835E5" w:rsidRPr="00FA6392" w:rsidRDefault="00A835E5" w:rsidP="003945E0">
      <w:pPr>
        <w:pStyle w:val="Heading3"/>
      </w:pPr>
      <w:bookmarkStart w:id="732" w:name="_Toc6841660"/>
      <w:r w:rsidRPr="00FA6392">
        <w:t>Datu kvalitātes novērtējums mājokļa jomā</w:t>
      </w:r>
      <w:bookmarkEnd w:id="732"/>
    </w:p>
    <w:p w:rsidR="00A835E5" w:rsidRDefault="00FA6392" w:rsidP="00A835E5">
      <w:r w:rsidRPr="00FA6392">
        <w:t>Līdzīgi kā nabadzības un nevienlīdzības gadījumā, nozīmīgākais publiski pieejamais un administratīvi vienkārši sasniedzamais informācijas avots, kas ar zināmiem ierobežojumiem ļauj novērtēt nevienlīdzību mājokļa jomā gan Latvijas, gan ES līmenī ir EU-SILC apsekojuma dati, kas ir šīs aptaujas primārais īstenošanas mērķis. EU-SILC tiek izmantots visu valstu līmenī, tādējādi rezultāti ir starptautiski salīdzināmi, tomēr nereti nepietiekami jūtīgi pret katras dalībvalsts unikālo situāciju un no tās izrietošajām īpatnībām, kas raksturo mājokļu tirgu. EU-SILC datu priekšrocības attiecībā uz mājokļa jomu ir iespējas analizēt mājokļa kvalitāti saistībā ar mājsaimniecības kompozīciju (pieaugušo un bērnu skaitu) un mājsaimniecības vispārējo raksturojumu attiecībā uz nevienlīdzību (ienākumu kvintiļu grupas, pakļautība nabadzības vai materiālās nenodrošinātības riskam). Vienlaikus, kā konstatēts šajā Izvērtējumā, EU-SILC nespēj pietiekami raksturot situāciju attiecībā uz specifisku mērķa grupu pieejamību mājoklim.</w:t>
      </w:r>
    </w:p>
    <w:p w:rsidR="00F74C20" w:rsidRDefault="00F74C20" w:rsidP="00A835E5"/>
    <w:p w:rsidR="00F74C20" w:rsidRDefault="00F74C20" w:rsidP="00A835E5">
      <w:r>
        <w:t xml:space="preserve">Attiecībā uz nevienlīdzību mājokļa jomā noteiktu mērķa grupu rakursā (piemēram, mājokļa pielāgošana personām ar invaliditāti, mājokļa nodrošinājumu trūcīgām personām u.tml.) vai kopumā, vērtējot pašvaldību dzīvojamo fondu, informāciju vāc arī dažādas institūcijas (piemēram, Ekonomikas ministrija LR Tiesībsarga birojs u.c.) un NVO (piemēram, Latvijas Lielo pilsētu asociācija). Lai gan vāktās informācijas saturs bieži vien ir līdzīgs, tā vairumā gadījumu tiek vākta katrai vajadzībai atsevišķi, katrai organizācijai neatkarīgi vienai no otras, nosakot katru organizāciju/ institūciju interesējošos specifiskos rādītājus. Tā rezultātā iegūtie dati ir specifiski, izmantojami </w:t>
      </w:r>
      <w:r w:rsidR="00FA6539">
        <w:t>galvenokārt</w:t>
      </w:r>
      <w:r>
        <w:t xml:space="preserve"> tās vācēju noteiktajām vajadzībām, un parasti informācijas apmaiņa par šādu datu vākšanu un iegūtajiem rezultātiem institūciju starpā nenotiek. Tādējādi, veicot izvērtējumus valsts mērogā, var pietrūkt informācijas par to, kādi dati jau nesenā pagātnē ir vākti no pašvaldībām, pieprasot tos no jauna, radot administratīvo slogu datu sniedzējiem.</w:t>
      </w:r>
    </w:p>
    <w:p w:rsidR="007762AE" w:rsidRPr="00A835E5" w:rsidRDefault="007762AE" w:rsidP="00A835E5"/>
    <w:p w:rsidR="00031844" w:rsidRDefault="00094CC8" w:rsidP="003945E0">
      <w:pPr>
        <w:pStyle w:val="Heading2"/>
      </w:pPr>
      <w:bookmarkStart w:id="733" w:name="_Toc6841661"/>
      <w:r w:rsidRPr="006A431A">
        <w:lastRenderedPageBreak/>
        <w:t xml:space="preserve">Nevienlīdzības mājokļa jomā </w:t>
      </w:r>
      <w:r w:rsidR="00DF6940" w:rsidRPr="006A431A">
        <w:t xml:space="preserve">situācija </w:t>
      </w:r>
      <w:r w:rsidR="00B26526">
        <w:t xml:space="preserve">specifiskās </w:t>
      </w:r>
      <w:r w:rsidR="00DF6940" w:rsidRPr="006A431A">
        <w:t>mērķa grupās</w:t>
      </w:r>
      <w:bookmarkEnd w:id="733"/>
      <w:r w:rsidR="0034054D" w:rsidRPr="006A431A">
        <w:t xml:space="preserve"> </w:t>
      </w:r>
    </w:p>
    <w:p w:rsidR="006362BB" w:rsidRPr="006A431A" w:rsidRDefault="006362BB" w:rsidP="00824DEA">
      <w:pPr>
        <w:suppressAutoHyphens/>
        <w:autoSpaceDE w:val="0"/>
        <w:rPr>
          <w:color w:val="000000"/>
        </w:rPr>
      </w:pPr>
      <w:r>
        <w:rPr>
          <w:color w:val="000000"/>
        </w:rPr>
        <w:t>Izvērtējumā intervēto e</w:t>
      </w:r>
      <w:r w:rsidRPr="006A431A">
        <w:rPr>
          <w:color w:val="000000"/>
        </w:rPr>
        <w:t>kspertu vērtējumā nevienlīdzības mājokļa pieejamības jomā riskam ir pakļautas visas iedzīvotāju grupas ar zemiem ienākumiem, tā netieši norādot, ka galvenais rādītājs, kas nosaka nevienlīdzību mājokļa jomā ir mājokļa izdevumi attiecībā pret mājsaimniecības ienākumiem. Šim kritērijam pēc būtības atbilst visas Izvērtējumā iekļautās sociālās atstumtības un nabadzības riskam pakļautā</w:t>
      </w:r>
      <w:r>
        <w:rPr>
          <w:color w:val="000000"/>
        </w:rPr>
        <w:t>s</w:t>
      </w:r>
      <w:r w:rsidRPr="006A431A">
        <w:rPr>
          <w:color w:val="000000"/>
        </w:rPr>
        <w:t xml:space="preserve"> mērķa grupas:</w:t>
      </w:r>
    </w:p>
    <w:p w:rsidR="006362BB" w:rsidRPr="00E80A1D" w:rsidRDefault="006362BB" w:rsidP="003F469F">
      <w:pPr>
        <w:pStyle w:val="ListParagraph"/>
        <w:numPr>
          <w:ilvl w:val="0"/>
          <w:numId w:val="120"/>
        </w:numPr>
        <w:suppressAutoHyphens/>
        <w:autoSpaceDE w:val="0"/>
        <w:spacing w:line="276" w:lineRule="auto"/>
        <w:jc w:val="both"/>
      </w:pPr>
      <w:r w:rsidRPr="00E80A1D">
        <w:t>pirmspensijas un pensijas vecuma cilvēki;</w:t>
      </w:r>
    </w:p>
    <w:p w:rsidR="006362BB" w:rsidRPr="00E80A1D" w:rsidRDefault="006362BB" w:rsidP="003F469F">
      <w:pPr>
        <w:pStyle w:val="ListParagraph"/>
        <w:numPr>
          <w:ilvl w:val="0"/>
          <w:numId w:val="120"/>
        </w:numPr>
        <w:suppressAutoHyphens/>
        <w:autoSpaceDE w:val="0"/>
        <w:spacing w:line="276" w:lineRule="auto"/>
        <w:jc w:val="both"/>
      </w:pPr>
      <w:r w:rsidRPr="00E80A1D">
        <w:t xml:space="preserve">ģimenes ar bērniem, īpaši daudzbērnu un viena </w:t>
      </w:r>
      <w:r w:rsidR="00BA1727">
        <w:t xml:space="preserve">vecāka mājsaimniecības </w:t>
      </w:r>
      <w:r w:rsidRPr="00E80A1D">
        <w:t>(t.sk. ģimenes ar bērniem, kuriem ir funkcionēšanas ierobežojumi vai invaliditāte);</w:t>
      </w:r>
    </w:p>
    <w:p w:rsidR="006362BB" w:rsidRPr="00E80A1D" w:rsidRDefault="006362BB" w:rsidP="003F469F">
      <w:pPr>
        <w:pStyle w:val="ListParagraph"/>
        <w:numPr>
          <w:ilvl w:val="0"/>
          <w:numId w:val="120"/>
        </w:numPr>
        <w:suppressAutoHyphens/>
        <w:autoSpaceDE w:val="0"/>
        <w:spacing w:line="276" w:lineRule="auto"/>
        <w:jc w:val="both"/>
      </w:pPr>
      <w:r w:rsidRPr="00E80A1D">
        <w:t>trūcīgās un maznodrošinātās personas;</w:t>
      </w:r>
    </w:p>
    <w:p w:rsidR="006362BB" w:rsidRPr="00E80A1D" w:rsidRDefault="006362BB" w:rsidP="003F469F">
      <w:pPr>
        <w:pStyle w:val="ListParagraph"/>
        <w:numPr>
          <w:ilvl w:val="0"/>
          <w:numId w:val="120"/>
        </w:numPr>
        <w:suppressAutoHyphens/>
        <w:autoSpaceDE w:val="0"/>
        <w:spacing w:line="276" w:lineRule="auto"/>
        <w:jc w:val="both"/>
      </w:pPr>
      <w:r w:rsidRPr="00E80A1D">
        <w:t>personas ar funkcionēšanas ierobežojumiem, tai skaitā personas ar invaliditāti;</w:t>
      </w:r>
    </w:p>
    <w:p w:rsidR="006362BB" w:rsidRPr="006A431A" w:rsidRDefault="006362BB" w:rsidP="003F469F">
      <w:pPr>
        <w:pStyle w:val="ListParagraph"/>
        <w:numPr>
          <w:ilvl w:val="0"/>
          <w:numId w:val="120"/>
        </w:numPr>
        <w:suppressAutoHyphens/>
        <w:autoSpaceDE w:val="0"/>
        <w:spacing w:line="276" w:lineRule="auto"/>
        <w:jc w:val="both"/>
        <w:rPr>
          <w:color w:val="000000"/>
        </w:rPr>
      </w:pPr>
      <w:r w:rsidRPr="006A431A">
        <w:rPr>
          <w:color w:val="000000"/>
        </w:rPr>
        <w:t>internātskolu absolventi;</w:t>
      </w:r>
    </w:p>
    <w:p w:rsidR="006362BB" w:rsidRPr="006A431A" w:rsidRDefault="006362BB" w:rsidP="003F469F">
      <w:pPr>
        <w:pStyle w:val="ListParagraph"/>
        <w:numPr>
          <w:ilvl w:val="0"/>
          <w:numId w:val="120"/>
        </w:numPr>
        <w:suppressAutoHyphens/>
        <w:autoSpaceDE w:val="0"/>
        <w:spacing w:line="276" w:lineRule="auto"/>
        <w:jc w:val="both"/>
        <w:rPr>
          <w:color w:val="000000"/>
        </w:rPr>
      </w:pPr>
      <w:r w:rsidRPr="006A431A">
        <w:rPr>
          <w:color w:val="000000"/>
        </w:rPr>
        <w:t>vardarbībā cietušās personas, t.sk. cilvēktirdzniecības upuri;</w:t>
      </w:r>
    </w:p>
    <w:p w:rsidR="006362BB" w:rsidRPr="006A431A" w:rsidRDefault="006362BB" w:rsidP="003F469F">
      <w:pPr>
        <w:pStyle w:val="ListParagraph"/>
        <w:numPr>
          <w:ilvl w:val="0"/>
          <w:numId w:val="120"/>
        </w:numPr>
        <w:suppressAutoHyphens/>
        <w:autoSpaceDE w:val="0"/>
        <w:spacing w:line="276" w:lineRule="auto"/>
        <w:jc w:val="both"/>
        <w:rPr>
          <w:color w:val="000000"/>
        </w:rPr>
      </w:pPr>
      <w:r w:rsidRPr="006A431A">
        <w:rPr>
          <w:color w:val="000000"/>
        </w:rPr>
        <w:t>no ieslodzījuma vietām atbrīvotās personas;</w:t>
      </w:r>
    </w:p>
    <w:p w:rsidR="006362BB" w:rsidRPr="006A431A" w:rsidRDefault="006362BB" w:rsidP="003F469F">
      <w:pPr>
        <w:pStyle w:val="ListParagraph"/>
        <w:numPr>
          <w:ilvl w:val="0"/>
          <w:numId w:val="120"/>
        </w:numPr>
        <w:suppressAutoHyphens/>
        <w:autoSpaceDE w:val="0"/>
        <w:spacing w:line="276" w:lineRule="auto"/>
        <w:jc w:val="both"/>
        <w:rPr>
          <w:color w:val="000000"/>
        </w:rPr>
      </w:pPr>
      <w:r w:rsidRPr="006A431A">
        <w:rPr>
          <w:color w:val="000000"/>
        </w:rPr>
        <w:t>romi;</w:t>
      </w:r>
    </w:p>
    <w:p w:rsidR="006362BB" w:rsidRPr="00BB4AB7" w:rsidRDefault="006362BB" w:rsidP="003F469F">
      <w:pPr>
        <w:pStyle w:val="ListParagraph"/>
        <w:numPr>
          <w:ilvl w:val="0"/>
          <w:numId w:val="120"/>
        </w:numPr>
        <w:suppressAutoHyphens/>
        <w:autoSpaceDE w:val="0"/>
        <w:spacing w:line="276" w:lineRule="auto"/>
        <w:jc w:val="both"/>
        <w:rPr>
          <w:color w:val="000000"/>
        </w:rPr>
      </w:pPr>
      <w:r w:rsidRPr="006A431A">
        <w:t xml:space="preserve">patvēruma meklētāji, bēgļi un </w:t>
      </w:r>
      <w:r>
        <w:t>personas ar alternatīvo statusu;</w:t>
      </w:r>
    </w:p>
    <w:p w:rsidR="006362BB" w:rsidRPr="006A431A" w:rsidRDefault="006362BB" w:rsidP="003F469F">
      <w:pPr>
        <w:pStyle w:val="ListParagraph"/>
        <w:numPr>
          <w:ilvl w:val="0"/>
          <w:numId w:val="120"/>
        </w:numPr>
        <w:suppressAutoHyphens/>
        <w:autoSpaceDE w:val="0"/>
        <w:spacing w:line="276" w:lineRule="auto"/>
        <w:jc w:val="both"/>
        <w:rPr>
          <w:color w:val="000000"/>
        </w:rPr>
      </w:pPr>
      <w:r w:rsidRPr="006A431A">
        <w:rPr>
          <w:color w:val="000000"/>
        </w:rPr>
        <w:t>bezdarbnieki, īpaši ilgstošie bezdarbnieki;</w:t>
      </w:r>
    </w:p>
    <w:p w:rsidR="006362BB" w:rsidRPr="003F2147" w:rsidRDefault="006362BB" w:rsidP="003F469F">
      <w:pPr>
        <w:pStyle w:val="ListParagraph"/>
        <w:numPr>
          <w:ilvl w:val="0"/>
          <w:numId w:val="120"/>
        </w:numPr>
        <w:suppressAutoHyphens/>
        <w:autoSpaceDE w:val="0"/>
        <w:spacing w:line="276" w:lineRule="auto"/>
        <w:jc w:val="both"/>
      </w:pPr>
      <w:r w:rsidRPr="003F2147">
        <w:t xml:space="preserve">bezpajumtnieki. </w:t>
      </w:r>
    </w:p>
    <w:p w:rsidR="006362BB" w:rsidRPr="003F2147" w:rsidRDefault="006362BB" w:rsidP="00064C1E"/>
    <w:p w:rsidR="006362BB" w:rsidRDefault="006362BB" w:rsidP="00064C1E">
      <w:pPr>
        <w:suppressAutoHyphens/>
        <w:autoSpaceDE w:val="0"/>
      </w:pPr>
      <w:r w:rsidRPr="003F2147">
        <w:t xml:space="preserve">Pirmo </w:t>
      </w:r>
      <w:r w:rsidR="00841B9C" w:rsidRPr="003F2147">
        <w:t>trīs</w:t>
      </w:r>
      <w:r w:rsidRPr="003F2147">
        <w:t xml:space="preserve"> augstāk minēto mērķa grupu situāciju iespējams raksturot, balstoties uz statistikas datu analīzi un papildinot to ar ekspertu vērtējumiem un sekundārajiem datiem. Šo mērķa grupu situācijas analīze</w:t>
      </w:r>
      <w:r w:rsidRPr="00CF62B9">
        <w:t xml:space="preserve"> mājokļa jomā dažādos griezumos ir lasāma Izvērtējuma 3.3.sadaļā</w:t>
      </w:r>
      <w:r w:rsidR="002B7E0F">
        <w:t>, galvenie secin</w:t>
      </w:r>
      <w:r w:rsidR="00EF5390">
        <w:t>ā</w:t>
      </w:r>
      <w:r w:rsidR="002B7E0F">
        <w:t>jumi lasāmi 3.5.1. sadaļā</w:t>
      </w:r>
      <w:r w:rsidR="00841B9C" w:rsidRPr="00CF62B9">
        <w:t>. 3.4.1.-3.4.</w:t>
      </w:r>
      <w:r w:rsidR="002B7E0F">
        <w:t>7</w:t>
      </w:r>
      <w:r w:rsidR="00841B9C" w:rsidRPr="00CF62B9">
        <w:t xml:space="preserve">. sadaļās </w:t>
      </w:r>
      <w:r w:rsidRPr="00CF62B9">
        <w:t>ir raksturota specifisku</w:t>
      </w:r>
      <w:r>
        <w:t xml:space="preserve"> mērķa grupu situācija mājokļa pieejamības jomā. Par šīm mērķa grupām nav pieejami visa</w:t>
      </w:r>
      <w:r w:rsidR="00692670">
        <w:t>ptveroši statistikas dati no EU-</w:t>
      </w:r>
      <w:r>
        <w:t xml:space="preserve">SILC apsekojuma, ņemot vērā, ka šīs grupas ir kopumā statistiski mazskaitlīgas šāda veida apsekojumos vai arī dati konkrētās mērķa grupas </w:t>
      </w:r>
      <w:r w:rsidR="00320BA2">
        <w:t>p</w:t>
      </w:r>
      <w:r>
        <w:t>amata pazīmes grie</w:t>
      </w:r>
      <w:r w:rsidR="00692670">
        <w:t>zumā nav pieejami (piemēram, EU-</w:t>
      </w:r>
      <w:r>
        <w:t xml:space="preserve">SILC mājokļa bloka jautājumi nav pieejami sadalījumā pēc etniskās piederības, attiecīgi nav iespējams izdalīt romus kā atsevišķu mērķa grupu). Specifisko mērķa grupu situācijas raksturojumam ir izmantoti sekundārie datu avoti – pētījumi, politikas plānošanas dokumenti, ziņojumi un Izvērtējumā veikto ekspertu interviju </w:t>
      </w:r>
      <w:r w:rsidR="007A5513">
        <w:t xml:space="preserve">un fokusa grupas diskusijas </w:t>
      </w:r>
      <w:r>
        <w:t xml:space="preserve">dati. </w:t>
      </w:r>
    </w:p>
    <w:p w:rsidR="00DF675A" w:rsidRPr="000F00F9" w:rsidRDefault="00DF675A" w:rsidP="003945E0">
      <w:pPr>
        <w:pStyle w:val="Heading3"/>
      </w:pPr>
      <w:bookmarkStart w:id="734" w:name="_Toc6841662"/>
      <w:r w:rsidRPr="000F00F9">
        <w:t>Personas ar invaliditāti</w:t>
      </w:r>
      <w:bookmarkEnd w:id="734"/>
      <w:r w:rsidRPr="000F00F9">
        <w:t xml:space="preserve"> </w:t>
      </w:r>
    </w:p>
    <w:p w:rsidR="00070960" w:rsidRDefault="00070960" w:rsidP="00070960">
      <w:r>
        <w:t>Izvērtējot</w:t>
      </w:r>
      <w:r w:rsidR="00535575">
        <w:t xml:space="preserve"> personu ar invaliditāti </w:t>
      </w:r>
      <w:r>
        <w:t xml:space="preserve">apdzīvotos </w:t>
      </w:r>
      <w:r w:rsidR="00535575">
        <w:t>mājokļa tipus, balstoties uz CSP datiem, redzams, ka šādas person</w:t>
      </w:r>
      <w:r w:rsidR="00EF5390">
        <w:t>a</w:t>
      </w:r>
      <w:r w:rsidR="00535575">
        <w:t>s 201</w:t>
      </w:r>
      <w:r>
        <w:t>7</w:t>
      </w:r>
      <w:r w:rsidR="00535575">
        <w:t>.</w:t>
      </w:r>
      <w:r w:rsidR="00D54545">
        <w:t xml:space="preserve"> </w:t>
      </w:r>
      <w:r w:rsidR="00535575">
        <w:t>gadā pārsvarā (52,</w:t>
      </w:r>
      <w:r>
        <w:t>3</w:t>
      </w:r>
      <w:r w:rsidR="00535575">
        <w:t>%) dzīvoja dzīvoklī, kas atrodas daudzdzīvokļu mājā, kurā ir 10 un vairāk dzīvokļi, bet 3</w:t>
      </w:r>
      <w:r>
        <w:t>5</w:t>
      </w:r>
      <w:r w:rsidR="00535575">
        <w:t>% savrupmājā vai viensētā. Pārsvarā gadījumu (7</w:t>
      </w:r>
      <w:r>
        <w:t>3</w:t>
      </w:r>
      <w:r w:rsidR="00535575">
        <w:t>,</w:t>
      </w:r>
      <w:r>
        <w:t>6</w:t>
      </w:r>
      <w:r w:rsidR="00535575">
        <w:t xml:space="preserve">%) šis mājoklis pilnībā pieder kādam no mājsaimniecības locekļiem (bez hipotekārā kredīta saistībām). </w:t>
      </w:r>
    </w:p>
    <w:p w:rsidR="008F32E0" w:rsidRDefault="008F32E0" w:rsidP="00070960"/>
    <w:p w:rsidR="00684BA4" w:rsidRDefault="00684BA4" w:rsidP="00070960">
      <w:r>
        <w:t>01.01.2011. Invaliditātes likums</w:t>
      </w:r>
      <w:r>
        <w:rPr>
          <w:rStyle w:val="FootnoteReference"/>
        </w:rPr>
        <w:footnoteReference w:id="326"/>
      </w:r>
      <w:r>
        <w:t xml:space="preserve"> nosaka invaliditātes seku mazināšanas pasākumus, t.sk. </w:t>
      </w:r>
      <w:r w:rsidRPr="00062361">
        <w:t>nodrošinot iespēju saņemt atbalstu viena mājokļa pielāgošanai personām ar I grupas invaliditāti, personām ar II grupas redzes vai dzirdes invaliditāti un personām līdz 18 gadu vecumam, kurām noteiktas medicīniskās indikācijas bērna ar invaliditāti īpašas kopšanas nepieciešamībai</w:t>
      </w:r>
      <w:r>
        <w:t xml:space="preserve">. </w:t>
      </w:r>
    </w:p>
    <w:p w:rsidR="00684BA4" w:rsidRDefault="008F32E0" w:rsidP="00070960">
      <w:r>
        <w:lastRenderedPageBreak/>
        <w:t>Politikas plānošanas dokumentu analīzes ietvaros personas ar invaliditāti ir identificētas kā viena no mēr</w:t>
      </w:r>
      <w:r w:rsidR="00684BA4">
        <w:t>ķa grup</w:t>
      </w:r>
      <w:r w:rsidR="00CF62B9">
        <w:t>ā</w:t>
      </w:r>
      <w:r w:rsidR="00684BA4">
        <w:t>m, kura saskaras ar nevi</w:t>
      </w:r>
      <w:r>
        <w:t>enlī</w:t>
      </w:r>
      <w:r w:rsidR="00684BA4">
        <w:t xml:space="preserve">dzību mājokļa pieejamības jomā. Galvenā problēma ir </w:t>
      </w:r>
      <w:r w:rsidR="00684BA4" w:rsidRPr="000F00F9">
        <w:rPr>
          <w:b/>
        </w:rPr>
        <w:t>ierobežots atbalsts dzīvojamās vides pielāgošanai</w:t>
      </w:r>
      <w:r w:rsidR="00684BA4">
        <w:t xml:space="preserve"> personām ar funkcionāliem traucējumiem</w:t>
      </w:r>
      <w:r w:rsidR="00CF62B9">
        <w:t xml:space="preserve"> (sk. arī 3.2.1.sadaļu)</w:t>
      </w:r>
      <w:r w:rsidR="00684BA4">
        <w:t xml:space="preserve">. </w:t>
      </w:r>
    </w:p>
    <w:p w:rsidR="007C28AD" w:rsidRDefault="007C28AD" w:rsidP="00070960"/>
    <w:p w:rsidR="00F31EE6" w:rsidRDefault="00F31EE6" w:rsidP="00A245B0">
      <w:r>
        <w:t>2017.</w:t>
      </w:r>
      <w:r w:rsidR="00D54545">
        <w:t xml:space="preserve"> </w:t>
      </w:r>
      <w:r>
        <w:t>gadā veiktā pētījumā „</w:t>
      </w:r>
      <w:r w:rsidRPr="00CE7133">
        <w:rPr>
          <w:rFonts w:eastAsia="Times New Roman"/>
          <w:bCs/>
        </w:rPr>
        <w:t>Motivācijas paaugstināšanas un atbalsta pakalpojumu potenciālās mērķa grupas profilēšana un vajadzību izpēte”</w:t>
      </w:r>
      <w:r>
        <w:rPr>
          <w:rStyle w:val="FootnoteReference"/>
          <w:rFonts w:eastAsia="Times New Roman"/>
          <w:bCs/>
        </w:rPr>
        <w:footnoteReference w:id="327"/>
      </w:r>
      <w:r>
        <w:t xml:space="preserve">, balstoties uz padziļinātajām intervijām ar personām ar invaliditāti, tika noskaidrots, ka šai mērķa grupai joprojām </w:t>
      </w:r>
      <w:r w:rsidRPr="00CF62B9">
        <w:rPr>
          <w:b/>
        </w:rPr>
        <w:t>aktuāls ir jautājums par mājokļa pielāgošanu viņu vajadzībām</w:t>
      </w:r>
      <w:r>
        <w:t xml:space="preserve">. </w:t>
      </w:r>
      <w:r w:rsidRPr="0029565B">
        <w:t xml:space="preserve">Vairāki interviju dalībnieki ar kustību traucējumiem norādīja, ka saistībā ar mājokli </w:t>
      </w:r>
      <w:r>
        <w:t>viņ</w:t>
      </w:r>
      <w:r w:rsidR="00EF5390">
        <w:t>i</w:t>
      </w:r>
      <w:r>
        <w:t xml:space="preserve">em </w:t>
      </w:r>
      <w:r w:rsidRPr="0029565B">
        <w:t>ir nepieciešams valsts vai pašvaldības atbalsts. Invaliditātes likuma 12. panta 9. punkts paredz, ka invaliditātes sekas personām ar invaliditāti var mazināt nodrošinot iespēju saņemt atbalstu viena mājokļa pielāgošanai personām ar I grupas invaliditāti un personām ar II grupas redzes vai dzirdes invaliditāti</w:t>
      </w:r>
      <w:r w:rsidRPr="0029565B">
        <w:rPr>
          <w:rStyle w:val="FootnoteReference"/>
        </w:rPr>
        <w:footnoteReference w:id="328"/>
      </w:r>
      <w:r w:rsidRPr="0029565B">
        <w:t xml:space="preserve">. </w:t>
      </w:r>
    </w:p>
    <w:p w:rsidR="00F31EE6" w:rsidRDefault="00F31EE6" w:rsidP="00A245B0"/>
    <w:p w:rsidR="00A245B0" w:rsidRPr="0029565B" w:rsidRDefault="00F31EE6" w:rsidP="00A245B0">
      <w:pPr>
        <w:rPr>
          <w:i/>
        </w:rPr>
      </w:pPr>
      <w:r>
        <w:t>Minētā p</w:t>
      </w:r>
      <w:r w:rsidRPr="0029565B">
        <w:t>ētījuma dalībnieki norād</w:t>
      </w:r>
      <w:r>
        <w:t>ījuši</w:t>
      </w:r>
      <w:r w:rsidRPr="0029565B">
        <w:t xml:space="preserve">, ka šī atbalsta pakalpojuma saņemšanai ir izveidotas ļoti sarežģītas administratīvās procedūras, kas būtiski apgrūtina pakalpojuma saņemšanu. </w:t>
      </w:r>
      <w:r>
        <w:t>Kā piemēru var minēt pētījumā raksturotu gadījumu, kad</w:t>
      </w:r>
      <w:r w:rsidRPr="0029565B">
        <w:t xml:space="preserve"> </w:t>
      </w:r>
      <w:r>
        <w:t>v</w:t>
      </w:r>
      <w:r w:rsidRPr="0029565B">
        <w:t xml:space="preserve">iena no </w:t>
      </w:r>
      <w:r>
        <w:t>pētījuma</w:t>
      </w:r>
      <w:r w:rsidRPr="0029565B">
        <w:t xml:space="preserve"> dalībniecēm r</w:t>
      </w:r>
      <w:r>
        <w:t>i</w:t>
      </w:r>
      <w:r w:rsidRPr="0029565B">
        <w:t>t</w:t>
      </w:r>
      <w:r>
        <w:t>e</w:t>
      </w:r>
      <w:r w:rsidRPr="0029565B">
        <w:t>ņkrēslā, lai patstāvīgi varētu izkļūt no daudzdzīvokļu mājas 4. stāva, lūdza pašvaldībai atbalstu pacēlāja nodrošināšanai daudzdzīvokļu mājai bez lifta (izmaksas saskaņā ar informantes teikto apmēram 2000 EUR). Lai saņemtu šo atbalstu, pašvaldības pārstāvji viņai prasīja savākt daudzdzīvokļu mājas iedzīvotāju parakstus, ka viņi piekrīt pārbūvei, kā arī īres līgumu. Saskaroties ar šiem</w:t>
      </w:r>
      <w:r w:rsidR="00A245B0">
        <w:t xml:space="preserve"> šķēršļiem pirms dažiem gadiem, sieviete</w:t>
      </w:r>
      <w:r w:rsidRPr="0029565B">
        <w:t xml:space="preserve"> nav turpinājusi pretendēt uz šo atbalstu, un, lai izkļūtu no mājas, viņai jāmeklē kāds palīgs, kas </w:t>
      </w:r>
      <w:r w:rsidR="00A245B0">
        <w:t xml:space="preserve">viņu </w:t>
      </w:r>
      <w:r w:rsidRPr="0029565B">
        <w:t xml:space="preserve">nones un uznes 4. stāvā. </w:t>
      </w:r>
    </w:p>
    <w:p w:rsidR="00F31EE6" w:rsidRPr="0029565B" w:rsidRDefault="00F31EE6" w:rsidP="00F31EE6">
      <w:pPr>
        <w:spacing w:line="240" w:lineRule="auto"/>
        <w:ind w:left="720"/>
        <w:rPr>
          <w:i/>
        </w:rPr>
      </w:pPr>
    </w:p>
    <w:p w:rsidR="00684BA4" w:rsidRDefault="00684BA4" w:rsidP="00684BA4">
      <w:r>
        <w:t>Personas ar invaliditāti ir arī viena no pašvaldību atbalsta saņemšanas mērķa grupām mājokļa jomā, taču Izvērtējumā veiktais apsekojums atklāj, ka t</w:t>
      </w:r>
      <w:r w:rsidRPr="000F00F9">
        <w:t>ā</w:t>
      </w:r>
      <w:r w:rsidRPr="00684BA4">
        <w:rPr>
          <w:b/>
        </w:rPr>
        <w:t xml:space="preserve"> nav sistemātiska palīdzība, kas tiek sniegta visās pašvaldībās</w:t>
      </w:r>
      <w:r>
        <w:t>. Palīdzības veids, kritēriji un apmērs ir atkarīgs no katras pašvaldības resursiem. Daļā gadījumu palīdzība tiek sniegta bērniem ar invaliditāti, daļā gadījumu - atsevišķi dzīvojošām personām ar invaliditāti, daļā gadījumu nozīme ir arī personas ienākumiem. Pašvaldības visbiežāk nodrošina šīs mērķa grupas personas ar dzīvokļa (mājokļa) pabalstu.</w:t>
      </w:r>
    </w:p>
    <w:p w:rsidR="00684BA4" w:rsidRDefault="00684BA4" w:rsidP="00684BA4"/>
    <w:p w:rsidR="00E64FFD" w:rsidRDefault="00684BA4" w:rsidP="000F00F9">
      <w:pPr>
        <w:autoSpaceDE w:val="0"/>
        <w:autoSpaceDN w:val="0"/>
        <w:adjustRightInd w:val="0"/>
      </w:pPr>
      <w:r>
        <w:t xml:space="preserve">Šīs mērķa grupas specifika ir tās </w:t>
      </w:r>
      <w:r w:rsidRPr="000F00F9">
        <w:rPr>
          <w:b/>
        </w:rPr>
        <w:t>daudzveidīgās vajadzības mājokļa jomā</w:t>
      </w:r>
      <w:r>
        <w:t xml:space="preserve">, ņemot vērā dažādos </w:t>
      </w:r>
      <w:r w:rsidR="009B6BE8">
        <w:t>funkcionēšanas ierobežojumus</w:t>
      </w:r>
      <w:r>
        <w:t xml:space="preserve">. </w:t>
      </w:r>
      <w:r w:rsidR="000F00F9">
        <w:t>Jau šobrīd š</w:t>
      </w:r>
      <w:r w:rsidR="00361116">
        <w:t xml:space="preserve">ai </w:t>
      </w:r>
      <w:r w:rsidR="000F00F9">
        <w:t>grupai pastāv vairāki mājokļa palīdzības un pakalpojumu veidi  - grupu dzīvokļi/ mājas, kas ir piemērotas personām ar garīgiem traucējumiem; servisa dzīvokļi – personām ar kustību traucējumiem; sociālie mājokļi, kas ir biežāk izmantotais risinājums personām ar invalid</w:t>
      </w:r>
      <w:r w:rsidR="00E64FFD">
        <w:t>it</w:t>
      </w:r>
      <w:r w:rsidR="000F00F9">
        <w:t>āti ar zemiem ienākumiem. Ņemot vērā personu ar invaliditāti zemos nodarbinātības rādītājus, šajā grupā ir augsts personu ar zemiem ienākumiem īpatsvars. Šī problēma konstatē</w:t>
      </w:r>
      <w:r w:rsidR="00EF5390">
        <w:t>t</w:t>
      </w:r>
      <w:r w:rsidR="000F00F9">
        <w:t>a arī augstāk minētajā pētījumā, kurā uzsvērts, ka „</w:t>
      </w:r>
      <w:r w:rsidR="000F00F9" w:rsidRPr="000F00F9">
        <w:rPr>
          <w:b/>
        </w:rPr>
        <w:t xml:space="preserve">personas ar invaliditāti lielā </w:t>
      </w:r>
      <w:r w:rsidR="000F00F9" w:rsidRPr="000F00F9">
        <w:rPr>
          <w:b/>
        </w:rPr>
        <w:lastRenderedPageBreak/>
        <w:t>mērā ir pakļautas nabadzības un ar to saistītajam sociālās atstumtības riskam</w:t>
      </w:r>
      <w:r w:rsidR="000F00F9" w:rsidRPr="000F00F9">
        <w:t>,</w:t>
      </w:r>
      <w:r w:rsidR="000F00F9">
        <w:t xml:space="preserve"> </w:t>
      </w:r>
      <w:r w:rsidR="000F00F9" w:rsidRPr="000F00F9">
        <w:t>jo liela daļa no šīs grupas nevar atrast sev piemērotu darbu, nestrādā, līdz ar to viņu ienākumi ir minimāli</w:t>
      </w:r>
      <w:r w:rsidR="000F00F9">
        <w:t>”</w:t>
      </w:r>
      <w:r w:rsidR="000F00F9">
        <w:rPr>
          <w:rStyle w:val="FootnoteReference"/>
        </w:rPr>
        <w:footnoteReference w:id="329"/>
      </w:r>
      <w:r w:rsidR="000F00F9" w:rsidRPr="000F00F9">
        <w:t>.</w:t>
      </w:r>
      <w:r w:rsidR="000F00F9">
        <w:t xml:space="preserve"> </w:t>
      </w:r>
    </w:p>
    <w:p w:rsidR="00E64FFD" w:rsidRDefault="00E64FFD" w:rsidP="000F00F9">
      <w:pPr>
        <w:autoSpaceDE w:val="0"/>
        <w:autoSpaceDN w:val="0"/>
        <w:adjustRightInd w:val="0"/>
      </w:pPr>
    </w:p>
    <w:p w:rsidR="00684BA4" w:rsidRDefault="000F00F9" w:rsidP="000F00F9">
      <w:pPr>
        <w:autoSpaceDE w:val="0"/>
        <w:autoSpaceDN w:val="0"/>
        <w:adjustRightInd w:val="0"/>
      </w:pPr>
      <w:r>
        <w:t xml:space="preserve">Servisa dzīvokļi, kā skaidroja Izvērtējumā intervētā eksperte, nav pietiekami attīstīti, jo tas ir saistīts ar </w:t>
      </w:r>
      <w:r w:rsidR="009F1E7D">
        <w:t>pašvaldību dzīvojamā fonda resursiem un iespējām veikt kapitālieguldījumus – tehniskie palīglīdzekļi (sliedes pie griestiem, speciāli pielāgotas virtuves, tualetes telpas un vannas istabas) ir saistīti ar lieliem finanšu ieguldījumiem. Ārvalstu pieredze liec</w:t>
      </w:r>
      <w:r w:rsidR="00E64FFD">
        <w:t>i</w:t>
      </w:r>
      <w:r w:rsidR="009F1E7D">
        <w:t>na, ka š</w:t>
      </w:r>
      <w:r w:rsidR="00EF5390">
        <w:t>ādi pielāgoti mājokļi tiek izbūvēti kā pašvaldības dzīv</w:t>
      </w:r>
      <w:r w:rsidR="009F1E7D">
        <w:t>okļi, kur</w:t>
      </w:r>
      <w:r w:rsidR="00EF5390">
        <w:t>i</w:t>
      </w:r>
      <w:r w:rsidR="009F1E7D">
        <w:t xml:space="preserve"> tiek nomāti uz laiku personām un ģimenēm, kurās ir kāds ar pārejošiem funkcionāliem traucējumiem. Citādi tas ir gadījumos, kad </w:t>
      </w:r>
      <w:r w:rsidR="00E64FFD">
        <w:t>personai</w:t>
      </w:r>
      <w:r w:rsidR="009F1E7D">
        <w:t xml:space="preserve"> ir nepārejoša invaliditāte</w:t>
      </w:r>
      <w:r w:rsidR="00E64FFD">
        <w:t xml:space="preserve"> un mājoklis ir jānodod personas rīcībā beztermiņa lietošanā</w:t>
      </w:r>
      <w:r w:rsidR="009F1E7D">
        <w:t xml:space="preserve">. </w:t>
      </w:r>
    </w:p>
    <w:p w:rsidR="006362BB" w:rsidRDefault="006362BB" w:rsidP="003945E0">
      <w:pPr>
        <w:pStyle w:val="Heading3"/>
      </w:pPr>
      <w:bookmarkStart w:id="735" w:name="_Toc6841663"/>
      <w:r>
        <w:t>Internātskolu absolventi</w:t>
      </w:r>
      <w:bookmarkEnd w:id="735"/>
    </w:p>
    <w:p w:rsidR="006362BB" w:rsidRDefault="006362BB" w:rsidP="00064C1E">
      <w:pPr>
        <w:rPr>
          <w:color w:val="000000"/>
        </w:rPr>
      </w:pPr>
      <w:r w:rsidRPr="007F7152">
        <w:rPr>
          <w:color w:val="000000"/>
        </w:rPr>
        <w:t>Pētot internātskolu absolventu mērķa grupas situāciju, jāņem vērā grozījum</w:t>
      </w:r>
      <w:r w:rsidRPr="006A431A">
        <w:rPr>
          <w:color w:val="000000"/>
        </w:rPr>
        <w:t>i Izglītības likumā, kas paredz, ka no 2018.</w:t>
      </w:r>
      <w:r w:rsidR="00D54545">
        <w:rPr>
          <w:color w:val="000000"/>
        </w:rPr>
        <w:t xml:space="preserve"> </w:t>
      </w:r>
      <w:r w:rsidRPr="006A431A">
        <w:rPr>
          <w:color w:val="000000"/>
        </w:rPr>
        <w:t>gada 1.</w:t>
      </w:r>
      <w:r w:rsidR="00D54545">
        <w:rPr>
          <w:color w:val="000000"/>
        </w:rPr>
        <w:t xml:space="preserve"> </w:t>
      </w:r>
      <w:r w:rsidRPr="006A431A">
        <w:rPr>
          <w:color w:val="000000"/>
        </w:rPr>
        <w:t>janvāra jaunu internātskolu dibināšana nav atļauta, savukārt līdz šim datumam dibinātās internātskolas valsts turpina līdzfinansēt līdz 2018.</w:t>
      </w:r>
      <w:r w:rsidR="00DE1C08">
        <w:rPr>
          <w:color w:val="000000"/>
        </w:rPr>
        <w:t xml:space="preserve"> </w:t>
      </w:r>
      <w:r w:rsidRPr="006A431A">
        <w:rPr>
          <w:color w:val="000000"/>
        </w:rPr>
        <w:t>gada 31.</w:t>
      </w:r>
      <w:r w:rsidR="00DE1C08">
        <w:rPr>
          <w:color w:val="000000"/>
        </w:rPr>
        <w:t xml:space="preserve"> </w:t>
      </w:r>
      <w:r w:rsidRPr="006A431A">
        <w:rPr>
          <w:color w:val="000000"/>
        </w:rPr>
        <w:t>decembrim</w:t>
      </w:r>
      <w:r w:rsidRPr="006A431A">
        <w:rPr>
          <w:rStyle w:val="FootnoteReference"/>
          <w:color w:val="000000"/>
        </w:rPr>
        <w:footnoteReference w:id="330"/>
      </w:r>
      <w:r w:rsidRPr="006A431A">
        <w:rPr>
          <w:color w:val="000000"/>
        </w:rPr>
        <w:t xml:space="preserve">. Tas nozīmē, ka šādas skolas pārtrauc savu darbību. Vienlaikus vispārējās izglītības iestādes saglabā tiesības sniegt internāta pakalpojumus. </w:t>
      </w:r>
    </w:p>
    <w:p w:rsidR="006362BB" w:rsidRDefault="006362BB" w:rsidP="00064C1E">
      <w:pPr>
        <w:rPr>
          <w:color w:val="000000"/>
        </w:rPr>
      </w:pPr>
    </w:p>
    <w:p w:rsidR="006362BB" w:rsidRPr="00716A54" w:rsidRDefault="006362BB" w:rsidP="00064C1E">
      <w:pPr>
        <w:rPr>
          <w:color w:val="000000"/>
        </w:rPr>
      </w:pPr>
      <w:r>
        <w:rPr>
          <w:color w:val="000000"/>
        </w:rPr>
        <w:t>Izvērtējumā intervētie e</w:t>
      </w:r>
      <w:r w:rsidRPr="006A431A">
        <w:rPr>
          <w:color w:val="000000"/>
        </w:rPr>
        <w:t xml:space="preserve">ksperti, vaicāti par šīs grupas situāciju un problēmām mājokļa jomā, norādīja, ka, viņuprāt, jautājums ir drīzāk uzdodams par </w:t>
      </w:r>
      <w:r w:rsidRPr="00CF62B9">
        <w:rPr>
          <w:b/>
          <w:color w:val="000000"/>
        </w:rPr>
        <w:t>bērniem, kuri ir palikuši bez vecāku gādības, un bāreņiem</w:t>
      </w:r>
      <w:r w:rsidRPr="006A431A">
        <w:rPr>
          <w:color w:val="000000"/>
        </w:rPr>
        <w:t xml:space="preserve"> (t.sk. bērniem, kuriem beidzas līgums ar audžuģimenēm</w:t>
      </w:r>
      <w:r w:rsidR="00E04E9C">
        <w:rPr>
          <w:color w:val="000000"/>
        </w:rPr>
        <w:t xml:space="preserve">), plašākā tvērumā -  </w:t>
      </w:r>
      <w:r w:rsidR="00E04E9C" w:rsidRPr="00E04E9C">
        <w:rPr>
          <w:b/>
          <w:color w:val="000000"/>
        </w:rPr>
        <w:t>jaunieši pēc ārpusģimenes aprūpes</w:t>
      </w:r>
      <w:r w:rsidRPr="006A431A">
        <w:rPr>
          <w:color w:val="000000"/>
        </w:rPr>
        <w:t>. Šai grupai, savukārt, likums „Par  palīdzību  dzīvokļa  jautājumu  risināšanā” nosaka atvieglojumus mājokļa jomā (25.</w:t>
      </w:r>
      <w:r w:rsidRPr="006A431A">
        <w:rPr>
          <w:color w:val="000000"/>
          <w:vertAlign w:val="superscript"/>
        </w:rPr>
        <w:t>2</w:t>
      </w:r>
      <w:r w:rsidRPr="006A431A">
        <w:rPr>
          <w:color w:val="000000"/>
        </w:rPr>
        <w:t xml:space="preserve"> pants), paredzot sniegt dzīvokļa pabalstu </w:t>
      </w:r>
      <w:r w:rsidRPr="006A431A">
        <w:t>izdevumu par dzīvojamās telpas lietošanu un izdevumu par pakalpojumiem, kas saistīti ar dzīvoja</w:t>
      </w:r>
      <w:r>
        <w:t xml:space="preserve">mās telpas lietošanu, segšanai. </w:t>
      </w:r>
      <w:r w:rsidRPr="006A431A">
        <w:rPr>
          <w:color w:val="000000"/>
        </w:rPr>
        <w:t xml:space="preserve">Ekspertu vidū intervēto pašvaldību pārstāvji (Rīga, Preiļi, Cēsis) skaidroja, kā likumā noteiktā palīdzība bez vecāku gādības palikušajiem bērniem un bāreņiem mājokļa jomā tiek sniegta viņu pašvaldībās (detalizēti sk. </w:t>
      </w:r>
      <w:r w:rsidR="00B1644F">
        <w:rPr>
          <w:color w:val="000000"/>
        </w:rPr>
        <w:t>12</w:t>
      </w:r>
      <w:r w:rsidRPr="006A431A">
        <w:rPr>
          <w:color w:val="000000"/>
        </w:rPr>
        <w:t>. pielikumu, kurā apkopota informācija par dzīvokļa pabalsta piešķiršanas kārtību un apmēru). Savukārt Izvērtējumā intervētā eksperte bērnu tiesību aizsardzības jomā problematizēja</w:t>
      </w:r>
      <w:r>
        <w:rPr>
          <w:color w:val="000000"/>
        </w:rPr>
        <w:t>, ka</w:t>
      </w:r>
      <w:r w:rsidRPr="006A431A">
        <w:rPr>
          <w:color w:val="000000"/>
        </w:rPr>
        <w:t xml:space="preserve"> šai </w:t>
      </w:r>
      <w:r w:rsidRPr="00B1644F">
        <w:rPr>
          <w:b/>
          <w:color w:val="000000"/>
        </w:rPr>
        <w:t xml:space="preserve">mērķa grupai pieejamā dzīvokļa pabalsta apmērs daudzās pašvaldībās nav </w:t>
      </w:r>
      <w:r w:rsidRPr="00716A54">
        <w:rPr>
          <w:b/>
          <w:color w:val="000000"/>
        </w:rPr>
        <w:t>pietiekams</w:t>
      </w:r>
      <w:r w:rsidR="00716A54" w:rsidRPr="00716A54">
        <w:rPr>
          <w:b/>
          <w:color w:val="000000"/>
        </w:rPr>
        <w:t xml:space="preserve"> </w:t>
      </w:r>
      <w:r w:rsidR="00716A54" w:rsidRPr="00716A54">
        <w:rPr>
          <w:color w:val="000000"/>
        </w:rPr>
        <w:t xml:space="preserve">(kā liecina Tiesībsarga biroja pārstāvju sniegtā informācija fokusa grupas diskusijā, </w:t>
      </w:r>
      <w:r w:rsidR="00716A54" w:rsidRPr="00716A54">
        <w:t>33 pašvaldībās šis pabalsts ir robežās no 0,17 līdz 0,50 EUR centiem par kvadrātmetru)</w:t>
      </w:r>
      <w:r w:rsidRPr="00716A54">
        <w:rPr>
          <w:color w:val="000000"/>
        </w:rPr>
        <w:t>.</w:t>
      </w:r>
      <w:r w:rsidR="00716A54">
        <w:rPr>
          <w:color w:val="000000"/>
        </w:rPr>
        <w:t xml:space="preserve"> Ekspertu vērtējumā būtu jānosaka vienots minimālais dzīvokļa pabalsta apmērs šai mērķa grupai. </w:t>
      </w:r>
    </w:p>
    <w:p w:rsidR="00AF5085" w:rsidRDefault="00AF5085" w:rsidP="00064C1E">
      <w:pPr>
        <w:rPr>
          <w:color w:val="000000"/>
        </w:rPr>
      </w:pPr>
    </w:p>
    <w:p w:rsidR="006362BB" w:rsidRDefault="006362BB" w:rsidP="00064C1E">
      <w:pPr>
        <w:suppressAutoHyphens/>
        <w:autoSpaceDE w:val="0"/>
        <w:rPr>
          <w:color w:val="000000"/>
        </w:rPr>
      </w:pPr>
      <w:r w:rsidRPr="006A431A">
        <w:rPr>
          <w:color w:val="000000"/>
        </w:rPr>
        <w:t xml:space="preserve">Kā problēma </w:t>
      </w:r>
      <w:r>
        <w:rPr>
          <w:color w:val="000000"/>
        </w:rPr>
        <w:t xml:space="preserve">ekspertu intervijās </w:t>
      </w:r>
      <w:r w:rsidRPr="006A431A">
        <w:rPr>
          <w:color w:val="000000"/>
        </w:rPr>
        <w:t xml:space="preserve">tika identificēta situācija, kad šīs mērķa grupas jauniešiem tiek lūgts atbrīvot pašvaldības ierādīto dzīvojamo telpu pēc 24 gadu vecuma sasniegšanas. Intervijās atklātā prakse liecina, ka ir pašvaldības, kurās jauniešiem pēc 24 gadu vecuma sasniegšanas pašvaldības mājoklis ir jāatbrīvo, un ir pašvaldības, kurās, ja vien tiek pildītas mājokļa lietošanas saistības (maksāti īres izdevumi, komunālie maksājumi un mājoklis tiek uzturēts kārtībā), netiek liegta iespēja jauniešiem turpināt tajā dzīvot arī pēc 24. dzimšanas dienas. Sarežģījumus mēdz radīt arī tas, ka šai </w:t>
      </w:r>
      <w:r w:rsidRPr="006A431A">
        <w:rPr>
          <w:color w:val="000000"/>
        </w:rPr>
        <w:lastRenderedPageBreak/>
        <w:t xml:space="preserve">mērķa grupai nereti </w:t>
      </w:r>
      <w:r w:rsidRPr="00B1644F">
        <w:rPr>
          <w:b/>
          <w:color w:val="000000"/>
        </w:rPr>
        <w:t xml:space="preserve">nav pietiekami attīstītas patstāvīgai dzīvei nepieciešamās sociālās prasmes </w:t>
      </w:r>
      <w:r w:rsidRPr="006A431A">
        <w:rPr>
          <w:color w:val="000000"/>
        </w:rPr>
        <w:t xml:space="preserve">– jaunieši mēdzot paust neizpratni par pienākumu maksāt pašvaldībai īres maksu, uzturēt mājokli tīru un funkcionālā kārtībā. Problēmas rada arī šīs grupas zemā maksātspēja. </w:t>
      </w:r>
    </w:p>
    <w:p w:rsidR="006362BB" w:rsidRDefault="006362BB" w:rsidP="00064C1E"/>
    <w:p w:rsidR="006362BB" w:rsidRDefault="006362BB" w:rsidP="00064C1E">
      <w:r>
        <w:t xml:space="preserve">Internātskolu absolventi daļēji atbilst arī politikas plānošanas dokumentos un tiesību aktos </w:t>
      </w:r>
      <w:r w:rsidRPr="007B721E">
        <w:t xml:space="preserve">ietvertajai grupai „jaunieši pēc ārpusģimenes aprūpes”. </w:t>
      </w:r>
      <w:r w:rsidRPr="007B721E">
        <w:rPr>
          <w:rStyle w:val="normaltextrun"/>
        </w:rPr>
        <w:t>„Ģimenes valsts politikas pamatnostādnēs 2011. – 2017.</w:t>
      </w:r>
      <w:r w:rsidR="00D54545">
        <w:rPr>
          <w:rStyle w:val="normaltextrun"/>
        </w:rPr>
        <w:t xml:space="preserve"> </w:t>
      </w:r>
      <w:r w:rsidRPr="007B721E">
        <w:rPr>
          <w:rStyle w:val="normaltextrun"/>
        </w:rPr>
        <w:t xml:space="preserve">gadam” norādīts, ka </w:t>
      </w:r>
      <w:r>
        <w:rPr>
          <w:rStyle w:val="normaltextrun"/>
        </w:rPr>
        <w:t>„(</w:t>
      </w:r>
      <w:r w:rsidRPr="007B721E">
        <w:rPr>
          <w:rStyle w:val="normaltextrun"/>
        </w:rPr>
        <w:t>j</w:t>
      </w:r>
      <w:r>
        <w:rPr>
          <w:rStyle w:val="normaltextrun"/>
        </w:rPr>
        <w:t>)</w:t>
      </w:r>
      <w:r w:rsidRPr="007B721E">
        <w:t>auniešiem trūkst atbalsts pēc ārpusģimenes aprūpes pārtraukšanas</w:t>
      </w:r>
      <w:r w:rsidR="00692670">
        <w:t>,</w:t>
      </w:r>
      <w:r w:rsidRPr="007B721E">
        <w:t xml:space="preserve"> sasniedzot pilngadību, nav pieejami dati par to, cik jaunieši nonāk atkārtotā sociālā dienesta</w:t>
      </w:r>
      <w:r>
        <w:t xml:space="preserve"> </w:t>
      </w:r>
      <w:r w:rsidRPr="007B721E">
        <w:rPr>
          <w:rStyle w:val="normaltextrun"/>
        </w:rPr>
        <w:t>redzeslokā kā sociālo pakalpojumu un sociālās palīdzības saņēmēji.</w:t>
      </w:r>
      <w:r>
        <w:t>”</w:t>
      </w:r>
      <w:r>
        <w:rPr>
          <w:rStyle w:val="FootnoteReference"/>
        </w:rPr>
        <w:footnoteReference w:id="331"/>
      </w:r>
      <w:r>
        <w:t xml:space="preserve"> Rīcības virziena „Ārpusģimenes aprūpe” ietvaros noteikts uzdevums sekmēt jauniešu sagatavotību dzīvei pēc ārpusģimenes aprūpes, kas netieši nozīmē arī prasmes dzīvot atsevišķā mājoklī. Šī uzdevuma izpildei Pamatnostādņu īstenošanas Rīcības plānā </w:t>
      </w:r>
      <w:r w:rsidR="00D54545">
        <w:t>2012.</w:t>
      </w:r>
      <w:r w:rsidRPr="006D580B">
        <w:t>–2014.</w:t>
      </w:r>
      <w:r w:rsidR="00D54545">
        <w:t xml:space="preserve"> gadam un 2016.</w:t>
      </w:r>
      <w:r w:rsidRPr="006D580B">
        <w:t>–2017.</w:t>
      </w:r>
      <w:r w:rsidR="00D54545">
        <w:t xml:space="preserve"> </w:t>
      </w:r>
      <w:r w:rsidRPr="006D580B">
        <w:t>gadam tika noteikti četri pasākumi. 2018.</w:t>
      </w:r>
      <w:r w:rsidR="00D54545">
        <w:t xml:space="preserve"> </w:t>
      </w:r>
      <w:r w:rsidRPr="006D580B">
        <w:t xml:space="preserve">gadā ir veikts </w:t>
      </w:r>
      <w:r>
        <w:t>Pamatnostādņu izvērtējums</w:t>
      </w:r>
      <w:r w:rsidRPr="006D580B">
        <w:rPr>
          <w:vertAlign w:val="superscript"/>
        </w:rPr>
        <w:footnoteReference w:id="332"/>
      </w:r>
      <w:r>
        <w:t xml:space="preserve">, kurā padziļināti analizēta to īstenošana. Pamatnostādņu  izvērtējuma autori secina, ka, neraugoties uz plānoto pasākumu izpildi, joprojām </w:t>
      </w:r>
      <w:r w:rsidRPr="006D580B">
        <w:t xml:space="preserve">ārpusģimenes aprūpes iestādēs esošie jaunieši nav pietiekami izglītoti un apmācīti patstāvīgas dzīves uzsākšanai pēc ārpusģimenes aprūpes iestādes atstāšanas. </w:t>
      </w:r>
    </w:p>
    <w:p w:rsidR="006362BB" w:rsidRDefault="006362BB" w:rsidP="00064C1E"/>
    <w:p w:rsidR="006362BB" w:rsidRPr="007B721E" w:rsidRDefault="006362BB" w:rsidP="00064C1E">
      <w:pPr>
        <w:rPr>
          <w:rStyle w:val="normaltextrun"/>
        </w:rPr>
      </w:pPr>
      <w:r>
        <w:rPr>
          <w:rStyle w:val="normaltextrun"/>
        </w:rPr>
        <w:t xml:space="preserve">Pētot valsts un pašvaldību sniegto atbalstu šai mērķa grupai, jāņem vērā </w:t>
      </w:r>
      <w:r w:rsidRPr="007B721E">
        <w:rPr>
          <w:rStyle w:val="normaltextrun"/>
        </w:rPr>
        <w:t xml:space="preserve">15.11.2005. MK noteikumi Nr. </w:t>
      </w:r>
      <w:r w:rsidR="00692670">
        <w:rPr>
          <w:rStyle w:val="normaltextrun"/>
        </w:rPr>
        <w:t xml:space="preserve">857 </w:t>
      </w:r>
      <w:r w:rsidRPr="007B721E">
        <w:rPr>
          <w:rStyle w:val="normaltextrun"/>
        </w:rPr>
        <w:t>„Noteikumi par sociālajām garantijām bārenim un bez vecāku gādības palikušajam bērnam, kurš ir ārpusģimenes aprūpē, kā arī pēc ārpusģimenes aprūpes beigšanās”</w:t>
      </w:r>
      <w:r>
        <w:rPr>
          <w:rStyle w:val="normaltextrun"/>
        </w:rPr>
        <w:t>. Tie nosaka, ka p</w:t>
      </w:r>
      <w:r w:rsidRPr="007B721E">
        <w:rPr>
          <w:rStyle w:val="normaltextrun"/>
        </w:rPr>
        <w:t xml:space="preserve">ašvaldība, kuras bāriņtiesa pieņēmusi lēmumu par bērna ārpusģimenes aprūpi, </w:t>
      </w:r>
      <w:r w:rsidRPr="00B1644F">
        <w:rPr>
          <w:rStyle w:val="normaltextrun"/>
          <w:b/>
        </w:rPr>
        <w:t>pēc ārpusģimenes aprūpes beigšanās pilngadību sasniegušajam bērnam piešķir vienreizēju pabalstu sadzīves priekšmetu un mīkstā inventāra iegādei</w:t>
      </w:r>
      <w:r w:rsidRPr="007B721E">
        <w:rPr>
          <w:rStyle w:val="normaltextrun"/>
        </w:rPr>
        <w:t>. Minētā pabalsta apmērs nedrīkst būt mazāks par 249,71 </w:t>
      </w:r>
      <w:r w:rsidR="00235F1B">
        <w:rPr>
          <w:rStyle w:val="normaltextrun"/>
        </w:rPr>
        <w:t>EUR,</w:t>
      </w:r>
      <w:r>
        <w:rPr>
          <w:rStyle w:val="normaltextrun"/>
        </w:rPr>
        <w:t xml:space="preserve"> kas </w:t>
      </w:r>
      <w:r w:rsidRPr="007B721E">
        <w:rPr>
          <w:rStyle w:val="normaltextrun"/>
        </w:rPr>
        <w:t>ir puse no summas, kas nepieciešama, lai aprīkotu mājokli ar nepieciešamo sadzīves priekšmetu un mīkstā inventāra minimumu patstāvīgas dzīves uzsākšanai. Pabalstu atļauts izsniegt arī sadzīves priekšmetu un mīkstā inventāra veidā.</w:t>
      </w:r>
      <w:r>
        <w:rPr>
          <w:rStyle w:val="normaltextrun"/>
        </w:rPr>
        <w:t xml:space="preserve"> </w:t>
      </w:r>
    </w:p>
    <w:p w:rsidR="006362BB" w:rsidRPr="007B721E" w:rsidRDefault="006362BB" w:rsidP="00064C1E">
      <w:pPr>
        <w:rPr>
          <w:rStyle w:val="normaltextrun"/>
        </w:rPr>
      </w:pPr>
    </w:p>
    <w:p w:rsidR="006362BB" w:rsidRPr="00E22E2A" w:rsidRDefault="006362BB" w:rsidP="00E22E2A">
      <w:pPr>
        <w:spacing w:after="120"/>
        <w:rPr>
          <w:rStyle w:val="normaltextrun"/>
        </w:rPr>
      </w:pPr>
      <w:r w:rsidRPr="00E22E2A">
        <w:rPr>
          <w:rStyle w:val="normaltextrun"/>
        </w:rPr>
        <w:t xml:space="preserve">LM </w:t>
      </w:r>
      <w:r w:rsidR="00E22E2A" w:rsidRPr="00E22E2A">
        <w:rPr>
          <w:rStyle w:val="normaltextrun"/>
        </w:rPr>
        <w:t>ir noslēgusi līgumu ar biedrību "Mentor Latvia" par projekta "Atbalsta sniegšana ārpusģimenes aprūpē esošiem jauniešiem dzīvesprasmju uzlabošanai", kurš ir spēkā no 2018.</w:t>
      </w:r>
      <w:r w:rsidR="00D54545">
        <w:rPr>
          <w:rStyle w:val="normaltextrun"/>
        </w:rPr>
        <w:t xml:space="preserve"> </w:t>
      </w:r>
      <w:r w:rsidR="00E22E2A" w:rsidRPr="00E22E2A">
        <w:rPr>
          <w:rStyle w:val="normaltextrun"/>
        </w:rPr>
        <w:t>gada 1.</w:t>
      </w:r>
      <w:r w:rsidR="00D54545">
        <w:rPr>
          <w:rStyle w:val="normaltextrun"/>
        </w:rPr>
        <w:t xml:space="preserve"> </w:t>
      </w:r>
      <w:r w:rsidR="00E22E2A" w:rsidRPr="00E22E2A">
        <w:rPr>
          <w:rStyle w:val="normaltextrun"/>
        </w:rPr>
        <w:t>jūlija līdz 2019.</w:t>
      </w:r>
      <w:r w:rsidR="00D54545">
        <w:rPr>
          <w:rStyle w:val="normaltextrun"/>
        </w:rPr>
        <w:t xml:space="preserve">  </w:t>
      </w:r>
      <w:r w:rsidR="00E22E2A" w:rsidRPr="00E22E2A">
        <w:rPr>
          <w:rStyle w:val="normaltextrun"/>
        </w:rPr>
        <w:t>gada 30.</w:t>
      </w:r>
      <w:r w:rsidR="00D54545">
        <w:rPr>
          <w:rStyle w:val="normaltextrun"/>
        </w:rPr>
        <w:t xml:space="preserve"> </w:t>
      </w:r>
      <w:r w:rsidR="00E22E2A" w:rsidRPr="00E22E2A">
        <w:rPr>
          <w:rStyle w:val="normaltextrun"/>
        </w:rPr>
        <w:t>novembrim</w:t>
      </w:r>
      <w:r w:rsidR="00E22E2A">
        <w:rPr>
          <w:rStyle w:val="normaltextrun"/>
        </w:rPr>
        <w:t xml:space="preserve">. </w:t>
      </w:r>
      <w:r w:rsidR="00E22E2A" w:rsidRPr="00E22E2A">
        <w:rPr>
          <w:rStyle w:val="normaltextrun"/>
        </w:rPr>
        <w:t xml:space="preserve">Tā mērķis </w:t>
      </w:r>
      <w:r w:rsidR="00E22E2A">
        <w:rPr>
          <w:rStyle w:val="normaltextrun"/>
        </w:rPr>
        <w:t>ir „</w:t>
      </w:r>
      <w:r w:rsidR="00E22E2A" w:rsidRPr="00E22E2A">
        <w:rPr>
          <w:rStyle w:val="normaltextrun"/>
        </w:rPr>
        <w:t>sniegt emocionālu un praktisku atbalstu ārpusģimenes aprūpē esošiem jauniešiem, uzlabojot viņu saskarsmes spējas un spēju sekmīgāk iekļauties sabiedrībā pēc ārpusģimenes aprūpes pakalpojuma izbeigšanas</w:t>
      </w:r>
      <w:r w:rsidR="00E22E2A">
        <w:rPr>
          <w:rStyle w:val="normaltextrun"/>
        </w:rPr>
        <w:t>”</w:t>
      </w:r>
      <w:r w:rsidR="00E22E2A">
        <w:rPr>
          <w:rStyle w:val="FootnoteReference"/>
        </w:rPr>
        <w:footnoteReference w:id="333"/>
      </w:r>
      <w:r w:rsidR="00E22E2A">
        <w:rPr>
          <w:rStyle w:val="normaltextrun"/>
        </w:rPr>
        <w:t xml:space="preserve">. </w:t>
      </w:r>
      <w:r w:rsidRPr="00E22E2A">
        <w:rPr>
          <w:rStyle w:val="normaltextrun"/>
        </w:rPr>
        <w:t>Izvērtējuma sagatavošanas laikā pilotprojekta rezultāti vēl nebija pieejami</w:t>
      </w:r>
      <w:r w:rsidR="00E22E2A" w:rsidRPr="00E22E2A">
        <w:rPr>
          <w:rStyle w:val="normaltextrun"/>
        </w:rPr>
        <w:t>.</w:t>
      </w:r>
      <w:r w:rsidRPr="00E22E2A">
        <w:rPr>
          <w:rStyle w:val="normaltextrun"/>
        </w:rPr>
        <w:t xml:space="preserve"> </w:t>
      </w:r>
    </w:p>
    <w:p w:rsidR="006362BB" w:rsidRDefault="006362BB" w:rsidP="003945E0">
      <w:pPr>
        <w:pStyle w:val="Heading3"/>
      </w:pPr>
      <w:bookmarkStart w:id="736" w:name="_Toc6841664"/>
      <w:r>
        <w:t>Vardarbībā cietušas personas</w:t>
      </w:r>
      <w:bookmarkEnd w:id="736"/>
    </w:p>
    <w:p w:rsidR="006362BB" w:rsidRDefault="006362BB" w:rsidP="00064C1E">
      <w:pPr>
        <w:suppressAutoHyphens/>
        <w:autoSpaceDE w:val="0"/>
        <w:rPr>
          <w:color w:val="000000"/>
        </w:rPr>
      </w:pPr>
      <w:r>
        <w:rPr>
          <w:color w:val="000000"/>
        </w:rPr>
        <w:t>Intervēto mājokļa jomas ekspertu vērtējumā</w:t>
      </w:r>
      <w:r w:rsidRPr="006A431A">
        <w:rPr>
          <w:color w:val="000000"/>
        </w:rPr>
        <w:t xml:space="preserve"> </w:t>
      </w:r>
      <w:r>
        <w:rPr>
          <w:color w:val="000000"/>
        </w:rPr>
        <w:t>vardarbīb</w:t>
      </w:r>
      <w:r w:rsidR="00692670">
        <w:rPr>
          <w:color w:val="000000"/>
        </w:rPr>
        <w:t>ā</w:t>
      </w:r>
      <w:r>
        <w:rPr>
          <w:color w:val="000000"/>
        </w:rPr>
        <w:t xml:space="preserve"> cietušu personu mērķa grupas</w:t>
      </w:r>
      <w:r w:rsidRPr="006A431A">
        <w:rPr>
          <w:color w:val="000000"/>
        </w:rPr>
        <w:t xml:space="preserve"> mājokļa problēma ir atrisināta līdz ar 13.02.2014. grozījumiem Civilprocesa likumā par pagaidu aizsardzību pret vardarbību, kas cita starpā nosaka arī normu par varmākas nošķiršanu no upura (viens no </w:t>
      </w:r>
      <w:r w:rsidRPr="006A431A">
        <w:rPr>
          <w:color w:val="000000"/>
        </w:rPr>
        <w:lastRenderedPageBreak/>
        <w:t>pagaidu aizsardzības veidiem ir tiesas noteiks lēmums par aizliegumu varmākam atrasties cietušās personas mājoklī vai tās tuvumā</w:t>
      </w:r>
      <w:r w:rsidRPr="006A431A">
        <w:rPr>
          <w:rStyle w:val="FootnoteReference"/>
          <w:color w:val="000000"/>
        </w:rPr>
        <w:footnoteReference w:id="334"/>
      </w:r>
      <w:r w:rsidR="00692670">
        <w:rPr>
          <w:color w:val="000000"/>
        </w:rPr>
        <w:t>). Savukārt</w:t>
      </w:r>
      <w:r w:rsidRPr="006A431A">
        <w:rPr>
          <w:color w:val="000000"/>
        </w:rPr>
        <w:t xml:space="preserve"> krīzes situācijās mājokļa palīdzību šai mērķa grupai sniedzot krīzes centri. </w:t>
      </w:r>
    </w:p>
    <w:p w:rsidR="00FA6539" w:rsidRDefault="00FA6539" w:rsidP="00064C1E">
      <w:pPr>
        <w:suppressAutoHyphens/>
        <w:autoSpaceDE w:val="0"/>
        <w:rPr>
          <w:color w:val="000000"/>
        </w:rPr>
      </w:pPr>
    </w:p>
    <w:p w:rsidR="006362BB" w:rsidRDefault="006362BB" w:rsidP="00064C1E">
      <w:pPr>
        <w:suppressAutoHyphens/>
        <w:autoSpaceDE w:val="0"/>
      </w:pPr>
      <w:r>
        <w:rPr>
          <w:color w:val="000000"/>
        </w:rPr>
        <w:t xml:space="preserve">Padziļinātu izpratni par šīs mērķa grupas situāciju sniedza LM speciāliste darbā ar no vardarbības cietušām personām, skaidrojot, ka </w:t>
      </w:r>
      <w:r w:rsidRPr="00B1644F">
        <w:rPr>
          <w:b/>
          <w:color w:val="000000"/>
        </w:rPr>
        <w:t>mājokļa drošības un pieejamības jautājums pēc būtības ir tikai daļēji atrisināts</w:t>
      </w:r>
      <w:r>
        <w:rPr>
          <w:color w:val="000000"/>
        </w:rPr>
        <w:t>. Saskaņā ar LM jaunāko apkopoto statistiku par vardarbības gadījumiem (jaunākā statistika ir apkopota par 2016. gadu, Izvērtējuma veikšanas laikā notiek darbs pie datu apkopošanas par 2017.</w:t>
      </w:r>
      <w:r w:rsidR="00D54545">
        <w:rPr>
          <w:color w:val="000000"/>
        </w:rPr>
        <w:t xml:space="preserve"> </w:t>
      </w:r>
      <w:r>
        <w:rPr>
          <w:color w:val="000000"/>
        </w:rPr>
        <w:t>gadu)</w:t>
      </w:r>
      <w:r>
        <w:rPr>
          <w:rStyle w:val="FootnoteReference"/>
          <w:color w:val="000000"/>
        </w:rPr>
        <w:footnoteReference w:id="335"/>
      </w:r>
      <w:r>
        <w:rPr>
          <w:color w:val="000000"/>
        </w:rPr>
        <w:t>, v</w:t>
      </w:r>
      <w:r>
        <w:t>idēji katrs devītais vardarbības gadījums notiek mājās. No 2016.</w:t>
      </w:r>
      <w:r w:rsidR="00D54545">
        <w:t xml:space="preserve"> </w:t>
      </w:r>
      <w:r>
        <w:t>gadā reģistrētajiem 802 gadījumiem, 87 gadījumi notika mājās. 43 vardarbības gadījumi, kas notika mājās, ir dzīvesbiedra vardarbības gadījumi.</w:t>
      </w:r>
      <w:r>
        <w:rPr>
          <w:rStyle w:val="FootnoteReference"/>
        </w:rPr>
        <w:footnoteReference w:id="336"/>
      </w:r>
      <w:r>
        <w:t xml:space="preserve"> Saskaņā ar spēkā esošo normatīvo regulējumu personai, kas ir </w:t>
      </w:r>
      <w:r w:rsidRPr="0084111A">
        <w:rPr>
          <w:color w:val="000000"/>
        </w:rPr>
        <w:t xml:space="preserve">cietusi no vardarbības, ir tiesības prasīt </w:t>
      </w:r>
      <w:r w:rsidRPr="00B1644F">
        <w:rPr>
          <w:b/>
          <w:color w:val="000000"/>
        </w:rPr>
        <w:t>pagaidu aizsardzību pret vardarbību</w:t>
      </w:r>
      <w:r w:rsidRPr="0084111A">
        <w:rPr>
          <w:color w:val="000000"/>
        </w:rPr>
        <w:t>, vēršoties ar iesniegumu policijā vai tiesā. Tiesa lēmumu pieņem 24 stundu laikā. Būtiski piebilst, ka policija, ierodoties uz izsaukumu, par nošķiršanu, ka varmākam ir jāatstāj mājoklis uz astoņām dienām, var nolemt uzreiz. 2016.</w:t>
      </w:r>
      <w:r w:rsidR="00D54545">
        <w:rPr>
          <w:color w:val="000000"/>
        </w:rPr>
        <w:t xml:space="preserve"> </w:t>
      </w:r>
      <w:r w:rsidRPr="0084111A">
        <w:rPr>
          <w:color w:val="000000"/>
        </w:rPr>
        <w:t>gadā, salīdzinājumā ar iepriekšējiem gadiem,</w:t>
      </w:r>
      <w:r>
        <w:t xml:space="preserve"> ir pieaudzis policijas pieņemto lēmumu par nošķiršanu skaits – tika pieņemti 186 lēmumi. Lielākoties persona, kas rada draudus, ir dzīvesbiedrs vai bijušais dzīvesbiedrs, tomēr katrs desmitais lēmums tika pieņemts, lai aizsargātu vecākus no dēliem. Aizsargājamo personu vidū lielākoties ir sievas un partneres, tomēr bija arī vīrieši – dzīvesbiedri, brāļi, dēli un tēvi. 2017.</w:t>
      </w:r>
      <w:r w:rsidR="00D54545">
        <w:t xml:space="preserve"> </w:t>
      </w:r>
      <w:r>
        <w:t>gadā Valsts policijas amatpersonas pieņēma 695 policijas lēmumus par nošķiršanu. 173 materiāli nosūtīti tiesai jautājuma izskatīšanai par pagaidu aizsardzību pret vardarbību. No tiem 144 gadījumos pieņemti tiesas lēmumi par pagaidu aizsardzību pret vardarbību. 2017.</w:t>
      </w:r>
      <w:r w:rsidR="00D54545">
        <w:t xml:space="preserve"> </w:t>
      </w:r>
      <w:r>
        <w:t>gadā uzskaitē atradās 1200 personas, pret kurām pieņemts tiesas lēmums par pagaidu aizsardzību pret vardarbību, un 2017.</w:t>
      </w:r>
      <w:r w:rsidR="00D54545">
        <w:t xml:space="preserve"> </w:t>
      </w:r>
      <w:r>
        <w:t>gadā saņemti 817 tiesas lēmumi par pagaidu aizsardzību pret vardarbību.</w:t>
      </w:r>
      <w:r>
        <w:rPr>
          <w:rStyle w:val="FootnoteReference"/>
        </w:rPr>
        <w:footnoteReference w:id="337"/>
      </w:r>
      <w:r>
        <w:t xml:space="preserve"> </w:t>
      </w:r>
    </w:p>
    <w:p w:rsidR="006362BB" w:rsidRDefault="006362BB" w:rsidP="00064C1E">
      <w:pPr>
        <w:suppressAutoHyphens/>
        <w:autoSpaceDE w:val="0"/>
      </w:pPr>
    </w:p>
    <w:p w:rsidR="006362BB" w:rsidRDefault="006362BB" w:rsidP="00064C1E">
      <w:pPr>
        <w:suppressAutoHyphens/>
        <w:autoSpaceDE w:val="0"/>
      </w:pPr>
      <w:r>
        <w:t xml:space="preserve">Ja tiesa pieņem lēmumu par pagaidu aizsardzības pret vardarbību piešķiršanu, var tikt piemēroti konkrēti pagaidu aizsardzības pret vardarbību līdzekļi, t.sk. </w:t>
      </w:r>
      <w:r w:rsidRPr="00B1644F">
        <w:rPr>
          <w:b/>
        </w:rPr>
        <w:t>pienākums varmākam atstāt mājokli, kurā pastāvīgi dzīvo cietusī persona</w:t>
      </w:r>
      <w:r>
        <w:t>, un aizliegums atgriezties un uzturēties tajā; tiesa var noteikt arī aizliegumu tuvoties mājoklim, uzturēties noteiktās vietās, veidot jebkāda veida saziņu ar no vardarbības cietušo personu. Šāda veida pagaidu aizsardzība var ilgt līdz 30 dienām. Kā skaidroja LM eksperte, tālākā situācijas attīstība ir atkarīga no dažādu faktoru kopum</w:t>
      </w:r>
      <w:r w:rsidR="00692670">
        <w:t>a</w:t>
      </w:r>
      <w:r>
        <w:t xml:space="preserve">. No vardarbības cietusī persona var celt prasību tiesā par laulības šķiršanu, uzturlīdzekļiem, kā arī mājokli, ņemot vērā, ka visbiežāk reģistrētie vardarbības gadījumi ir saistīti ar ģimenes konfliktiem. Ja cietušās personas prasība tiek apmierināta, </w:t>
      </w:r>
      <w:r w:rsidRPr="003D72A3">
        <w:t>pagaidu aizsardzība pret vardarbību ir spēkā līdz dienai, kad spriedums stājas likumīgā spēkā</w:t>
      </w:r>
      <w:r>
        <w:t>.</w:t>
      </w:r>
      <w:r w:rsidRPr="003D72A3">
        <w:t xml:space="preserve"> </w:t>
      </w:r>
      <w:r>
        <w:t xml:space="preserve">Taču tiesas procesa laikā var izrādīties, ka mājoklis, kurš uz pagaidu </w:t>
      </w:r>
      <w:r>
        <w:lastRenderedPageBreak/>
        <w:t xml:space="preserve">aizsardzības laiku varmākam bijis jāatstāj, ir varmākas īpašums, kā rezultātā pastāv </w:t>
      </w:r>
      <w:r w:rsidRPr="00B1644F">
        <w:rPr>
          <w:b/>
        </w:rPr>
        <w:t>risks, ka bez mājokļa paliek tieši no vardarbības cietusī persona</w:t>
      </w:r>
      <w:r w:rsidR="00692670">
        <w:t>. Savukārt</w:t>
      </w:r>
      <w:r>
        <w:t xml:space="preserve"> pētījumā </w:t>
      </w:r>
      <w:r w:rsidRPr="006E5B43">
        <w:rPr>
          <w:color w:val="000000"/>
        </w:rPr>
        <w:t>par „Optimāla pakalpojuma dizaina modelēšanu sociālās rehabilitācijas pakalpojumam no vardarbības cietušām pilngadīgām personām, ņemot vērā dzimuma perspektīvu”</w:t>
      </w:r>
      <w:r>
        <w:rPr>
          <w:rStyle w:val="FootnoteReference"/>
          <w:color w:val="000000"/>
        </w:rPr>
        <w:footnoteReference w:id="338"/>
      </w:r>
      <w:r>
        <w:rPr>
          <w:color w:val="000000"/>
        </w:rPr>
        <w:t xml:space="preserve"> </w:t>
      </w:r>
      <w:r>
        <w:t xml:space="preserve">secināts, ka nereti no vardarbības cietušas sievietes ir finansiāli atkarīgas no varmākas, viņas paliek dzīvot kopā ar varmāku vienā mājoklī, jo trūkst naudas atsevišķa mājokļa īrei, tādējādi sevi pakļaujot atkārtotas vardarbības riskam. </w:t>
      </w:r>
    </w:p>
    <w:p w:rsidR="00F90925" w:rsidRDefault="00F90925" w:rsidP="00064C1E">
      <w:pPr>
        <w:suppressAutoHyphens/>
        <w:autoSpaceDE w:val="0"/>
      </w:pPr>
    </w:p>
    <w:p w:rsidR="006362BB" w:rsidRDefault="006362BB" w:rsidP="00064C1E">
      <w:pPr>
        <w:suppressAutoHyphens/>
        <w:autoSpaceDE w:val="0"/>
        <w:rPr>
          <w:color w:val="000000"/>
        </w:rPr>
      </w:pPr>
      <w:r>
        <w:rPr>
          <w:color w:val="000000"/>
        </w:rPr>
        <w:t>Cilvēku tirdzniecības upuri ir specifiska grupa, kas pēc būtības iekļaujas no vardarbības cietušo personu mērķa grupā. Līdz ar to tie atbalsta pasākumi, kas ir pieejami plašākajai grupai, ir pieejami arī cilvēku tirdzniecības upuriem. Kā norādīts 2007.</w:t>
      </w:r>
      <w:r w:rsidR="00D54545">
        <w:rPr>
          <w:color w:val="000000"/>
        </w:rPr>
        <w:t xml:space="preserve"> </w:t>
      </w:r>
      <w:r>
        <w:rPr>
          <w:color w:val="000000"/>
        </w:rPr>
        <w:t>gada Iekšlietu ministrijas ziņojumā</w:t>
      </w:r>
      <w:r>
        <w:rPr>
          <w:rStyle w:val="FootnoteReference"/>
          <w:color w:val="000000"/>
        </w:rPr>
        <w:footnoteReference w:id="339"/>
      </w:r>
      <w:r>
        <w:rPr>
          <w:color w:val="000000"/>
        </w:rPr>
        <w:t xml:space="preserve">, izmitināšana un pastāvīga dzīves vieta ir viena no cilvēku tirdzniecības upuru pamatvajadzībām. Attiecībā uz drošu patvērumu Iekšlietu ministrijas administrētajā un ekspertu veiktajā situācijas analīzē ir identificētas šādas problēmas: pirmkārt, nav speciālas patversmes cilvēku tirdzniecībā cietušajiem, jo pašvaldību patversmes šai mērķa grupai nevar sniegt pietiekamu emocionālu un fizisku drošību; otrkārt, cilvēku tirdzniecības upurim ir svarīgi nodrošināt drošu patvērumu, nevis ilgstošu pagaidu mājokli, kas var kavēt tā integrēšanos sabiedrībā. </w:t>
      </w:r>
    </w:p>
    <w:p w:rsidR="006362BB" w:rsidRDefault="006362BB" w:rsidP="00064C1E">
      <w:pPr>
        <w:suppressAutoHyphens/>
        <w:autoSpaceDE w:val="0"/>
        <w:rPr>
          <w:color w:val="000000"/>
        </w:rPr>
      </w:pPr>
    </w:p>
    <w:p w:rsidR="006362BB" w:rsidRDefault="006362BB" w:rsidP="00064C1E">
      <w:pPr>
        <w:suppressAutoHyphens/>
        <w:autoSpaceDE w:val="0"/>
      </w:pPr>
      <w:r>
        <w:t xml:space="preserve">31.10.2006. MK noteikumi </w:t>
      </w:r>
      <w:r w:rsidRPr="001C55CF">
        <w:t>Nr.889 “Noteikumi par kārtību, kādā cilvēku tirdzniecības upuri saņem sociālās rehabilitācijas pakalpojumus, un kritērijiem personas atzīšanai par cilvēku tirdzniecības upuri”</w:t>
      </w:r>
      <w:r>
        <w:rPr>
          <w:rStyle w:val="FootnoteReference"/>
        </w:rPr>
        <w:footnoteReference w:id="340"/>
      </w:r>
      <w:r>
        <w:t xml:space="preserve"> nosaka, ka valsts apmaksātu pakalpojumu kurss, ko nodrošina sociālo pakalpojumu sniedzējs (šobrīd biedrība „Patvērums „Drošā māja</w:t>
      </w:r>
      <w:r w:rsidR="00E32403">
        <w:t xml:space="preserve">”” un Resursu centrs </w:t>
      </w:r>
      <w:r w:rsidR="00B1644F">
        <w:t>s</w:t>
      </w:r>
      <w:r w:rsidR="00E32403">
        <w:t>ievietēm „</w:t>
      </w:r>
      <w:r>
        <w:t xml:space="preserve">Marta”)  var ilgt līdz 180 dienām. Pakalpojumu kurss gan neietver izmitināšanas pakalpojumu. Tas tiek sniegts atbilstoši </w:t>
      </w:r>
      <w:r w:rsidRPr="004A3FE3">
        <w:rPr>
          <w:szCs w:val="28"/>
        </w:rPr>
        <w:t>MK noteikumi</w:t>
      </w:r>
      <w:r w:rsidR="00692670">
        <w:rPr>
          <w:szCs w:val="28"/>
        </w:rPr>
        <w:t>em</w:t>
      </w:r>
      <w:r w:rsidRPr="004A3FE3">
        <w:rPr>
          <w:szCs w:val="28"/>
        </w:rPr>
        <w:t xml:space="preserve"> Nr.790 „Sociālās rehabilitācijas pakalpojumu sniegšanas kārtība no vardarbības cietušām un vardarbību veikušām pilngadīgām personām”</w:t>
      </w:r>
      <w:r>
        <w:rPr>
          <w:szCs w:val="28"/>
        </w:rPr>
        <w:t>. Tie</w:t>
      </w:r>
      <w:r w:rsidRPr="004A3FE3">
        <w:rPr>
          <w:szCs w:val="28"/>
        </w:rPr>
        <w:t xml:space="preserve"> paredz, ka cietušo rehabilitācijas pakalpojumu sniedz sociālās rehabilitācijas kursa veidā – līdz 30 dienām sociālās rehabilitācijas institūcijā ar izmitināšanu (to ir iespējams pagarināt līdz 60 dienām) vai individuālu </w:t>
      </w:r>
      <w:r w:rsidRPr="001C55CF">
        <w:t>konsultāciju veidā – ne vairāk par desmit 45 minūtes ilgām psihologa, jurista vai sociālā darbinieka konsultācijām, kuras var saņemt arī krīzes centrā bez izmitināšanas. LM interneta vietnē sadaļā par sociālās rehabil</w:t>
      </w:r>
      <w:r w:rsidR="00692670">
        <w:t>itācijas pakalpojumiem vardarbīb</w:t>
      </w:r>
      <w:r w:rsidRPr="001C55CF">
        <w:t>ā cietušām pilngadīgām personām skaidrots, ka, „tā kā pakalpojumu finanšu resursi ir ierobežoti, cietušo rehabilitācijas pakalpojums institūcijā ar izmitināšanu sniedzams tikai ārkārtas gadījumos, ja cilvēkam radušās problēmas ar dzīvesvietu.”</w:t>
      </w:r>
      <w:r w:rsidRPr="001C55CF">
        <w:rPr>
          <w:rStyle w:val="FootnoteReference"/>
        </w:rPr>
        <w:footnoteReference w:id="341"/>
      </w:r>
      <w:r w:rsidRPr="001C55CF">
        <w:t xml:space="preserve">  </w:t>
      </w:r>
    </w:p>
    <w:p w:rsidR="006362BB" w:rsidRDefault="006362BB" w:rsidP="00064C1E">
      <w:pPr>
        <w:suppressAutoHyphens/>
        <w:autoSpaceDE w:val="0"/>
        <w:rPr>
          <w:szCs w:val="28"/>
        </w:rPr>
      </w:pPr>
    </w:p>
    <w:p w:rsidR="006362BB" w:rsidRDefault="006362BB" w:rsidP="00064C1E">
      <w:pPr>
        <w:suppressAutoHyphens/>
        <w:autoSpaceDE w:val="0"/>
      </w:pPr>
      <w:r w:rsidRPr="001C55CF">
        <w:rPr>
          <w:szCs w:val="28"/>
        </w:rPr>
        <w:t xml:space="preserve">Krīzes </w:t>
      </w:r>
      <w:r w:rsidRPr="00DC2282">
        <w:rPr>
          <w:szCs w:val="28"/>
        </w:rPr>
        <w:t>centros rehabilitācijas pakalpojums ietver šādas komponentes: sociālā darbinieka pakalpojumi, psihologa pakalpojumi, juridiskā palīdzība un izmitināšana</w:t>
      </w:r>
      <w:r w:rsidRPr="001C55CF">
        <w:rPr>
          <w:szCs w:val="28"/>
          <w:vertAlign w:val="superscript"/>
        </w:rPr>
        <w:footnoteReference w:id="342"/>
      </w:r>
      <w:r w:rsidRPr="001C55CF">
        <w:rPr>
          <w:szCs w:val="28"/>
        </w:rPr>
        <w:t>. Attiecībā uz krīzes centriem LM</w:t>
      </w:r>
      <w:r>
        <w:t xml:space="preserve"> eksperte norādīja, ka šī </w:t>
      </w:r>
      <w:r w:rsidRPr="00B1644F">
        <w:rPr>
          <w:b/>
        </w:rPr>
        <w:t xml:space="preserve">pagaidu mājokļa alternatīva personai, kas ir cietusi no </w:t>
      </w:r>
      <w:r w:rsidRPr="00B1644F">
        <w:rPr>
          <w:b/>
        </w:rPr>
        <w:lastRenderedPageBreak/>
        <w:t>vardarbības, no drošības viedokļa ir vērtējama kritiski</w:t>
      </w:r>
      <w:r>
        <w:t>, jo Latvijas gadījumā krīzes centru atrašanās vietas ir publiski zināmas. Tas nozīmē, ka varmākam ir visas iespējas uzmeklēt cietušo un turpināt vardarbību. Nevalstiskās organizācijas, kas st</w:t>
      </w:r>
      <w:r w:rsidR="00692670">
        <w:t>r</w:t>
      </w:r>
      <w:r>
        <w:t xml:space="preserve">ādā ar šo mērķa grupu, t.sk. cilvēktirdzniecības upuriem, uz laiku var nodrošināt personas uzturēšanos t.s. anonīmajos dzīvokļos. Šāda palīdzība var tikt sniegta uz laiku arī no vardarbības cietušām personām. Vienlaikus jānorāda, ka tas nav sistēmisks drošas pajumtes risinājums tādā nozīmē, ka visiem mērķa grupas pārstāvjiem ir vienlīdzīgas iespējas to izmantot. Tas ir atkarīgs no konkrētās situācijas, pie kura pakalpojuma sniedzēja persona nonāk krīzes situācija (piemēram, policijai vai sociālajiem dienestiem nav šāda resursa). </w:t>
      </w:r>
    </w:p>
    <w:p w:rsidR="006362BB" w:rsidRDefault="006362BB" w:rsidP="00064C1E">
      <w:pPr>
        <w:suppressAutoHyphens/>
        <w:autoSpaceDE w:val="0"/>
        <w:rPr>
          <w:color w:val="000000"/>
        </w:rPr>
      </w:pPr>
    </w:p>
    <w:p w:rsidR="006362BB" w:rsidRDefault="006362BB" w:rsidP="00064C1E">
      <w:pPr>
        <w:suppressAutoHyphens/>
        <w:autoSpaceDE w:val="0"/>
        <w:rPr>
          <w:color w:val="000000"/>
        </w:rPr>
      </w:pPr>
      <w:r>
        <w:rPr>
          <w:color w:val="000000"/>
        </w:rPr>
        <w:t>2014.</w:t>
      </w:r>
      <w:r w:rsidR="00D54545">
        <w:rPr>
          <w:color w:val="000000"/>
        </w:rPr>
        <w:t xml:space="preserve"> </w:t>
      </w:r>
      <w:r>
        <w:rPr>
          <w:color w:val="000000"/>
        </w:rPr>
        <w:t>gada ES mēroga pētījumā par atbalsta sniegšanas izmaksām no vardarbības cietušām sievietēm</w:t>
      </w:r>
      <w:r>
        <w:rPr>
          <w:rStyle w:val="FootnoteReference"/>
          <w:color w:val="000000"/>
        </w:rPr>
        <w:footnoteReference w:id="343"/>
      </w:r>
      <w:r>
        <w:rPr>
          <w:color w:val="000000"/>
        </w:rPr>
        <w:t xml:space="preserve">  ir </w:t>
      </w:r>
      <w:r w:rsidRPr="00842120">
        <w:rPr>
          <w:color w:val="000000"/>
        </w:rPr>
        <w:t>aprakstīta Lielbritānijas pieredze, nodrošinot mājokļa atbalstu no vardarbības ģimenē cietušām sievietēm</w:t>
      </w:r>
      <w:r>
        <w:rPr>
          <w:color w:val="000000"/>
        </w:rPr>
        <w:t xml:space="preserve">. Atbalsta būtība paredz, ka </w:t>
      </w:r>
      <w:r w:rsidRPr="00842120">
        <w:rPr>
          <w:color w:val="000000"/>
        </w:rPr>
        <w:t xml:space="preserve">pašvaldībai ir jāsniedz </w:t>
      </w:r>
      <w:r>
        <w:rPr>
          <w:color w:val="000000"/>
        </w:rPr>
        <w:t>palīdzība</w:t>
      </w:r>
      <w:r w:rsidRPr="00842120">
        <w:rPr>
          <w:color w:val="000000"/>
        </w:rPr>
        <w:t xml:space="preserve"> iedzīvotājiem, kuriem ir draudi kļūt par bezpajumtniekiem. No vardarbības cietušās sievietes ir šajā riska grupā</w:t>
      </w:r>
      <w:r>
        <w:rPr>
          <w:color w:val="000000"/>
        </w:rPr>
        <w:t xml:space="preserve">. </w:t>
      </w:r>
      <w:r w:rsidRPr="00842120">
        <w:rPr>
          <w:color w:val="000000"/>
        </w:rPr>
        <w:t>Tradicionālā pieeja ir tāda, ka riska grupas iedzīvotājiem piedāvā citu mājokli, bet inovatīva pieeja, kas ir arī iz</w:t>
      </w:r>
      <w:r>
        <w:rPr>
          <w:color w:val="000000"/>
        </w:rPr>
        <w:t>m</w:t>
      </w:r>
      <w:r w:rsidRPr="00842120">
        <w:rPr>
          <w:color w:val="000000"/>
        </w:rPr>
        <w:t>aksu ziņā efektīvāka (lētāka)</w:t>
      </w:r>
      <w:r w:rsidR="00692670">
        <w:rPr>
          <w:color w:val="000000"/>
        </w:rPr>
        <w:t>,</w:t>
      </w:r>
      <w:r w:rsidRPr="00842120">
        <w:rPr>
          <w:color w:val="000000"/>
        </w:rPr>
        <w:t xml:space="preserve"> ir tāda, ka tiek darīts viss, lai no vardarbības cietus</w:t>
      </w:r>
      <w:r>
        <w:rPr>
          <w:color w:val="000000"/>
        </w:rPr>
        <w:t>ī</w:t>
      </w:r>
      <w:r w:rsidRPr="00842120">
        <w:rPr>
          <w:color w:val="000000"/>
        </w:rPr>
        <w:t xml:space="preserve"> </w:t>
      </w:r>
      <w:r>
        <w:rPr>
          <w:color w:val="000000"/>
        </w:rPr>
        <w:t>persona (visbiežāk tās ir sievietes ar bērniem)</w:t>
      </w:r>
      <w:r w:rsidRPr="00842120">
        <w:rPr>
          <w:color w:val="000000"/>
        </w:rPr>
        <w:t xml:space="preserve"> varētu droši palikt savā esošajā mājoklī. D</w:t>
      </w:r>
      <w:r>
        <w:rPr>
          <w:color w:val="000000"/>
        </w:rPr>
        <w:t>rošī</w:t>
      </w:r>
      <w:r w:rsidRPr="00842120">
        <w:rPr>
          <w:color w:val="000000"/>
        </w:rPr>
        <w:t>ba tiek nodrošināta ar dažādiem līdzekļiem, piemēram, tiek mainītas mājokļa atslēgas, ierīkotas drošības pogas un video kameras utt. Latvijas eksperte</w:t>
      </w:r>
      <w:r>
        <w:rPr>
          <w:color w:val="000000"/>
        </w:rPr>
        <w:t>s vērtējumā situācijā, kad pašv</w:t>
      </w:r>
      <w:r w:rsidRPr="00842120">
        <w:rPr>
          <w:color w:val="000000"/>
        </w:rPr>
        <w:t xml:space="preserve">aldībām ir  ierobežotas iespējas piedāvāt citu mājokli, risinājumu, kas paredz aprīkot mājokli ar papildus drošības līdzekļiem, būtu reālāk īstenot. </w:t>
      </w:r>
    </w:p>
    <w:p w:rsidR="006362BB" w:rsidRDefault="006362BB" w:rsidP="003945E0">
      <w:pPr>
        <w:pStyle w:val="Heading3"/>
      </w:pPr>
      <w:bookmarkStart w:id="737" w:name="_Toc6841665"/>
      <w:r>
        <w:t>No ieslodzījuma vietām atbrīvotās personas</w:t>
      </w:r>
      <w:bookmarkEnd w:id="737"/>
    </w:p>
    <w:p w:rsidR="006362BB" w:rsidRDefault="006362BB" w:rsidP="00064C1E">
      <w:pPr>
        <w:suppressAutoHyphens/>
        <w:autoSpaceDE w:val="0"/>
      </w:pPr>
      <w:r w:rsidRPr="00D520C3">
        <w:t>Likums „Par palīdzību dzīvokļa jautājumu risināšanā” nosaka no ieslodzījuma vietām atbrīvotās personas kā vienu no mērķa grupām, kurām pašvaldības pienākums ir piešķirt mājokli, konkrēti, likuma 14.pant</w:t>
      </w:r>
      <w:r>
        <w:t>a pirmās daļas 5.punktā</w:t>
      </w:r>
      <w:r w:rsidRPr="00D520C3">
        <w:t xml:space="preserve"> noteikts, ka ar dzīvojamo telpu nodrošināmas: „maznodrošinātas personas, kuras pēc soda izciešanas atbrīvotas no ieslodzījuma vietas, ja tās pirms notiesāšanas dzīvoja attiecīgās pašvaldības administratīvajā teritorijā un tām nav iespējams likumā noteiktajā kārtībā iemitināties agrāk aizņemtajā dzīvojamā telpā”. </w:t>
      </w:r>
      <w:r w:rsidRPr="00CA73F6">
        <w:t xml:space="preserve">Likums paredz pienākumu ieslodzījuma vietai </w:t>
      </w:r>
      <w:r>
        <w:t>sešus</w:t>
      </w:r>
      <w:r w:rsidRPr="00CA73F6">
        <w:t xml:space="preserve"> mēnešus pirms personas atbrīvošanas informēt konkrētu pašvaldību  par </w:t>
      </w:r>
      <w:r w:rsidRPr="00091A1B">
        <w:t>to, ka persona tiks atbrīvota no ieslodzījuma vietas un vērsīsies pašvaldībā, lai risinātu savu mājokļa jautājumu. Likuma 14.</w:t>
      </w:r>
      <w:r w:rsidR="00D54545">
        <w:t xml:space="preserve"> </w:t>
      </w:r>
      <w:r w:rsidRPr="00091A1B">
        <w:t xml:space="preserve">panta trešā daļa paredz, ka maznodrošinātas personas, kuras atbrīvotas no ieslodzījuma vietas, ar dzīvojamo telpu nodrošināmas tikai tad, ja tās reģistrētas šāda veida palīdzības saņemšanai ne vēlāk kā sešus mēnešus pēc tam, kad ieguvušas tiesības uz nodrošinājumu ar dzīvojamo telpu. Tas nozīmē, ka no ieslodzījuma atbrīvotai personai sešu mēnešu laikā kopš atbrīvošanās brīža, ir jāvēršas pašvaldībā ar iesniegumu, lūdzot uzņemt dzīvokļu rindā. </w:t>
      </w:r>
      <w:r>
        <w:t xml:space="preserve">Taču, ja šai personai ir tiesisks pamats </w:t>
      </w:r>
      <w:r w:rsidRPr="00091A1B">
        <w:t>dzīvot mājoklī, kurā tā dzīvoja līdz brīvības atņemšanai, reģistrēšanās dzīvokļu rindā nav nepieciešama.</w:t>
      </w:r>
      <w:r>
        <w:t xml:space="preserve"> Likums nenosaka, ka mājoklis pašvaldībai ir jānodrošina nekavējoties, tāpēc līdz </w:t>
      </w:r>
      <w:r w:rsidRPr="00091A1B">
        <w:t>pašvaldības palīdzības saņemšanai no ieslodzījuma vietas atbrīvotai personai mājokļa jautājums ir jārisina patstāvīgi.</w:t>
      </w:r>
    </w:p>
    <w:p w:rsidR="006362BB" w:rsidRDefault="006362BB" w:rsidP="00064C1E">
      <w:pPr>
        <w:pStyle w:val="Default"/>
        <w:spacing w:line="276" w:lineRule="auto"/>
        <w:jc w:val="both"/>
        <w:rPr>
          <w:color w:val="auto"/>
        </w:rPr>
      </w:pPr>
      <w:r w:rsidRPr="00AA4CCA">
        <w:rPr>
          <w:color w:val="auto"/>
        </w:rPr>
        <w:lastRenderedPageBreak/>
        <w:t>23.11.2016. Tiesībsarga ziņojumā  par mājokļa jautājuma risināšanu personām pēc ieslodzījuma</w:t>
      </w:r>
      <w:r>
        <w:rPr>
          <w:rStyle w:val="FootnoteReference"/>
          <w:color w:val="auto"/>
        </w:rPr>
        <w:footnoteReference w:id="344"/>
      </w:r>
      <w:r>
        <w:rPr>
          <w:color w:val="auto"/>
        </w:rPr>
        <w:t xml:space="preserve"> identificētas šādas </w:t>
      </w:r>
      <w:r w:rsidRPr="00B1644F">
        <w:rPr>
          <w:b/>
          <w:color w:val="auto"/>
        </w:rPr>
        <w:t>problēmas</w:t>
      </w:r>
      <w:r>
        <w:rPr>
          <w:color w:val="auto"/>
        </w:rPr>
        <w:t>:</w:t>
      </w:r>
    </w:p>
    <w:p w:rsidR="006362BB" w:rsidRDefault="006362BB" w:rsidP="003F469F">
      <w:pPr>
        <w:pStyle w:val="Default"/>
        <w:numPr>
          <w:ilvl w:val="0"/>
          <w:numId w:val="121"/>
        </w:numPr>
        <w:spacing w:line="276" w:lineRule="auto"/>
        <w:jc w:val="both"/>
        <w:rPr>
          <w:color w:val="auto"/>
        </w:rPr>
      </w:pPr>
      <w:r>
        <w:rPr>
          <w:color w:val="auto"/>
        </w:rPr>
        <w:t>nepietiekami pašvaldību dzīvojamā fonda resursi, lai nodrošinātu palīdzību mājokļa jomā visām likumā „Par palīdzību dzīvokļa jautājuma risināšanā” noteiktajām mērķa grupām, t.sk. no ieslodzījuma atbrīvotām personām;</w:t>
      </w:r>
    </w:p>
    <w:p w:rsidR="006362BB" w:rsidRDefault="006362BB" w:rsidP="003F469F">
      <w:pPr>
        <w:pStyle w:val="Default"/>
        <w:numPr>
          <w:ilvl w:val="0"/>
          <w:numId w:val="121"/>
        </w:numPr>
        <w:spacing w:line="276" w:lineRule="auto"/>
        <w:jc w:val="both"/>
        <w:rPr>
          <w:color w:val="auto"/>
        </w:rPr>
      </w:pPr>
      <w:r w:rsidRPr="00534119">
        <w:rPr>
          <w:color w:val="auto"/>
        </w:rPr>
        <w:t>personām, kuras atrodas ieslodzījumu vietā, nereti rodas problēmas ar deklarētās dzīvesvietas apzināšanu un pašvaldību, kurai pēc soda izciešanas personai ir jāsniedz sociālā palīdzība</w:t>
      </w:r>
      <w:r>
        <w:rPr>
          <w:color w:val="auto"/>
        </w:rPr>
        <w:t>;</w:t>
      </w:r>
    </w:p>
    <w:p w:rsidR="006362BB" w:rsidRDefault="006362BB" w:rsidP="003F469F">
      <w:pPr>
        <w:pStyle w:val="Default"/>
        <w:numPr>
          <w:ilvl w:val="0"/>
          <w:numId w:val="121"/>
        </w:numPr>
        <w:spacing w:line="276" w:lineRule="auto"/>
        <w:jc w:val="both"/>
        <w:rPr>
          <w:color w:val="auto"/>
        </w:rPr>
      </w:pPr>
      <w:r w:rsidRPr="00534119">
        <w:rPr>
          <w:color w:val="auto"/>
        </w:rPr>
        <w:t>palīdzības sniegšanas (īres piedāvājumu izteikšanas laiks) vidējais termiņš personām pēc ieslodzījuma ir viens līdz divi mēneši, vienlaikus lielākajās pilsētās gaidīšanas laiks ir salīdzinoši ilgāks</w:t>
      </w:r>
      <w:r>
        <w:rPr>
          <w:color w:val="auto"/>
        </w:rPr>
        <w:t>, tas var būt ilgāks arī novados (piemēram, Liepājā tie ir septiņi mēneši, bet Ludzas novadā pat viens gads);</w:t>
      </w:r>
    </w:p>
    <w:p w:rsidR="006362BB" w:rsidRDefault="006362BB" w:rsidP="003F469F">
      <w:pPr>
        <w:pStyle w:val="Default"/>
        <w:numPr>
          <w:ilvl w:val="0"/>
          <w:numId w:val="121"/>
        </w:numPr>
        <w:spacing w:line="276" w:lineRule="auto"/>
        <w:jc w:val="both"/>
        <w:rPr>
          <w:color w:val="auto"/>
        </w:rPr>
      </w:pPr>
      <w:r>
        <w:rPr>
          <w:color w:val="auto"/>
        </w:rPr>
        <w:t xml:space="preserve">visai liels ir to personu skaits, </w:t>
      </w:r>
      <w:r w:rsidRPr="00534119">
        <w:rPr>
          <w:color w:val="auto"/>
        </w:rPr>
        <w:t>kuras nesagaida mājokļa jautājuma risināšanu ar pašvaldības palīdzību un izdara jaunu noziegumu</w:t>
      </w:r>
      <w:r>
        <w:rPr>
          <w:color w:val="auto"/>
        </w:rPr>
        <w:t>;</w:t>
      </w:r>
    </w:p>
    <w:p w:rsidR="006362BB" w:rsidRDefault="006362BB" w:rsidP="003F469F">
      <w:pPr>
        <w:pStyle w:val="Default"/>
        <w:numPr>
          <w:ilvl w:val="0"/>
          <w:numId w:val="121"/>
        </w:numPr>
        <w:spacing w:line="276" w:lineRule="auto"/>
        <w:jc w:val="both"/>
        <w:rPr>
          <w:color w:val="auto"/>
        </w:rPr>
      </w:pPr>
      <w:r w:rsidRPr="00377CE7">
        <w:rPr>
          <w:color w:val="auto"/>
        </w:rPr>
        <w:t>pašvaldībām ir informācijas trūkums, kas attiecas uz personu atgriešanos atpakaļ ieslodzījuma vietā laikā, kamēr tā ir reģistrēta dzīvokļu rindā.</w:t>
      </w:r>
    </w:p>
    <w:p w:rsidR="006362BB" w:rsidRDefault="006362BB" w:rsidP="00064C1E">
      <w:pPr>
        <w:suppressAutoHyphens/>
        <w:autoSpaceDE w:val="0"/>
      </w:pPr>
    </w:p>
    <w:p w:rsidR="006362BB" w:rsidRDefault="006362BB" w:rsidP="00064C1E">
      <w:pPr>
        <w:suppressAutoHyphens/>
        <w:autoSpaceDE w:val="0"/>
      </w:pPr>
      <w:r>
        <w:t xml:space="preserve">Laikā, kamēr pašvaldība risina mājokļa jautājumu, no ieslodzījuma atbrīvotai personai var tikt </w:t>
      </w:r>
      <w:r w:rsidRPr="00534119">
        <w:t>ierādīta sociālā dzīvojamā platība uz laiku līdz palīdzības piešķiršanai vai iespēja uzturēties patversmēs.</w:t>
      </w:r>
      <w:r>
        <w:t xml:space="preserve"> Lai savlaicīgi risinātu mājokļa jautājumu personai pēc atbrīvošanās no ieslodzījuma, Tiesībsarga ziņojumā sniegts ieteikums, kamēr </w:t>
      </w:r>
      <w:r w:rsidRPr="00377CE7">
        <w:t>persona vēl atrodas ieslodzījuma vietā, ieslodzījuma vietas sociālajam darbiniekam jau savlaicīgi ir jāuzsāk sadarbība ar tās pašvaldības, kurā pēc soda izciešanas atgriezīsies persona, sociālo dienestu.</w:t>
      </w:r>
      <w:r>
        <w:rPr>
          <w:rStyle w:val="FootnoteReference"/>
        </w:rPr>
        <w:footnoteReference w:id="345"/>
      </w:r>
    </w:p>
    <w:p w:rsidR="006362BB" w:rsidRPr="00D520C3" w:rsidRDefault="006362BB" w:rsidP="00064C1E">
      <w:pPr>
        <w:suppressAutoHyphens/>
        <w:autoSpaceDE w:val="0"/>
      </w:pPr>
    </w:p>
    <w:p w:rsidR="006362BB" w:rsidRDefault="006362BB" w:rsidP="00064C1E">
      <w:pPr>
        <w:suppressAutoHyphens/>
        <w:autoSpaceDE w:val="0"/>
      </w:pPr>
      <w:r w:rsidRPr="00AA4CCA">
        <w:t>2018. gadā veiktā pētījumā par brīvprātīgo darba iespējām un līdzgaitniecības modeļa ieviešanu kriminālsodu izpildē norādīts, ka bijušie ieslodzītie nereti ir trūcīgi un pēc būtības ir</w:t>
      </w:r>
      <w:r>
        <w:t xml:space="preserve"> maksātnespējīgas personas ar parādu saistībām. Tā kā ieslodzītajiem netiek izsniegti finanšu līdzekļi tuvākajam laikam savu primāro vajadzību apmierināšanai, pēc atbrīvošanas no ieslodzījuma viņiem nereti nav pastāvīgas dzīvesvietas, brīvprātīgajiem nākas iesaistīties bijušā ieslodzītā materiālo problēmu risināšanā, t.sk. dzīvesvietas atrašanā. Pētījumā noskaidrots, ka līdz sociālās palīdzības iegūšanai no pašvaldības var nākties gaidīt vidēji mēnesi.</w:t>
      </w:r>
      <w:r>
        <w:rPr>
          <w:rStyle w:val="FootnoteReference"/>
        </w:rPr>
        <w:footnoteReference w:id="346"/>
      </w:r>
      <w:r>
        <w:t xml:space="preserve"> Ja cilvēkam ieslodzījuma laikā ir zudušas saiknes ar ģimeni, nav izveidojies kontakts ar atbalsta personām no sociālajiem dienestiem vai līdzgaitniekiem, tad visbiežāk vienīgās sociālās saites viņiem ir ar citiem nesen no ieslodzījuma atbrīvotiem cilvēkiem, kuri mēdz piedāvāt dažādas nelikumīgas iespējas, kā tikt pie naudas līdzekļiem. Līdz ar to šādos gadījumos, kad bijušajam ieslodzītajam nav līdzās atbalsta personas, pastāv augsts jaunu noziegumu izdarīšanas risks, primāri ar mērķi iegūt finanšu līdzekļus.</w:t>
      </w:r>
      <w:r>
        <w:rPr>
          <w:rStyle w:val="FootnoteReference"/>
        </w:rPr>
        <w:footnoteReference w:id="347"/>
      </w:r>
      <w:r>
        <w:t xml:space="preserve"> </w:t>
      </w:r>
    </w:p>
    <w:p w:rsidR="00C771CF" w:rsidRPr="003F2147" w:rsidRDefault="00C771CF" w:rsidP="00064C1E">
      <w:pPr>
        <w:suppressAutoHyphens/>
        <w:autoSpaceDE w:val="0"/>
      </w:pPr>
      <w:r>
        <w:lastRenderedPageBreak/>
        <w:t>A</w:t>
      </w:r>
      <w:r w:rsidR="006362BB">
        <w:t>ugstāk minētajā pētījumā skaidrots, ka „parāda esamība ietekmē bijušo ieslodzīto “izdzīvošanas stratēģijas” izvēli – tā nesekmē bijušos ieslodzītos stāties darba tiesiskajās attiecībās, iesaistīties sabiedriskās u.c. aktivitātēs. [..] Lai nodrošinātu bijušā ieslodzītā veiksmīgu iekļaušanos sabiedrībā un veiksmīgāku līdzgaitniecības norisi, ir būtiski, lai savlaicīgi tiktu risināts jautājums par aktuālu ieslodzītā deklarēto dzīvesvietu, kaut faktiski tā ir brīvības atņemšanas iestāde. Tādējādi ieslodzījuma vietas sociālā darbinieka rīcībā ir jābūt informācijai par attiecīgā ieslodzītā paredzamās dzīves vietas aktuālo stāvokli. Saņemot informāciju, ka personai ir zudis tiesiskais pamats būt deklarētai konkrētajā dzīvesvietā vai ka šāda dzīvesvieta vairs nepastāv, vai ir kādi citi aktuāli fakti, kas liecina par to, ka bijušajam ieslodzītajam nav vietas, uz kuru doties pēc soda izciešanas, ieslodzījuma vietas sociālajiem darbiniekiem agrīni būtu jārisina jautājums par bijušā ieslodzītā reģistrēšanu pašvaldībā palīdzības saņemšanai. Pašreizējā situācijā daļai ieslodzīto pēc atbrīvošanas nav dzīvesvietas un pašvaldībām trūkst dzīvojamais fonds, ko piešķirt bijušajiem ieslodzītajiem. [..] [Pausts ieteikums] ieslodzījuma vietām sadarbībā ar pašvaldību sociālajiem dienestiem agrīni risināt jautājumu par bijušā ieslodzītā reģistrēšanu pašvaldībā dzīvesvietas un sociālās palīdzības saņemšanai.”</w:t>
      </w:r>
      <w:r w:rsidR="006362BB">
        <w:rPr>
          <w:rStyle w:val="FootnoteReference"/>
        </w:rPr>
        <w:footnoteReference w:id="348"/>
      </w:r>
      <w:r w:rsidR="006362BB">
        <w:t xml:space="preserve"> Tiesībsarga ziņojum</w:t>
      </w:r>
      <w:r w:rsidR="0022341C">
        <w:t>ā</w:t>
      </w:r>
      <w:r w:rsidR="006362BB">
        <w:t xml:space="preserve"> šajā sakarā secināts, ka </w:t>
      </w:r>
      <w:r w:rsidR="006362BB" w:rsidRPr="004A26A9">
        <w:t>„pašvaldības palīdzība mājokļa jautājuma risināšanā personām pēc ieslodzījuma vietas tiek sniegta savlaicīgi, un tās ilgums neierobežo personas tiesības uz mājokli. Fakts, ka vairums personu atsakās lietot pagaidu dzīvojamās telpas vai apmesties patversmē līdz palīdzības saņemšanai, ir katras personas patstāvīgs lēmums. Līdz ar to nevar apgalvot, ka mājokļa jautājuma risināšanas gaita pašvaldībās personām pēc ieslodzījuma ir nesamērīgi ilgs process, lai personas tā gaidīšanas laikā būtu spiestas atkārtoti izdarīt noziegumus</w:t>
      </w:r>
      <w:r w:rsidR="006362BB">
        <w:t>.”</w:t>
      </w:r>
      <w:r w:rsidR="006362BB">
        <w:rPr>
          <w:rStyle w:val="FootnoteReference"/>
        </w:rPr>
        <w:footnoteReference w:id="349"/>
      </w:r>
      <w:r w:rsidR="00C548CE">
        <w:t xml:space="preserve"> Atsevišķi Izvērtējumā uz</w:t>
      </w:r>
      <w:r>
        <w:t xml:space="preserve">klausītie pašvaldību pārstāvji pauda viedokli, ka </w:t>
      </w:r>
      <w:r w:rsidRPr="003F2147">
        <w:t xml:space="preserve">pašvaldības būtu atbrīvojamas no pienākuma sniegt mājokļa palīdzību no ieslodzījuma atbrīvotām personām, uzskatot, ka sākotnējais mājokļa atbalsts (uzturēšanās vieta, kamēr persona iekļaujas darba tirgū, nokārto sociālo statusu, ja attiecināms) ir jānodrošina valstij. </w:t>
      </w:r>
    </w:p>
    <w:p w:rsidR="006362BB" w:rsidRPr="003F2147" w:rsidRDefault="006362BB" w:rsidP="00064C1E">
      <w:pPr>
        <w:suppressAutoHyphens/>
        <w:autoSpaceDE w:val="0"/>
      </w:pPr>
    </w:p>
    <w:p w:rsidR="006362BB" w:rsidRPr="003F2147" w:rsidRDefault="006362BB" w:rsidP="00064C1E">
      <w:pPr>
        <w:suppressAutoHyphens/>
        <w:autoSpaceDE w:val="0"/>
      </w:pPr>
      <w:r w:rsidRPr="003F2147">
        <w:t>2018.</w:t>
      </w:r>
      <w:r w:rsidR="00D54545" w:rsidRPr="003F2147">
        <w:t xml:space="preserve"> </w:t>
      </w:r>
      <w:r w:rsidRPr="003F2147">
        <w:t xml:space="preserve">gada </w:t>
      </w:r>
      <w:r w:rsidR="000278DA" w:rsidRPr="003F2147">
        <w:t>rudenī</w:t>
      </w:r>
      <w:r w:rsidRPr="003F2147">
        <w:t xml:space="preserve"> tika veikts vēl viens pētījums</w:t>
      </w:r>
      <w:r w:rsidRPr="003F2147">
        <w:rPr>
          <w:rStyle w:val="FootnoteReference"/>
        </w:rPr>
        <w:footnoteReference w:id="350"/>
      </w:r>
      <w:r w:rsidRPr="003F2147">
        <w:t xml:space="preserve"> par labās prakses popularizēšanas pasākumiem stereotipu mainīšanai par bijušajiem ieslodzītajiem. Tā ietvaros tika aptaujātas divas mērķa grupas, kuras atbilst Izvērtējuma vajadzībām, proti, notiesātie, kuri atbrīvosies no ieslodzījuma tuvāko četru gadu laikā (N=797), un bijušie notiesātie, kas atrodas Valsts probācijas dienesta (VPD) uzraudzībā (N=98).  Jautāti, cik vienkārši ir būtu/ir bijis atrast dzīves vietu pēc cietuma, 55,1% notiesāto un 67,7% bijušo notiesāto norādīja, ka tas ir vienkārši.  81,1% notiesāto aptaujā norādījuši, ka praktiska palīdzība dzīves vietas atrašanā ir svarīgs palīdzības veids, lai notiesātie varētu atgriezies sabiedrībā, savukārt 51,1% aptaujāto bijušo notiesāto, jau balstoties savā pieredzē, norādījuši, ka šī palīdzība viņiem bijusi svarīga. Jāņem gan vērā, ka vairums aptaujāto bijušo notiesāto ir personas, kas saņēmuši pirmstermiņa atbrīvošanu, tādējādi tām jau sākotnēji ir vairāk resursu atgriezties sabiedrībā.</w:t>
      </w:r>
    </w:p>
    <w:p w:rsidR="006362BB" w:rsidRPr="003F2147" w:rsidRDefault="006362BB" w:rsidP="00064C1E">
      <w:pPr>
        <w:suppressAutoHyphens/>
        <w:autoSpaceDE w:val="0"/>
      </w:pPr>
    </w:p>
    <w:p w:rsidR="006362BB" w:rsidRDefault="006362BB" w:rsidP="00064C1E">
      <w:r w:rsidRPr="003F2147">
        <w:lastRenderedPageBreak/>
        <w:t xml:space="preserve">Vērtējot no ieslodzījuma vietām atbrīvoto personu </w:t>
      </w:r>
      <w:r w:rsidRPr="003F2147">
        <w:rPr>
          <w:b/>
        </w:rPr>
        <w:t>iespējas atrast mājokli</w:t>
      </w:r>
      <w:r w:rsidRPr="003F2147">
        <w:t>, var secināt, ka tajos gadījumos, kad notiesātajam nav saglabātas ģimenes saites, nav bijis darbs pirms ieslodzījuma, ir garš brīvības atņemšanas termiņš</w:t>
      </w:r>
      <w:r>
        <w:t>, ir vairākas notiesāšanas reizes, vecums vairāk kā 50 gadi, ir īpaši grūti atrast dzīvesvietu. Šis secinājums izriet no šādiem empīriskajiem datiem: „[..] visretāk iespēju atrast dzīvesvietu par ļoti vienkāršu vai drīzāk vienkāršu atzina notiesātie vecuma grupās 40-49 gadi un 50 un vairāk gadi. Pārliecinātāki par iespējām atrast dzīvesvietu ir tie notiesātie, kas pirms ieslodzījuma strādāja algotā darbā (50,5% uzskata, ka tas būs ļoti vienkārši) vai bija pensijā/ invaliditātes dēļ nestrādāja (47,6%). Tāpat pārliecinātāki ir tie notiesātie, kuriem ir tikai viena atkārtota notiesāšanas reize (47,6%), savukārt, pieaugot atkārtotu notiesāšanas reižu skaitam, arvien samazinās notiesāto īpatsvars, kuru pašnovērtējumā būtu ļoti vai drīzāk vienkārši atrast sev dzīvesvietu pēc ieslodzījuma. Viņu vērtējumā pakāpeniski pieaug pārliecība, ka dzīvesvietu atrast būs ļoti sarežģīti (34,6% no tiem, kuri atkārtoti notiesāti 6 un vairāk reizes uzskata, ka atrast dzīvesvietu viņiem būs ļoti sarežģīti).”</w:t>
      </w:r>
      <w:r>
        <w:rPr>
          <w:rStyle w:val="FootnoteReference"/>
        </w:rPr>
        <w:footnoteReference w:id="351"/>
      </w:r>
    </w:p>
    <w:p w:rsidR="006362BB" w:rsidRDefault="006362BB" w:rsidP="00064C1E">
      <w:pPr>
        <w:suppressAutoHyphens/>
        <w:autoSpaceDE w:val="0"/>
        <w:rPr>
          <w:color w:val="000000"/>
        </w:rPr>
      </w:pPr>
    </w:p>
    <w:p w:rsidR="006362BB" w:rsidRDefault="006362BB" w:rsidP="00064C1E">
      <w:pPr>
        <w:suppressAutoHyphens/>
        <w:autoSpaceDE w:val="0"/>
        <w:rPr>
          <w:color w:val="000000"/>
        </w:rPr>
      </w:pPr>
      <w:r w:rsidRPr="006A431A">
        <w:rPr>
          <w:color w:val="000000"/>
        </w:rPr>
        <w:t>Problēma, kas attiecas uz tām grupām, kurām pašvaldībai obligāti ir jāierāda mājoklis</w:t>
      </w:r>
      <w:r>
        <w:rPr>
          <w:color w:val="000000"/>
        </w:rPr>
        <w:t xml:space="preserve">, t.sk. </w:t>
      </w:r>
      <w:r w:rsidRPr="006A431A">
        <w:rPr>
          <w:color w:val="000000"/>
        </w:rPr>
        <w:t xml:space="preserve"> no ieslodzījuma vietām atbrīvotās personas, bāreņi un bez vecāku gādības palikušie bērni, pēc </w:t>
      </w:r>
      <w:r>
        <w:rPr>
          <w:color w:val="000000"/>
        </w:rPr>
        <w:t xml:space="preserve">Izvērtējumā intervēto </w:t>
      </w:r>
      <w:r w:rsidRPr="006A431A">
        <w:rPr>
          <w:color w:val="000000"/>
        </w:rPr>
        <w:t xml:space="preserve">ekspertu domām, ir šīm grupām </w:t>
      </w:r>
      <w:r w:rsidRPr="000D744B">
        <w:rPr>
          <w:b/>
          <w:color w:val="000000"/>
        </w:rPr>
        <w:t>piedāvāto mājokļu neapmierinošais tehniskais stāvoklis un labiekārtojuma zemais līmenis</w:t>
      </w:r>
      <w:r w:rsidRPr="006A431A">
        <w:rPr>
          <w:color w:val="000000"/>
        </w:rPr>
        <w:t xml:space="preserve">. Jāpiebilst gan, ka šo pieņēmumu nevar vispārināt, jo, piemēram, viens </w:t>
      </w:r>
      <w:r w:rsidR="00692670">
        <w:rPr>
          <w:color w:val="000000"/>
        </w:rPr>
        <w:t xml:space="preserve">no </w:t>
      </w:r>
      <w:r w:rsidRPr="006A431A">
        <w:rPr>
          <w:color w:val="000000"/>
        </w:rPr>
        <w:t>intervēto pašvaldību pārstāvjiem skaidroja, ka mājokļos pirms to izīrēšanas tiek veikts remonts tieši ar mērķi, lai nodrošinātu pienācīgu mājokli. Vienlaikus intervijā tika norādīts, ka personām, kas ir atbrīvotas no ieslodzījuma netiek</w:t>
      </w:r>
      <w:r w:rsidR="00692670">
        <w:rPr>
          <w:color w:val="000000"/>
        </w:rPr>
        <w:t xml:space="preserve"> piešķirti „paši labākie dzīvokļ</w:t>
      </w:r>
      <w:r w:rsidRPr="006A431A">
        <w:rPr>
          <w:color w:val="000000"/>
        </w:rPr>
        <w:t>i”.</w:t>
      </w:r>
      <w:r>
        <w:rPr>
          <w:color w:val="000000"/>
        </w:rPr>
        <w:t xml:space="preserve"> Tiesībsarga veiktajā pašvaldību aptaujā par palīdzības sniegšanu no ieslodzījuma atbrīvotām personām secināts, ka „</w:t>
      </w:r>
      <w:r w:rsidRPr="00534119">
        <w:rPr>
          <w:color w:val="000000"/>
        </w:rPr>
        <w:t>pašvaldības izīrē visu labiekārtotības līmeņu dzīvojamās telpas, t.sk., labiekārtotas, ar visām ērtībām, un skaita ziņā tas sastāda 30%, kas ir ļoti labs rādītājs, ja ņem vērā, ka 33% gadījumu piedāvātās dzīvojamās telpas ir bez ērtībām”</w:t>
      </w:r>
      <w:r w:rsidRPr="00534119">
        <w:rPr>
          <w:color w:val="000000"/>
          <w:vertAlign w:val="superscript"/>
        </w:rPr>
        <w:footnoteReference w:id="352"/>
      </w:r>
      <w:r w:rsidRPr="00534119">
        <w:rPr>
          <w:color w:val="000000"/>
        </w:rPr>
        <w:t>.</w:t>
      </w:r>
    </w:p>
    <w:p w:rsidR="002E7079" w:rsidRDefault="002E7079" w:rsidP="00064C1E">
      <w:pPr>
        <w:suppressAutoHyphens/>
        <w:autoSpaceDE w:val="0"/>
        <w:rPr>
          <w:color w:val="000000"/>
        </w:rPr>
      </w:pPr>
    </w:p>
    <w:p w:rsidR="002E7079" w:rsidRDefault="002E7079" w:rsidP="00064C1E">
      <w:pPr>
        <w:suppressAutoHyphens/>
        <w:autoSpaceDE w:val="0"/>
      </w:pPr>
      <w:r>
        <w:rPr>
          <w:color w:val="000000"/>
        </w:rPr>
        <w:t>No ieslodzījuma atbrīvotām personām kā pagaidu mājokļa risinājum</w:t>
      </w:r>
      <w:r w:rsidR="004E5D1A">
        <w:rPr>
          <w:color w:val="000000"/>
        </w:rPr>
        <w:t>s</w:t>
      </w:r>
      <w:r>
        <w:rPr>
          <w:color w:val="000000"/>
        </w:rPr>
        <w:t xml:space="preserve"> ir pieejamas arī </w:t>
      </w:r>
      <w:r w:rsidRPr="000D744B">
        <w:rPr>
          <w:b/>
          <w:color w:val="000000"/>
        </w:rPr>
        <w:t>īslaicīgās uzturēšanās mītnes pak</w:t>
      </w:r>
      <w:r w:rsidR="003B387E">
        <w:rPr>
          <w:b/>
          <w:color w:val="000000"/>
        </w:rPr>
        <w:t>al</w:t>
      </w:r>
      <w:r w:rsidRPr="000D744B">
        <w:rPr>
          <w:b/>
          <w:color w:val="000000"/>
        </w:rPr>
        <w:t>pojums</w:t>
      </w:r>
      <w:r>
        <w:rPr>
          <w:color w:val="000000"/>
        </w:rPr>
        <w:t xml:space="preserve">, </w:t>
      </w:r>
      <w:r w:rsidRPr="002E7079">
        <w:rPr>
          <w:color w:val="000000"/>
        </w:rPr>
        <w:t xml:space="preserve">kas nodrošina īslaicīgu dzīvesvietu </w:t>
      </w:r>
      <w:r w:rsidR="00106F4A">
        <w:rPr>
          <w:color w:val="000000"/>
        </w:rPr>
        <w:t xml:space="preserve">līdz sešiem  mēnešiem gadā </w:t>
      </w:r>
      <w:r w:rsidRPr="002E7079">
        <w:rPr>
          <w:color w:val="000000"/>
        </w:rPr>
        <w:t>un sociālā darba speciālista palīdzību sociālo problēmu risināšanā ar mērķi atrast personai (ģimenei) pastāvīgu dzīvesvietu.</w:t>
      </w:r>
      <w:r>
        <w:rPr>
          <w:color w:val="000000"/>
        </w:rPr>
        <w:t xml:space="preserve"> Šī pakalpojuma mērķa grupa ir plašāka atbilstoši konkrētās pašvaldības saistošajos noteikumos noteiktajam. Piemēram, Rīgas gadījumā „t</w:t>
      </w:r>
      <w:r w:rsidRPr="002E7079">
        <w:rPr>
          <w:color w:val="000000"/>
        </w:rPr>
        <w:t xml:space="preserve">iesības saņemt īslaicīgās uzturēšanās mītnes pakalpojumu ir personām un ģimenēm, tai skaitā ģimenēm ar bērniem bez pastāvīga mājokļa, kuru </w:t>
      </w:r>
      <w:r w:rsidRPr="00CB5CC0">
        <w:rPr>
          <w:color w:val="000000"/>
        </w:rPr>
        <w:t xml:space="preserve">pēdējā deklarētā pamata dzīvesvieta ir Rīgas pilsētas pašvaldības administratīvajā teritorijā, </w:t>
      </w:r>
      <w:r w:rsidRPr="002E7079">
        <w:rPr>
          <w:color w:val="000000"/>
        </w:rPr>
        <w:t>kuras sadarbojas ar Rīgas Sociālo dienestu un/vai citiem sociālo pakalpojumu sniedzējiem, lai uzlabotu savu sociālo situāciju, un kuras saņēmušas Rīgas Sociālā dienesta nosūtījumu</w:t>
      </w:r>
      <w:r>
        <w:rPr>
          <w:color w:val="000000"/>
        </w:rPr>
        <w:t>”</w:t>
      </w:r>
      <w:r>
        <w:rPr>
          <w:rStyle w:val="FootnoteReference"/>
          <w:color w:val="000000"/>
        </w:rPr>
        <w:footnoteReference w:id="353"/>
      </w:r>
      <w:r w:rsidRPr="002E7079">
        <w:rPr>
          <w:color w:val="000000"/>
        </w:rPr>
        <w:t xml:space="preserve">. </w:t>
      </w:r>
      <w:r w:rsidR="00CB5CC0">
        <w:rPr>
          <w:color w:val="000000"/>
        </w:rPr>
        <w:t>Līdzīgi nosacījumi ir arī citās pašvaldībās. Tāpat</w:t>
      </w:r>
      <w:r w:rsidRPr="002E7079">
        <w:rPr>
          <w:color w:val="000000"/>
        </w:rPr>
        <w:t xml:space="preserve"> kā attiecībā uz citiem sociāl</w:t>
      </w:r>
      <w:r w:rsidR="000D744B">
        <w:rPr>
          <w:color w:val="000000"/>
        </w:rPr>
        <w:t>ās</w:t>
      </w:r>
      <w:r w:rsidRPr="002E7079">
        <w:rPr>
          <w:color w:val="000000"/>
        </w:rPr>
        <w:t xml:space="preserve"> palīdzības veidiem un pakalpojumiem</w:t>
      </w:r>
      <w:r w:rsidR="000D744B">
        <w:rPr>
          <w:color w:val="000000"/>
        </w:rPr>
        <w:t>,</w:t>
      </w:r>
      <w:r w:rsidRPr="002E7079">
        <w:rPr>
          <w:color w:val="000000"/>
        </w:rPr>
        <w:t xml:space="preserve"> primāri svarīg</w:t>
      </w:r>
      <w:r w:rsidR="00CB5CC0">
        <w:rPr>
          <w:color w:val="000000"/>
        </w:rPr>
        <w:t xml:space="preserve">s ir personas dzīves vietas deklarācijas fakts. Šī pakalpojuma gadījumā nav nepieciešama aktuālā deklarācija, bet </w:t>
      </w:r>
      <w:r w:rsidR="00CB5CC0" w:rsidRPr="007D7E90">
        <w:rPr>
          <w:color w:val="000000"/>
        </w:rPr>
        <w:t>gan pēdējā deklarētā dzīves vieta</w:t>
      </w:r>
      <w:r w:rsidR="00CB5CC0">
        <w:rPr>
          <w:color w:val="000000"/>
        </w:rPr>
        <w:t>. N</w:t>
      </w:r>
      <w:r w:rsidRPr="002E7079">
        <w:rPr>
          <w:color w:val="000000"/>
        </w:rPr>
        <w:t xml:space="preserve">o ieslodzījuma atbrīvotu personu gadījumā </w:t>
      </w:r>
      <w:r w:rsidR="00CB5CC0">
        <w:rPr>
          <w:color w:val="000000"/>
        </w:rPr>
        <w:t xml:space="preserve">dzīves vietas deklarācija, t.sk. </w:t>
      </w:r>
      <w:r w:rsidR="00106F4A">
        <w:rPr>
          <w:color w:val="000000"/>
        </w:rPr>
        <w:t>to vēsture, ir viena no būtiskām</w:t>
      </w:r>
      <w:r w:rsidRPr="002E7079">
        <w:rPr>
          <w:color w:val="000000"/>
        </w:rPr>
        <w:t xml:space="preserve"> problēmām. </w:t>
      </w:r>
      <w:r w:rsidR="000D744B">
        <w:rPr>
          <w:color w:val="000000"/>
        </w:rPr>
        <w:t xml:space="preserve">Otrs </w:t>
      </w:r>
      <w:r w:rsidR="00106F4A" w:rsidRPr="00106F4A">
        <w:rPr>
          <w:color w:val="000000"/>
        </w:rPr>
        <w:t>īslaicīgās uzturēšanās mītnes</w:t>
      </w:r>
      <w:r w:rsidR="00106F4A">
        <w:rPr>
          <w:color w:val="000000"/>
        </w:rPr>
        <w:t xml:space="preserve"> </w:t>
      </w:r>
      <w:r w:rsidR="000D744B">
        <w:rPr>
          <w:color w:val="000000"/>
        </w:rPr>
        <w:t>pak</w:t>
      </w:r>
      <w:r w:rsidR="003B387E">
        <w:rPr>
          <w:color w:val="000000"/>
        </w:rPr>
        <w:t>al</w:t>
      </w:r>
      <w:r w:rsidR="000D744B">
        <w:rPr>
          <w:color w:val="000000"/>
        </w:rPr>
        <w:t xml:space="preserve">pojuma izmantošanas </w:t>
      </w:r>
      <w:r w:rsidR="000D744B">
        <w:rPr>
          <w:color w:val="000000"/>
        </w:rPr>
        <w:lastRenderedPageBreak/>
        <w:t xml:space="preserve">ierobežojums, ņemot vērā, ka tas ir maksas pakalpojums, varētu būt arī šīs mērķa grupas zemā maksātspēja, īpaši pirmajā laikā pēc atbrīvošanās, kad pagaidu mājokļa palīdzība ir akūta vajadzība. </w:t>
      </w:r>
      <w:r w:rsidR="000D744B" w:rsidRPr="000D744B">
        <w:rPr>
          <w:color w:val="000000"/>
        </w:rPr>
        <w:t>Klienta pienākums ir samaksāt sociālā pakalpojuma sniedzējam par dzīvojamās telpas, virtuves un koplietošanas telpu ekspluatāciju (atbilstoši lietojamai daļai)</w:t>
      </w:r>
      <w:r w:rsidR="000D744B">
        <w:rPr>
          <w:color w:val="000000"/>
        </w:rPr>
        <w:t>.</w:t>
      </w:r>
      <w:r w:rsidR="000D744B" w:rsidRPr="000D744B">
        <w:t> </w:t>
      </w:r>
    </w:p>
    <w:p w:rsidR="000D744B" w:rsidRDefault="000D744B" w:rsidP="00064C1E">
      <w:pPr>
        <w:suppressAutoHyphens/>
        <w:autoSpaceDE w:val="0"/>
      </w:pPr>
    </w:p>
    <w:p w:rsidR="000D744B" w:rsidRDefault="000D744B" w:rsidP="00064C1E">
      <w:pPr>
        <w:suppressAutoHyphens/>
        <w:autoSpaceDE w:val="0"/>
      </w:pPr>
      <w:r>
        <w:t>Vēl viens pagaidu mājokļa risinājums no ieslodzījuma atbrīvotām personām</w:t>
      </w:r>
      <w:r w:rsidR="00B1644F">
        <w:t>, kā norādīts augstāk,</w:t>
      </w:r>
      <w:r>
        <w:t xml:space="preserve"> ir patversmes pakalpojumi (to raksturojumu sk. 3.4.10. sadaļā par personām bez konkrētas dzīves vietas). </w:t>
      </w:r>
    </w:p>
    <w:p w:rsidR="006362BB" w:rsidRDefault="006362BB" w:rsidP="003945E0">
      <w:pPr>
        <w:pStyle w:val="Heading3"/>
      </w:pPr>
      <w:bookmarkStart w:id="738" w:name="_Toc6841666"/>
      <w:r>
        <w:t>Romi</w:t>
      </w:r>
      <w:bookmarkEnd w:id="738"/>
    </w:p>
    <w:p w:rsidR="006362BB" w:rsidRDefault="006362BB" w:rsidP="00064C1E">
      <w:pPr>
        <w:pStyle w:val="NormalWeb"/>
        <w:shd w:val="clear" w:color="auto" w:fill="FFFFFF"/>
      </w:pPr>
      <w:r w:rsidRPr="000367BD">
        <w:t>Saskaņā ar CSP datiem</w:t>
      </w:r>
      <w:r>
        <w:rPr>
          <w:rStyle w:val="FootnoteReference"/>
        </w:rPr>
        <w:footnoteReference w:id="354"/>
      </w:r>
      <w:r w:rsidRPr="000367BD">
        <w:t>, 2018.</w:t>
      </w:r>
      <w:r w:rsidR="00D54545">
        <w:t xml:space="preserve"> </w:t>
      </w:r>
      <w:r w:rsidRPr="000367BD">
        <w:t>gada sākumā Latvijā dzīvoja 5082 romi.</w:t>
      </w:r>
      <w:r w:rsidRPr="000367BD">
        <w:rPr>
          <w:color w:val="FF0000"/>
        </w:rPr>
        <w:t xml:space="preserve"> </w:t>
      </w:r>
      <w:r w:rsidRPr="00EE1C5C">
        <w:t>Savukārt</w:t>
      </w:r>
      <w:r>
        <w:rPr>
          <w:color w:val="FF0000"/>
        </w:rPr>
        <w:t xml:space="preserve"> </w:t>
      </w:r>
      <w:r>
        <w:t>PMLP dati uz 01.07.2018.</w:t>
      </w:r>
      <w:r>
        <w:rPr>
          <w:rStyle w:val="FootnoteReference"/>
        </w:rPr>
        <w:footnoteReference w:id="355"/>
      </w:r>
      <w:r>
        <w:t xml:space="preserve"> liecina, ka Latvijā dzīvo 7009 romi.</w:t>
      </w:r>
    </w:p>
    <w:p w:rsidR="006362BB" w:rsidRDefault="006362BB" w:rsidP="00064C1E">
      <w:pPr>
        <w:pStyle w:val="NormalWeb"/>
        <w:shd w:val="clear" w:color="auto" w:fill="FFFFFF"/>
      </w:pPr>
    </w:p>
    <w:p w:rsidR="006362BB" w:rsidRDefault="006362BB" w:rsidP="00064C1E">
      <w:pPr>
        <w:pStyle w:val="NormalWeb"/>
        <w:shd w:val="clear" w:color="auto" w:fill="FFFFFF"/>
      </w:pPr>
      <w:r w:rsidRPr="0089138F">
        <w:t>Eiropas Komisija 2011. gadā pieņēma  </w:t>
      </w:r>
      <w:r>
        <w:t xml:space="preserve">ES programmu </w:t>
      </w:r>
      <w:r w:rsidRPr="0089138F">
        <w:t>attiecībā uz romu integrācijas valsts stratēģijām</w:t>
      </w:r>
      <w:r>
        <w:t xml:space="preserve"> līdz 2020.</w:t>
      </w:r>
      <w:r w:rsidR="00D54545">
        <w:t xml:space="preserve"> </w:t>
      </w:r>
      <w:r>
        <w:t>gadam</w:t>
      </w:r>
      <w:r>
        <w:rPr>
          <w:rStyle w:val="FootnoteReference"/>
        </w:rPr>
        <w:footnoteReference w:id="356"/>
      </w:r>
      <w:r>
        <w:t xml:space="preserve"> ar mērķi nodrošināt romiem piekļuvi i</w:t>
      </w:r>
      <w:r w:rsidRPr="0089138F">
        <w:t>zglītība</w:t>
      </w:r>
      <w:r>
        <w:t>i, n</w:t>
      </w:r>
      <w:r w:rsidRPr="0089138F">
        <w:t>odarbinātība</w:t>
      </w:r>
      <w:r>
        <w:t>i, v</w:t>
      </w:r>
      <w:r w:rsidRPr="0089138F">
        <w:t>eselības aprūpe</w:t>
      </w:r>
      <w:r>
        <w:t>i un m</w:t>
      </w:r>
      <w:r w:rsidRPr="0089138F">
        <w:t>ājokļi</w:t>
      </w:r>
      <w:r>
        <w:t xml:space="preserve">em. Attiecībā uz mājokļa pieejamību programmā pausts aicinājums </w:t>
      </w:r>
      <w:r>
        <w:rPr>
          <w:rStyle w:val="apple-converted-space"/>
          <w:rFonts w:ascii="Tahoma" w:eastAsiaTheme="majorEastAsia" w:hAnsi="Tahoma" w:cs="Tahoma"/>
          <w:color w:val="000000"/>
          <w:sz w:val="14"/>
          <w:szCs w:val="14"/>
        </w:rPr>
        <w:t> </w:t>
      </w:r>
      <w:r w:rsidRPr="0089138F">
        <w:t>novērst atšķirību starp to romu daļu, kuriem ir piekļuve mājokļiem un komunālajiem pakalpojumiem (piemēram, ūdenim, elektrībai un gāzei), un attiecīgo daļu pārējo iedzīvotāju</w:t>
      </w:r>
      <w:r>
        <w:t>. ES Padomes ieteikumā par efektīviem romu integrācijas pasākumiem (09.12.2013.)</w:t>
      </w:r>
      <w:r>
        <w:rPr>
          <w:rStyle w:val="FootnoteReference"/>
        </w:rPr>
        <w:footnoteReference w:id="357"/>
      </w:r>
      <w:r>
        <w:t xml:space="preserve"> arī ir uzsvērta nepieciešamība veicināt romu vienlīdzīgu pieeju mājokļiem. Šī mērķa sasniegšanai ir ieteikti šādi pasākumi: a) novērst jebkādu teritoriālo segregāciju un veicinot desegregāciju; b) veicināt nediskriminējošu piekļuvi sociālajiem mājok</w:t>
      </w:r>
      <w:r>
        <w:softHyphen/>
        <w:t>ļiem; c) samērīgi vietējām vajadzībām nodrošināt apmešanās vietas romiem, kuri neuzturas vienā vietā; d) nodrošināt piekļuvi komunālajiem pakalpojumiem (piemēram, ūdens, elektrība un gāze) un infrastruktūrai mājokļos saskaņā ar nacionālajām tiesību aktu prasībām.</w:t>
      </w:r>
    </w:p>
    <w:p w:rsidR="006362BB" w:rsidRDefault="006362BB" w:rsidP="00064C1E">
      <w:pPr>
        <w:pStyle w:val="NormalWeb"/>
        <w:shd w:val="clear" w:color="auto" w:fill="FFFFFF"/>
      </w:pPr>
    </w:p>
    <w:p w:rsidR="006362BB" w:rsidRDefault="006362BB" w:rsidP="00064C1E">
      <w:pPr>
        <w:pStyle w:val="NormalWeb"/>
        <w:shd w:val="clear" w:color="auto" w:fill="FFFFFF"/>
      </w:pPr>
      <w:r>
        <w:t>2015.</w:t>
      </w:r>
      <w:r w:rsidR="00D54545">
        <w:t xml:space="preserve"> </w:t>
      </w:r>
      <w:r>
        <w:t>gadā Latvijā tika veikta jaunākā romu sociālekonomiskās situācijas izpēte Latvijā visās augstāk minētajās jomās</w:t>
      </w:r>
      <w:r>
        <w:rPr>
          <w:rStyle w:val="FootnoteReference"/>
        </w:rPr>
        <w:footnoteReference w:id="358"/>
      </w:r>
      <w:r>
        <w:t xml:space="preserve">. Pētījuma ietvaros tika </w:t>
      </w:r>
      <w:r w:rsidRPr="00EE1C5C">
        <w:t xml:space="preserve">aptaujāti 365 romu tautības pārstāvji dažādās Latvijas pilsētās un noorganizētas </w:t>
      </w:r>
      <w:r>
        <w:t>piecas</w:t>
      </w:r>
      <w:r w:rsidRPr="00EE1C5C">
        <w:t xml:space="preserve"> fokusa grupas diskusijas ar romu kopienas pārstāvjiem Rīgā, Krāslavā, Tukumā, Daugavpilī, Dobelē, kā arī veiktas 197 intervijas ar publiskā  sektora un nevalstisko organizāciju pārstāvjiem, ekspertiem un politikas veidotājiem, kas iesaistīti romu kopienai nepieciešamo publisko pakalpojumu nodrošināšanā</w:t>
      </w:r>
      <w:r>
        <w:t xml:space="preserve">. </w:t>
      </w:r>
    </w:p>
    <w:p w:rsidR="006362BB" w:rsidRDefault="006362BB" w:rsidP="00824DEA">
      <w:pPr>
        <w:autoSpaceDE w:val="0"/>
        <w:autoSpaceDN w:val="0"/>
        <w:adjustRightInd w:val="0"/>
      </w:pPr>
      <w:r w:rsidRPr="00940343">
        <w:rPr>
          <w:rFonts w:eastAsia="Times New Roman"/>
        </w:rPr>
        <w:lastRenderedPageBreak/>
        <w:t>42,5% mājoklis pieder respondentam vai kādam no</w:t>
      </w:r>
      <w:r>
        <w:rPr>
          <w:rFonts w:eastAsia="Times New Roman"/>
        </w:rPr>
        <w:t xml:space="preserve"> </w:t>
      </w:r>
      <w:r w:rsidRPr="00940343">
        <w:rPr>
          <w:rFonts w:eastAsia="Times New Roman"/>
        </w:rPr>
        <w:t>mājsaimniecības locekļiem, no kuriem 38,2% tas pilnībā pieder aptaujātajam vai kādam</w:t>
      </w:r>
      <w:r>
        <w:rPr>
          <w:rFonts w:eastAsia="Times New Roman"/>
        </w:rPr>
        <w:t xml:space="preserve"> </w:t>
      </w:r>
      <w:r w:rsidRPr="00940343">
        <w:rPr>
          <w:rFonts w:eastAsia="Times New Roman"/>
        </w:rPr>
        <w:t xml:space="preserve">no mājsaimniecības, bet 4,4% vēl aizvien par to tiek maksāts kredīts. </w:t>
      </w:r>
      <w:r>
        <w:rPr>
          <w:rFonts w:eastAsia="Times New Roman"/>
        </w:rPr>
        <w:t>18,6%</w:t>
      </w:r>
      <w:r w:rsidRPr="00940343">
        <w:rPr>
          <w:rFonts w:eastAsia="Times New Roman"/>
        </w:rPr>
        <w:t xml:space="preserve"> mājokli izīrē no cita īpašnieka, 35,6% romu </w:t>
      </w:r>
      <w:r>
        <w:rPr>
          <w:rFonts w:eastAsia="Times New Roman"/>
        </w:rPr>
        <w:t>dzīvo</w:t>
      </w:r>
      <w:r w:rsidRPr="00940343">
        <w:rPr>
          <w:rFonts w:eastAsia="Times New Roman"/>
        </w:rPr>
        <w:t xml:space="preserve"> pašvaldības uzturētos mājokļos</w:t>
      </w:r>
      <w:r>
        <w:rPr>
          <w:rFonts w:eastAsia="Times New Roman"/>
        </w:rPr>
        <w:t xml:space="preserve">, </w:t>
      </w:r>
      <w:r w:rsidRPr="00940343">
        <w:rPr>
          <w:rFonts w:eastAsia="Times New Roman"/>
        </w:rPr>
        <w:t xml:space="preserve"> no kuriem 27,9% mājokļos, kas pieder vals</w:t>
      </w:r>
      <w:r>
        <w:rPr>
          <w:rFonts w:eastAsia="Times New Roman"/>
        </w:rPr>
        <w:t>tij</w:t>
      </w:r>
      <w:r w:rsidRPr="00940343">
        <w:rPr>
          <w:rFonts w:eastAsia="Times New Roman"/>
        </w:rPr>
        <w:t xml:space="preserve"> un pašvaldībai</w:t>
      </w:r>
      <w:r>
        <w:rPr>
          <w:rFonts w:eastAsia="Times New Roman"/>
        </w:rPr>
        <w:t xml:space="preserve"> </w:t>
      </w:r>
      <w:r w:rsidRPr="00940343">
        <w:rPr>
          <w:rFonts w:eastAsia="Times New Roman"/>
        </w:rPr>
        <w:t>un par kuru ir jāmaksā pilna īres maksa, 7,5% dzīvokļos sociālajā mājā, kurā daļēji jāsedz</w:t>
      </w:r>
      <w:r>
        <w:rPr>
          <w:rFonts w:eastAsia="Times New Roman"/>
        </w:rPr>
        <w:t xml:space="preserve"> </w:t>
      </w:r>
      <w:r w:rsidRPr="00940343">
        <w:t xml:space="preserve">īres maksa, un </w:t>
      </w:r>
      <w:r>
        <w:t xml:space="preserve">mitinās </w:t>
      </w:r>
      <w:r w:rsidRPr="00940343">
        <w:t>0,2% patversmē</w:t>
      </w:r>
      <w:r>
        <w:t xml:space="preserve">. </w:t>
      </w:r>
    </w:p>
    <w:p w:rsidR="006362BB" w:rsidRDefault="006362BB" w:rsidP="00824DEA">
      <w:pPr>
        <w:autoSpaceDE w:val="0"/>
        <w:autoSpaceDN w:val="0"/>
        <w:adjustRightInd w:val="0"/>
      </w:pPr>
    </w:p>
    <w:p w:rsidR="00F90925" w:rsidRDefault="006362BB" w:rsidP="00F90925">
      <w:pPr>
        <w:autoSpaceDE w:val="0"/>
        <w:autoSpaceDN w:val="0"/>
        <w:adjustRightInd w:val="0"/>
      </w:pPr>
      <w:r>
        <w:t>Raksturojot pieejamo  atbalstu mājokļa jomā, pētījumā secināts, ka romi aktīvi izmanto pašvaldību un nevalstisko organizāciju sniegto atbalstu mājokļa jomā. 53,7% aptaujāto romu pēdējo trīs gadu laikā ir saņēmuši pašvaldības dzīvokļa pabalstu, 25,3% dzīvo pašvaldības piešķirtā dzīvojamā platībā vai sociālajā dzīvoklī, 14,4% ir izmantojuši iespēju bez maksas lietot dušu (higiēnas centrā), 12,7% - bez maksas mazgāt veļu (higiēnas centrā), 1,4% izmantojuši pašvaldības atbalstu dzīvokļa remontam. Vienlaikus, kā norādīts pētījumā, nevienas pašvaldības saistošajos noteikumos „</w:t>
      </w:r>
      <w:r w:rsidRPr="00773AE8">
        <w:t xml:space="preserve">romi netiek izdalīti kā atsevišķa personu kategorija, kurai ir </w:t>
      </w:r>
      <w:r>
        <w:t>t</w:t>
      </w:r>
      <w:r w:rsidRPr="00773AE8">
        <w:t xml:space="preserve">iesības īrēt sociālo mājokli un tas tiek piešķirts vispārējā kārtībā, tādējādi formāli nodrošinot nediskriminējošu piekļuvi sociālajam mājoklim”.  </w:t>
      </w:r>
    </w:p>
    <w:p w:rsidR="00F90925" w:rsidRDefault="00F90925" w:rsidP="00F90925">
      <w:pPr>
        <w:autoSpaceDE w:val="0"/>
        <w:autoSpaceDN w:val="0"/>
        <w:adjustRightInd w:val="0"/>
      </w:pPr>
    </w:p>
    <w:p w:rsidR="006362BB" w:rsidRDefault="006362BB" w:rsidP="00F90925">
      <w:pPr>
        <w:autoSpaceDE w:val="0"/>
        <w:autoSpaceDN w:val="0"/>
        <w:adjustRightInd w:val="0"/>
      </w:pPr>
      <w:r>
        <w:t>Mājokļa nodrošinājuma jomā pētījumā tika identificētas šādas galvenās problēmas:</w:t>
      </w:r>
    </w:p>
    <w:p w:rsidR="006362BB" w:rsidRDefault="006362BB" w:rsidP="003F469F">
      <w:pPr>
        <w:pStyle w:val="ListParagraph"/>
        <w:numPr>
          <w:ilvl w:val="0"/>
          <w:numId w:val="119"/>
        </w:numPr>
        <w:spacing w:line="276" w:lineRule="auto"/>
        <w:jc w:val="both"/>
      </w:pPr>
      <w:r>
        <w:t>mājokļa pieejamība problemātiska ir tieši trūcīgajiem romiem (pēc ekspertu aplēsēm tādi ir 75-80% romu, ņemot vērā šīs etniskās grupas zemo nodarbinātības un attiecīgi arī ienākumu līmeni);</w:t>
      </w:r>
    </w:p>
    <w:p w:rsidR="006362BB" w:rsidRDefault="006362BB" w:rsidP="003F469F">
      <w:pPr>
        <w:pStyle w:val="ListParagraph"/>
        <w:numPr>
          <w:ilvl w:val="0"/>
          <w:numId w:val="119"/>
        </w:numPr>
        <w:spacing w:line="276" w:lineRule="auto"/>
        <w:jc w:val="both"/>
      </w:pPr>
      <w:r>
        <w:t>zems romu apdzīvoto mājokļu labiekārtojuma līmenis (14,3% aptaujāto romu apdzīvoto mājokļu apkure nav pieejama; 55,9% romu apdzīvoto mājokļu nav pieejama vannasistaba vai duša, 42,1% mājokļu nav tualete ar ūdens novadi, 26% mājokļos nav pieejams ūdensvads);</w:t>
      </w:r>
    </w:p>
    <w:p w:rsidR="006362BB" w:rsidRDefault="006362BB" w:rsidP="003F469F">
      <w:pPr>
        <w:pStyle w:val="ListParagraph"/>
        <w:numPr>
          <w:ilvl w:val="0"/>
          <w:numId w:val="119"/>
        </w:numPr>
        <w:spacing w:line="276" w:lineRule="auto"/>
        <w:jc w:val="both"/>
      </w:pPr>
      <w:r>
        <w:t>zems romu apdzīvoto mājokļu tehniskais stāvoklis (44,1% romu apdzīvotajos mājokļos logu rāmji vai grīda ir sliktā stāvoklī, 29,6% norādījuši, ka mājoklī ir mitras sienas, griesti vai grīda, 19,6% norādījuši, ka mājoklī ir pārāk tumšs, lai gan elektrība ir pieejama</w:t>
      </w:r>
      <w:r w:rsidR="004E5D1A">
        <w:t xml:space="preserve"> </w:t>
      </w:r>
      <w:r>
        <w:t>98,5% aptaujāto romu apdzīvotajos mājokļos);</w:t>
      </w:r>
    </w:p>
    <w:p w:rsidR="006362BB" w:rsidRDefault="006362BB" w:rsidP="003F469F">
      <w:pPr>
        <w:pStyle w:val="ListParagraph"/>
        <w:numPr>
          <w:ilvl w:val="0"/>
          <w:numId w:val="119"/>
        </w:numPr>
        <w:spacing w:line="276" w:lineRule="auto"/>
        <w:jc w:val="both"/>
      </w:pPr>
      <w:r>
        <w:t>zemas romu mājokļa apsaimniekošanas prasmes un izpratnes trūkums par nepieciešamību segt komunālo pakalpojumu maksājumus;</w:t>
      </w:r>
    </w:p>
    <w:p w:rsidR="006362BB" w:rsidRPr="00C22247" w:rsidRDefault="006362BB" w:rsidP="003F469F">
      <w:pPr>
        <w:pStyle w:val="ListParagraph"/>
        <w:numPr>
          <w:ilvl w:val="0"/>
          <w:numId w:val="119"/>
        </w:numPr>
        <w:spacing w:line="276" w:lineRule="auto"/>
        <w:jc w:val="both"/>
      </w:pPr>
      <w:r>
        <w:t xml:space="preserve">liela daļa romu mājokļu ir </w:t>
      </w:r>
      <w:r w:rsidRPr="00C22247">
        <w:t>pārapdzīvoti;</w:t>
      </w:r>
    </w:p>
    <w:p w:rsidR="006362BB" w:rsidRPr="00C22247" w:rsidRDefault="006362BB" w:rsidP="003F469F">
      <w:pPr>
        <w:pStyle w:val="ListParagraph"/>
        <w:numPr>
          <w:ilvl w:val="0"/>
          <w:numId w:val="119"/>
        </w:numPr>
        <w:spacing w:line="276" w:lineRule="auto"/>
        <w:jc w:val="both"/>
      </w:pPr>
      <w:r w:rsidRPr="00C22247">
        <w:t xml:space="preserve">sabiedrībā pastāv aizspriedumi par romiem kā nevēlamiem īrniekiem un kaimiņiem. </w:t>
      </w:r>
    </w:p>
    <w:p w:rsidR="006362BB" w:rsidRPr="00C22247" w:rsidRDefault="006362BB" w:rsidP="00064C1E"/>
    <w:p w:rsidR="006362BB" w:rsidRPr="009B1F6F" w:rsidRDefault="006362BB" w:rsidP="00064C1E">
      <w:r w:rsidRPr="00C22247">
        <w:t>Pētījuma autoru piedāvātie pasākumi minēto problēmu risināšanai nacionālā līmenī ir, pirmkārt, „izstrādāt un noteikt kritērijus, kas</w:t>
      </w:r>
      <w:r w:rsidRPr="009B1F6F">
        <w:t xml:space="preserve"> nosaka dzīvošanai derīgas vai nederīgas telpas definējumu, nosakot minimālās prasības izīrējamam mājoklim, tā fiziskajam stāvoklim un labiekārtojuma līmenim”; otrkārt, „rast iespēju palielināt sociālo dzīvojamo fondu, būvējot jaunus vai atjaunojot esošus sociālos mājokļus un līdzfinansējot to veidošanu no valsts, ES fondu vai uz publiskās privātās partnerības principiem”</w:t>
      </w:r>
      <w:r w:rsidRPr="009B1F6F">
        <w:rPr>
          <w:rStyle w:val="FootnoteReference"/>
        </w:rPr>
        <w:footnoteReference w:id="359"/>
      </w:r>
      <w:r w:rsidRPr="009B1F6F">
        <w:t xml:space="preserve">. </w:t>
      </w:r>
    </w:p>
    <w:p w:rsidR="006362BB" w:rsidRPr="0028243F" w:rsidRDefault="006362BB" w:rsidP="003945E0">
      <w:pPr>
        <w:pStyle w:val="Heading3"/>
      </w:pPr>
      <w:bookmarkStart w:id="739" w:name="_Toc6841667"/>
      <w:r>
        <w:lastRenderedPageBreak/>
        <w:t>Bēgļi, patvēruma meklētāji un personas ar alternatīvo statusu</w:t>
      </w:r>
      <w:bookmarkEnd w:id="739"/>
      <w:r>
        <w:t xml:space="preserve"> </w:t>
      </w:r>
    </w:p>
    <w:p w:rsidR="006362BB" w:rsidRDefault="006362BB" w:rsidP="00064C1E">
      <w:pPr>
        <w:textAlignment w:val="baseline"/>
      </w:pPr>
      <w:r w:rsidRPr="00B93BF0">
        <w:t xml:space="preserve">Saskaņā ar </w:t>
      </w:r>
      <w:r>
        <w:t xml:space="preserve">PMLP </w:t>
      </w:r>
      <w:r w:rsidRPr="00B93BF0">
        <w:t>apkopoto statistiku laikā no 1998.</w:t>
      </w:r>
      <w:r w:rsidR="00D54545">
        <w:t xml:space="preserve"> </w:t>
      </w:r>
      <w:r w:rsidRPr="00B93BF0">
        <w:t>gada līdz 2017.</w:t>
      </w:r>
      <w:r w:rsidR="00D54545">
        <w:t xml:space="preserve"> </w:t>
      </w:r>
      <w:r w:rsidRPr="00B93BF0">
        <w:t>gadam Latvijā starptautisko aizsardzību lūguši 2513 p</w:t>
      </w:r>
      <w:r w:rsidR="000907AC">
        <w:t>atvēruma meklētāji (2017.</w:t>
      </w:r>
      <w:r w:rsidR="00D54545">
        <w:t xml:space="preserve"> </w:t>
      </w:r>
      <w:r w:rsidR="000907AC">
        <w:t xml:space="preserve">gadā – </w:t>
      </w:r>
      <w:r w:rsidRPr="00B93BF0">
        <w:t>395, kas ir visu gadu lielākais skaits). Kopumā bēgļa statuss ir piešķirts kopumā 157 personai, savukārt alternatīvās aizsardzības statuss – 514 personām. 2017.</w:t>
      </w:r>
      <w:r w:rsidR="00D54545">
        <w:t xml:space="preserve"> </w:t>
      </w:r>
      <w:r w:rsidRPr="00B93BF0">
        <w:t>gadā 39 bēgļa statusi, 259 alternatīvie statusi. Pavisam 2017.</w:t>
      </w:r>
      <w:r w:rsidR="00D54545">
        <w:t xml:space="preserve"> </w:t>
      </w:r>
      <w:r w:rsidRPr="00B93BF0">
        <w:t>gadā  patvērumu pieprasīja 395 personas. Bēgļa statuss ir piešķirts 39 personā</w:t>
      </w:r>
      <w:r w:rsidR="000907AC">
        <w:t>m, alternatīvais – 259 personām</w:t>
      </w:r>
      <w:r w:rsidRPr="00B93BF0">
        <w:t>.</w:t>
      </w:r>
      <w:r>
        <w:t xml:space="preserve"> </w:t>
      </w:r>
      <w:r w:rsidRPr="00B93BF0">
        <w:t>Patvēruma meklētāju galvenās izcelsmes valstis 2017.</w:t>
      </w:r>
      <w:r w:rsidR="00D54545">
        <w:t xml:space="preserve"> </w:t>
      </w:r>
      <w:r w:rsidRPr="00B93BF0">
        <w:t>gadā –  Sīrija, Vjetnama, Krievija, Eritreja, Kazahstāna.</w:t>
      </w:r>
      <w:r w:rsidRPr="00B93BF0">
        <w:rPr>
          <w:vertAlign w:val="superscript"/>
        </w:rPr>
        <w:footnoteReference w:id="360"/>
      </w:r>
    </w:p>
    <w:p w:rsidR="0087222F" w:rsidRDefault="0087222F" w:rsidP="00064C1E">
      <w:pPr>
        <w:textAlignment w:val="baseline"/>
      </w:pPr>
    </w:p>
    <w:p w:rsidR="006362BB" w:rsidRDefault="006362BB" w:rsidP="00064C1E">
      <w:r>
        <w:t>2017.</w:t>
      </w:r>
      <w:r w:rsidR="00D54545">
        <w:t xml:space="preserve"> </w:t>
      </w:r>
      <w:r>
        <w:t>gadā nodibinājums „Baltic Institute of Social Sciences” veica pētījumu par trešo valstu valstspiederīgo, t.sk. starptautiskās aizsardzības personu situāciju Latvijā dažādās jomās, kas bija pirmais šāda veida pētījums ar pašas mērķa grupas līdzdalību (pētījumā tika veiktas padziļinātās intervijas ar bēgļiem, patvēruma meklētājiem un personām ar alternatīvo statusu). Viena no pētījumā analizētajām jomām ir mājoklis. Izvērtējumā sniegtais šīs mērķa grupas situācijas raksturojums mājokļa pieejamības jomā ir balstīts uz minēto pētījumu</w:t>
      </w:r>
      <w:r>
        <w:rPr>
          <w:rStyle w:val="FootnoteReference"/>
        </w:rPr>
        <w:footnoteReference w:id="361"/>
      </w:r>
      <w:r>
        <w:t xml:space="preserve">. </w:t>
      </w:r>
    </w:p>
    <w:p w:rsidR="006362BB" w:rsidRDefault="006362BB" w:rsidP="00064C1E">
      <w:pPr>
        <w:rPr>
          <w:rFonts w:eastAsiaTheme="majorEastAsia"/>
        </w:rPr>
      </w:pPr>
    </w:p>
    <w:p w:rsidR="006362BB" w:rsidRDefault="006362BB" w:rsidP="006F5693">
      <w:pPr>
        <w:pStyle w:val="PlainText"/>
        <w:spacing w:line="276" w:lineRule="auto"/>
        <w:jc w:val="both"/>
        <w:rPr>
          <w:rFonts w:ascii="Times New Roman" w:eastAsiaTheme="majorEastAsia" w:hAnsi="Times New Roman" w:cs="Times New Roman"/>
          <w:sz w:val="24"/>
          <w:szCs w:val="24"/>
          <w:lang w:eastAsia="lv-LV"/>
        </w:rPr>
      </w:pPr>
      <w:r w:rsidRPr="006F5693">
        <w:rPr>
          <w:rFonts w:ascii="Times New Roman" w:eastAsiaTheme="majorEastAsia" w:hAnsi="Times New Roman" w:cs="Times New Roman"/>
          <w:sz w:val="24"/>
          <w:szCs w:val="24"/>
          <w:lang w:eastAsia="lv-LV"/>
        </w:rPr>
        <w:t xml:space="preserve">Sociālās palīdzības kopums, kas ir pieejams šai mērķa grupai, ir </w:t>
      </w:r>
      <w:r w:rsidRPr="00B00B3F">
        <w:rPr>
          <w:rFonts w:ascii="Times New Roman" w:eastAsiaTheme="majorEastAsia" w:hAnsi="Times New Roman" w:cs="Times New Roman"/>
          <w:b/>
          <w:sz w:val="24"/>
          <w:szCs w:val="24"/>
          <w:lang w:eastAsia="lv-LV"/>
        </w:rPr>
        <w:t>atkarīgs no viņu legālā uzturēšanās statusa un piešķirtās uzturēšanas atļaujas veida</w:t>
      </w:r>
      <w:r w:rsidRPr="006F5693">
        <w:rPr>
          <w:rFonts w:ascii="Times New Roman" w:eastAsiaTheme="majorEastAsia" w:hAnsi="Times New Roman" w:cs="Times New Roman"/>
          <w:sz w:val="24"/>
          <w:szCs w:val="24"/>
          <w:lang w:eastAsia="lv-LV"/>
        </w:rPr>
        <w:t xml:space="preserve">. Trešo valstu pilsoņiem kopumā, kārtojot uzturēšanās atļaujas dokumentus, ir jāpierāda, ka viņiem ir pietiekoši daudz līdzekļu, lai sevi un savu ģimenei uzturētu un aprūpētu, t.sk. nodrošinot sev atbilstošu mājokli. Starptautiskās aizsardzības personas ir specifiska mērķa grupa. Ja patvēruma meklētājam tiek piešķirts bēgļa statuss, tad viņš saņem pastāvīgās uzturēšanās atļauju (PUA), kas sniedz tiesības arī saņemt lielāko daļu sociālās palīdzības un sociālo pakalpojumu veidu. </w:t>
      </w:r>
      <w:r w:rsidR="006F5693" w:rsidRPr="006F5693">
        <w:rPr>
          <w:rFonts w:ascii="Times New Roman" w:eastAsiaTheme="majorEastAsia" w:hAnsi="Times New Roman" w:cs="Times New Roman"/>
          <w:sz w:val="24"/>
          <w:szCs w:val="24"/>
          <w:lang w:eastAsia="lv-LV"/>
        </w:rPr>
        <w:t>Saskaņā ar Sociālo pakalpojumu un sociālās palīdzības likuma 3.panta 1.² daļu bēglim un personai ar alternatīvo statusu</w:t>
      </w:r>
      <w:r w:rsidR="006F5693">
        <w:rPr>
          <w:rFonts w:ascii="Times New Roman" w:eastAsiaTheme="majorEastAsia" w:hAnsi="Times New Roman" w:cs="Times New Roman"/>
          <w:sz w:val="24"/>
          <w:szCs w:val="24"/>
          <w:lang w:eastAsia="lv-LV"/>
        </w:rPr>
        <w:t xml:space="preserve"> mājokļa jomas kontekstā</w:t>
      </w:r>
      <w:r w:rsidR="006F5693" w:rsidRPr="006F5693">
        <w:rPr>
          <w:rFonts w:ascii="Times New Roman" w:eastAsiaTheme="majorEastAsia" w:hAnsi="Times New Roman" w:cs="Times New Roman"/>
          <w:sz w:val="24"/>
          <w:szCs w:val="24"/>
          <w:lang w:eastAsia="lv-LV"/>
        </w:rPr>
        <w:t xml:space="preserve"> ir tiesības saņemt: naktspatversmes un patversmes pakalpojumus;</w:t>
      </w:r>
      <w:r w:rsidR="006F5693">
        <w:rPr>
          <w:rFonts w:ascii="Times New Roman" w:eastAsiaTheme="majorEastAsia" w:hAnsi="Times New Roman" w:cs="Times New Roman"/>
          <w:sz w:val="24"/>
          <w:szCs w:val="24"/>
          <w:lang w:eastAsia="lv-LV"/>
        </w:rPr>
        <w:t xml:space="preserve"> 3. </w:t>
      </w:r>
      <w:r w:rsidR="006F5693" w:rsidRPr="006F5693">
        <w:rPr>
          <w:rFonts w:ascii="Times New Roman" w:eastAsiaTheme="majorEastAsia" w:hAnsi="Times New Roman" w:cs="Times New Roman"/>
          <w:sz w:val="24"/>
          <w:szCs w:val="24"/>
          <w:lang w:eastAsia="lv-LV"/>
        </w:rPr>
        <w:t>panta 1.¹ daļa bēglim un alternatīvā statusā esošajām personām, kā arī viņu ģimenes locekļiem, kuri uzturas Latv</w:t>
      </w:r>
      <w:r w:rsidR="006F5693">
        <w:rPr>
          <w:rFonts w:ascii="Times New Roman" w:eastAsiaTheme="majorEastAsia" w:hAnsi="Times New Roman" w:cs="Times New Roman"/>
          <w:sz w:val="24"/>
          <w:szCs w:val="24"/>
          <w:lang w:eastAsia="lv-LV"/>
        </w:rPr>
        <w:t>ijā,</w:t>
      </w:r>
      <w:r w:rsidR="006F5693" w:rsidRPr="006F5693">
        <w:rPr>
          <w:rFonts w:ascii="Times New Roman" w:eastAsiaTheme="majorEastAsia" w:hAnsi="Times New Roman" w:cs="Times New Roman"/>
          <w:sz w:val="24"/>
          <w:szCs w:val="24"/>
          <w:lang w:eastAsia="lv-LV"/>
        </w:rPr>
        <w:t xml:space="preserve"> pašvaldības sociālajam dienestam nosaka tiesības piešķirt šīm personām arī dzīvokļa pabalstu tādā kārtībā un apmērā, kāds noteikts attiecīgās pašvaldības iedzīvotājiem.</w:t>
      </w:r>
      <w:r w:rsidR="006F5693">
        <w:rPr>
          <w:rFonts w:ascii="Times New Roman" w:eastAsiaTheme="majorEastAsia" w:hAnsi="Times New Roman" w:cs="Times New Roman"/>
          <w:sz w:val="24"/>
          <w:szCs w:val="24"/>
          <w:lang w:eastAsia="lv-LV"/>
        </w:rPr>
        <w:t xml:space="preserve"> </w:t>
      </w:r>
      <w:r w:rsidRPr="006F5693">
        <w:rPr>
          <w:rFonts w:ascii="Times New Roman" w:eastAsiaTheme="majorEastAsia" w:hAnsi="Times New Roman" w:cs="Times New Roman"/>
          <w:sz w:val="24"/>
          <w:szCs w:val="24"/>
          <w:lang w:eastAsia="lv-LV"/>
        </w:rPr>
        <w:t xml:space="preserve">Savukārt, personām ar alternatīvo statusu ir termiņuzturēšanās atļaujas (TUA). Saskaņā ar likumu ārvalstniekiem, kuri Latvijā uzturas ar TUA, nav pieejams tāds pakalpojums kā sociālais dzīvoklis vai sociālais mājoklis.   </w:t>
      </w:r>
    </w:p>
    <w:p w:rsidR="006F5693" w:rsidRDefault="006F5693" w:rsidP="006F5693">
      <w:pPr>
        <w:pStyle w:val="PlainText"/>
        <w:spacing w:line="276" w:lineRule="auto"/>
        <w:jc w:val="both"/>
        <w:rPr>
          <w:rFonts w:ascii="Times New Roman" w:eastAsiaTheme="majorEastAsia" w:hAnsi="Times New Roman" w:cs="Times New Roman"/>
          <w:sz w:val="24"/>
          <w:szCs w:val="24"/>
          <w:lang w:eastAsia="lv-LV"/>
        </w:rPr>
      </w:pPr>
    </w:p>
    <w:p w:rsidR="006F5693" w:rsidRPr="006F5693" w:rsidRDefault="00D01A60" w:rsidP="006F5693">
      <w:pPr>
        <w:pStyle w:val="PlainText"/>
        <w:spacing w:line="276" w:lineRule="auto"/>
        <w:jc w:val="both"/>
        <w:rPr>
          <w:rFonts w:ascii="Times New Roman" w:eastAsiaTheme="majorEastAsia" w:hAnsi="Times New Roman" w:cs="Times New Roman"/>
          <w:sz w:val="24"/>
          <w:szCs w:val="24"/>
          <w:lang w:eastAsia="lv-LV"/>
        </w:rPr>
      </w:pPr>
      <w:r w:rsidRPr="00D01A60">
        <w:rPr>
          <w:rFonts w:ascii="Times New Roman" w:eastAsiaTheme="majorEastAsia" w:hAnsi="Times New Roman" w:cs="Times New Roman"/>
          <w:sz w:val="24"/>
          <w:szCs w:val="24"/>
          <w:lang w:eastAsia="lv-LV"/>
        </w:rPr>
        <w:t>S</w:t>
      </w:r>
      <w:r w:rsidR="006F5693" w:rsidRPr="00D01A60">
        <w:rPr>
          <w:rFonts w:ascii="Times New Roman" w:eastAsiaTheme="majorEastAsia" w:hAnsi="Times New Roman" w:cs="Times New Roman"/>
          <w:sz w:val="24"/>
          <w:szCs w:val="24"/>
          <w:lang w:eastAsia="lv-LV"/>
        </w:rPr>
        <w:t>askaņā ar 20.09.2016. MK sēdes protokollēmumu par VARAM „Informatīvo ziņojumu „Par bēgļu un personu ar alternatīvo statusu uzņemšanas un sociālekonomiskās iekļaušanas pasākumu ietekmi uz pašvaldību budžetiem”” tika noteikts „pašvaldībām ne retāk, kā reizi gadā no valsts budžeta programmas „Līdzekļi neparedzētiem gadījumiem” kompensējami faktiskie izdevumi, sniedzot finansiālo un materiālo palīdzību, kas radušies bēgļu un personu ar alternatīvo statusu uzņemšanas un sociālekonomiskās iekļaušanas pasākumiem par laika periodu sākot no 2016.</w:t>
      </w:r>
      <w:r w:rsidR="00DE1C08">
        <w:rPr>
          <w:rFonts w:ascii="Times New Roman" w:eastAsiaTheme="majorEastAsia" w:hAnsi="Times New Roman" w:cs="Times New Roman"/>
          <w:sz w:val="24"/>
          <w:szCs w:val="24"/>
          <w:lang w:eastAsia="lv-LV"/>
        </w:rPr>
        <w:t xml:space="preserve"> </w:t>
      </w:r>
      <w:r w:rsidR="006F5693" w:rsidRPr="00D01A60">
        <w:rPr>
          <w:rFonts w:ascii="Times New Roman" w:eastAsiaTheme="majorEastAsia" w:hAnsi="Times New Roman" w:cs="Times New Roman"/>
          <w:sz w:val="24"/>
          <w:szCs w:val="24"/>
          <w:lang w:eastAsia="lv-LV"/>
        </w:rPr>
        <w:t>gada 1.</w:t>
      </w:r>
      <w:r w:rsidR="00DE1C08">
        <w:rPr>
          <w:rFonts w:ascii="Times New Roman" w:eastAsiaTheme="majorEastAsia" w:hAnsi="Times New Roman" w:cs="Times New Roman"/>
          <w:sz w:val="24"/>
          <w:szCs w:val="24"/>
          <w:lang w:eastAsia="lv-LV"/>
        </w:rPr>
        <w:t xml:space="preserve"> </w:t>
      </w:r>
      <w:r w:rsidR="006F5693" w:rsidRPr="00D01A60">
        <w:rPr>
          <w:rFonts w:ascii="Times New Roman" w:eastAsiaTheme="majorEastAsia" w:hAnsi="Times New Roman" w:cs="Times New Roman"/>
          <w:sz w:val="24"/>
          <w:szCs w:val="24"/>
          <w:lang w:eastAsia="lv-LV"/>
        </w:rPr>
        <w:t>janvāra”</w:t>
      </w:r>
      <w:r w:rsidR="006F5693" w:rsidRPr="004E5D1A">
        <w:rPr>
          <w:rFonts w:ascii="Times New Roman" w:eastAsiaTheme="majorEastAsia" w:hAnsi="Times New Roman" w:cs="Times New Roman"/>
          <w:sz w:val="24"/>
          <w:szCs w:val="24"/>
          <w:vertAlign w:val="superscript"/>
          <w:lang w:eastAsia="lv-LV"/>
        </w:rPr>
        <w:footnoteReference w:id="362"/>
      </w:r>
      <w:r>
        <w:rPr>
          <w:rFonts w:ascii="Times New Roman" w:eastAsiaTheme="majorEastAsia" w:hAnsi="Times New Roman" w:cs="Times New Roman"/>
          <w:sz w:val="24"/>
          <w:szCs w:val="24"/>
          <w:lang w:eastAsia="lv-LV"/>
        </w:rPr>
        <w:t xml:space="preserve">. </w:t>
      </w:r>
      <w:r>
        <w:rPr>
          <w:rFonts w:ascii="Times New Roman" w:eastAsiaTheme="majorEastAsia" w:hAnsi="Times New Roman" w:cs="Times New Roman"/>
          <w:sz w:val="24"/>
          <w:szCs w:val="24"/>
          <w:lang w:eastAsia="lv-LV"/>
        </w:rPr>
        <w:lastRenderedPageBreak/>
        <w:t>Tas nozīmē, ka ar pašva</w:t>
      </w:r>
      <w:r w:rsidR="003B387E">
        <w:rPr>
          <w:rFonts w:ascii="Times New Roman" w:eastAsiaTheme="majorEastAsia" w:hAnsi="Times New Roman" w:cs="Times New Roman"/>
          <w:sz w:val="24"/>
          <w:szCs w:val="24"/>
          <w:lang w:eastAsia="lv-LV"/>
        </w:rPr>
        <w:t>ld</w:t>
      </w:r>
      <w:r>
        <w:rPr>
          <w:rFonts w:ascii="Times New Roman" w:eastAsiaTheme="majorEastAsia" w:hAnsi="Times New Roman" w:cs="Times New Roman"/>
          <w:sz w:val="24"/>
          <w:szCs w:val="24"/>
          <w:lang w:eastAsia="lv-LV"/>
        </w:rPr>
        <w:t>ī</w:t>
      </w:r>
      <w:r w:rsidR="006F5693" w:rsidRPr="00D01A60">
        <w:rPr>
          <w:rFonts w:ascii="Times New Roman" w:eastAsiaTheme="majorEastAsia" w:hAnsi="Times New Roman" w:cs="Times New Roman"/>
          <w:sz w:val="24"/>
          <w:szCs w:val="24"/>
          <w:lang w:eastAsia="lv-LV"/>
        </w:rPr>
        <w:t>bām ir tiesības pieprasīt kompensēt izdevumus, kas izlietoti šīs mērķa grupas sociālās palīdzības un sociālo pak</w:t>
      </w:r>
      <w:r w:rsidR="003B387E">
        <w:rPr>
          <w:rFonts w:ascii="Times New Roman" w:eastAsiaTheme="majorEastAsia" w:hAnsi="Times New Roman" w:cs="Times New Roman"/>
          <w:sz w:val="24"/>
          <w:szCs w:val="24"/>
          <w:lang w:eastAsia="lv-LV"/>
        </w:rPr>
        <w:t>al</w:t>
      </w:r>
      <w:r w:rsidR="006F5693" w:rsidRPr="00D01A60">
        <w:rPr>
          <w:rFonts w:ascii="Times New Roman" w:eastAsiaTheme="majorEastAsia" w:hAnsi="Times New Roman" w:cs="Times New Roman"/>
          <w:sz w:val="24"/>
          <w:szCs w:val="24"/>
          <w:lang w:eastAsia="lv-LV"/>
        </w:rPr>
        <w:t>pojumu sniegšanai, t.sk., piemēram, dzīvokļa pabalstam.</w:t>
      </w:r>
    </w:p>
    <w:p w:rsidR="006362BB" w:rsidRPr="00614492" w:rsidRDefault="006362BB" w:rsidP="00064C1E">
      <w:pPr>
        <w:rPr>
          <w:rFonts w:eastAsiaTheme="majorEastAsia"/>
        </w:rPr>
      </w:pPr>
    </w:p>
    <w:p w:rsidR="006362BB" w:rsidRDefault="006362BB" w:rsidP="00064C1E">
      <w:pPr>
        <w:rPr>
          <w:color w:val="000000"/>
          <w:shd w:val="clear" w:color="auto" w:fill="FAFAFA"/>
        </w:rPr>
      </w:pPr>
      <w:r w:rsidRPr="00614492">
        <w:rPr>
          <w:rFonts w:eastAsiaTheme="majorEastAsia"/>
        </w:rPr>
        <w:t xml:space="preserve">Patvēruma meklētāji laikā, kamēr tiek izskatīts pieteikums par bēgļa vai alternatīvās statusa piešķiršanu, uzturas </w:t>
      </w:r>
      <w:r>
        <w:rPr>
          <w:rFonts w:eastAsiaTheme="majorEastAsia"/>
        </w:rPr>
        <w:t>PMIC</w:t>
      </w:r>
      <w:r w:rsidRPr="00614492">
        <w:rPr>
          <w:rFonts w:eastAsiaTheme="majorEastAsia"/>
        </w:rPr>
        <w:t xml:space="preserve"> „Mucenieki” vai citā sev pieejamā dzīvesvietā. </w:t>
      </w:r>
      <w:r w:rsidRPr="003B387E">
        <w:rPr>
          <w:rFonts w:eastAsiaTheme="majorEastAsia"/>
        </w:rPr>
        <w:t>„Muceniekos” var izmitināt līdz 450 iemītniekiem. Izmitināšanas centra galvenais uzdevums ir nodrošināt patvēruma meklētājus ar mājokli laikā, kamēr viņu lietas tiek izskatītas un pieņemts lēmums patvēruma lietā, veicināt viņu adaptāciju Latvijas sabiedrībā. Persona uzturas patvēruma meklētāju izmitināšanas centrā līdz brīdim, kad PMLP piešķir bēgļa vai alternatīvo statusu. Lēmuma pieņemšana var ilgt no trīs līdz 12 mēnešiem. Pēc statusa piešķiršanas 15 darba dienu laikā bēglim vai personai ar alternatīvo statusu PMIC ir jāpamet. Tālāko atbalstu</w:t>
      </w:r>
      <w:r w:rsidRPr="00614492">
        <w:rPr>
          <w:color w:val="000000"/>
        </w:rPr>
        <w:t xml:space="preserve"> dzīvesvietas atrašanā patvēruma meklētājiem sniedz sociālie mentori. </w:t>
      </w:r>
      <w:r>
        <w:rPr>
          <w:color w:val="000000"/>
        </w:rPr>
        <w:t xml:space="preserve">Biedrības </w:t>
      </w:r>
      <w:r w:rsidRPr="00614492">
        <w:rPr>
          <w:color w:val="000000"/>
        </w:rPr>
        <w:t>„Patvērums „Drošā māja”” ievadkursa par Latviju ietvaros patvēruma meklētāji tiek iepazīstināti ar Latvijas nekustamo īpašumu tirgus īpatnībām un dažādiem dzīvesvietas atrašanas ceļiem</w:t>
      </w:r>
      <w:r w:rsidRPr="00614492">
        <w:rPr>
          <w:color w:val="000000"/>
          <w:shd w:val="clear" w:color="auto" w:fill="FAFAFA"/>
        </w:rPr>
        <w:t>.</w:t>
      </w:r>
    </w:p>
    <w:p w:rsidR="00FA6539" w:rsidRDefault="00FA6539" w:rsidP="00064C1E"/>
    <w:p w:rsidR="006362BB" w:rsidRDefault="006362BB" w:rsidP="00064C1E">
      <w:r w:rsidRPr="004D0492">
        <w:t xml:space="preserve">Problēmas atrast sev piemērotu mājokli ir </w:t>
      </w:r>
      <w:r w:rsidRPr="00B00B3F">
        <w:rPr>
          <w:b/>
        </w:rPr>
        <w:t>starptautiskās aizsardzības personām, kuras ir gan vizuāli atšķirīgas, gan ar vājām starpniekvalodu (krievu vai angļu valodas) zināšanām</w:t>
      </w:r>
      <w:r w:rsidRPr="004D0492">
        <w:t>, kas būtiski apgrūtina saskarsmi ar mājokļu īpašniekiem. Gan paši mērķa grupas pārstāvji, gan NVO pārstāvji, kas strādā ar</w:t>
      </w:r>
      <w:r>
        <w:t xml:space="preserve"> šo mērķa grupu, balstoties pieredzē, atstāstīja vairākus gadījumus, kad vietējie mājokļu īpašnieki nevēlas izīrēt savu īpašumu, piemēram, bēgļiem no Tuvo Austrumu valstīm, Āfrikas un Āzijas valstīm. </w:t>
      </w:r>
    </w:p>
    <w:p w:rsidR="006362BB" w:rsidRDefault="006362BB" w:rsidP="00064C1E"/>
    <w:p w:rsidR="006362BB" w:rsidRDefault="006362BB" w:rsidP="00064C1E">
      <w:r>
        <w:t xml:space="preserve">Vēl viens būtisks faktors, kas negatīvi ietekmē mājokļu pieejamību šai mērķa grupai, ir starptautiskās aizsardzības personu zemā maksātspēja, kas, savukārt, ir saistīta ar grūtībām atrast darbu un saņemt regulārus ikmēneša ienākumus un īrēt labiekārtotu mājokli. Arī tad, ja būtu iespēja segt ikmēneša maksājumus, mājokļu īpašnieki vēlas saņemt drošības naudu jeb t.s. depozīta iemaksu, kuru starptautiskās aizsardzības personas nespēj samaksāt. </w:t>
      </w:r>
    </w:p>
    <w:p w:rsidR="006362BB" w:rsidRDefault="006362BB" w:rsidP="00064C1E"/>
    <w:p w:rsidR="006362BB" w:rsidRDefault="006362BB" w:rsidP="00064C1E">
      <w:r>
        <w:t>Ilustrācijai viens no pieredzes stāstiem, ar kuru dalījās kāds vīrietis, kuram pētījuma veikšanas laikā (2017.</w:t>
      </w:r>
      <w:r w:rsidR="00DE1C08">
        <w:t xml:space="preserve"> </w:t>
      </w:r>
      <w:r>
        <w:t xml:space="preserve">gada nogalē) Latvijā bija bēgļa statuss: </w:t>
      </w:r>
      <w:r w:rsidRPr="00E634CC">
        <w:rPr>
          <w:i/>
        </w:rPr>
        <w:t xml:space="preserve">„Es mēģināju sākt dzīvot viens, taču tas bija ļoti grūti. Mēs mēģinājām kopā ar draugu no Eritrejas atrast dzīvokli, bet tas bija ļoti sarežģīti, jo mums nebija pietiekoši daudz naudas. Mēs no valdības saņēmām 139 </w:t>
      </w:r>
      <w:r w:rsidR="00235F1B">
        <w:rPr>
          <w:i/>
        </w:rPr>
        <w:t xml:space="preserve">EUR </w:t>
      </w:r>
      <w:r w:rsidRPr="00E634CC">
        <w:rPr>
          <w:i/>
        </w:rPr>
        <w:t xml:space="preserve">mēnesī, un tas viss! Mēs neko nevarējām izdarīt ar 139 </w:t>
      </w:r>
      <w:r w:rsidR="00235F1B">
        <w:rPr>
          <w:i/>
        </w:rPr>
        <w:t>EUR,</w:t>
      </w:r>
      <w:r w:rsidRPr="00E634CC">
        <w:rPr>
          <w:i/>
        </w:rPr>
        <w:t xml:space="preserve"> nevarējām atrast dzīvokli.(..) Pats grūtākais bija tas, ka man nebija dzīvesvietas. Man ir mani dokumenti, bet kur es varu doties? Man ir tikai 139 </w:t>
      </w:r>
      <w:r w:rsidR="00235F1B">
        <w:rPr>
          <w:i/>
        </w:rPr>
        <w:t>EUR.</w:t>
      </w:r>
      <w:r w:rsidRPr="00E634CC">
        <w:rPr>
          <w:i/>
        </w:rPr>
        <w:t xml:space="preserve"> Tad es sāku strādāt celtniecībā un varēju atļauties īrēt viens pats dzīvokli. (..) Šobrīd es īrēju dzīvokli, tas ir ļoti lēts, taču dzīvoklī nekā nav. Tā ir viena istaba. Man ir vannasistaba, taču tā nedarbojas. Gan tualete, gan virtuve, viss ir vienā istabā. Tā telpa bija paredzēta noliktavas vajadzībām, bet viņi man atļāva to īrēt un dzīvot. 150 </w:t>
      </w:r>
      <w:r w:rsidR="00235F1B">
        <w:rPr>
          <w:i/>
        </w:rPr>
        <w:t xml:space="preserve">EUR </w:t>
      </w:r>
      <w:r w:rsidRPr="00E634CC">
        <w:rPr>
          <w:i/>
        </w:rPr>
        <w:t>bez komunālajiem maksājumiem. Es neesmu apmierināts, taču es nezinu, ko iesākt. Ja es mācīšos latviešu valodu, lai atrastu labāku darbu, man būs mazāk naudas. Es nezinu, ko iesākt, jo ir ļoti grūti dzīvot šajā dzīvoklī. Tur ir ļoti auksti, iekšā nav apkures. Taču šobrīd man nav citas izvēles.”</w:t>
      </w:r>
    </w:p>
    <w:p w:rsidR="006362BB" w:rsidRDefault="006362BB" w:rsidP="00064C1E"/>
    <w:p w:rsidR="006362BB" w:rsidRDefault="006362BB" w:rsidP="00064C1E">
      <w:r>
        <w:t>Kā jau augstāk norādīts, atbalstu mājokļa atrašanā bēgļa un alternatīvo statusu ieguvušām personām sniedz sociālie mentori no biedrības „Patvērums „Drošā māja””. Intervijās mērķa gr</w:t>
      </w:r>
      <w:r w:rsidR="003B387E">
        <w:t>u</w:t>
      </w:r>
      <w:r>
        <w:t xml:space="preserve">pas pārstāvji </w:t>
      </w:r>
      <w:r>
        <w:lastRenderedPageBreak/>
        <w:t>pozitīvi vērtēja saņemto palīdzību šajā jomā. Ir arī gadījumi, kad palīdzību mājokļa jautājumu risināšanā sniedz jauniegūti vietējie paziņas. Jebkurā gadījumā bēgļa un alternatīvo statusu ieguvušas personas, ņemot vērā valodas zināšanu trūkumu, maksātspējas līmeni un vietējās sabiedrības joprojām ksenofobisko attieksmi pret vizuāli atšķirīgiem cilvēkiem un dažkārt arī politisko nostāju imigrācijas jautājumos, mājokļa meklējumos šobrīd nevar iztikt bez vietējo starpnieku palīdzības.</w:t>
      </w:r>
    </w:p>
    <w:p w:rsidR="006362BB" w:rsidRDefault="006362BB" w:rsidP="00064C1E"/>
    <w:p w:rsidR="006362BB" w:rsidRDefault="006362BB" w:rsidP="00064C1E">
      <w:r>
        <w:t>Bēgļa</w:t>
      </w:r>
      <w:r w:rsidR="004E5D1A">
        <w:t xml:space="preserve"> un alternatīvo statusu ieguvušā</w:t>
      </w:r>
      <w:r>
        <w:t>s personas 2017.</w:t>
      </w:r>
      <w:r w:rsidR="00D54545">
        <w:t xml:space="preserve"> </w:t>
      </w:r>
      <w:r>
        <w:t xml:space="preserve">gada pētījumā uzsvēra, ka būtu vēlams lielāks atbalsts mājokļa jomā, kas varētu izpausties tā, ka pirmajā laikā pēc statusa iegūšanas (piemēram, pirmos sešus mēnešus), kamēr tiek apgūta valoda un atrasts darbs (nodrošināti kaut minimāli ienākumi), viņiem varētu ierādīt mājvietu bez maksas vai par samazinātu maksu. Viena no alternatīvo statusu ieguvušām personām intervijā skaidroja: </w:t>
      </w:r>
      <w:r w:rsidRPr="00E634CC">
        <w:rPr>
          <w:i/>
        </w:rPr>
        <w:t xml:space="preserve">„(..) ir ļoti grūti atrast mājokli, tas prasa mēnešus. Pat ja es atradīšu darbu un man būs 300 vai 400 </w:t>
      </w:r>
      <w:r w:rsidR="00235F1B">
        <w:rPr>
          <w:i/>
        </w:rPr>
        <w:t>EUR,</w:t>
      </w:r>
      <w:r w:rsidRPr="00E634CC">
        <w:rPr>
          <w:i/>
        </w:rPr>
        <w:t xml:space="preserve"> man par īri būs jāmaksā vismaz 200</w:t>
      </w:r>
      <w:r w:rsidR="00235F1B">
        <w:rPr>
          <w:i/>
        </w:rPr>
        <w:t>EUR.</w:t>
      </w:r>
      <w:r w:rsidRPr="00E634CC">
        <w:rPr>
          <w:i/>
        </w:rPr>
        <w:t xml:space="preserve"> Ir ļoti grūti uzsākt patstāvīgu dzīvi”</w:t>
      </w:r>
      <w:r>
        <w:t xml:space="preserve">. </w:t>
      </w:r>
    </w:p>
    <w:p w:rsidR="006362BB" w:rsidRDefault="006362BB" w:rsidP="00064C1E"/>
    <w:p w:rsidR="006362BB" w:rsidRPr="00E634CC" w:rsidRDefault="006362BB" w:rsidP="00824DEA">
      <w:r>
        <w:t xml:space="preserve">Bēgļu un personu ar alternatīvo statusu situāciju mājokļa jomā izvērsti raksturo 08.08.2017. </w:t>
      </w:r>
      <w:r w:rsidRPr="008D7723">
        <w:rPr>
          <w:lang w:eastAsia="zh-CN"/>
        </w:rPr>
        <w:t>Informatīv</w:t>
      </w:r>
      <w:r>
        <w:rPr>
          <w:lang w:eastAsia="zh-CN"/>
        </w:rPr>
        <w:t>ajā</w:t>
      </w:r>
      <w:r w:rsidRPr="008D7723">
        <w:rPr>
          <w:lang w:eastAsia="zh-CN"/>
        </w:rPr>
        <w:t xml:space="preserve"> ziņojum</w:t>
      </w:r>
      <w:r>
        <w:rPr>
          <w:lang w:eastAsia="zh-CN"/>
        </w:rPr>
        <w:t>ā</w:t>
      </w:r>
      <w:r w:rsidRPr="008D7723">
        <w:rPr>
          <w:lang w:eastAsia="zh-CN"/>
        </w:rPr>
        <w:t xml:space="preserve"> par </w:t>
      </w:r>
      <w:r w:rsidRPr="008D7723">
        <w:t>iespējamiem mājokļa pieejamības risinājumiem bēgļiem un personām, kuras ir ieguvušas alternatīvo statusu</w:t>
      </w:r>
      <w:r>
        <w:t xml:space="preserve">, un 27.02.2018. </w:t>
      </w:r>
      <w:r>
        <w:rPr>
          <w:rStyle w:val="spelle"/>
        </w:rPr>
        <w:t>i</w:t>
      </w:r>
      <w:r w:rsidRPr="00F67734">
        <w:rPr>
          <w:rStyle w:val="spelle"/>
        </w:rPr>
        <w:t>nformatīv</w:t>
      </w:r>
      <w:r>
        <w:rPr>
          <w:rStyle w:val="spelle"/>
        </w:rPr>
        <w:t>ajā</w:t>
      </w:r>
      <w:r w:rsidRPr="00F67734">
        <w:rPr>
          <w:rStyle w:val="spelle"/>
        </w:rPr>
        <w:t xml:space="preserve"> ziņojum</w:t>
      </w:r>
      <w:r>
        <w:rPr>
          <w:rStyle w:val="spelle"/>
        </w:rPr>
        <w:t>a</w:t>
      </w:r>
      <w:r w:rsidRPr="00F67734">
        <w:rPr>
          <w:rStyle w:val="spelle"/>
        </w:rPr>
        <w:t xml:space="preserve"> “Par </w:t>
      </w:r>
      <w:r w:rsidRPr="00F67734">
        <w:rPr>
          <w:shd w:val="clear" w:color="auto" w:fill="FFFFFF"/>
        </w:rPr>
        <w:t>pilotprojekta mājokļa nodrošināšanai ģimenēm, kurām piešķirts bēgļa vai alternatīvais statuss, turpināšanu”</w:t>
      </w:r>
      <w:r>
        <w:rPr>
          <w:shd w:val="clear" w:color="auto" w:fill="FFFFFF"/>
        </w:rPr>
        <w:t xml:space="preserve"> sniegtā informācija. Šajos dokumentos i</w:t>
      </w:r>
      <w:r>
        <w:t xml:space="preserve">dentificētas </w:t>
      </w:r>
      <w:r w:rsidRPr="00B00B3F">
        <w:rPr>
          <w:b/>
        </w:rPr>
        <w:t>problēmas, ar kurām mājokļa pieejamības jomā saskaras bēgļi un personas ar alternatīvo statusu</w:t>
      </w:r>
      <w:r>
        <w:t xml:space="preserve">: </w:t>
      </w:r>
    </w:p>
    <w:p w:rsidR="006362BB" w:rsidRDefault="006362BB" w:rsidP="003F469F">
      <w:pPr>
        <w:pStyle w:val="ListParagraph"/>
        <w:numPr>
          <w:ilvl w:val="0"/>
          <w:numId w:val="172"/>
        </w:numPr>
        <w:spacing w:line="276" w:lineRule="auto"/>
        <w:jc w:val="both"/>
      </w:pPr>
      <w:r>
        <w:rPr>
          <w:lang w:eastAsia="zh-CN"/>
        </w:rPr>
        <w:t>bēgļiem un personām, kas ieguvušas alternatīvo statusu, ir ierobežota piekļuve mājoklim gan ienākumu dēļ, gan sabiedrībā valdošo stereotipu dēļ;</w:t>
      </w:r>
    </w:p>
    <w:p w:rsidR="006362BB" w:rsidRDefault="006362BB" w:rsidP="003F469F">
      <w:pPr>
        <w:pStyle w:val="ListParagraph"/>
        <w:numPr>
          <w:ilvl w:val="0"/>
          <w:numId w:val="172"/>
        </w:numPr>
        <w:spacing w:line="276" w:lineRule="auto"/>
        <w:jc w:val="both"/>
      </w:pPr>
      <w:r>
        <w:t>bēglis vai persona, kura ir ieguvusi alternatīvo statusu nevar iegūt tiesības saņemt sociālo palīdzību vai palīdzību dzīvokļa jautājumu risināšanā dzīves vietas deklarācijas problēmu dēļ (atbilstoši Dzīvesvietas deklarēšanas likuma</w:t>
      </w:r>
      <w:r>
        <w:rPr>
          <w:rStyle w:val="FootnoteReference"/>
          <w:rFonts w:eastAsiaTheme="majorEastAsia"/>
        </w:rPr>
        <w:footnoteReference w:id="363"/>
      </w:r>
      <w:r>
        <w:t xml:space="preserve"> 3. panta pirmajā un otrajā daļā noteiktajam);</w:t>
      </w:r>
    </w:p>
    <w:p w:rsidR="006362BB" w:rsidRDefault="006362BB" w:rsidP="003F469F">
      <w:pPr>
        <w:pStyle w:val="ListParagraph"/>
        <w:numPr>
          <w:ilvl w:val="0"/>
          <w:numId w:val="172"/>
        </w:numPr>
        <w:spacing w:line="276" w:lineRule="auto"/>
        <w:jc w:val="both"/>
      </w:pPr>
      <w:r>
        <w:t>nav iespējams ieviest aizdevumu, kas atmaksājams no personai izmaksājamā pabalsta, pirmajai īres iemaksai/ garantijai, ņemot vērā paredzamos mērķa grupas ienākumu ierobežojumus, vidējos mājokļa izdevumu apmērus pašvaldībās un kreditēšanas nosacījumus un labo praksi;</w:t>
      </w:r>
    </w:p>
    <w:p w:rsidR="006362BB" w:rsidRDefault="006362BB" w:rsidP="003F469F">
      <w:pPr>
        <w:pStyle w:val="ListParagraph"/>
        <w:numPr>
          <w:ilvl w:val="0"/>
          <w:numId w:val="172"/>
        </w:numPr>
        <w:spacing w:line="276" w:lineRule="auto"/>
        <w:jc w:val="both"/>
      </w:pPr>
      <w:r>
        <w:rPr>
          <w:lang w:eastAsia="zh-CN"/>
        </w:rPr>
        <w:t>vienreizējas finansiālas palīdzības sniegšana mājokļa nodrošināšanai liedz mājokļa jautājumu atrisināt kopumā, jo pastāv risks, ka personas nespēs turpmāk pastāvīgi nodrošināt mājokļa īri;</w:t>
      </w:r>
    </w:p>
    <w:p w:rsidR="006362BB" w:rsidRDefault="006362BB" w:rsidP="003F469F">
      <w:pPr>
        <w:pStyle w:val="ListParagraph"/>
        <w:numPr>
          <w:ilvl w:val="0"/>
          <w:numId w:val="172"/>
        </w:numPr>
        <w:spacing w:line="276" w:lineRule="auto"/>
        <w:jc w:val="both"/>
      </w:pPr>
      <w:r>
        <w:t>mērķa grupas maksātspējas stabilizēšanās periods (latviešu valodas apguve, integrācija darba tirgū) paredzams no 6 līdz 12 mēnešiem, kuru laikā nepieciešams atbalsts mājokļa jomā;</w:t>
      </w:r>
    </w:p>
    <w:p w:rsidR="006362BB" w:rsidRPr="0000714A" w:rsidRDefault="006362BB" w:rsidP="003F469F">
      <w:pPr>
        <w:pStyle w:val="ListParagraph"/>
        <w:numPr>
          <w:ilvl w:val="0"/>
          <w:numId w:val="172"/>
        </w:numPr>
        <w:spacing w:line="276" w:lineRule="auto"/>
        <w:jc w:val="both"/>
      </w:pPr>
      <w:r>
        <w:rPr>
          <w:rFonts w:eastAsia="Calibri"/>
        </w:rPr>
        <w:t>Rīcības plāna ietvaros atbalstam bēgļiem</w:t>
      </w:r>
      <w:r>
        <w:rPr>
          <w:lang w:eastAsia="zh-CN"/>
        </w:rPr>
        <w:t xml:space="preserve"> un personām, kurs ir ieguvušas alternatīvo statusu,</w:t>
      </w:r>
      <w:r>
        <w:rPr>
          <w:rFonts w:eastAsia="Calibri"/>
        </w:rPr>
        <w:t xml:space="preserve"> mājokļu jautājumu risināšanai tika paredzēti 5000 </w:t>
      </w:r>
      <w:r w:rsidR="00235F1B" w:rsidRPr="0087222F">
        <w:rPr>
          <w:rFonts w:eastAsia="Calibri"/>
        </w:rPr>
        <w:t>EUR</w:t>
      </w:r>
      <w:r w:rsidR="00235F1B">
        <w:rPr>
          <w:rFonts w:eastAsia="Calibri"/>
          <w:i/>
        </w:rPr>
        <w:t xml:space="preserve"> </w:t>
      </w:r>
      <w:r>
        <w:rPr>
          <w:rFonts w:eastAsia="Calibri"/>
        </w:rPr>
        <w:t>2016. un 2017. gadā, kā arī turpmākos gadus pieprasot finansējumu mazcenas dzīvesvietu pieejamības datubāzes uzturēšanai;</w:t>
      </w:r>
    </w:p>
    <w:p w:rsidR="006362BB" w:rsidRPr="0000714A" w:rsidRDefault="006362BB" w:rsidP="003F469F">
      <w:pPr>
        <w:pStyle w:val="ListParagraph"/>
        <w:numPr>
          <w:ilvl w:val="0"/>
          <w:numId w:val="172"/>
        </w:numPr>
        <w:spacing w:line="276" w:lineRule="auto"/>
        <w:jc w:val="both"/>
      </w:pPr>
      <w:r>
        <w:rPr>
          <w:rFonts w:eastAsia="Calibri"/>
        </w:rPr>
        <w:t xml:space="preserve">mazcenu īres dzīvesvietas datubāzes izveide minimāli var veicināt mājokļa pieejamību bēglim un personai, kurai piešķirts alternatīvais statuss, jo dzīvojamo telpu īpašnieki nav </w:t>
      </w:r>
      <w:r>
        <w:rPr>
          <w:rFonts w:eastAsia="Calibri"/>
        </w:rPr>
        <w:lastRenderedPageBreak/>
        <w:t>ieinteresēti publicēt un aktualizēt informāciju par mazcenu īres dzīvesvietu pieejamību, kā arī ir pieejamas vairākas sociālās vietnes, kur sociālajiem mentoriem ir iespējams iegūt pilnīgu informāciju par īrei piedāvātām dzīvojamām telpām;</w:t>
      </w:r>
    </w:p>
    <w:p w:rsidR="006362BB" w:rsidRPr="00E2794D" w:rsidRDefault="006362BB" w:rsidP="003F469F">
      <w:pPr>
        <w:pStyle w:val="ListParagraph"/>
        <w:numPr>
          <w:ilvl w:val="0"/>
          <w:numId w:val="172"/>
        </w:numPr>
        <w:spacing w:line="276" w:lineRule="auto"/>
        <w:jc w:val="both"/>
      </w:pPr>
      <w:r>
        <w:rPr>
          <w:rFonts w:eastAsia="Calibri"/>
        </w:rPr>
        <w:t xml:space="preserve">ilglaicīga finansējuma trūkuma dēļ ekonomiski aktīvajos reģionos trūkst dzīvojamā fonda, kuru </w:t>
      </w:r>
      <w:r w:rsidR="004E5D1A">
        <w:rPr>
          <w:rFonts w:eastAsia="Calibri"/>
        </w:rPr>
        <w:t>būtu iespējams izīrēt, tādējādi</w:t>
      </w:r>
      <w:r>
        <w:rPr>
          <w:rFonts w:eastAsia="Calibri"/>
        </w:rPr>
        <w:t xml:space="preserve"> nodrošinot likumā „Par palīdzību dzīvokļa jautājumu risināšanā” izvirzītos mērķus;</w:t>
      </w:r>
    </w:p>
    <w:p w:rsidR="006362BB" w:rsidRDefault="006362BB" w:rsidP="003F469F">
      <w:pPr>
        <w:pStyle w:val="ListParagraph"/>
        <w:numPr>
          <w:ilvl w:val="0"/>
          <w:numId w:val="172"/>
        </w:numPr>
        <w:spacing w:line="276" w:lineRule="auto"/>
        <w:jc w:val="both"/>
      </w:pPr>
      <w:r>
        <w:rPr>
          <w:rFonts w:eastAsia="Calibri"/>
        </w:rPr>
        <w:t>personām, kuras tiek reģistrētas pašvaldības dzīvokļa jautājumu risināšanā sniedzamās palīdzības reģistrā, nereti līdz pašvaldības dzīvokļa piešķiršanai ir jāgaida vairāki gadi</w:t>
      </w:r>
      <w:r w:rsidR="0087222F">
        <w:rPr>
          <w:rFonts w:eastAsia="Calibri"/>
        </w:rPr>
        <w:t>.</w:t>
      </w:r>
    </w:p>
    <w:p w:rsidR="006362BB" w:rsidRDefault="006362BB" w:rsidP="00824DEA"/>
    <w:p w:rsidR="006362BB" w:rsidRPr="00F12990" w:rsidRDefault="006362BB" w:rsidP="00444B5C">
      <w:pPr>
        <w:keepNext/>
      </w:pPr>
      <w:r w:rsidRPr="00F12990">
        <w:t>Piedāvātie problēmu risinājumi:</w:t>
      </w:r>
    </w:p>
    <w:p w:rsidR="006362BB" w:rsidRDefault="006362BB" w:rsidP="003F469F">
      <w:pPr>
        <w:pStyle w:val="ListParagraph"/>
        <w:numPr>
          <w:ilvl w:val="0"/>
          <w:numId w:val="118"/>
        </w:numPr>
        <w:spacing w:line="276" w:lineRule="auto"/>
        <w:ind w:left="709" w:hanging="283"/>
        <w:jc w:val="both"/>
      </w:pPr>
      <w:r>
        <w:rPr>
          <w:lang w:eastAsia="zh-CN"/>
        </w:rPr>
        <w:t>nepieciešams veidot pastāvīgu valsts budžeta finansējuma programmu, no kuras sistemātiski tiktu kompensēti pašvaldībā radušies izdevumi par nodrošināšanu ar īres mājokļiem;</w:t>
      </w:r>
    </w:p>
    <w:p w:rsidR="006362BB" w:rsidRDefault="006362BB" w:rsidP="003F469F">
      <w:pPr>
        <w:pStyle w:val="ListParagraph"/>
        <w:numPr>
          <w:ilvl w:val="0"/>
          <w:numId w:val="118"/>
        </w:numPr>
        <w:spacing w:line="276" w:lineRule="auto"/>
        <w:ind w:left="709" w:hanging="283"/>
        <w:jc w:val="both"/>
      </w:pPr>
      <w:r>
        <w:rPr>
          <w:lang w:eastAsia="zh-CN"/>
        </w:rPr>
        <w:t>izveidot pašvaldību izdevumus kompensējošu mehānismu, jo bēgļu un alternatīvā statusa ieguvušo personu skaits bieži mainās un minētās personas mēdz atstāt Latvijas teritoriju (šī mehānisma izveidei tika piedāvāti četri risinājumi);</w:t>
      </w:r>
    </w:p>
    <w:p w:rsidR="006362BB" w:rsidRDefault="006362BB" w:rsidP="003F469F">
      <w:pPr>
        <w:pStyle w:val="ListParagraph"/>
        <w:numPr>
          <w:ilvl w:val="0"/>
          <w:numId w:val="118"/>
        </w:numPr>
        <w:spacing w:line="276" w:lineRule="auto"/>
        <w:ind w:left="709" w:hanging="283"/>
        <w:jc w:val="both"/>
      </w:pPr>
      <w:r>
        <w:rPr>
          <w:lang w:eastAsia="zh-CN"/>
        </w:rPr>
        <w:t xml:space="preserve">sadalīt noteikto </w:t>
      </w:r>
      <w:r w:rsidRPr="00F12990">
        <w:rPr>
          <w:bCs/>
          <w:lang w:eastAsia="zh-CN"/>
        </w:rPr>
        <w:t xml:space="preserve">bēgļa vai alternatīvo statusu ieguvušas personas pabalstu divu veidu finansiālas palīdzības formās, proti, </w:t>
      </w:r>
      <w:r w:rsidRPr="00F12990">
        <w:rPr>
          <w:iCs/>
          <w:lang w:eastAsia="zh-CN"/>
        </w:rPr>
        <w:t xml:space="preserve">vienreizējā finansiālā atbalstā un </w:t>
      </w:r>
      <w:r>
        <w:rPr>
          <w:lang w:eastAsia="zh-CN"/>
        </w:rPr>
        <w:t>pabalstā uzturēšanās izmaksu segšanai;</w:t>
      </w:r>
    </w:p>
    <w:p w:rsidR="006362BB" w:rsidRDefault="006362BB" w:rsidP="003F469F">
      <w:pPr>
        <w:pStyle w:val="ListParagraph"/>
        <w:numPr>
          <w:ilvl w:val="0"/>
          <w:numId w:val="118"/>
        </w:numPr>
        <w:spacing w:line="276" w:lineRule="auto"/>
        <w:ind w:left="709" w:hanging="283"/>
        <w:jc w:val="both"/>
      </w:pPr>
      <w:r>
        <w:t>l</w:t>
      </w:r>
      <w:r>
        <w:rPr>
          <w:lang w:eastAsia="zh-CN"/>
        </w:rPr>
        <w:t>ai izvērtētu vai finansiālās palīdzības sniegšana personai īres mājokļa nodrošināšanai noteiktam laika periodam sasniedz mērķi, proti</w:t>
      </w:r>
      <w:r w:rsidR="004E5D1A">
        <w:rPr>
          <w:lang w:eastAsia="zh-CN"/>
        </w:rPr>
        <w:t>,</w:t>
      </w:r>
      <w:r>
        <w:rPr>
          <w:lang w:eastAsia="zh-CN"/>
        </w:rPr>
        <w:t xml:space="preserve"> personas ir integrējušās sabiedrībā un ir spējīgas pastāvīgi sevi uzturēt, tika atbalstīts priekšlikums īstenot pilotprojektu.</w:t>
      </w:r>
    </w:p>
    <w:p w:rsidR="006362BB" w:rsidRDefault="006362BB" w:rsidP="00824DEA"/>
    <w:p w:rsidR="006362BB" w:rsidRDefault="006362BB" w:rsidP="00824DEA">
      <w:pPr>
        <w:rPr>
          <w:shd w:val="clear" w:color="auto" w:fill="FFFFFF"/>
        </w:rPr>
      </w:pPr>
      <w:r>
        <w:t xml:space="preserve">Pilotprojektā tika paredzēts, ka vismaz sešus mēnešus tiktu nodrošināts mājoklis vismaz divām ģimenēm (atbalsts sniegts trīs ģimenēm), kurām piešķirts bēgļu vai alternatīvais statuss (papildus palīdzības sniegšana ārpus sociālās palīdzības un atbalsta sistēmas), finansējumu pārdalot no EM rīcībā esošajiem finanšu līdzekļiem. 27.02.2018. </w:t>
      </w:r>
      <w:r w:rsidRPr="00F67734">
        <w:rPr>
          <w:rStyle w:val="spelle"/>
        </w:rPr>
        <w:t>Informatīva</w:t>
      </w:r>
      <w:r>
        <w:rPr>
          <w:rStyle w:val="spelle"/>
        </w:rPr>
        <w:t>jā</w:t>
      </w:r>
      <w:r w:rsidRPr="00F67734">
        <w:rPr>
          <w:rStyle w:val="spelle"/>
        </w:rPr>
        <w:t xml:space="preserve"> ziņojum</w:t>
      </w:r>
      <w:r>
        <w:rPr>
          <w:rStyle w:val="spelle"/>
        </w:rPr>
        <w:t>ā</w:t>
      </w:r>
      <w:r w:rsidRPr="00F67734">
        <w:rPr>
          <w:rStyle w:val="spelle"/>
        </w:rPr>
        <w:t xml:space="preserve"> “Par </w:t>
      </w:r>
      <w:r w:rsidRPr="00F67734">
        <w:rPr>
          <w:shd w:val="clear" w:color="auto" w:fill="FFFFFF"/>
        </w:rPr>
        <w:t>pilotprojekta mājokļa nodrošināšanai ģimenēm, kurām piešķirts bēgļa vai alternatīvais statuss, turpināšanu”</w:t>
      </w:r>
      <w:r>
        <w:rPr>
          <w:shd w:val="clear" w:color="auto" w:fill="FFFFFF"/>
        </w:rPr>
        <w:t xml:space="preserve"> sniegts detalizēts pilotprojekta īstenošanas izklāsts. Neraugoties uz to, ka pilotprojekta </w:t>
      </w:r>
      <w:r>
        <w:t>īstenošana ir “uzrādījusi pozitīvus rezultātus - pastāv iespēja veicināt bēgļu un personu ar alternatīvo statusu sociālekonomisko iekļaušanos sabiedrībā, sniedzot atbalstu mājokļa nodrošināšanā”,</w:t>
      </w:r>
      <w:r>
        <w:rPr>
          <w:shd w:val="clear" w:color="auto" w:fill="FFFFFF"/>
        </w:rPr>
        <w:t xml:space="preserve"> tika secināts, ka </w:t>
      </w:r>
      <w:r w:rsidRPr="00B00B3F">
        <w:rPr>
          <w:b/>
          <w:shd w:val="clear" w:color="auto" w:fill="FFFFFF"/>
        </w:rPr>
        <w:t>seši mēneši ir nepietiekams laiks mērķa grupas integrācijai sabiedrībā un darba tirgū tādā līmenī, lai spētu patstāvīgi nodrošināt sev mājokli</w:t>
      </w:r>
      <w:r>
        <w:rPr>
          <w:shd w:val="clear" w:color="auto" w:fill="FFFFFF"/>
        </w:rPr>
        <w:t>. Ņemot vērā pilotprojekta rezultātus un identificētās problēmas, tika atbalstīts priekšlikums to turpināt līdz 2018.</w:t>
      </w:r>
      <w:r w:rsidR="00D54545">
        <w:rPr>
          <w:shd w:val="clear" w:color="auto" w:fill="FFFFFF"/>
        </w:rPr>
        <w:t xml:space="preserve"> </w:t>
      </w:r>
      <w:r>
        <w:rPr>
          <w:shd w:val="clear" w:color="auto" w:fill="FFFFFF"/>
        </w:rPr>
        <w:t>gada 31.</w:t>
      </w:r>
      <w:r w:rsidR="00D54545">
        <w:rPr>
          <w:shd w:val="clear" w:color="auto" w:fill="FFFFFF"/>
        </w:rPr>
        <w:t xml:space="preserve"> </w:t>
      </w:r>
      <w:r>
        <w:rPr>
          <w:shd w:val="clear" w:color="auto" w:fill="FFFFFF"/>
        </w:rPr>
        <w:t xml:space="preserve">decembrim. </w:t>
      </w:r>
    </w:p>
    <w:p w:rsidR="006362BB" w:rsidRDefault="006362BB" w:rsidP="003945E0">
      <w:pPr>
        <w:pStyle w:val="Heading3"/>
      </w:pPr>
      <w:bookmarkStart w:id="740" w:name="_Toc6841668"/>
      <w:r>
        <w:t>Bezdarbnieki un bezpajumtnieki (personas bez dzīves vietas)</w:t>
      </w:r>
      <w:bookmarkEnd w:id="740"/>
      <w:r>
        <w:t xml:space="preserve"> </w:t>
      </w:r>
    </w:p>
    <w:p w:rsidR="006362BB" w:rsidRDefault="006362BB" w:rsidP="00064C1E">
      <w:pPr>
        <w:rPr>
          <w:color w:val="000000"/>
        </w:rPr>
      </w:pPr>
      <w:r w:rsidRPr="006A431A">
        <w:rPr>
          <w:color w:val="000000"/>
        </w:rPr>
        <w:t xml:space="preserve">Attiecībā uz </w:t>
      </w:r>
      <w:r w:rsidRPr="007F7152">
        <w:rPr>
          <w:color w:val="000000"/>
        </w:rPr>
        <w:t>bezdarbniekiem</w:t>
      </w:r>
      <w:r w:rsidRPr="006A431A">
        <w:rPr>
          <w:color w:val="000000"/>
        </w:rPr>
        <w:t xml:space="preserve">, t.sk. ilgstošajiem bezdarbniekiem, kā atbalstāmu mērķa grupu, </w:t>
      </w:r>
      <w:r>
        <w:rPr>
          <w:color w:val="000000"/>
        </w:rPr>
        <w:t xml:space="preserve">Izvērtējumā intervēto </w:t>
      </w:r>
      <w:r w:rsidRPr="006A431A">
        <w:rPr>
          <w:color w:val="000000"/>
        </w:rPr>
        <w:t>eksp</w:t>
      </w:r>
      <w:r w:rsidR="004E5D1A">
        <w:rPr>
          <w:color w:val="000000"/>
        </w:rPr>
        <w:t>ertu vidū dominē viedoklis, ka t</w:t>
      </w:r>
      <w:r w:rsidRPr="006A431A">
        <w:rPr>
          <w:color w:val="000000"/>
        </w:rPr>
        <w:t xml:space="preserve">ie ir </w:t>
      </w:r>
      <w:r w:rsidRPr="00B00B3F">
        <w:rPr>
          <w:b/>
          <w:color w:val="000000"/>
        </w:rPr>
        <w:t>darbspējīgi iedzīvotāji, kuriem ir pašiem jārisina mājokļa jautājums</w:t>
      </w:r>
      <w:r w:rsidRPr="006A431A">
        <w:rPr>
          <w:color w:val="000000"/>
        </w:rPr>
        <w:t>. Izņēmumi ir gadījumi, ja šīs personas atbilst vai laika gaitā iegūst citas mērķa grup</w:t>
      </w:r>
      <w:r w:rsidR="004E5D1A">
        <w:rPr>
          <w:color w:val="000000"/>
        </w:rPr>
        <w:t>as statusu, piemēram, ir trūcīgas vai maznodrošināta</w:t>
      </w:r>
      <w:r w:rsidRPr="006A431A">
        <w:rPr>
          <w:color w:val="000000"/>
        </w:rPr>
        <w:t>s personas</w:t>
      </w:r>
      <w:r w:rsidR="004E5D1A">
        <w:rPr>
          <w:color w:val="000000"/>
        </w:rPr>
        <w:t>,</w:t>
      </w:r>
      <w:r w:rsidR="00C548CE">
        <w:rPr>
          <w:color w:val="000000"/>
        </w:rPr>
        <w:t xml:space="preserve"> </w:t>
      </w:r>
      <w:r w:rsidRPr="006A431A">
        <w:rPr>
          <w:color w:val="000000"/>
        </w:rPr>
        <w:t>personas ar invaliditāti bez darba, personas, kuras ir tikušas iztiesātas no dzīvokļa parādu dēļ, t.sk. personas ar nepilngadīgiem bērniem vai pensijas vecuma cilvēki. Šajos gadījumos stājas spēkā jau attiecīgajai iedzīvotāju grupai (mērķa grupai) piemērojamie nosacī</w:t>
      </w:r>
      <w:r>
        <w:rPr>
          <w:color w:val="000000"/>
        </w:rPr>
        <w:t xml:space="preserve">jumi par atbalstu mājokļa jomā. Tas pats attiecas uz tipiskajām problēmām mājokļa jomā, proti, bezdarbniekiem ir raksturīgas tās problēmas, </w:t>
      </w:r>
      <w:r>
        <w:rPr>
          <w:color w:val="000000"/>
        </w:rPr>
        <w:lastRenderedPageBreak/>
        <w:t xml:space="preserve">kas mērķa grupām, kurām tie ir piekritīgi pēc citām pazīmēm – veselības stāvokļa, ienākumu līmeņa, vecuma. </w:t>
      </w:r>
    </w:p>
    <w:p w:rsidR="006362BB" w:rsidRDefault="006362BB" w:rsidP="00064C1E">
      <w:pPr>
        <w:rPr>
          <w:color w:val="000000"/>
        </w:rPr>
      </w:pPr>
    </w:p>
    <w:p w:rsidR="006362BB" w:rsidRDefault="006362BB" w:rsidP="00064C1E">
      <w:pPr>
        <w:rPr>
          <w:color w:val="000000"/>
        </w:rPr>
      </w:pPr>
      <w:r w:rsidRPr="007F7152">
        <w:rPr>
          <w:color w:val="000000"/>
        </w:rPr>
        <w:t>Bezpajumtnieki</w:t>
      </w:r>
      <w:r>
        <w:rPr>
          <w:b/>
          <w:color w:val="000000"/>
        </w:rPr>
        <w:t xml:space="preserve"> </w:t>
      </w:r>
      <w:r>
        <w:rPr>
          <w:color w:val="000000"/>
        </w:rPr>
        <w:t xml:space="preserve">jeb personas bez dzīves vietas ir specifiska mērķa grupa mājokļa jomā tādā nozīmē, ka visbiežāk tie ir cilvēki, kuriem nav darba, nav iztikas līdzekļu un mājokļa. </w:t>
      </w:r>
      <w:r w:rsidR="00150E1E">
        <w:rPr>
          <w:color w:val="000000"/>
        </w:rPr>
        <w:t xml:space="preserve">Raksturojot šīs mērķa grupas profilu, intervētā eksperte norādīja, ka pamatā tās ir personas darbspējīgā vecumā no 35 līdz 40 gadiem un pirmspensijas vecumā. Pensijas vecuma cilvēku un jauniešu vecumā līdz 25 gadiem ir salīdzinoši ļoti maz. </w:t>
      </w:r>
      <w:r>
        <w:rPr>
          <w:color w:val="000000"/>
        </w:rPr>
        <w:t xml:space="preserve">Pēc būtības šajā mērķa grupā ietilpstošas personas var būt piekritīgas citām mērķa grupām – trūcīgām un maznodrošinātām personām, personām ar invaliditāti, pensijas vecuma cilvēkiem. </w:t>
      </w:r>
      <w:r w:rsidRPr="001904A4">
        <w:rPr>
          <w:color w:val="000000"/>
        </w:rPr>
        <w:t>Sociālās palīdzības likuma 9.pant</w:t>
      </w:r>
      <w:r>
        <w:rPr>
          <w:color w:val="000000"/>
        </w:rPr>
        <w:t>a trešajā daļā</w:t>
      </w:r>
      <w:r>
        <w:rPr>
          <w:rStyle w:val="FootnoteReference"/>
          <w:color w:val="000000"/>
        </w:rPr>
        <w:footnoteReference w:id="364"/>
      </w:r>
      <w:r w:rsidRPr="001904A4">
        <w:rPr>
          <w:color w:val="000000"/>
        </w:rPr>
        <w:t xml:space="preserve"> noteikts, ka, ja nepieciešams, personu, kura ir bez mājokļa, ar naktspatversmi vai patversmi, informāciju un konsultācijām, kā arī ar vienreizēju materiālu palīdzību nodrošina pašvaldība, kuras teritorijā šī persona atrodas.</w:t>
      </w:r>
      <w:r>
        <w:rPr>
          <w:color w:val="000000"/>
        </w:rPr>
        <w:t xml:space="preserve"> Savukārt s</w:t>
      </w:r>
      <w:r w:rsidRPr="00B83EED">
        <w:rPr>
          <w:color w:val="000000"/>
        </w:rPr>
        <w:t>askaņā ar likuma „Par pašvaldībām” 15.panta pirmās daļas 7.punktu un Sociālo pakalpojumu un sociālās palīdzības likuma 9.panta pirmo un trešo daļu, lai novērstu gadījumus, kad bezpajumtnieku veselība un dzīvība tiek apdraudēta, ir jānosaka konkrēti pasākumi</w:t>
      </w:r>
      <w:r>
        <w:rPr>
          <w:color w:val="000000"/>
        </w:rPr>
        <w:t xml:space="preserve">. </w:t>
      </w:r>
    </w:p>
    <w:p w:rsidR="006362BB" w:rsidRDefault="006362BB" w:rsidP="00064C1E">
      <w:pPr>
        <w:rPr>
          <w:color w:val="000000"/>
        </w:rPr>
      </w:pPr>
    </w:p>
    <w:p w:rsidR="006362BB" w:rsidRDefault="006362BB" w:rsidP="00064C1E">
      <w:r>
        <w:t xml:space="preserve">Kārtību, kādā personām bez dzīves vietas tiek nodrošināta </w:t>
      </w:r>
      <w:r w:rsidRPr="002E0962">
        <w:rPr>
          <w:b/>
        </w:rPr>
        <w:t>iespēja uzturēties patversmē</w:t>
      </w:r>
      <w:r>
        <w:t>, nosaka pašvaldības saistošajos noteikumos. Turpinājumā k</w:t>
      </w:r>
      <w:r w:rsidRPr="00406F65">
        <w:t>ā piemērs ir aplūkots Rīgas pašvaldības gadījums</w:t>
      </w:r>
      <w:r>
        <w:t>. Rīgas domes (RD) 04.09.2012. saistošajos noteikumu Nr.184 „Rīgas pilsētas pašvaldības sniegto sociālo pakalpojumu saņemšanas un samaksas kārtība”</w:t>
      </w:r>
      <w:r>
        <w:rPr>
          <w:rStyle w:val="FootnoteReference"/>
        </w:rPr>
        <w:footnoteReference w:id="365"/>
      </w:r>
      <w:r>
        <w:t xml:space="preserve"> II. daļas „Sociālo pakalpojumu veidi” 6.3. punktā minēti šādi </w:t>
      </w:r>
      <w:r w:rsidRPr="00406F65">
        <w:t>sociālās rehabilitācijas pakalpojumi institūcijā: krīzes centra pakalpojums</w:t>
      </w:r>
      <w:r>
        <w:t>,</w:t>
      </w:r>
      <w:r w:rsidRPr="00406F65">
        <w:t xml:space="preserve"> sociālās rehabilitācijas centra pakalpojums</w:t>
      </w:r>
      <w:r>
        <w:t>,</w:t>
      </w:r>
      <w:r w:rsidRPr="00406F65">
        <w:t xml:space="preserve"> patversmes pakalpojums</w:t>
      </w:r>
      <w:r>
        <w:t>,</w:t>
      </w:r>
      <w:r w:rsidRPr="00406F65">
        <w:t xml:space="preserve"> naktspatversmes pakalpojums</w:t>
      </w:r>
      <w:r>
        <w:t>,</w:t>
      </w:r>
      <w:r w:rsidRPr="00406F65">
        <w:t xml:space="preserve"> īslaicīgās uzturēšanās mītnes pakalpojums. </w:t>
      </w:r>
      <w:r>
        <w:t>Uz b</w:t>
      </w:r>
      <w:r w:rsidRPr="00406F65">
        <w:t>ezpajumtniek</w:t>
      </w:r>
      <w:r>
        <w:t xml:space="preserve">iem </w:t>
      </w:r>
      <w:r w:rsidRPr="00406F65">
        <w:t>(personām, kurām ilgāku laiku nav dzīves vietas atšķirībā no personām, kas krīzes situācijā paliek bez pajumtas, piemēram, vardarbības gadījumos, nelaimes gadījumos u.tml.)</w:t>
      </w:r>
      <w:r>
        <w:t xml:space="preserve"> pamatā attiecināmi patversmes, naktspatversmes un </w:t>
      </w:r>
      <w:r w:rsidRPr="00406F65">
        <w:t xml:space="preserve">īslaicīgās uzturēšanās mītnes </w:t>
      </w:r>
      <w:r>
        <w:t xml:space="preserve">pakalpojumi. </w:t>
      </w:r>
    </w:p>
    <w:p w:rsidR="006362BB" w:rsidRDefault="006362BB" w:rsidP="00064C1E"/>
    <w:p w:rsidR="006362BB" w:rsidRDefault="006362BB" w:rsidP="00064C1E">
      <w:r>
        <w:t xml:space="preserve">Saskaņā ar RD saistošajiem noteikumiem Nr.184 patversme nodrošina īslaicīgas </w:t>
      </w:r>
      <w:r w:rsidRPr="00BA1B78">
        <w:t xml:space="preserve">uzturēšanās iespējas, uzturu, personiskās higiēnas iespējas un sociālā darba speciālista pakalpojumus līdz 6 mēnešiem gadā. Personām, kuras aktīvi iesaistās savu problēmu risināšanā, pildot līdzdarbības pienākumus, patversme pakalpojuma saņemšanas termiņu var pagarināt. Tiesības uzturēties patversmē ir personām bez noteiktas dzīvesvietas vai krīzes situācijā nonākušām personām, kuras saņēmušas ģimenes ārsta izziņu par personas veselības stāvokli, kura dēļ persona nedrīkst atrasties ārpus telpām. Ja persona ir ar apreibinošu vielu lietošanas pazīmēm, tad tās var tikt uzņemtas patversmēs, kuras paredzētas minētās mērķa grupas klientiem. Naktspatversme nodrošina naktsmītni, vakariņas un personiskās higiēnas iespējas līdz </w:t>
      </w:r>
      <w:r>
        <w:t>diviem</w:t>
      </w:r>
      <w:r w:rsidRPr="00BA1B78">
        <w:t xml:space="preserve"> mēnešiem gadā personām bez noteiktas dzīvesvietas vai krīzes situācijā nonākušām personām. Ja persona aktīvi iesaistās savu problēmu risināšanā, šis termiņš var tikt pagarināts līdz </w:t>
      </w:r>
      <w:r>
        <w:t>sešiem</w:t>
      </w:r>
      <w:r w:rsidRPr="00BA1B78">
        <w:t xml:space="preserve"> mēnešiem gadā. Īslaicīgās uzturēšanās mītnes pakalpojums nodrošina īslaicīgu dzīvesvietu un sociālā darba speciālista palīdzību sociālo problēmu risināšanā ar mērķi atrast personai (ģimenei) pastāvīgu dzīvesvietu. Šo pakalpojumu ir tiesīgas saņemt personas un ģimenes, tai skaitā ģimenes ar bērniem bez pastāvīga </w:t>
      </w:r>
      <w:r w:rsidRPr="00BA1B78">
        <w:lastRenderedPageBreak/>
        <w:t xml:space="preserve">mājokļa, kuru pēdējā deklarētā pamata dzīvesvieta ir Rīgas pilsētas pašvaldības administratīvajā teritorijā, kuras sadarbojas ar Sociālo dienestu un/vai citiem sociālo pakalpojumu sniedzējiem, lai uzlabotu savu sociālo situāciju, un kuras saņēmušas Sociālā dienesta nosūtījumu. Pakalpojuma saņēmējiem, kuri aktīvi iesaistās savu problēmu risināšanā, pildot līdzdarbības pienākumus, īslaicīgās uzturēšanās mītnes pakalpojums tiek sniegts līdz </w:t>
      </w:r>
      <w:r>
        <w:t>sešiem</w:t>
      </w:r>
      <w:r w:rsidRPr="00BA1B78">
        <w:t xml:space="preserve"> mēnešiem gadā. Nepieciešamības gadījumā atkārtoti pakalpojumu persona (ģimene) var saņemt ne ātrāk kā pēc </w:t>
      </w:r>
      <w:r>
        <w:t>viena</w:t>
      </w:r>
      <w:r w:rsidRPr="00BA1B78">
        <w:t xml:space="preserve"> gada kopš saņemts pakalpojums.</w:t>
      </w:r>
    </w:p>
    <w:p w:rsidR="004C2E87" w:rsidRDefault="004C2E87" w:rsidP="00064C1E"/>
    <w:p w:rsidR="006362BB" w:rsidRDefault="006362BB" w:rsidP="00064C1E">
      <w:bookmarkStart w:id="741" w:name="n16"/>
      <w:bookmarkStart w:id="742" w:name="n-449495"/>
      <w:bookmarkEnd w:id="741"/>
      <w:bookmarkEnd w:id="742"/>
      <w:r>
        <w:t xml:space="preserve">Atbilstoši </w:t>
      </w:r>
      <w:r w:rsidRPr="00BA1B78">
        <w:t>RD 12.05.2015. lēmumam</w:t>
      </w:r>
      <w:r>
        <w:t xml:space="preserve"> Nr.2554 „</w:t>
      </w:r>
      <w:r w:rsidRPr="00BA1B78">
        <w:t>Par Rīgas domes Labklājības departamenta un tā pakļautībā eso</w:t>
      </w:r>
      <w:r>
        <w:t>šo iestāžu maksas pakalpojumiem”</w:t>
      </w:r>
      <w:r w:rsidRPr="00BA1B78">
        <w:t xml:space="preserve"> ir noteikts līdzdalības maksājumu 0,64 </w:t>
      </w:r>
      <w:r w:rsidR="004E5D1A">
        <w:t>EUR</w:t>
      </w:r>
      <w:r>
        <w:rPr>
          <w:rStyle w:val="FootnoteReference"/>
        </w:rPr>
        <w:footnoteReference w:id="366"/>
      </w:r>
      <w:r w:rsidRPr="00BA1B78">
        <w:t xml:space="preserve"> dienā par Rīgas patversmes pakalpojumiem pilngadīgām personām, kuras iestādē uzturas ilgāk par diviem mēnešiem. No maksas pakalpojumiem iegūtos līdzekļus Rīgas domes Labklājības departaments un tā pakļautībā esošās iestādes var izlietot ar pakalpojumu sniegšanu saistītu izdevumu samaksai.</w:t>
      </w:r>
      <w:r>
        <w:t xml:space="preserve"> No līdzdalības maksājuma ir atbrīvotas personas, kuras atbilst trūcīgās personas statusam. </w:t>
      </w:r>
    </w:p>
    <w:p w:rsidR="006362BB" w:rsidRDefault="006362BB" w:rsidP="00064C1E"/>
    <w:p w:rsidR="006362BB" w:rsidRDefault="006362BB" w:rsidP="00064C1E">
      <w:r w:rsidRPr="00B83EED">
        <w:t>Rīcības plānā „Palīdzības sniegšana bezpajumtniekiem nelabvēlīgos laika apstākļos Rīgā”</w:t>
      </w:r>
      <w:r>
        <w:t xml:space="preserve"> (30.01.2007.)</w:t>
      </w:r>
      <w:r>
        <w:rPr>
          <w:rStyle w:val="FootnoteReference"/>
        </w:rPr>
        <w:footnoteReference w:id="367"/>
      </w:r>
      <w:r>
        <w:t xml:space="preserve"> ir noteikti četri palīdzības sniegšanas līmeņi un katrā no tiem atbilstošie pakalpojumi mērķa grupai. Katrs nākamais līmenis ietver iepriekšējā līmeņa pakalpojumu klāstu. Līmeņi dalās pēc kalendārā laika perioda, patversmes darba laika un citu pakalpojumu pieejamības (piemēram, ēdināšana, informācijas sniegšana, mobilās brigādes pakalpojums, dienas centra pakalpojums u.c.). Augstākais (III) līmenis attiecas uz laiku no </w:t>
      </w:r>
      <w:r w:rsidRPr="009A64CD">
        <w:t>1.</w:t>
      </w:r>
      <w:r w:rsidR="00D54545">
        <w:t xml:space="preserve"> </w:t>
      </w:r>
      <w:r w:rsidRPr="009A64CD">
        <w:t>oktobra līdz 30.</w:t>
      </w:r>
      <w:r w:rsidR="00D54545">
        <w:t xml:space="preserve"> </w:t>
      </w:r>
      <w:r w:rsidRPr="009A64CD">
        <w:t>aprīlim, ja pēc Latvijas Vides, ģeoloģijas un meteoroloģijas centra sniegtās informācijas plkst. 8.00 āra gais</w:t>
      </w:r>
      <w:r w:rsidR="00C548CE">
        <w:t>a temperatūra ir zemāka par -10</w:t>
      </w:r>
      <w:r w:rsidRPr="009A64CD">
        <w:t>ºC vai ja āra gaisa temperatūr</w:t>
      </w:r>
      <w:r w:rsidR="00C548CE">
        <w:t>a ir zemāka par 0</w:t>
      </w:r>
      <w:r w:rsidRPr="009A64CD">
        <w:t>ºC un vēja ātrums ir lielāks par 10 m/s. Šajā līmenī naktspatversmju darba laiks ir visu diennakti, tiek nodrošinātas pusdienas. Ja gaisa</w:t>
      </w:r>
      <w:r w:rsidR="00C548CE">
        <w:t xml:space="preserve"> temperatūra ir zemāka par -15º</w:t>
      </w:r>
      <w:r w:rsidRPr="009A64CD">
        <w:t xml:space="preserve">C un priekšpilsētā/rajonā nav pietiekošs patversmju/naktspatversmju skaits, papildus naktspatversmēm/patversmēm tiek atvērtas pagaidu uzturēšanās vietas. </w:t>
      </w:r>
    </w:p>
    <w:p w:rsidR="006362BB" w:rsidRDefault="006362BB" w:rsidP="00064C1E"/>
    <w:p w:rsidR="006362BB" w:rsidRDefault="006362BB" w:rsidP="00064C1E">
      <w:pPr>
        <w:rPr>
          <w:color w:val="000000"/>
        </w:rPr>
      </w:pPr>
      <w:r>
        <w:rPr>
          <w:color w:val="000000"/>
        </w:rPr>
        <w:t>Raksturojot šīs grupas problēmas mājokļa jomā un to iemeslus,</w:t>
      </w:r>
      <w:r w:rsidR="004E5D1A">
        <w:rPr>
          <w:color w:val="000000"/>
        </w:rPr>
        <w:t xml:space="preserve"> Izvērtējumā intervētā eksperte</w:t>
      </w:r>
      <w:r>
        <w:rPr>
          <w:color w:val="000000"/>
        </w:rPr>
        <w:t xml:space="preserve"> skaidroja, ka, pirmkārt, </w:t>
      </w:r>
      <w:r w:rsidRPr="002E0962">
        <w:rPr>
          <w:b/>
          <w:color w:val="000000"/>
        </w:rPr>
        <w:t>daudzos gadījumos personām bez dzīvesvietas nav piešķirts trūcīgas personas statuss, kas ierobežo tās iespējas saņemt sociālo palīdzību no pašvaldības</w:t>
      </w:r>
      <w:r>
        <w:rPr>
          <w:color w:val="000000"/>
        </w:rPr>
        <w:t xml:space="preserve">. Ja persona nokārto trūcīgas personas statusu, tas ir atspēriena punkts, lai persona sakārtotu savu dzīvi – cilvēkam ir iespēja saņemt garantēto minimālo ienākumu pabalstu un dzīvokļa pabalstu. Iemesls, kāpēc daļa bezpajumtnieku administratīvu iemeslu dēļ nevar nokārtot trūcīgās personas statusu, ir tas, ka uz viņu vārda ir reģistrēti uzņēmumi, kā rezultātā viņi faktiski klasificējas kā uzņēmumu īpašnieki, lai gan pēc būtības tādi nav. Daļā gadījumu šīs mērķa grupas cilvēkiem ir nozaudēti personu apliecinoši dokumenti, kas apgrūtina jebkādu administratīvo procedūru īstenošanu. </w:t>
      </w:r>
    </w:p>
    <w:p w:rsidR="006362BB" w:rsidRDefault="006362BB" w:rsidP="00064C1E">
      <w:pPr>
        <w:rPr>
          <w:color w:val="000000"/>
        </w:rPr>
      </w:pPr>
      <w:r>
        <w:rPr>
          <w:color w:val="000000"/>
        </w:rPr>
        <w:lastRenderedPageBreak/>
        <w:t xml:space="preserve">Otrkārt, personām bez dzīves vietas ir raksturīgas </w:t>
      </w:r>
      <w:r w:rsidRPr="002E0962">
        <w:rPr>
          <w:b/>
          <w:color w:val="000000"/>
        </w:rPr>
        <w:t>zemas sociālās funkcionēšanas prasmes</w:t>
      </w:r>
      <w:r>
        <w:rPr>
          <w:color w:val="000000"/>
        </w:rPr>
        <w:t xml:space="preserve">, lai dzīvotu patstāvīgi, nav atbildības sajūtas, prasmes plānot savus ienākumus un izdevumus. Tāpēc viens no atbalsta veidiem šai mērķa grupai ir šādu prasmju apguve un nostiprināšana laikā, kamēr tās uzturas patversmē. Praksē ir novērotas situācijas, ka personai bez dzīves vietas tiek ierādīta dzīvojamā platība, bet pēc noteikta laika ir izveidojušās parādsaistības, kā rezultātā persona tiek izlikta no mājokļa un nonāk iepriekšējā situācijā. Bez tam šai mērķa grupai ir raksturīgi, ka tā neprot uzturēt kārtību mājoklī, kā rezultātā tas tiek novests līdz ļoti sliktam stāvoklim. </w:t>
      </w:r>
    </w:p>
    <w:p w:rsidR="00DF1C97" w:rsidRDefault="00DF1C97" w:rsidP="00064C1E">
      <w:pPr>
        <w:rPr>
          <w:color w:val="000000"/>
        </w:rPr>
      </w:pPr>
    </w:p>
    <w:p w:rsidR="006362BB" w:rsidRDefault="006362BB" w:rsidP="00064C1E">
      <w:pPr>
        <w:rPr>
          <w:color w:val="000000"/>
        </w:rPr>
      </w:pPr>
      <w:r>
        <w:rPr>
          <w:color w:val="000000"/>
        </w:rPr>
        <w:t xml:space="preserve">Treškārt, personām bez dzīvesvietas ir raksturīgs </w:t>
      </w:r>
      <w:r w:rsidRPr="002E0962">
        <w:rPr>
          <w:b/>
          <w:color w:val="000000"/>
        </w:rPr>
        <w:t>zems motivācijas un līdzdalības līmenis iesaistīties savu sociālo un finansiālo problēmu risināšanā</w:t>
      </w:r>
      <w:r>
        <w:rPr>
          <w:color w:val="000000"/>
        </w:rPr>
        <w:t xml:space="preserve">. Turklāt ir novērots, ka, atrodoties patversmē, cilvēka prasības pret savas dzīves kvalitāti sarūk. Šiem cilvēkiem ir arī ļoti vāja motivācija strādāt, jo neatkarīgi no tā, vai viņi strādās vai nē, viņiem ir iespēja uzturēties līdz siltajam gadalaikam patversmē. Eksperte skaidroja, ka šai mērķa grupai tiek sniegta visa nepieciešamā informācija par to, kādas darbības viņiem būtu jāveic, taču, ja persona nevēlas to darīt, tad nav nekādu piespiedu mehānismu, lai to panāktu. Līdz ar to arī tad, ja pastāv atbalsta saņemšanas iespējas, ne vienmēr mērķa grupas pārstāvji paši vēlas tās izmantot. </w:t>
      </w:r>
    </w:p>
    <w:p w:rsidR="006362BB" w:rsidRDefault="006362BB" w:rsidP="00064C1E">
      <w:pPr>
        <w:rPr>
          <w:color w:val="000000"/>
        </w:rPr>
      </w:pPr>
    </w:p>
    <w:p w:rsidR="006362BB" w:rsidRDefault="006362BB" w:rsidP="00064C1E">
      <w:r>
        <w:rPr>
          <w:color w:val="000000"/>
        </w:rPr>
        <w:t xml:space="preserve">Šajā kontekstā eksperte aktualizēja jautājumu par </w:t>
      </w:r>
      <w:r w:rsidRPr="002E0962">
        <w:rPr>
          <w:b/>
          <w:color w:val="000000"/>
        </w:rPr>
        <w:t>patversmju dalījumu dažādās kategorijās</w:t>
      </w:r>
      <w:r>
        <w:rPr>
          <w:color w:val="000000"/>
        </w:rPr>
        <w:t xml:space="preserve"> kā vienu no pajumtes (mājokļa) jautājuma risināšanas instrumentiem. </w:t>
      </w:r>
      <w:r w:rsidRPr="00874FB3">
        <w:t xml:space="preserve">Jau šobrīd pastāv dažādi patversmju veidi (piemēram, diennakts patversmes nodaļas sievietēm un vīriešiem, nakts patversmes sievietēm un vīriešiem, </w:t>
      </w:r>
      <w:r>
        <w:t>krīzes</w:t>
      </w:r>
      <w:r w:rsidRPr="00874FB3">
        <w:t xml:space="preserve"> centri). Būtu nepieciešama zemākā līmeņa patversme, kurā personai būtu iespējams patverties no aukstuma vai karstuma, būtu pieejams ūdens un citas minimālas labiekārtojuma iespējas, kas nodrošina cilvēka eksistenci. Šāda veida patversmē tiktu izmitināti cilvēki, kuri ignorē augstāka līmeņa patversmju kārtības noteikumus un neizrāda nekādu iniciatīvu vai līdzdalību savu sociālo un finansiālo problēmu risināšanā. Ekspertes skatījumā, iespējams, tas būtu motivāciju veicinošs instruments – sliktāki dzīves apstākļi. Pretējā gadījumā cilvēki pierod pie patversmes dzīves apstākļiem un apmierinās ar šādu dzīves kvalitāti, necenšoties pašiem ietekmēt </w:t>
      </w:r>
      <w:r>
        <w:t xml:space="preserve">un mainīt </w:t>
      </w:r>
      <w:r w:rsidRPr="00874FB3">
        <w:t xml:space="preserve">savu situāciju. </w:t>
      </w:r>
    </w:p>
    <w:p w:rsidR="000A7EB8" w:rsidRDefault="000A7EB8" w:rsidP="00064C1E"/>
    <w:p w:rsidR="00B90B0A" w:rsidRDefault="00B90B0A" w:rsidP="00B90B0A">
      <w:r>
        <w:t xml:space="preserve">Pašvaldībās ir pieejams arī </w:t>
      </w:r>
      <w:r w:rsidRPr="00B00B3F">
        <w:rPr>
          <w:b/>
        </w:rPr>
        <w:t>ģimenes asistenta pakalpojums</w:t>
      </w:r>
      <w:r>
        <w:t>, kas cita starpā ietver arī palīdzību mājokļa jautājuma risināšanā. Tas ir „</w:t>
      </w:r>
      <w:r w:rsidRPr="00350BC3">
        <w:t>sociālais pakalpojums, kura ietvaros personai (ģimenei) atbilstoši personas (ģimenes) vajadzībām saskaņā ar individuāli izstrādātu sociālās rehabilitācijas plānu tiek nodrošināts atbalsts un palīdzība mājokļa, nodarbinātības, izglītības, atkarības, veselības problēmu risināšanā, sociālo un sadzīves prasmju attīstīšanā, kā arī bērnu aprūpē un audzināšanā</w:t>
      </w:r>
      <w:r>
        <w:t>”</w:t>
      </w:r>
      <w:r w:rsidR="000A7EB8" w:rsidRPr="000D2CE5">
        <w:rPr>
          <w:rStyle w:val="ListParagraphChar"/>
          <w:rFonts w:eastAsia="Calibri"/>
          <w:sz w:val="20"/>
          <w:szCs w:val="20"/>
          <w:vertAlign w:val="superscript"/>
        </w:rPr>
        <w:footnoteReference w:id="368"/>
      </w:r>
      <w:r w:rsidR="000A7EB8" w:rsidRPr="000A7EB8">
        <w:t>.</w:t>
      </w:r>
      <w:r w:rsidR="000A7EB8">
        <w:t xml:space="preserve"> </w:t>
      </w:r>
      <w:r>
        <w:t xml:space="preserve">Konkrētās mērķa grupas un pakalpojuma apmēru stundās nosaka katra pašvaldība atsevišķi. Piemēram, Rīgas gadījumā šo pakalpojumu var saņemt šādas mērķa grupas: </w:t>
      </w:r>
    </w:p>
    <w:p w:rsidR="00B90B0A" w:rsidRDefault="00B90B0A" w:rsidP="003F469F">
      <w:pPr>
        <w:pStyle w:val="ListParagraph"/>
        <w:numPr>
          <w:ilvl w:val="0"/>
          <w:numId w:val="139"/>
        </w:numPr>
        <w:spacing w:line="276" w:lineRule="auto"/>
        <w:jc w:val="both"/>
      </w:pPr>
      <w:r>
        <w:t xml:space="preserve">jaunieši pēc </w:t>
      </w:r>
      <w:r w:rsidRPr="00350BC3">
        <w:t>ārpusģimenes aprūpes līdz 24 gadu vecuma sasniegšanai</w:t>
      </w:r>
      <w:r>
        <w:t xml:space="preserve">; </w:t>
      </w:r>
    </w:p>
    <w:p w:rsidR="00B90B0A" w:rsidRPr="00350BC3" w:rsidRDefault="00B90B0A" w:rsidP="003F469F">
      <w:pPr>
        <w:pStyle w:val="ListParagraph"/>
        <w:numPr>
          <w:ilvl w:val="0"/>
          <w:numId w:val="139"/>
        </w:numPr>
        <w:spacing w:line="276" w:lineRule="auto"/>
        <w:jc w:val="both"/>
      </w:pPr>
      <w:r w:rsidRPr="00350BC3">
        <w:t>personas bez noteiktas dzīvesvietas;</w:t>
      </w:r>
    </w:p>
    <w:p w:rsidR="00B90B0A" w:rsidRDefault="00B90B0A" w:rsidP="003F469F">
      <w:pPr>
        <w:pStyle w:val="ListParagraph"/>
        <w:numPr>
          <w:ilvl w:val="0"/>
          <w:numId w:val="139"/>
        </w:numPr>
        <w:spacing w:line="276" w:lineRule="auto"/>
        <w:jc w:val="both"/>
      </w:pPr>
      <w:r w:rsidRPr="00350BC3">
        <w:t>ģimenes, kurām nav pietiekamu prasmju un iemaņu bērnu audzināšanā un aprūpē;</w:t>
      </w:r>
    </w:p>
    <w:p w:rsidR="000A7EB8" w:rsidRPr="00350BC3" w:rsidRDefault="00B90B0A" w:rsidP="003F469F">
      <w:pPr>
        <w:pStyle w:val="ListParagraph"/>
        <w:numPr>
          <w:ilvl w:val="0"/>
          <w:numId w:val="139"/>
        </w:numPr>
        <w:spacing w:line="276" w:lineRule="auto"/>
        <w:jc w:val="both"/>
      </w:pPr>
      <w:r>
        <w:t>p</w:t>
      </w:r>
      <w:r w:rsidRPr="00350BC3">
        <w:t>ilngadīgas personas ar garīga rakstura traucējumiem.</w:t>
      </w:r>
    </w:p>
    <w:p w:rsidR="00F90925" w:rsidRDefault="00F90925" w:rsidP="00064C1E"/>
    <w:p w:rsidR="000A7EB8" w:rsidRDefault="000A7EB8" w:rsidP="00064C1E">
      <w:r>
        <w:t xml:space="preserve">Papildus kā vēlamu atbalsta pakalpojumu </w:t>
      </w:r>
      <w:r w:rsidR="000D2CE5">
        <w:t>personām bez noteiktas dzīves vietas</w:t>
      </w:r>
      <w:r>
        <w:t xml:space="preserve"> intervētā eksperte norādīja </w:t>
      </w:r>
      <w:r w:rsidRPr="002E0962">
        <w:rPr>
          <w:b/>
        </w:rPr>
        <w:t>atbalstošu dzīvošanu</w:t>
      </w:r>
      <w:r w:rsidR="001E0E7F">
        <w:t xml:space="preserve">, kas nozīmē atvieglotu mājokļa pieejamību. Tas varētu būt kopmītņu tipa mājoklis, kas līdzinātos sociālajai mājai. Šādā mājoklī varētu dzīvot personas, kuras spēj segt nelielu līdzdalības maksājumu un ievērot iekšējās kārtības noteikumus. Tās pirmajā stāvā pastāvīgi strādātu komandants, kas arī nodrošinātu iekšējās kārtības noteikumu ievērošanas uzraudzību. </w:t>
      </w:r>
    </w:p>
    <w:p w:rsidR="00F45B36" w:rsidRPr="00E965F1" w:rsidRDefault="00F45B36" w:rsidP="003945E0">
      <w:pPr>
        <w:pStyle w:val="Heading2"/>
      </w:pPr>
      <w:bookmarkStart w:id="743" w:name="_Toc6841669"/>
      <w:r w:rsidRPr="00E965F1">
        <w:t>Secinājumi  par nevienlīdzību mājokļa jomā</w:t>
      </w:r>
      <w:bookmarkEnd w:id="743"/>
      <w:r w:rsidRPr="00E965F1">
        <w:t xml:space="preserve"> </w:t>
      </w:r>
    </w:p>
    <w:p w:rsidR="00F45B36" w:rsidRPr="00A90073" w:rsidRDefault="00F45B36" w:rsidP="003945E0">
      <w:pPr>
        <w:pStyle w:val="Heading3"/>
      </w:pPr>
      <w:bookmarkStart w:id="744" w:name="_Toc6841670"/>
      <w:r w:rsidRPr="00A90073">
        <w:t>Nevienlīdzība mājokļa jomā mērķa grupu griezumā</w:t>
      </w:r>
      <w:bookmarkEnd w:id="744"/>
    </w:p>
    <w:p w:rsidR="00FF7419" w:rsidRPr="00DA49DB" w:rsidRDefault="00FF7419" w:rsidP="00C33A64">
      <w:pPr>
        <w:pStyle w:val="avotiemft10"/>
      </w:pPr>
      <w:bookmarkStart w:id="745" w:name="_Toc2432927"/>
      <w:bookmarkStart w:id="746" w:name="_Toc2848241"/>
      <w:bookmarkStart w:id="747" w:name="_Toc6219298"/>
      <w:bookmarkStart w:id="748" w:name="_Toc6220241"/>
      <w:bookmarkStart w:id="749" w:name="_Toc6841671"/>
      <w:r w:rsidRPr="00DA49DB">
        <w:t>Ģimenes ar bērniem</w:t>
      </w:r>
      <w:bookmarkEnd w:id="745"/>
      <w:bookmarkEnd w:id="746"/>
      <w:bookmarkEnd w:id="747"/>
      <w:bookmarkEnd w:id="748"/>
      <w:bookmarkEnd w:id="749"/>
    </w:p>
    <w:p w:rsidR="00FF7419" w:rsidRDefault="00FF7419" w:rsidP="00FF7419">
      <w:pPr>
        <w:suppressAutoHyphens/>
        <w:autoSpaceDE w:val="0"/>
      </w:pPr>
      <w:r>
        <w:t xml:space="preserve">Kā rāda statistiskas datu analīze ģimeņu ar bērniem situācija mājokļa jomā ir atkarīga gan </w:t>
      </w:r>
      <w:r w:rsidR="004E5D1A">
        <w:t xml:space="preserve">no </w:t>
      </w:r>
      <w:r>
        <w:t xml:space="preserve">bērnu skaita ģimenē, gan no ģimenes ienākumiem. Kompleksi izvērtējot situāciju, </w:t>
      </w:r>
      <w:r w:rsidRPr="00FF7419">
        <w:rPr>
          <w:b/>
        </w:rPr>
        <w:t>vislielākās grūtības ar mājokli šobrīd ir ģimenēm ar bērniem, kuras neatbilst trūcīgās vai maznodrošinātās ģimenes statusam</w:t>
      </w:r>
      <w:r w:rsidRPr="005903D4">
        <w:t>, bet kuru ienākumi apgrūtina mājokļa pieejamību privātajā sektorā</w:t>
      </w:r>
      <w:r>
        <w:t xml:space="preserve">, t.sk. izmantot valsts mājokļa garantijas programmu ģimenēm ar bērniem. </w:t>
      </w:r>
    </w:p>
    <w:p w:rsidR="00FF7419" w:rsidRDefault="00FF7419" w:rsidP="00FF7419">
      <w:pPr>
        <w:suppressAutoHyphens/>
        <w:autoSpaceDE w:val="0"/>
      </w:pPr>
    </w:p>
    <w:p w:rsidR="00FF7419" w:rsidRDefault="00FF7419" w:rsidP="00FF7419">
      <w:r w:rsidRPr="00855EE6">
        <w:t>Ģimenes ar bērniem</w:t>
      </w:r>
      <w:r>
        <w:t xml:space="preserve"> </w:t>
      </w:r>
      <w:r w:rsidRPr="00FF7419">
        <w:rPr>
          <w:b/>
        </w:rPr>
        <w:t>75% gadījumu dzīvo mājoklī, kas tām pieder</w:t>
      </w:r>
      <w:r>
        <w:t xml:space="preserve">, </w:t>
      </w:r>
      <w:r w:rsidRPr="00966D80">
        <w:t xml:space="preserve">52,9% </w:t>
      </w:r>
      <w:r>
        <w:t>gadījumu</w:t>
      </w:r>
      <w:r w:rsidRPr="00966D80">
        <w:t xml:space="preserve"> </w:t>
      </w:r>
      <w:r>
        <w:t>mājoklim nav hipotekārā kredīta, savukārt, 22,1% ģimeņu ir hipotekārā kredīta saistības.</w:t>
      </w:r>
      <w:r w:rsidRPr="00966D80">
        <w:t xml:space="preserve"> </w:t>
      </w:r>
      <w:r>
        <w:t>Salīdzinoši neliela daļa ģimeņu (</w:t>
      </w:r>
      <w:r w:rsidRPr="00966D80">
        <w:t>12,5%</w:t>
      </w:r>
      <w:r>
        <w:t>)</w:t>
      </w:r>
      <w:r w:rsidRPr="00966D80">
        <w:t xml:space="preserve"> </w:t>
      </w:r>
      <w:r>
        <w:t>savu mājokli</w:t>
      </w:r>
      <w:r w:rsidRPr="00966D80">
        <w:t xml:space="preserve"> īrē atbilstoši tirgus cenai. </w:t>
      </w:r>
      <w:r>
        <w:t xml:space="preserve">Nepilnās ģimenes, kā arī ģimenes ar vienu līdz diviem bērniem visbiežāk dzīvo daudzdzīvokļu mājās, savukārt, daudzbērnu ģimenes biežāk nekā citi ģimeņu tipi dzīvo savrupmājās vai viensētās (viena ceturtā daļa no visām daudzbērnu ģimenēm). </w:t>
      </w:r>
    </w:p>
    <w:p w:rsidR="00FF7419" w:rsidRDefault="00FF7419" w:rsidP="00FF7419"/>
    <w:p w:rsidR="006E5AAA" w:rsidRDefault="00FF7419" w:rsidP="00FF7419">
      <w:pPr>
        <w:suppressAutoHyphens/>
        <w:autoSpaceDE w:val="0"/>
      </w:pPr>
      <w:r>
        <w:t xml:space="preserve">Statistiskas datu analīze atklāja, ka mājsaimniecību tipu griezumā </w:t>
      </w:r>
      <w:r w:rsidRPr="00FF7419">
        <w:rPr>
          <w:b/>
        </w:rPr>
        <w:t>vislielākos ar mājokli saistītos izdevumus 2017. gadā maksāja tieši daudzbērnu ģimenes</w:t>
      </w:r>
      <w:r>
        <w:t xml:space="preserve">, kurām tie sasniedza 208,2 EUR mēnesī. Salīdzinoši augsti izdevumi bija arī ģimenēm ar diviem bērniem – 204,8 EUR mēnesī. Izvērtējot to, kuram ģimeņu tipam izdevumi par mājokli rada vislielāko finansiālo slogu, secināms, ka tās ir </w:t>
      </w:r>
      <w:r w:rsidRPr="00FF7419">
        <w:rPr>
          <w:b/>
        </w:rPr>
        <w:t>nepilnās ģimenes, kurām 2017. gadā izdevumi par mājokli procentos pret kopējo ienākumu bija 22%</w:t>
      </w:r>
      <w:r w:rsidRPr="00855EE6">
        <w:t>,</w:t>
      </w:r>
      <w:r>
        <w:t xml:space="preserve"> kas pēc būtības Latvijas situācijā vērtējams kā nevienlīdzības mājokļa jomā viens no rādītājiem. </w:t>
      </w:r>
      <w:r w:rsidR="00220F9B">
        <w:t>Vienlaik</w:t>
      </w:r>
      <w:r w:rsidR="003B387E">
        <w:t>us</w:t>
      </w:r>
      <w:r w:rsidR="00220F9B">
        <w:t xml:space="preserve"> ir vērojama pozitīva tendence, jo kopš 2012.</w:t>
      </w:r>
      <w:r w:rsidR="00DE1C08">
        <w:t xml:space="preserve"> </w:t>
      </w:r>
      <w:r w:rsidR="00220F9B">
        <w:t>gada, kad šis rādīt</w:t>
      </w:r>
      <w:r w:rsidR="003B387E">
        <w:t>ājs</w:t>
      </w:r>
      <w:r w:rsidR="00220F9B">
        <w:t xml:space="preserve"> bija 28%, tas ir pakāpeniski samazinājies.</w:t>
      </w:r>
    </w:p>
    <w:p w:rsidR="006E5AAA" w:rsidRDefault="006E5AAA" w:rsidP="00FF7419">
      <w:pPr>
        <w:suppressAutoHyphens/>
        <w:autoSpaceDE w:val="0"/>
      </w:pPr>
    </w:p>
    <w:p w:rsidR="00FF7419" w:rsidRDefault="00FF7419" w:rsidP="00FF7419">
      <w:pPr>
        <w:suppressAutoHyphens/>
        <w:autoSpaceDE w:val="0"/>
      </w:pPr>
      <w:r>
        <w:t xml:space="preserve">Kā atsevišķa mērķa grupa </w:t>
      </w:r>
      <w:r w:rsidRPr="006A431A">
        <w:t xml:space="preserve">tika </w:t>
      </w:r>
      <w:r>
        <w:t>identificētas</w:t>
      </w:r>
      <w:r w:rsidRPr="006A431A">
        <w:t xml:space="preserve"> arī </w:t>
      </w:r>
      <w:r w:rsidRPr="00FF7419">
        <w:rPr>
          <w:b/>
        </w:rPr>
        <w:t xml:space="preserve">ģimenes, kas atgriežas no dzīves </w:t>
      </w:r>
      <w:r>
        <w:rPr>
          <w:b/>
        </w:rPr>
        <w:t>ārvalstīs</w:t>
      </w:r>
      <w:r w:rsidRPr="006A431A">
        <w:t xml:space="preserve"> (remigranti</w:t>
      </w:r>
      <w:r>
        <w:t>)</w:t>
      </w:r>
      <w:r w:rsidRPr="006A431A">
        <w:t>. Vienlaikus tika pausts viedoklis, ka</w:t>
      </w:r>
      <w:r>
        <w:t xml:space="preserve"> </w:t>
      </w:r>
      <w:r w:rsidRPr="006A431A">
        <w:t xml:space="preserve">remigranti nebūtu izdalāmi kā atsevišķa mājokļa jomā atbalstāmā mērķa grupa, </w:t>
      </w:r>
      <w:r>
        <w:t>jo</w:t>
      </w:r>
      <w:r w:rsidRPr="006A431A">
        <w:t xml:space="preserve"> pēc būtības šīs mērķa grupas pārstāvji var izmantot citus jau darbojošos mājokļa politikas atbalsta instrumentus, piemēram, valsts atbalsta programmu ģimenēm ar bērniem mājokļa </w:t>
      </w:r>
      <w:r w:rsidR="00203A08">
        <w:t>vai kvalificētiem speciālistiem mājokļu iegādei vai būvniecībai</w:t>
      </w:r>
      <w:r w:rsidRPr="006A431A">
        <w:t>.</w:t>
      </w:r>
    </w:p>
    <w:p w:rsidR="00FF7419" w:rsidRDefault="00FF7419" w:rsidP="00C33A64">
      <w:pPr>
        <w:pStyle w:val="avotiemft10"/>
      </w:pPr>
      <w:bookmarkStart w:id="750" w:name="_Toc2848242"/>
      <w:bookmarkStart w:id="751" w:name="_Toc6219299"/>
      <w:bookmarkStart w:id="752" w:name="_Toc6220242"/>
      <w:bookmarkStart w:id="753" w:name="_Toc6841672"/>
      <w:r>
        <w:t>Pensijas vecuma iedzīvotāji</w:t>
      </w:r>
      <w:bookmarkEnd w:id="750"/>
      <w:bookmarkEnd w:id="751"/>
      <w:bookmarkEnd w:id="752"/>
      <w:bookmarkEnd w:id="753"/>
    </w:p>
    <w:p w:rsidR="006E5AAA" w:rsidRDefault="006E5AAA" w:rsidP="006E5AAA">
      <w:r>
        <w:t xml:space="preserve">Atsevišķi dzīvojoši seniori (vecumā virs 65 gadiem) ir iedzīvotāju grupa, kurai ir </w:t>
      </w:r>
      <w:r w:rsidRPr="00E70DED">
        <w:rPr>
          <w:b/>
        </w:rPr>
        <w:t xml:space="preserve">visaugstākais finansiālais slogs saistībā ar mājokļa izdevumiem, </w:t>
      </w:r>
      <w:r w:rsidR="00220F9B">
        <w:rPr>
          <w:b/>
        </w:rPr>
        <w:t>2017.</w:t>
      </w:r>
      <w:r w:rsidR="00D54545">
        <w:rPr>
          <w:b/>
        </w:rPr>
        <w:t xml:space="preserve"> </w:t>
      </w:r>
      <w:r w:rsidR="00220F9B">
        <w:rPr>
          <w:b/>
        </w:rPr>
        <w:t xml:space="preserve">gadā </w:t>
      </w:r>
      <w:r w:rsidRPr="00E70DED">
        <w:rPr>
          <w:b/>
        </w:rPr>
        <w:t>šie izdevumi veido 2</w:t>
      </w:r>
      <w:r>
        <w:rPr>
          <w:b/>
        </w:rPr>
        <w:t>5,5</w:t>
      </w:r>
      <w:r w:rsidRPr="00E70DED">
        <w:rPr>
          <w:b/>
        </w:rPr>
        <w:t>% no kopējiem ik mēneša ienākumiem</w:t>
      </w:r>
      <w:r w:rsidR="00220F9B">
        <w:t>, turklāt iepriekšējos gados šis rādīt</w:t>
      </w:r>
      <w:r w:rsidR="003B387E">
        <w:t>ājs</w:t>
      </w:r>
      <w:r w:rsidR="00220F9B">
        <w:t xml:space="preserve"> ir bij</w:t>
      </w:r>
      <w:r w:rsidR="004E5D1A">
        <w:t>a</w:t>
      </w:r>
      <w:r w:rsidR="00220F9B">
        <w:t xml:space="preserve"> vēl augstāks</w:t>
      </w:r>
      <w:r>
        <w:t>. Ņemot vērā šīs grupas ienākumu apjomu (vidējā vecuma pensija 2017.</w:t>
      </w:r>
      <w:r w:rsidR="00D54545">
        <w:t xml:space="preserve"> </w:t>
      </w:r>
      <w:r>
        <w:t xml:space="preserve">gadā bija 301,74 EUR), tas ir vērtējams kā nevienlīdzības mājokļa jomā rādītājs. </w:t>
      </w:r>
    </w:p>
    <w:p w:rsidR="005E76FD" w:rsidRDefault="006E5AAA" w:rsidP="006E5AAA">
      <w:r>
        <w:lastRenderedPageBreak/>
        <w:t xml:space="preserve">Vientuļie vecāka gadagājuma pensionāri dzīvo mājokļos, kuros ir vidēji vairāk nekā divas istabas, kas nozīmē, ka šīs mērķa grupas iedzīvotājiem ir </w:t>
      </w:r>
      <w:r w:rsidRPr="00E70DED">
        <w:rPr>
          <w:b/>
        </w:rPr>
        <w:t>pieejami visplašākie mājokļi</w:t>
      </w:r>
      <w:r>
        <w:t xml:space="preserve">, raugoties no istabu skaita uz vienu personu (daudzbērnu ģimenēs šis rādītājs, piemēram, ir 0,6 istabas).  </w:t>
      </w:r>
      <w:r w:rsidR="005E76FD">
        <w:t>Savukārt, platības ziņā (m</w:t>
      </w:r>
      <w:r w:rsidR="005E76FD" w:rsidRPr="005E76FD">
        <w:rPr>
          <w:vertAlign w:val="superscript"/>
        </w:rPr>
        <w:t>2</w:t>
      </w:r>
      <w:r w:rsidR="005E76FD">
        <w:t>) šī grupa ir apdzīvojusi mazākos mājokļus, to vidējā platība ir 50 m</w:t>
      </w:r>
      <w:r w:rsidR="005E76FD" w:rsidRPr="005E76FD">
        <w:rPr>
          <w:vertAlign w:val="superscript"/>
        </w:rPr>
        <w:t>2</w:t>
      </w:r>
      <w:r w:rsidR="005E76FD">
        <w:t>, taču jāņem v</w:t>
      </w:r>
      <w:r w:rsidR="003B387E">
        <w:t>ēr</w:t>
      </w:r>
      <w:r w:rsidR="005E76FD">
        <w:t>ā, ka t</w:t>
      </w:r>
      <w:r w:rsidR="004E5D1A">
        <w:t>ā</w:t>
      </w:r>
      <w:r w:rsidR="005E76FD">
        <w:t xml:space="preserve"> ir vien</w:t>
      </w:r>
      <w:r w:rsidR="004E5D1A">
        <w:t>a</w:t>
      </w:r>
      <w:r w:rsidR="005E76FD">
        <w:t xml:space="preserve"> person</w:t>
      </w:r>
      <w:r w:rsidR="004E5D1A">
        <w:t>a</w:t>
      </w:r>
      <w:r w:rsidR="005E76FD">
        <w:t xml:space="preserve">, kas nozīmē, ka pēc būtības atsevišķi dzīvojoši pensionāri dzīvo platības ziņā uz vienu cilvēku ērtākos mājokļos. </w:t>
      </w:r>
    </w:p>
    <w:p w:rsidR="005E76FD" w:rsidRDefault="005E76FD" w:rsidP="006E5AAA"/>
    <w:p w:rsidR="006E5AAA" w:rsidRDefault="006E5AAA" w:rsidP="006E5AAA">
      <w:r w:rsidRPr="00966D80">
        <w:t xml:space="preserve">75,7% gadījumu </w:t>
      </w:r>
      <w:r>
        <w:t xml:space="preserve">šīs grupas iedzīvotāji </w:t>
      </w:r>
      <w:r w:rsidRPr="00966D80">
        <w:t xml:space="preserve">dzīvo mājoklī, kas </w:t>
      </w:r>
      <w:r>
        <w:t xml:space="preserve">tai </w:t>
      </w:r>
      <w:r w:rsidRPr="00966D80">
        <w:t xml:space="preserve">pieder bez hipotekārā kredīta saistībām, bet 13,6% gadījumu mājoklis </w:t>
      </w:r>
      <w:r>
        <w:t xml:space="preserve">senioriem </w:t>
      </w:r>
      <w:r w:rsidRPr="00966D80">
        <w:t>piešķirts par velti, neprasot īres cenu.</w:t>
      </w:r>
    </w:p>
    <w:p w:rsidR="005E76FD" w:rsidRDefault="005E76FD" w:rsidP="006E5AAA"/>
    <w:p w:rsidR="00FF7419" w:rsidRDefault="006E5AAA" w:rsidP="006E5AAA">
      <w:r>
        <w:t xml:space="preserve">Pensijas vecuma iedzīvotāju mājokļa kvalitāte ir atkarīga no ienākumu līmeņa un mājokļa tipa. Kopumā statistikas datu analīze atklāja, ka iedzīvotāji ar zemiem ienākumiem, pie kuriem pieder arī pensijas vecuma cilvēki, </w:t>
      </w:r>
      <w:r w:rsidRPr="0035178E">
        <w:rPr>
          <w:b/>
        </w:rPr>
        <w:t xml:space="preserve">dzīvo zemākas </w:t>
      </w:r>
      <w:r>
        <w:rPr>
          <w:b/>
        </w:rPr>
        <w:t xml:space="preserve">tehniskās </w:t>
      </w:r>
      <w:r w:rsidRPr="0035178E">
        <w:rPr>
          <w:b/>
        </w:rPr>
        <w:t>kvalitātes mājokļos</w:t>
      </w:r>
      <w:r>
        <w:t xml:space="preserve">. Divas trešdaļas pensionāru dzīvo daudzdzīvokļu mājās, kas nozīmē, ka kopumā šai mērķa grupai mājoklī </w:t>
      </w:r>
      <w:r w:rsidRPr="0035178E">
        <w:rPr>
          <w:b/>
        </w:rPr>
        <w:t>ir pieejamas standarta ērtības</w:t>
      </w:r>
      <w:r>
        <w:t>, galvenā problēma ir šīs grupas spēja par tām norēķināties.</w:t>
      </w:r>
    </w:p>
    <w:p w:rsidR="00FF7419" w:rsidRPr="00C92F97" w:rsidRDefault="00FF7419" w:rsidP="00C33A64">
      <w:pPr>
        <w:pStyle w:val="virsrakstslvl4"/>
      </w:pPr>
      <w:bookmarkStart w:id="754" w:name="_Toc2848243"/>
      <w:bookmarkStart w:id="755" w:name="_Toc6219300"/>
      <w:bookmarkStart w:id="756" w:name="_Toc6220243"/>
      <w:bookmarkStart w:id="757" w:name="_Toc6841673"/>
      <w:r w:rsidRPr="00C92F97">
        <w:t>Trūcīgas un maznodrošinātas personas</w:t>
      </w:r>
      <w:bookmarkEnd w:id="754"/>
      <w:bookmarkEnd w:id="755"/>
      <w:bookmarkEnd w:id="756"/>
      <w:bookmarkEnd w:id="757"/>
    </w:p>
    <w:p w:rsidR="00C22461" w:rsidRPr="00C36BF9" w:rsidRDefault="00C22461" w:rsidP="00C22461">
      <w:r>
        <w:t>Trūcīgās personas, raugoties no statistikas datu analīzes perspektīvas, attiecas uz 1.kvinitļu grupu (2017.</w:t>
      </w:r>
      <w:r w:rsidR="00D54545">
        <w:t xml:space="preserve"> </w:t>
      </w:r>
      <w:r>
        <w:t xml:space="preserve">gadā šajā grupā ienākumi uz vienu </w:t>
      </w:r>
      <w:r w:rsidR="007C2B2D">
        <w:t>mājsaimniecības locekli</w:t>
      </w:r>
      <w:r>
        <w:t xml:space="preserve"> bija 162 EUR mēnesī). </w:t>
      </w:r>
      <w:r w:rsidR="007C2B2D">
        <w:t xml:space="preserve">Savukārt, maznodrošinātās personas, ņemot vērā to, ka šīs personu grupas ienākumu līmeņus nosaka katra pašvaldība </w:t>
      </w:r>
      <w:r w:rsidR="006E1FB4">
        <w:t>individuāli</w:t>
      </w:r>
      <w:r w:rsidR="007C2B2D">
        <w:t xml:space="preserve">, var iekļauties arī 2. </w:t>
      </w:r>
      <w:r w:rsidR="00D54545">
        <w:t xml:space="preserve">kvintiļu grupā </w:t>
      </w:r>
      <w:r w:rsidR="007C2B2D">
        <w:t xml:space="preserve">un </w:t>
      </w:r>
      <w:r w:rsidR="00B26DB2">
        <w:t xml:space="preserve">atsevišķos gadījumos arī </w:t>
      </w:r>
      <w:r w:rsidR="007C2B2D">
        <w:t>3.</w:t>
      </w:r>
      <w:r w:rsidR="00D54545">
        <w:t xml:space="preserve"> </w:t>
      </w:r>
      <w:r w:rsidR="007C2B2D">
        <w:t>kvintiļu grupā (2017.</w:t>
      </w:r>
      <w:r w:rsidR="00D54545">
        <w:t xml:space="preserve"> </w:t>
      </w:r>
      <w:r w:rsidR="007C2B2D">
        <w:t>gadā 2.</w:t>
      </w:r>
      <w:r w:rsidR="00D54545">
        <w:t xml:space="preserve"> </w:t>
      </w:r>
      <w:r w:rsidR="007C2B2D">
        <w:t>kvintilē ienākumi uz vienu mājsaimniecības locekli bija 285 EUR mēnesī, 3.kvintilē – 401 EUR mēnesī).</w:t>
      </w:r>
      <w:r>
        <w:t xml:space="preserve"> </w:t>
      </w:r>
      <w:r w:rsidRPr="007E0A72">
        <w:t>2017. gadā kopējie ar mājokļa uzturēšanu saistītie izdevumi uz vienu mājsaimniecību mēnesī bija 138,1 EUR</w:t>
      </w:r>
      <w:r>
        <w:t xml:space="preserve">. </w:t>
      </w:r>
      <w:r w:rsidRPr="00C36BF9">
        <w:rPr>
          <w:b/>
        </w:rPr>
        <w:t>Dziļai materiālajai nenodrošinātībai 2017. gadā tika pakļautas 14,5% mājsaimniecību</w:t>
      </w:r>
      <w:r w:rsidRPr="00C36BF9">
        <w:t xml:space="preserve">, </w:t>
      </w:r>
      <w:r>
        <w:t>m</w:t>
      </w:r>
      <w:r w:rsidRPr="00C36BF9">
        <w:t>ateriālajai nenodrošinātībai 2017. gadā tika pakļautas 29,1% mājsaimniecīb</w:t>
      </w:r>
      <w:r w:rsidR="004E5D1A">
        <w:t>as</w:t>
      </w:r>
      <w:r w:rsidRPr="00C36BF9">
        <w:t>.</w:t>
      </w:r>
      <w:r>
        <w:rPr>
          <w:b/>
        </w:rPr>
        <w:t xml:space="preserve"> </w:t>
      </w:r>
      <w:r>
        <w:t xml:space="preserve">Kaut arī rādītāji saglabājas augsti, tomēr, salīdzinot ar iepriekšējiem diviem gadiem, tiem ir tendence kristies. </w:t>
      </w:r>
    </w:p>
    <w:p w:rsidR="00C22461" w:rsidRDefault="00C22461" w:rsidP="00C22461"/>
    <w:p w:rsidR="00C22461" w:rsidRDefault="00C22461" w:rsidP="00C22461">
      <w:r w:rsidRPr="00085A97">
        <w:t xml:space="preserve">Izvērtējumā ir konstatēts, ka </w:t>
      </w:r>
      <w:r w:rsidRPr="00085A97">
        <w:rPr>
          <w:b/>
        </w:rPr>
        <w:t>nevienlīdzība mājokļa jomā ir tieši saistīta ar ienākumu nevienlīdzību</w:t>
      </w:r>
      <w:r>
        <w:t xml:space="preserve">. Jo zemāki personas un/vai mājsaimniecības ienākumi, jo zemākas kvalitātes un labiekārtojuma līmeņa mājoklī tā dzīvo un jo lielākas grūtības tām rada ar mājokli saistītie izdevumi. Vienlaikus jāuzsver, ka trūcīgās personas ir tā iedzīvotāju grupa, kurām pašvaldības prioritāri sniedz atbalstu mājokļa jomā. </w:t>
      </w:r>
    </w:p>
    <w:p w:rsidR="00C22461" w:rsidRDefault="00C22461" w:rsidP="00C22461"/>
    <w:p w:rsidR="00FF7419" w:rsidRDefault="00C22461" w:rsidP="00C22461">
      <w:r>
        <w:t>Šai grupai ir visaugstākie rādītāji attiecībā uz tādiem mājokļa kvalitāti raksturojošiem aspektiem kā t</w:t>
      </w:r>
      <w:r w:rsidRPr="00966D80">
        <w:t>ekošs jumts</w:t>
      </w:r>
      <w:r>
        <w:t>,</w:t>
      </w:r>
      <w:r w:rsidRPr="00966D80">
        <w:t xml:space="preserve"> mitras sienas, griesti, grīdas, pamati vai trupe</w:t>
      </w:r>
      <w:r>
        <w:t xml:space="preserve"> logu rāmjos, durvīs vai grīdās; grūtības uzturēt </w:t>
      </w:r>
      <w:r w:rsidR="004E5D1A">
        <w:t>mājokli</w:t>
      </w:r>
      <w:r>
        <w:t xml:space="preserve"> pietiekami siltu; nav vannas vai dušas mājoklī; nav i</w:t>
      </w:r>
      <w:r w:rsidRPr="00966D80">
        <w:t>ekštelpas tualete</w:t>
      </w:r>
      <w:r>
        <w:t xml:space="preserve">s ar ūdens klozetu. Attiecīgi secināms, ka </w:t>
      </w:r>
      <w:r w:rsidRPr="00C36BF9">
        <w:rPr>
          <w:b/>
        </w:rPr>
        <w:t>iedzīvotāji ar zemiem ienākumiem dzīvo zemākas tehniskās kvalitātes un labiekārtojuma līmeņa mājokļos</w:t>
      </w:r>
      <w:r>
        <w:t>.</w:t>
      </w:r>
    </w:p>
    <w:p w:rsidR="00D03DA0" w:rsidRDefault="00D03DA0" w:rsidP="00C33A64">
      <w:pPr>
        <w:pStyle w:val="virsrakstslvl4"/>
      </w:pPr>
      <w:bookmarkStart w:id="758" w:name="_Toc2848244"/>
      <w:bookmarkStart w:id="759" w:name="_Toc6219301"/>
      <w:bookmarkStart w:id="760" w:name="_Toc6220244"/>
      <w:bookmarkStart w:id="761" w:name="_Toc6841674"/>
      <w:r w:rsidRPr="00C92F97">
        <w:t>Personas</w:t>
      </w:r>
      <w:r>
        <w:t xml:space="preserve"> ar </w:t>
      </w:r>
      <w:r w:rsidRPr="00DA49DB">
        <w:t>invaliditāti</w:t>
      </w:r>
      <w:bookmarkEnd w:id="758"/>
      <w:bookmarkEnd w:id="759"/>
      <w:bookmarkEnd w:id="760"/>
      <w:bookmarkEnd w:id="761"/>
    </w:p>
    <w:p w:rsidR="00434B87" w:rsidRDefault="00434B87" w:rsidP="00434B87">
      <w:r>
        <w:t xml:space="preserve">Šīs mērķa grupas specifika ir tās </w:t>
      </w:r>
      <w:r w:rsidRPr="000F00F9">
        <w:rPr>
          <w:b/>
        </w:rPr>
        <w:t>daudzveidīgās vajadzības mājokļa jomā</w:t>
      </w:r>
      <w:r>
        <w:t xml:space="preserve">, ņemot vērā dažādos </w:t>
      </w:r>
      <w:r w:rsidR="009B6BE8">
        <w:t>funkcionēšanas ierobežojumus</w:t>
      </w:r>
      <w:r>
        <w:t xml:space="preserve">. Jau šobrīd šai grupai pastāv vairāki mājokļa palīdzības un </w:t>
      </w:r>
      <w:r>
        <w:lastRenderedPageBreak/>
        <w:t>pakalpojumu veidi  - grupu dzīvokļi/ mājas, kas ir piemērotas personām ar garīgiem traucējumiem; servisa dzīvokļi – personām ar kustību traucējumiem; sociālie mājokļi, kas ir biežāk izmantotais risinājums personām ar invaliditāti ar zemiem ienākumiem. Ņemot vērā personu ar invaliditāti zemos nodarbinātības rādītājus, šajā grupā ir augsts personu ar zemiem ienākumiem īpatsvars.</w:t>
      </w:r>
    </w:p>
    <w:p w:rsidR="00434B87" w:rsidRDefault="00434B87" w:rsidP="00434B87"/>
    <w:p w:rsidR="00434B87" w:rsidRDefault="00434B87" w:rsidP="00434B87">
      <w:r>
        <w:t>Politikas plānošanas dokumentu analīzes ietvaros personas ar invaliditāti ir identificētas kā viena no mērķa grupām, kura saskaras ar nevienlīdzību mājokļa pieejamības jomā. Galvenā problēma, ko apstiprina arī citi datu avot</w:t>
      </w:r>
      <w:r w:rsidR="004E5D1A">
        <w:t>i</w:t>
      </w:r>
      <w:r>
        <w:t xml:space="preserve"> – iepriekš veiktie pētījumi un ekspertu sniegtā informācija, ir </w:t>
      </w:r>
      <w:r w:rsidRPr="000F00F9">
        <w:rPr>
          <w:b/>
        </w:rPr>
        <w:t xml:space="preserve">ierobežots atbalsts </w:t>
      </w:r>
      <w:r>
        <w:rPr>
          <w:b/>
        </w:rPr>
        <w:t>mājokļa</w:t>
      </w:r>
      <w:r w:rsidRPr="000F00F9">
        <w:rPr>
          <w:b/>
        </w:rPr>
        <w:t xml:space="preserve"> pielāgošanai</w:t>
      </w:r>
      <w:r>
        <w:t xml:space="preserve"> personām ar funkcionāliem traucējumiem, kas ir saistīts ar nozīmīgiem kapitālieguldījumiem. </w:t>
      </w:r>
    </w:p>
    <w:p w:rsidR="00434B87" w:rsidRDefault="00434B87" w:rsidP="00434B87"/>
    <w:p w:rsidR="00434B87" w:rsidRDefault="00434B87" w:rsidP="00434B87">
      <w:r>
        <w:t>Personas ar invaliditāti ir arī viena no pašvaldību atbalsta saņemšanas mērķa grupām mājokļa jomā, taču Izvērtējumā veiktais pašvaldību saistošo noteikumu apsekojums atklāj, ka t</w:t>
      </w:r>
      <w:r w:rsidRPr="000F00F9">
        <w:t>ā</w:t>
      </w:r>
      <w:r w:rsidRPr="00684BA4">
        <w:rPr>
          <w:b/>
        </w:rPr>
        <w:t xml:space="preserve"> nav sistemātiska palīdzība, kas tiek sniegta visās pašvaldībās</w:t>
      </w:r>
      <w:r>
        <w:t>. Palīdzības veids, kritēriji un apmērs ir atkarīgs no katras pašvaldības resursiem. Daļā gadījumu palīdzība tiek sniegta bērniem ar invaliditāti, daļā gadījumu - atsevišķi dzīvojošām personām ar invaliditāti, daļā gadījumu nozīme ir arī personas ienākumiem. Pašvaldības visbiežāk nodrošina šīs mērķa grupas personas ar dzīvokļa (mājokļa) pabalstu.</w:t>
      </w:r>
    </w:p>
    <w:p w:rsidR="00D03DA0" w:rsidRPr="007D6307" w:rsidRDefault="00D03DA0" w:rsidP="00C33A64">
      <w:pPr>
        <w:pStyle w:val="virsrakstslvl4"/>
      </w:pPr>
      <w:bookmarkStart w:id="762" w:name="_Toc2848245"/>
      <w:bookmarkStart w:id="763" w:name="_Toc6219302"/>
      <w:bookmarkStart w:id="764" w:name="_Toc6220245"/>
      <w:bookmarkStart w:id="765" w:name="_Toc6841675"/>
      <w:r w:rsidRPr="00C92F97">
        <w:t>Internātskolu</w:t>
      </w:r>
      <w:r w:rsidRPr="007D6307">
        <w:t xml:space="preserve"> absolventi</w:t>
      </w:r>
      <w:bookmarkEnd w:id="762"/>
      <w:bookmarkEnd w:id="763"/>
      <w:bookmarkEnd w:id="764"/>
      <w:bookmarkEnd w:id="765"/>
    </w:p>
    <w:p w:rsidR="00D03DA0" w:rsidRDefault="00434B87" w:rsidP="00D03DA0">
      <w:pPr>
        <w:suppressAutoHyphens/>
        <w:autoSpaceDE w:val="0"/>
      </w:pPr>
      <w:r>
        <w:t xml:space="preserve">Pētot internātskolu absolventu mērķa grupas situāciju mājokļa jomā, secināms, ka tā pēc būtības definējama citādi – </w:t>
      </w:r>
      <w:r w:rsidRPr="00EC1D17">
        <w:rPr>
          <w:b/>
        </w:rPr>
        <w:t>bērni/jaunieši pēc ārpusģimenes aprūpes</w:t>
      </w:r>
      <w:r>
        <w:t xml:space="preserve"> (šajā grupā iekļaujas arī bāreņi un bez vecāku gādības palikušie pilngadīgie jaunieši līdz 24 gadu vecumam). Šī ir viena no grupām, kurām likums „Par palīdzību dzīvokļa jautājuma risināšanā” nosaka prioritāti atbalsta sniegšanā. Galvenās identificētās problēmas ir šīs mērķa grupas </w:t>
      </w:r>
      <w:r w:rsidRPr="00B709E6">
        <w:rPr>
          <w:b/>
        </w:rPr>
        <w:t>zemā maksātspēja</w:t>
      </w:r>
      <w:r>
        <w:t xml:space="preserve">, nepietiekami </w:t>
      </w:r>
      <w:r w:rsidRPr="00B1644F">
        <w:rPr>
          <w:b/>
          <w:color w:val="000000"/>
        </w:rPr>
        <w:t>attīstītas patstāvīgai dzīvei nepieciešamās sociālās prasmes</w:t>
      </w:r>
      <w:r>
        <w:rPr>
          <w:b/>
          <w:color w:val="000000"/>
        </w:rPr>
        <w:t xml:space="preserve">, zemas kvalitātes mājokļi </w:t>
      </w:r>
      <w:r w:rsidRPr="00726E9D">
        <w:rPr>
          <w:color w:val="000000"/>
        </w:rPr>
        <w:t>un</w:t>
      </w:r>
      <w:r>
        <w:rPr>
          <w:b/>
          <w:color w:val="000000"/>
        </w:rPr>
        <w:t xml:space="preserve"> nepietiekamais pašvaldības piešķirtais dzīvokļa pabalsts</w:t>
      </w:r>
      <w:r w:rsidR="00716A54">
        <w:rPr>
          <w:b/>
          <w:color w:val="000000"/>
        </w:rPr>
        <w:t>, vienotas pieejas trūkums šī pabalsta noteikšanā</w:t>
      </w:r>
      <w:r>
        <w:rPr>
          <w:b/>
          <w:color w:val="000000"/>
        </w:rPr>
        <w:t>.</w:t>
      </w:r>
    </w:p>
    <w:p w:rsidR="00D03DA0" w:rsidRPr="00D03DA0" w:rsidRDefault="00D03DA0" w:rsidP="00C33A64">
      <w:pPr>
        <w:pStyle w:val="virsrakstslvl4"/>
      </w:pPr>
      <w:bookmarkStart w:id="766" w:name="_Toc2848246"/>
      <w:bookmarkStart w:id="767" w:name="_Toc6219303"/>
      <w:bookmarkStart w:id="768" w:name="_Toc6220246"/>
      <w:bookmarkStart w:id="769" w:name="_Toc6841676"/>
      <w:r w:rsidRPr="00C92F97">
        <w:t>Vardarbībā</w:t>
      </w:r>
      <w:r w:rsidRPr="00D03DA0">
        <w:t xml:space="preserve"> cietušās personas, </w:t>
      </w:r>
      <w:r>
        <w:t>t.sk. cilvēktirdzniecības upuri</w:t>
      </w:r>
      <w:bookmarkEnd w:id="766"/>
      <w:bookmarkEnd w:id="767"/>
      <w:bookmarkEnd w:id="768"/>
      <w:bookmarkEnd w:id="769"/>
    </w:p>
    <w:p w:rsidR="002019C2" w:rsidRDefault="002019C2" w:rsidP="00D03DA0">
      <w:pPr>
        <w:suppressAutoHyphens/>
        <w:autoSpaceDE w:val="0"/>
        <w:rPr>
          <w:color w:val="000000"/>
        </w:rPr>
      </w:pPr>
      <w:r w:rsidRPr="006A431A">
        <w:rPr>
          <w:color w:val="000000"/>
        </w:rPr>
        <w:t xml:space="preserve">Izvērtējumā kā atsevišķa mērķa grupa </w:t>
      </w:r>
      <w:r>
        <w:rPr>
          <w:color w:val="000000"/>
        </w:rPr>
        <w:t>ir</w:t>
      </w:r>
      <w:r w:rsidRPr="006A431A">
        <w:rPr>
          <w:color w:val="000000"/>
        </w:rPr>
        <w:t xml:space="preserve"> izdalītas </w:t>
      </w:r>
      <w:r w:rsidRPr="007F7152">
        <w:rPr>
          <w:color w:val="000000"/>
        </w:rPr>
        <w:t>vardarbībā cietušas personas, t.sk. cilvēku tirdzniecība</w:t>
      </w:r>
      <w:r w:rsidR="004E5D1A">
        <w:rPr>
          <w:color w:val="000000"/>
        </w:rPr>
        <w:t>s</w:t>
      </w:r>
      <w:r w:rsidRPr="007F7152">
        <w:rPr>
          <w:color w:val="000000"/>
        </w:rPr>
        <w:t xml:space="preserve"> upuri.</w:t>
      </w:r>
      <w:r w:rsidRPr="006A431A">
        <w:rPr>
          <w:color w:val="000000"/>
        </w:rPr>
        <w:t xml:space="preserve"> </w:t>
      </w:r>
      <w:r>
        <w:rPr>
          <w:color w:val="000000"/>
        </w:rPr>
        <w:t xml:space="preserve">Attiecībā uz šo mērķa grupu galvenā tās </w:t>
      </w:r>
      <w:r w:rsidRPr="002019C2">
        <w:rPr>
          <w:b/>
          <w:color w:val="000000"/>
        </w:rPr>
        <w:t>vajadzība un reizē problēma ir mājokļa drošība</w:t>
      </w:r>
      <w:r>
        <w:rPr>
          <w:color w:val="000000"/>
        </w:rPr>
        <w:t xml:space="preserve">. </w:t>
      </w:r>
    </w:p>
    <w:p w:rsidR="002019C2" w:rsidRDefault="002019C2" w:rsidP="00D03DA0">
      <w:pPr>
        <w:suppressAutoHyphens/>
        <w:autoSpaceDE w:val="0"/>
        <w:rPr>
          <w:color w:val="000000"/>
        </w:rPr>
      </w:pPr>
    </w:p>
    <w:p w:rsidR="00D03DA0" w:rsidRDefault="002019C2" w:rsidP="00D03DA0">
      <w:pPr>
        <w:suppressAutoHyphens/>
        <w:autoSpaceDE w:val="0"/>
        <w:rPr>
          <w:color w:val="000000"/>
        </w:rPr>
      </w:pPr>
      <w:r>
        <w:rPr>
          <w:color w:val="000000"/>
        </w:rPr>
        <w:t>Šai mērķa grupai svarīgi ir nodrošināt drošu</w:t>
      </w:r>
      <w:r w:rsidR="00726E9D">
        <w:rPr>
          <w:color w:val="000000"/>
        </w:rPr>
        <w:t xml:space="preserve"> patvērumu, nevis ilgstošu </w:t>
      </w:r>
      <w:r>
        <w:rPr>
          <w:color w:val="000000"/>
        </w:rPr>
        <w:t xml:space="preserve">pagaidu </w:t>
      </w:r>
      <w:r w:rsidR="00726E9D">
        <w:rPr>
          <w:color w:val="000000"/>
        </w:rPr>
        <w:t>mājokli</w:t>
      </w:r>
      <w:r>
        <w:rPr>
          <w:color w:val="000000"/>
        </w:rPr>
        <w:t>. 2014.</w:t>
      </w:r>
      <w:r w:rsidR="00D54545">
        <w:rPr>
          <w:color w:val="000000"/>
        </w:rPr>
        <w:t xml:space="preserve"> </w:t>
      </w:r>
      <w:r>
        <w:rPr>
          <w:color w:val="000000"/>
        </w:rPr>
        <w:t xml:space="preserve">gadā veiktās izmaiņas </w:t>
      </w:r>
      <w:r w:rsidRPr="006A431A">
        <w:rPr>
          <w:color w:val="000000"/>
        </w:rPr>
        <w:t>Civilprocesa likumā par pagaidu aizsardzību pret vardarbību</w:t>
      </w:r>
      <w:r>
        <w:rPr>
          <w:color w:val="000000"/>
        </w:rPr>
        <w:t xml:space="preserve"> ir pozitīvs sasniegums šīs mēr</w:t>
      </w:r>
      <w:r w:rsidR="003B387E">
        <w:rPr>
          <w:color w:val="000000"/>
        </w:rPr>
        <w:t>ķ</w:t>
      </w:r>
      <w:r>
        <w:rPr>
          <w:color w:val="000000"/>
        </w:rPr>
        <w:t xml:space="preserve">a grupas situācijas uzlabošanā, vienlaikus </w:t>
      </w:r>
      <w:r w:rsidRPr="002019C2">
        <w:rPr>
          <w:color w:val="000000"/>
        </w:rPr>
        <w:t>pagaidu aizsardzība pret vardarbību ir īslaicīgs mājokļa drošības risinājums</w:t>
      </w:r>
      <w:r>
        <w:rPr>
          <w:color w:val="000000"/>
        </w:rPr>
        <w:t xml:space="preserve">, jo periods, uz kuru varmāka tiek </w:t>
      </w:r>
      <w:r w:rsidRPr="002019C2">
        <w:rPr>
          <w:color w:val="000000"/>
        </w:rPr>
        <w:t>nošķirts no cietušās personas</w:t>
      </w:r>
      <w:r>
        <w:rPr>
          <w:color w:val="000000"/>
        </w:rPr>
        <w:t xml:space="preserve">, ir salīdzinoši īss (30 dienas). Turklāt, turpinot risināt situāciju tiesvedības ceļā, </w:t>
      </w:r>
      <w:r w:rsidR="00726E9D">
        <w:rPr>
          <w:color w:val="000000"/>
        </w:rPr>
        <w:t xml:space="preserve">vardarbībā cietušai personai </w:t>
      </w:r>
      <w:r>
        <w:rPr>
          <w:color w:val="000000"/>
        </w:rPr>
        <w:t xml:space="preserve">pastāv augsts risks palikt bez mājokļa, ja </w:t>
      </w:r>
      <w:r w:rsidR="00726E9D">
        <w:rPr>
          <w:color w:val="000000"/>
        </w:rPr>
        <w:t>tas</w:t>
      </w:r>
      <w:r>
        <w:rPr>
          <w:color w:val="000000"/>
        </w:rPr>
        <w:t xml:space="preserve"> pieder varmākam. </w:t>
      </w:r>
    </w:p>
    <w:p w:rsidR="00726E9D" w:rsidRDefault="00726E9D" w:rsidP="00D03DA0">
      <w:pPr>
        <w:suppressAutoHyphens/>
        <w:autoSpaceDE w:val="0"/>
        <w:rPr>
          <w:color w:val="000000"/>
        </w:rPr>
      </w:pPr>
    </w:p>
    <w:p w:rsidR="00726E9D" w:rsidRDefault="00726E9D" w:rsidP="00D03DA0">
      <w:pPr>
        <w:suppressAutoHyphens/>
        <w:autoSpaceDE w:val="0"/>
        <w:rPr>
          <w:color w:val="000000"/>
        </w:rPr>
      </w:pPr>
      <w:r>
        <w:rPr>
          <w:color w:val="000000"/>
        </w:rPr>
        <w:t xml:space="preserve">Ņemot vērā pašvaldību dzīvojamā fonda ierobežojumus (brīvu mājokļu trūkums), </w:t>
      </w:r>
      <w:r w:rsidRPr="00726E9D">
        <w:rPr>
          <w:b/>
          <w:color w:val="000000"/>
        </w:rPr>
        <w:t>iespējamie risinājumi būtu saistīti ar tehnisku drošības pasākumu īstenošanu mājoklī</w:t>
      </w:r>
      <w:r>
        <w:rPr>
          <w:color w:val="000000"/>
        </w:rPr>
        <w:t>, kurā dzīvo vardarbībā cietusi persona, pagaidu aizsardzības periodā.</w:t>
      </w:r>
    </w:p>
    <w:p w:rsidR="00D03DA0" w:rsidRPr="00D03DA0" w:rsidRDefault="00D03DA0" w:rsidP="00C33A64">
      <w:pPr>
        <w:pStyle w:val="virsrakstslvl4"/>
      </w:pPr>
      <w:bookmarkStart w:id="770" w:name="_Toc2848247"/>
      <w:bookmarkStart w:id="771" w:name="_Toc6219304"/>
      <w:bookmarkStart w:id="772" w:name="_Toc6220247"/>
      <w:bookmarkStart w:id="773" w:name="_Toc6841677"/>
      <w:r>
        <w:lastRenderedPageBreak/>
        <w:t>N</w:t>
      </w:r>
      <w:r w:rsidRPr="00D03DA0">
        <w:t>o ieslodzī</w:t>
      </w:r>
      <w:r>
        <w:t xml:space="preserve">juma </w:t>
      </w:r>
      <w:r w:rsidRPr="00C92F97">
        <w:t>vietām</w:t>
      </w:r>
      <w:r>
        <w:t xml:space="preserve"> atbrīvotās personas</w:t>
      </w:r>
      <w:bookmarkEnd w:id="770"/>
      <w:bookmarkEnd w:id="771"/>
      <w:bookmarkEnd w:id="772"/>
      <w:bookmarkEnd w:id="773"/>
    </w:p>
    <w:p w:rsidR="00371709" w:rsidRDefault="00726E9D" w:rsidP="00726E9D">
      <w:pPr>
        <w:suppressAutoHyphens/>
        <w:autoSpaceDE w:val="0"/>
      </w:pPr>
      <w:r>
        <w:rPr>
          <w:color w:val="000000"/>
        </w:rPr>
        <w:t xml:space="preserve">No ieslodzījuma vietām atbrīvotās personas visbiežāk </w:t>
      </w:r>
      <w:r w:rsidRPr="00371709">
        <w:rPr>
          <w:color w:val="000000"/>
        </w:rPr>
        <w:t xml:space="preserve">ir </w:t>
      </w:r>
      <w:r w:rsidRPr="00371709">
        <w:rPr>
          <w:b/>
          <w:color w:val="000000"/>
        </w:rPr>
        <w:t>trūcīgas un maksātnespējīgas personas</w:t>
      </w:r>
      <w:r>
        <w:rPr>
          <w:color w:val="000000"/>
        </w:rPr>
        <w:t>, dažkārt vēl</w:t>
      </w:r>
      <w:r w:rsidRPr="00726E9D">
        <w:rPr>
          <w:color w:val="000000"/>
        </w:rPr>
        <w:t xml:space="preserve"> ar parādu saistībām</w:t>
      </w:r>
      <w:r>
        <w:rPr>
          <w:color w:val="000000"/>
        </w:rPr>
        <w:t xml:space="preserve">. Lielākās grūtības šai mērķa grupai, kura gan ir viena no likumā </w:t>
      </w:r>
      <w:r>
        <w:t>„Par palīdzību dzīvokļa jautājuma risināšanā” noteiktajām atbalstāmajām</w:t>
      </w:r>
      <w:r w:rsidR="00371709">
        <w:t xml:space="preserve"> grupām, ir saistītas ar administratīviem šķēršļiem - </w:t>
      </w:r>
      <w:r w:rsidR="00371709" w:rsidRPr="00371709">
        <w:rPr>
          <w:b/>
        </w:rPr>
        <w:t>dzīves vietas deklarēšanu</w:t>
      </w:r>
      <w:r w:rsidR="00371709">
        <w:t xml:space="preserve">. Bez tās, savukārt, nav iespējams saņemt jebkādu sociālo palīdzību vai pakalpojumus. </w:t>
      </w:r>
    </w:p>
    <w:p w:rsidR="00AF5085" w:rsidRDefault="00AF5085" w:rsidP="00726E9D">
      <w:pPr>
        <w:suppressAutoHyphens/>
        <w:autoSpaceDE w:val="0"/>
      </w:pPr>
    </w:p>
    <w:p w:rsidR="00371709" w:rsidRDefault="00371709" w:rsidP="00726E9D">
      <w:pPr>
        <w:suppressAutoHyphens/>
        <w:autoSpaceDE w:val="0"/>
      </w:pPr>
      <w:r>
        <w:t>Tas, cik ilgā laikā pašvaldības var nodrošināt mājokli šīs mērķa grupas personām, ir atkarīgs no konkrētas pašva</w:t>
      </w:r>
      <w:r w:rsidR="003B387E">
        <w:t>l</w:t>
      </w:r>
      <w:r>
        <w:t>dības, t</w:t>
      </w:r>
      <w:r w:rsidR="003B387E">
        <w:t>ač</w:t>
      </w:r>
      <w:r>
        <w:t xml:space="preserve">u vidēji </w:t>
      </w:r>
      <w:r w:rsidRPr="00371709">
        <w:rPr>
          <w:b/>
        </w:rPr>
        <w:t>īres piedāvājuma izteikšanas laiks ir viens līdz divi mēneši</w:t>
      </w:r>
      <w:r>
        <w:t>. Neraugoties uz to, ka tas ir salīdzinoši īss laiks, jā</w:t>
      </w:r>
      <w:r w:rsidR="003B387E">
        <w:t>ņ</w:t>
      </w:r>
      <w:r>
        <w:t xml:space="preserve">em vērā, </w:t>
      </w:r>
      <w:r w:rsidR="004E5D1A">
        <w:t xml:space="preserve">ka šīm personām daudzos gadījumos ir </w:t>
      </w:r>
      <w:r w:rsidRPr="00371709">
        <w:rPr>
          <w:b/>
        </w:rPr>
        <w:t>zudušas sociālās saites</w:t>
      </w:r>
      <w:r>
        <w:t xml:space="preserve"> ar savu ģimeni un draugiem, trūkst atbalsta personas, attiecīgi nav pieejams arī pagaidu mājoklis. Tā rezultātā </w:t>
      </w:r>
      <w:r w:rsidRPr="00371709">
        <w:rPr>
          <w:b/>
        </w:rPr>
        <w:t>saglabājas recidīva risks mājokļa gaidīšanas laikā</w:t>
      </w:r>
      <w:r>
        <w:t xml:space="preserve">. </w:t>
      </w:r>
    </w:p>
    <w:p w:rsidR="00371709" w:rsidRDefault="00371709" w:rsidP="00726E9D">
      <w:pPr>
        <w:suppressAutoHyphens/>
        <w:autoSpaceDE w:val="0"/>
      </w:pPr>
    </w:p>
    <w:p w:rsidR="00726E9D" w:rsidRDefault="00371709" w:rsidP="00726E9D">
      <w:pPr>
        <w:suppressAutoHyphens/>
        <w:autoSpaceDE w:val="0"/>
      </w:pPr>
      <w:r>
        <w:t xml:space="preserve">Secināms, ka no ieslodzījuma vietām atbrīvotās personas ir viena no mērķa grupām, kurām ir </w:t>
      </w:r>
      <w:r w:rsidRPr="00371709">
        <w:rPr>
          <w:b/>
        </w:rPr>
        <w:t>pieprasījums pēc atbalsta pagaidu mājokļa ierādīšanai</w:t>
      </w:r>
      <w:r>
        <w:t xml:space="preserve">, lai atrastu darbu, gūtu kaut minimālus ienākumus, deklarētu savu dzīves vietu, iegūtu tiesības uz sociālo palīdzību un sociālajiem pakalpojumiem. </w:t>
      </w:r>
    </w:p>
    <w:p w:rsidR="00D03DA0" w:rsidRDefault="00D03DA0" w:rsidP="00C33A64">
      <w:pPr>
        <w:pStyle w:val="virsrakstslvl4"/>
      </w:pPr>
      <w:bookmarkStart w:id="774" w:name="_Toc2848248"/>
      <w:bookmarkStart w:id="775" w:name="_Toc6219305"/>
      <w:bookmarkStart w:id="776" w:name="_Toc6220248"/>
      <w:bookmarkStart w:id="777" w:name="_Toc6841678"/>
      <w:r>
        <w:t>Romi</w:t>
      </w:r>
      <w:bookmarkEnd w:id="774"/>
      <w:bookmarkEnd w:id="775"/>
      <w:bookmarkEnd w:id="776"/>
      <w:bookmarkEnd w:id="777"/>
    </w:p>
    <w:p w:rsidR="00952859" w:rsidRDefault="00952859" w:rsidP="006E7021">
      <w:pPr>
        <w:tabs>
          <w:tab w:val="num" w:pos="720"/>
        </w:tabs>
      </w:pPr>
      <w:r>
        <w:t xml:space="preserve">Romu situācija mājokļa jomā kopumā atbilst </w:t>
      </w:r>
      <w:r w:rsidRPr="00952859">
        <w:rPr>
          <w:b/>
        </w:rPr>
        <w:t>trūcīgo iedzīvotāju situācijai</w:t>
      </w:r>
      <w:r>
        <w:t xml:space="preserve">, ko papildina arī </w:t>
      </w:r>
      <w:r w:rsidRPr="00952859">
        <w:rPr>
          <w:b/>
        </w:rPr>
        <w:t>salīdzinoši zemās mājokļa apsaimniekošanas prasmes</w:t>
      </w:r>
      <w:r w:rsidRPr="006E7021">
        <w:t xml:space="preserve"> un izpratnes trūkums par nepieciešamību segt </w:t>
      </w:r>
      <w:r>
        <w:t xml:space="preserve">izdevumus par mājokli. </w:t>
      </w:r>
    </w:p>
    <w:p w:rsidR="00952859" w:rsidRDefault="00952859" w:rsidP="006E7021">
      <w:pPr>
        <w:tabs>
          <w:tab w:val="num" w:pos="720"/>
        </w:tabs>
      </w:pPr>
    </w:p>
    <w:p w:rsidR="006E7021" w:rsidRDefault="006E7021" w:rsidP="006E7021">
      <w:pPr>
        <w:tabs>
          <w:tab w:val="num" w:pos="720"/>
        </w:tabs>
      </w:pPr>
      <w:r>
        <w:t xml:space="preserve">Balstoties uz sekundāro datu analīzi, secināms, ka </w:t>
      </w:r>
      <w:r w:rsidRPr="006E7021">
        <w:t>mājokļa pieejamība problemātiska ir tieši trūcīgajiem romiem (pēc ekspertu aplēsēm tādi ir 75-80% romu, ņemot vērā šīs etniskās grupas zemo nodarbinātības un</w:t>
      </w:r>
      <w:r>
        <w:t xml:space="preserve"> attiecīgi arī ienākumu līmeni). Romu apdzīvotajiem mājokļiem ir rakst</w:t>
      </w:r>
      <w:r w:rsidR="00952859">
        <w:t xml:space="preserve">urīgs </w:t>
      </w:r>
      <w:r w:rsidR="00952859" w:rsidRPr="00952859">
        <w:rPr>
          <w:b/>
        </w:rPr>
        <w:t>zems labiekārtojuma līmenis un slikts tehniskais stāvoklis</w:t>
      </w:r>
      <w:r w:rsidR="00952859">
        <w:t xml:space="preserve">. Liela daļa romu </w:t>
      </w:r>
      <w:r w:rsidR="003B387E">
        <w:t>a</w:t>
      </w:r>
      <w:r w:rsidR="00952859">
        <w:t xml:space="preserve">pdzīvoto mājokļu ir </w:t>
      </w:r>
      <w:r w:rsidR="00952859" w:rsidRPr="00952859">
        <w:rPr>
          <w:b/>
        </w:rPr>
        <w:t>pārapdzīvoti</w:t>
      </w:r>
      <w:r w:rsidR="00952859">
        <w:t xml:space="preserve">, kas nozīmē, ka netiek ievērotas minimālās prasības attiecībā uz mājokļa lielumu un platību, kas ir viens no nevienlīdzības mājokļu pieejamības jomā rādītājiem. </w:t>
      </w:r>
    </w:p>
    <w:p w:rsidR="006E7021" w:rsidRDefault="006E7021" w:rsidP="006E7021">
      <w:pPr>
        <w:tabs>
          <w:tab w:val="num" w:pos="720"/>
        </w:tabs>
      </w:pPr>
    </w:p>
    <w:p w:rsidR="00952859" w:rsidRDefault="00952859" w:rsidP="006E7021">
      <w:pPr>
        <w:tabs>
          <w:tab w:val="num" w:pos="720"/>
        </w:tabs>
      </w:pPr>
      <w:r>
        <w:t xml:space="preserve">Romi ir arī viena no tām grupām, kas saskaras ar tādu mājokļa pieejamības nevienlīdzības rādītāju kā sociālie aizspriedumi. Proti, sabiedrībā joprojām pastāv </w:t>
      </w:r>
      <w:r w:rsidRPr="006E7021">
        <w:t>aizspriedumi par romiem kā nevēlamiem īrniekiem un kaimiņiem</w:t>
      </w:r>
      <w:r>
        <w:t xml:space="preserve">, kas apgrūtina šīs mērķa grupas iespējas īrēt privātos mājokļus. </w:t>
      </w:r>
    </w:p>
    <w:p w:rsidR="00D03DA0" w:rsidRPr="00D03DA0" w:rsidRDefault="00D03DA0" w:rsidP="00C33A64">
      <w:pPr>
        <w:pStyle w:val="virsrakstslvl4"/>
        <w:rPr>
          <w:color w:val="000000"/>
        </w:rPr>
      </w:pPr>
      <w:bookmarkStart w:id="778" w:name="_Toc2848249"/>
      <w:bookmarkStart w:id="779" w:name="_Toc6219306"/>
      <w:bookmarkStart w:id="780" w:name="_Toc6220249"/>
      <w:bookmarkStart w:id="781" w:name="_Toc6841679"/>
      <w:r>
        <w:t>P</w:t>
      </w:r>
      <w:r w:rsidRPr="006A431A">
        <w:t xml:space="preserve">atvēruma meklētāji, bēgļi un </w:t>
      </w:r>
      <w:r>
        <w:t>personas ar alternatīvo statusu</w:t>
      </w:r>
      <w:bookmarkEnd w:id="778"/>
      <w:bookmarkEnd w:id="779"/>
      <w:bookmarkEnd w:id="780"/>
      <w:bookmarkEnd w:id="781"/>
    </w:p>
    <w:p w:rsidR="00D03DA0" w:rsidRPr="00FA72C0" w:rsidRDefault="00952859" w:rsidP="00D03DA0">
      <w:pPr>
        <w:suppressAutoHyphens/>
        <w:autoSpaceDE w:val="0"/>
        <w:rPr>
          <w:rFonts w:eastAsiaTheme="majorEastAsia"/>
        </w:rPr>
      </w:pPr>
      <w:r w:rsidRPr="006F5693">
        <w:rPr>
          <w:rFonts w:eastAsiaTheme="majorEastAsia"/>
        </w:rPr>
        <w:t xml:space="preserve">Sociālās palīdzības kopums, </w:t>
      </w:r>
      <w:r>
        <w:rPr>
          <w:rFonts w:eastAsiaTheme="majorEastAsia"/>
        </w:rPr>
        <w:t xml:space="preserve">t.sk. atbalsts mājokļa jomā, </w:t>
      </w:r>
      <w:r w:rsidRPr="006F5693">
        <w:rPr>
          <w:rFonts w:eastAsiaTheme="majorEastAsia"/>
        </w:rPr>
        <w:t xml:space="preserve">kas ir pieejams šai mērķa grupai, ir </w:t>
      </w:r>
      <w:r w:rsidRPr="00B00B3F">
        <w:rPr>
          <w:rFonts w:eastAsiaTheme="majorEastAsia"/>
          <w:b/>
        </w:rPr>
        <w:t>atkarīgs no viņu legālā uzturēšanās statusa un piešķirtās uzturēšanas atļaujas veida</w:t>
      </w:r>
      <w:r w:rsidRPr="006F5693">
        <w:rPr>
          <w:rFonts w:eastAsiaTheme="majorEastAsia"/>
        </w:rPr>
        <w:t>.</w:t>
      </w:r>
      <w:r>
        <w:rPr>
          <w:rFonts w:eastAsiaTheme="majorEastAsia"/>
        </w:rPr>
        <w:t xml:space="preserve"> </w:t>
      </w:r>
      <w:r w:rsidRPr="006F5693">
        <w:rPr>
          <w:rFonts w:eastAsiaTheme="majorEastAsia"/>
        </w:rPr>
        <w:t>Ja patvēruma meklētājam tiek piešķirts bēgļa statuss, tad viņš saņem pastāvīgās uzturēšanās atļauju, kas sniedz tiesības arī saņemt lielāko daļu sociālās palīdzības un sociālo pakalpojumu veidu</w:t>
      </w:r>
      <w:r>
        <w:rPr>
          <w:rFonts w:eastAsiaTheme="majorEastAsia"/>
        </w:rPr>
        <w:t xml:space="preserve">. Bēgļiem un personām ar alternatīvo statusu likums nosaka tiesības izmantot </w:t>
      </w:r>
      <w:r w:rsidRPr="006F5693">
        <w:rPr>
          <w:rFonts w:eastAsiaTheme="majorEastAsia"/>
        </w:rPr>
        <w:t>naktspatversmes un patversmes pakalpojumus</w:t>
      </w:r>
      <w:r>
        <w:rPr>
          <w:rFonts w:eastAsiaTheme="majorEastAsia"/>
        </w:rPr>
        <w:t xml:space="preserve">, saņemt </w:t>
      </w:r>
      <w:r w:rsidRPr="006F5693">
        <w:rPr>
          <w:rFonts w:eastAsiaTheme="majorEastAsia"/>
        </w:rPr>
        <w:t>dzīvokļa pabalstu tādā kārtībā un apmērā, kāds noteikts attiecīgās pašvaldības iedzīvotājiem</w:t>
      </w:r>
      <w:r>
        <w:rPr>
          <w:rFonts w:eastAsiaTheme="majorEastAsia"/>
        </w:rPr>
        <w:t xml:space="preserve">. </w:t>
      </w:r>
      <w:r w:rsidR="00FA72C0">
        <w:rPr>
          <w:rFonts w:eastAsiaTheme="majorEastAsia"/>
        </w:rPr>
        <w:t xml:space="preserve">Vienlaikus pastāv būtisks ierobežojums - </w:t>
      </w:r>
      <w:r w:rsidR="00FA72C0" w:rsidRPr="00FA72C0">
        <w:rPr>
          <w:rFonts w:eastAsiaTheme="majorEastAsia"/>
        </w:rPr>
        <w:t xml:space="preserve">bēglis vai persona, kura ir </w:t>
      </w:r>
      <w:r w:rsidR="00FA72C0" w:rsidRPr="00FA72C0">
        <w:rPr>
          <w:rFonts w:eastAsiaTheme="majorEastAsia"/>
        </w:rPr>
        <w:lastRenderedPageBreak/>
        <w:t>ieguvusi alternatīvo statusu</w:t>
      </w:r>
      <w:r w:rsidR="004E5D1A">
        <w:rPr>
          <w:rFonts w:eastAsiaTheme="majorEastAsia"/>
        </w:rPr>
        <w:t>,</w:t>
      </w:r>
      <w:r w:rsidR="00FA72C0" w:rsidRPr="00FA72C0">
        <w:rPr>
          <w:rFonts w:eastAsiaTheme="majorEastAsia"/>
        </w:rPr>
        <w:t xml:space="preserve"> nevar iegūt tiesības saņemt sociālo palīdzību vai palīdzību dzīvokļa jautājumu risināšanā </w:t>
      </w:r>
      <w:r w:rsidR="00FA72C0" w:rsidRPr="00FA72C0">
        <w:rPr>
          <w:rFonts w:eastAsiaTheme="majorEastAsia"/>
          <w:b/>
        </w:rPr>
        <w:t>dzīves vietas deklarācijas problēmu dēļ</w:t>
      </w:r>
      <w:r w:rsidR="00FA72C0">
        <w:rPr>
          <w:rFonts w:eastAsiaTheme="majorEastAsia"/>
        </w:rPr>
        <w:t xml:space="preserve">. </w:t>
      </w:r>
    </w:p>
    <w:p w:rsidR="00952859" w:rsidRDefault="00952859" w:rsidP="00D03DA0">
      <w:pPr>
        <w:suppressAutoHyphens/>
        <w:autoSpaceDE w:val="0"/>
        <w:rPr>
          <w:rFonts w:eastAsiaTheme="majorEastAsia"/>
        </w:rPr>
      </w:pPr>
    </w:p>
    <w:p w:rsidR="00952859" w:rsidRDefault="00952859" w:rsidP="00D03DA0">
      <w:pPr>
        <w:suppressAutoHyphens/>
        <w:autoSpaceDE w:val="0"/>
      </w:pPr>
      <w:r w:rsidRPr="004D0492">
        <w:t xml:space="preserve">Problēmas atrast sev piemērotu mājokli ir </w:t>
      </w:r>
      <w:r>
        <w:rPr>
          <w:b/>
        </w:rPr>
        <w:t>bēgļiem un personām ar alternatīvo statusu</w:t>
      </w:r>
      <w:r w:rsidRPr="00B00B3F">
        <w:rPr>
          <w:b/>
        </w:rPr>
        <w:t>, kuras ir gan vizuāli atšķirīgas, gan ar vājām starpniekvalodu (krievu vai angļu valodas) zināšanām</w:t>
      </w:r>
      <w:r w:rsidRPr="004D0492">
        <w:t>, kas būtiski apgrūtina saskarsmi ar mājokļu īpašniekiem.</w:t>
      </w:r>
    </w:p>
    <w:p w:rsidR="00952859" w:rsidRDefault="00952859" w:rsidP="00D03DA0">
      <w:pPr>
        <w:suppressAutoHyphens/>
        <w:autoSpaceDE w:val="0"/>
      </w:pPr>
    </w:p>
    <w:p w:rsidR="00FA72C0" w:rsidRDefault="00952859" w:rsidP="00D03DA0">
      <w:pPr>
        <w:suppressAutoHyphens/>
        <w:autoSpaceDE w:val="0"/>
      </w:pPr>
      <w:r>
        <w:t xml:space="preserve">Būtisks faktors, kas negatīvi ietekmē mājokļu pieejamību šai mērķa grupai, ir tās </w:t>
      </w:r>
      <w:r w:rsidRPr="00952859">
        <w:rPr>
          <w:b/>
        </w:rPr>
        <w:t>zemā maksātspēja</w:t>
      </w:r>
      <w:r>
        <w:t>, kas, savukārt, ir saistīta ar grūtībām atrast darbu un saņemt regulārus ikmēneša ienākumus un īrēt labiekārtotu mājokli.</w:t>
      </w:r>
      <w:r w:rsidR="00FA72C0">
        <w:t xml:space="preserve"> V</w:t>
      </w:r>
      <w:r w:rsidR="00FA72C0" w:rsidRPr="00FA72C0">
        <w:t xml:space="preserve">ienreizējas finansiālas palīdzības sniegšana mājokļa nodrošināšanai </w:t>
      </w:r>
      <w:r w:rsidR="00FA72C0">
        <w:t>šai m</w:t>
      </w:r>
      <w:r w:rsidR="003B387E">
        <w:t>ēr</w:t>
      </w:r>
      <w:r w:rsidR="00FA72C0">
        <w:t xml:space="preserve">ķa grupai </w:t>
      </w:r>
      <w:r w:rsidR="00FA72C0" w:rsidRPr="00FA72C0">
        <w:t>liedz mājokļa jautājumu atrisināt kopumā, jo pastāv risks, ka personas nespēs turpmāk pastāvīgi nodrošināt mājokļa īri</w:t>
      </w:r>
      <w:r w:rsidR="00FA72C0">
        <w:t xml:space="preserve">. </w:t>
      </w:r>
    </w:p>
    <w:p w:rsidR="00D03DA0" w:rsidRPr="00BB4AB7" w:rsidRDefault="00D03DA0" w:rsidP="00C33A64">
      <w:pPr>
        <w:pStyle w:val="virsrakstslvl4"/>
      </w:pPr>
      <w:bookmarkStart w:id="782" w:name="_Toc2848250"/>
      <w:bookmarkStart w:id="783" w:name="_Toc6219307"/>
      <w:bookmarkStart w:id="784" w:name="_Toc6220250"/>
      <w:bookmarkStart w:id="785" w:name="_Toc6841680"/>
      <w:r>
        <w:t>B</w:t>
      </w:r>
      <w:r w:rsidRPr="00D03DA0">
        <w:t>ezdarbnieki</w:t>
      </w:r>
      <w:r>
        <w:t xml:space="preserve"> un </w:t>
      </w:r>
      <w:r w:rsidRPr="006A431A">
        <w:t>bezpajumtnieki</w:t>
      </w:r>
      <w:bookmarkEnd w:id="782"/>
      <w:bookmarkEnd w:id="783"/>
      <w:bookmarkEnd w:id="784"/>
      <w:bookmarkEnd w:id="785"/>
      <w:r>
        <w:t xml:space="preserve"> </w:t>
      </w:r>
    </w:p>
    <w:p w:rsidR="00FA72C0" w:rsidRDefault="00FA72C0" w:rsidP="00FA72C0">
      <w:pPr>
        <w:rPr>
          <w:color w:val="000000"/>
        </w:rPr>
      </w:pPr>
      <w:r w:rsidRPr="006A431A">
        <w:rPr>
          <w:color w:val="000000"/>
        </w:rPr>
        <w:t xml:space="preserve">Attiecībā uz </w:t>
      </w:r>
      <w:r w:rsidRPr="007F7152">
        <w:rPr>
          <w:color w:val="000000"/>
        </w:rPr>
        <w:t>bezdarbniekiem</w:t>
      </w:r>
      <w:r w:rsidRPr="006A431A">
        <w:rPr>
          <w:color w:val="000000"/>
        </w:rPr>
        <w:t xml:space="preserve">, t.sk. ilgstošajiem bezdarbniekiem, kā atbalstāmu mērķa grupu, </w:t>
      </w:r>
      <w:r>
        <w:rPr>
          <w:color w:val="000000"/>
        </w:rPr>
        <w:t xml:space="preserve">Izvērtējumā intervēto </w:t>
      </w:r>
      <w:r w:rsidRPr="006A431A">
        <w:rPr>
          <w:color w:val="000000"/>
        </w:rPr>
        <w:t xml:space="preserve">ekspertu vidū dominē viedoklis, ka šie pēc būtības ir </w:t>
      </w:r>
      <w:r w:rsidRPr="00B00B3F">
        <w:rPr>
          <w:b/>
          <w:color w:val="000000"/>
        </w:rPr>
        <w:t>darbspējīgi iedzīvotāji, kuriem ir pašiem jārisina mājokļa jautājums</w:t>
      </w:r>
      <w:r w:rsidRPr="006A431A">
        <w:rPr>
          <w:color w:val="000000"/>
        </w:rPr>
        <w:t xml:space="preserve">. </w:t>
      </w:r>
      <w:r>
        <w:rPr>
          <w:color w:val="000000"/>
        </w:rPr>
        <w:t xml:space="preserve">Tas pats attiecas uz tipiskajām problēmām mājokļa jomā, proti, bezdarbniekiem ir raksturīgas tās problēmas, kas mērķa grupām, kurām tie ir piekritīgi pēc citām pazīmēm – veselības stāvokļa, ienākumu līmeņa, vecuma. </w:t>
      </w:r>
    </w:p>
    <w:p w:rsidR="00FF7419" w:rsidRDefault="00FF7419" w:rsidP="00FF7419"/>
    <w:p w:rsidR="00A90073" w:rsidRDefault="00FA72C0" w:rsidP="00A90073">
      <w:pPr>
        <w:rPr>
          <w:b/>
        </w:rPr>
      </w:pPr>
      <w:r w:rsidRPr="007F7152">
        <w:rPr>
          <w:color w:val="000000"/>
        </w:rPr>
        <w:t>Bezpajumtnieki</w:t>
      </w:r>
      <w:r>
        <w:rPr>
          <w:b/>
          <w:color w:val="000000"/>
        </w:rPr>
        <w:t xml:space="preserve"> </w:t>
      </w:r>
      <w:r>
        <w:rPr>
          <w:color w:val="000000"/>
        </w:rPr>
        <w:t>jeb personas bez dzīves vietas ir specifiska mērķa grupa mājokļa jomā tādā nozīmē, ka visbiežāk tie ir cilvēki, kuriem nav darba, nav iztikas līdzekļu un mājokļa.</w:t>
      </w:r>
      <w:r w:rsidR="00A90073">
        <w:rPr>
          <w:color w:val="000000"/>
        </w:rPr>
        <w:t xml:space="preserve"> Raksturojot šīs grupas problēmas mājokļa jomā un to iemeslus, Izvērtējumā intervētā eksperte skaidroja, ka, pirmkārt, </w:t>
      </w:r>
      <w:r w:rsidR="00A90073" w:rsidRPr="00A90073">
        <w:rPr>
          <w:color w:val="000000"/>
        </w:rPr>
        <w:t>daudzos gadījumos personām bez dzīvesvietas</w:t>
      </w:r>
      <w:r w:rsidR="00A90073" w:rsidRPr="002E0962">
        <w:rPr>
          <w:b/>
          <w:color w:val="000000"/>
        </w:rPr>
        <w:t xml:space="preserve"> nav piešķirts trūcīgas personas statuss, kas ierobežo tās iespējas saņemt sociālo palīdzību no pašvaldības</w:t>
      </w:r>
      <w:r w:rsidR="00A90073">
        <w:rPr>
          <w:color w:val="000000"/>
        </w:rPr>
        <w:t xml:space="preserve">. Otrkārt, personām bez dzīves vietas ir raksturīgas </w:t>
      </w:r>
      <w:r w:rsidR="00A90073" w:rsidRPr="002E0962">
        <w:rPr>
          <w:b/>
          <w:color w:val="000000"/>
        </w:rPr>
        <w:t>zemas sociālās funkcionēšanas prasmes</w:t>
      </w:r>
      <w:r w:rsidR="00A90073">
        <w:rPr>
          <w:color w:val="000000"/>
        </w:rPr>
        <w:t xml:space="preserve">, lai dzīvotu patstāvīgi, nav atbildības sajūtas, prasmes plānot savus ienākumus un izdevumus. Treškārt, personām bez dzīvesvietas ir raksturīgs </w:t>
      </w:r>
      <w:r w:rsidR="00A90073" w:rsidRPr="002E0962">
        <w:rPr>
          <w:b/>
          <w:color w:val="000000"/>
        </w:rPr>
        <w:t>zems motivācijas un līdzdalības līmenis savu sociālo un finansiālo problēmu risināšanā</w:t>
      </w:r>
      <w:r w:rsidR="00A90073">
        <w:rPr>
          <w:color w:val="000000"/>
        </w:rPr>
        <w:t>.</w:t>
      </w:r>
    </w:p>
    <w:p w:rsidR="00F45B36" w:rsidRPr="00A860EF" w:rsidRDefault="00F45B36" w:rsidP="003945E0">
      <w:pPr>
        <w:pStyle w:val="Heading3"/>
      </w:pPr>
      <w:bookmarkStart w:id="786" w:name="_Toc6841681"/>
      <w:r w:rsidRPr="00A860EF">
        <w:t>Galvenās problēmas, nepieciešamie risinājumi un ieteikumi</w:t>
      </w:r>
      <w:bookmarkEnd w:id="786"/>
      <w:r w:rsidRPr="00A860EF">
        <w:t xml:space="preserve"> </w:t>
      </w:r>
    </w:p>
    <w:p w:rsidR="005D76F3" w:rsidRPr="005D76F3" w:rsidRDefault="005D76F3" w:rsidP="005D76F3">
      <w:r w:rsidRPr="005D76F3">
        <w:t>Izvērtējumā identificētas un analizētas šādas galvenās mājokļa jomu un nevienlīdzību mājokļa jomā raksturojošās problēmas:</w:t>
      </w:r>
    </w:p>
    <w:p w:rsidR="005D76F3" w:rsidRPr="00116E53" w:rsidRDefault="005D76F3" w:rsidP="003F469F">
      <w:pPr>
        <w:pStyle w:val="ListParagraph"/>
        <w:numPr>
          <w:ilvl w:val="0"/>
          <w:numId w:val="151"/>
        </w:numPr>
        <w:spacing w:line="276" w:lineRule="auto"/>
        <w:ind w:left="714" w:hanging="357"/>
        <w:jc w:val="both"/>
      </w:pPr>
      <w:r w:rsidRPr="00116E53">
        <w:t>politikas plānošanas</w:t>
      </w:r>
      <w:r>
        <w:t xml:space="preserve"> jumta</w:t>
      </w:r>
      <w:r w:rsidRPr="00116E53">
        <w:t xml:space="preserve"> dokumenta (mājokļu politikas pamatnostādņu) trūkums, kas liedz attīstīt vienotu pieeju mājokļa problēmu risināšanā, t.sk. attiecībā uz īres namu būvniecību;</w:t>
      </w:r>
    </w:p>
    <w:p w:rsidR="005D76F3" w:rsidRPr="00116E53" w:rsidRDefault="005D76F3" w:rsidP="003F469F">
      <w:pPr>
        <w:pStyle w:val="ListParagraph"/>
        <w:numPr>
          <w:ilvl w:val="0"/>
          <w:numId w:val="151"/>
        </w:numPr>
        <w:spacing w:line="276" w:lineRule="auto"/>
        <w:ind w:left="714" w:hanging="357"/>
        <w:jc w:val="both"/>
      </w:pPr>
      <w:r w:rsidRPr="00116E53">
        <w:t>tiesiskā regulējuma pilnveidošanas gausā gaita (likumprojekta “Dzīvojamo telpu īres likums” ilgstošā izstrāde un virzība uz pieņemšanu Saeimā</w:t>
      </w:r>
      <w:r>
        <w:t xml:space="preserve"> un attiecīgi saistīto normatīvo aktu grozījumu veikšanas kavēšanās</w:t>
      </w:r>
      <w:r w:rsidRPr="00116E53">
        <w:t>);</w:t>
      </w:r>
    </w:p>
    <w:p w:rsidR="005D76F3" w:rsidRPr="00220F9B" w:rsidRDefault="005D76F3" w:rsidP="003F469F">
      <w:pPr>
        <w:pStyle w:val="ListParagraph"/>
        <w:numPr>
          <w:ilvl w:val="0"/>
          <w:numId w:val="151"/>
        </w:numPr>
        <w:spacing w:line="276" w:lineRule="auto"/>
        <w:ind w:left="714" w:hanging="357"/>
        <w:jc w:val="both"/>
      </w:pPr>
      <w:r w:rsidRPr="00116E53">
        <w:rPr>
          <w:bCs/>
        </w:rPr>
        <w:t>nevienlīdzība</w:t>
      </w:r>
      <w:r>
        <w:rPr>
          <w:bCs/>
        </w:rPr>
        <w:t>s</w:t>
      </w:r>
      <w:r w:rsidRPr="00116E53">
        <w:rPr>
          <w:bCs/>
        </w:rPr>
        <w:t xml:space="preserve"> mājokļu jomā tiešā saikne ar ienākumu nevienlīdzību: jo zemāki mājsaimniecības ienākumi, jo zemākas kvalitātes mājokļos tās dzīvo</w:t>
      </w:r>
      <w:r w:rsidR="00DA3638">
        <w:rPr>
          <w:bCs/>
        </w:rPr>
        <w:t xml:space="preserve"> </w:t>
      </w:r>
      <w:r w:rsidR="00DA3638" w:rsidRPr="00DA3638">
        <w:rPr>
          <w:bCs/>
        </w:rPr>
        <w:t>(</w:t>
      </w:r>
      <w:r w:rsidR="00220F9B">
        <w:t>neatkarīgi no ienākumu apmēra, 2017.</w:t>
      </w:r>
      <w:r w:rsidR="00D54545">
        <w:t xml:space="preserve"> </w:t>
      </w:r>
      <w:r w:rsidR="00220F9B">
        <w:t xml:space="preserve">gadā </w:t>
      </w:r>
      <w:r w:rsidR="00220F9B" w:rsidRPr="00220F9B">
        <w:t>80% mājsaimniecību ar mājokļa uzturēšanu saistītie izdevumi apgrūtinājuši to finansiālo situāciju</w:t>
      </w:r>
      <w:r w:rsidR="00DA3638" w:rsidRPr="00220F9B">
        <w:t>)</w:t>
      </w:r>
      <w:r w:rsidRPr="00220F9B">
        <w:rPr>
          <w:bCs/>
        </w:rPr>
        <w:t>;</w:t>
      </w:r>
    </w:p>
    <w:p w:rsidR="005D76F3" w:rsidRPr="00116E53" w:rsidRDefault="005D76F3" w:rsidP="003F469F">
      <w:pPr>
        <w:pStyle w:val="ListParagraph"/>
        <w:numPr>
          <w:ilvl w:val="0"/>
          <w:numId w:val="151"/>
        </w:numPr>
        <w:spacing w:line="276" w:lineRule="auto"/>
        <w:ind w:left="714" w:hanging="357"/>
        <w:jc w:val="both"/>
      </w:pPr>
      <w:r w:rsidRPr="00116E53">
        <w:t>ilgstošas rindas uz pašvaldības mājokļiem, sociālajiem mājokļiem</w:t>
      </w:r>
      <w:r>
        <w:t xml:space="preserve"> (līdz pat 12 gadiem)</w:t>
      </w:r>
      <w:r w:rsidRPr="00116E53">
        <w:t>;</w:t>
      </w:r>
    </w:p>
    <w:p w:rsidR="005D76F3" w:rsidRPr="00116E53" w:rsidRDefault="005D76F3" w:rsidP="003F469F">
      <w:pPr>
        <w:pStyle w:val="ListParagraph"/>
        <w:numPr>
          <w:ilvl w:val="0"/>
          <w:numId w:val="151"/>
        </w:numPr>
        <w:spacing w:line="276" w:lineRule="auto"/>
        <w:ind w:left="714" w:hanging="357"/>
        <w:jc w:val="both"/>
      </w:pPr>
      <w:r w:rsidRPr="00116E53">
        <w:rPr>
          <w:bCs/>
        </w:rPr>
        <w:lastRenderedPageBreak/>
        <w:t>dzīvojamā fonda neapmierinošais tehniskais stāvoklis un neatbilstība iedzīvotāju, t.sk. specifisku mērķa grupu (piemēram, personu ar invaliditāti) pieprasījumam;</w:t>
      </w:r>
    </w:p>
    <w:p w:rsidR="005D76F3" w:rsidRPr="00116E53" w:rsidRDefault="005D76F3" w:rsidP="003F469F">
      <w:pPr>
        <w:pStyle w:val="ListParagraph"/>
        <w:numPr>
          <w:ilvl w:val="0"/>
          <w:numId w:val="151"/>
        </w:numPr>
        <w:spacing w:line="276" w:lineRule="auto"/>
        <w:ind w:left="714" w:hanging="357"/>
        <w:jc w:val="both"/>
      </w:pPr>
      <w:r w:rsidRPr="00116E53">
        <w:t xml:space="preserve">risks pieaugt iedzīvotāju īpatsvaram, kuriem ir apgrūtināta mājokļa pieejamība, kas ir saistīts ar dzīvojamā fonda novecošanos; </w:t>
      </w:r>
    </w:p>
    <w:p w:rsidR="005D76F3" w:rsidRPr="00116E53" w:rsidRDefault="005D76F3" w:rsidP="003F469F">
      <w:pPr>
        <w:pStyle w:val="ListParagraph"/>
        <w:numPr>
          <w:ilvl w:val="0"/>
          <w:numId w:val="151"/>
        </w:numPr>
        <w:spacing w:line="276" w:lineRule="auto"/>
        <w:ind w:left="714" w:hanging="357"/>
        <w:jc w:val="both"/>
      </w:pPr>
      <w:r w:rsidRPr="00116E53">
        <w:t xml:space="preserve">dzīvojamā fonda atjaunošanas un būvniecības problēmas; </w:t>
      </w:r>
    </w:p>
    <w:p w:rsidR="005D76F3" w:rsidRPr="00116E53" w:rsidRDefault="00A860EF" w:rsidP="003F469F">
      <w:pPr>
        <w:pStyle w:val="ListParagraph"/>
        <w:numPr>
          <w:ilvl w:val="0"/>
          <w:numId w:val="151"/>
        </w:numPr>
        <w:spacing w:line="276" w:lineRule="auto"/>
        <w:ind w:left="714" w:hanging="357"/>
        <w:jc w:val="both"/>
      </w:pPr>
      <w:r>
        <w:t xml:space="preserve">īres </w:t>
      </w:r>
      <w:r w:rsidR="005D76F3" w:rsidRPr="00116E53">
        <w:t>mājokļu būvniecība</w:t>
      </w:r>
      <w:r>
        <w:t>s</w:t>
      </w:r>
      <w:r w:rsidR="005D76F3" w:rsidRPr="00116E53">
        <w:t xml:space="preserve"> un īres tirgus nesakārtotība, stagnācija, valsts nodokļu politikas radītie šķēršļi legālā īres tirgus attīstībai un jaunu mājokļu būvniecībai;</w:t>
      </w:r>
    </w:p>
    <w:p w:rsidR="005D76F3" w:rsidRPr="00116E53" w:rsidRDefault="005D76F3" w:rsidP="003F469F">
      <w:pPr>
        <w:pStyle w:val="ListParagraph"/>
        <w:numPr>
          <w:ilvl w:val="0"/>
          <w:numId w:val="151"/>
        </w:numPr>
        <w:spacing w:line="276" w:lineRule="auto"/>
        <w:ind w:left="714" w:hanging="357"/>
        <w:jc w:val="both"/>
      </w:pPr>
      <w:r w:rsidRPr="00116E53">
        <w:rPr>
          <w:bCs/>
        </w:rPr>
        <w:t>privātā un publiskā sektora attiecības mājokļa jomā</w:t>
      </w:r>
      <w:r w:rsidRPr="00116E53">
        <w:t>: mājokļu brīvā tirgus principu un pašvaldību autonomās funkcijas sniegt palīdzību mājokļa jomā salāgošana</w:t>
      </w:r>
      <w:r w:rsidR="009B6A66">
        <w:t>s grūtības</w:t>
      </w:r>
      <w:r w:rsidRPr="00116E53">
        <w:t>;</w:t>
      </w:r>
    </w:p>
    <w:p w:rsidR="005D76F3" w:rsidRPr="00116E53" w:rsidRDefault="005D76F3" w:rsidP="003F469F">
      <w:pPr>
        <w:pStyle w:val="ListParagraph"/>
        <w:numPr>
          <w:ilvl w:val="0"/>
          <w:numId w:val="151"/>
        </w:numPr>
        <w:spacing w:line="276" w:lineRule="auto"/>
        <w:ind w:left="714" w:hanging="357"/>
        <w:jc w:val="both"/>
      </w:pPr>
      <w:r w:rsidRPr="00116E53">
        <w:rPr>
          <w:bCs/>
        </w:rPr>
        <w:t>vienotas pieejas trūkums dzīvokļa pabalsta sniegšanas kārtībā pašvaldībās, radot nevienlīdzīgu pieeju sociāl</w:t>
      </w:r>
      <w:r w:rsidR="00A860EF">
        <w:rPr>
          <w:bCs/>
        </w:rPr>
        <w:t>ajām</w:t>
      </w:r>
      <w:r w:rsidRPr="00116E53">
        <w:rPr>
          <w:bCs/>
        </w:rPr>
        <w:t xml:space="preserve"> grup</w:t>
      </w:r>
      <w:r w:rsidR="00A860EF">
        <w:rPr>
          <w:bCs/>
        </w:rPr>
        <w:t>ām</w:t>
      </w:r>
      <w:r w:rsidRPr="00116E53">
        <w:rPr>
          <w:bCs/>
        </w:rPr>
        <w:t xml:space="preserve"> atbalsta sniegšanā atkarībā no pašvaldības;</w:t>
      </w:r>
    </w:p>
    <w:p w:rsidR="005D76F3" w:rsidRPr="00A860EF" w:rsidRDefault="005D76F3" w:rsidP="003F469F">
      <w:pPr>
        <w:pStyle w:val="ListParagraph"/>
        <w:numPr>
          <w:ilvl w:val="0"/>
          <w:numId w:val="151"/>
        </w:numPr>
        <w:spacing w:line="276" w:lineRule="auto"/>
        <w:ind w:left="714" w:hanging="357"/>
        <w:jc w:val="both"/>
      </w:pPr>
      <w:r w:rsidRPr="00116E53">
        <w:rPr>
          <w:bCs/>
        </w:rPr>
        <w:t>pagaidu mājokļu pieejamības problēma specifiskām mērķa grupām (no ieslodzījuma vietām atbrīvotas personas, vardarbībā cietušas personas</w:t>
      </w:r>
      <w:r w:rsidR="00A860EF">
        <w:rPr>
          <w:bCs/>
        </w:rPr>
        <w:t>, iedzīvotāji krīzes situācijās</w:t>
      </w:r>
      <w:r w:rsidRPr="00116E53">
        <w:rPr>
          <w:bCs/>
        </w:rPr>
        <w:t xml:space="preserve"> u.c.).</w:t>
      </w:r>
    </w:p>
    <w:p w:rsidR="00A860EF" w:rsidRDefault="00A860EF" w:rsidP="00A860EF"/>
    <w:p w:rsidR="00EA26D7" w:rsidRDefault="00EA26D7" w:rsidP="00A860EF">
      <w:r>
        <w:t>Lielākā daļa mājokļa jomas problēmu, kuras ir novēršamas, lai mazinātu nevienlīdzību mājokļa pieejamības jomā, ir saistītas ar dzīvojamā fonda atjaunošanu un attīstību</w:t>
      </w:r>
      <w:r w:rsidR="003B387E">
        <w:t xml:space="preserve">, </w:t>
      </w:r>
      <w:r>
        <w:t xml:space="preserve">kā arī īres tirgus attīstības veicināšanas pasākumu īstenošanas nepieciešamību. Problēmu pamatā ir nepilnības politikas plānošanā un tiesiskā regulējuma sakārtošanā, publiskā un privātā sektora sadarbības iespējas mājokļu jomā, iedzīvotāju zemā kapacitāte risināt mājokļu tehniskā stāvokļa problēmas. Līdzās tehniskajiem un administratīvi tiesiskajiem, kā arī fiskālajiem (nodokļu sloga mazināšanas) risinājumiem nepieciešams pilnvērtīgi izmantot t.s. netiešos risinājumus – iedzīvotāju sociālo prasmju attīstīšanu noteiktās mērķa grupās, līdzdalības līmeņa celšanu savu problēmu risināšanā, esošo palīdzības un pakalpojumu veidu mērķēta izmantošana, ar to saprotot, pēc iespējas izslēgt gadījumus, kad personas ļaunprātīgi izmanto kādus palīdzības veidus, kuri pēc būtības tām nepienākas, maldinot pašvaldību atbildīgo iestāžu darbiniekus par savu faktisko situāciju. </w:t>
      </w:r>
    </w:p>
    <w:p w:rsidR="00EA26D7" w:rsidRPr="005D76F3" w:rsidRDefault="00EA26D7" w:rsidP="00A860EF"/>
    <w:tbl>
      <w:tblPr>
        <w:tblStyle w:val="TableGrid"/>
        <w:tblW w:w="0" w:type="auto"/>
        <w:tblLook w:val="04A0"/>
      </w:tblPr>
      <w:tblGrid>
        <w:gridCol w:w="1838"/>
        <w:gridCol w:w="7844"/>
      </w:tblGrid>
      <w:tr w:rsidR="00316778" w:rsidRPr="006106B3" w:rsidTr="006106B3">
        <w:tc>
          <w:tcPr>
            <w:tcW w:w="1838" w:type="dxa"/>
            <w:shd w:val="clear" w:color="auto" w:fill="B8CCE4" w:themeFill="accent1" w:themeFillTint="66"/>
          </w:tcPr>
          <w:p w:rsidR="00A860EF" w:rsidRPr="006106B3" w:rsidRDefault="00A860EF" w:rsidP="00EA26D7">
            <w:pPr>
              <w:spacing w:before="160" w:after="160"/>
              <w:jc w:val="left"/>
              <w:rPr>
                <w:b/>
                <w:color w:val="002060"/>
              </w:rPr>
            </w:pPr>
            <w:r w:rsidRPr="006106B3">
              <w:rPr>
                <w:b/>
                <w:color w:val="002060"/>
              </w:rPr>
              <w:t>Problēma</w:t>
            </w:r>
          </w:p>
        </w:tc>
        <w:tc>
          <w:tcPr>
            <w:tcW w:w="7844" w:type="dxa"/>
            <w:shd w:val="clear" w:color="auto" w:fill="B8CCE4" w:themeFill="accent1" w:themeFillTint="66"/>
          </w:tcPr>
          <w:p w:rsidR="00A860EF" w:rsidRPr="006106B3" w:rsidRDefault="00A860EF" w:rsidP="00EA26D7">
            <w:pPr>
              <w:spacing w:before="160" w:after="160"/>
              <w:rPr>
                <w:b/>
                <w:color w:val="002060"/>
              </w:rPr>
            </w:pPr>
            <w:r w:rsidRPr="006106B3">
              <w:rPr>
                <w:b/>
                <w:color w:val="002060"/>
              </w:rPr>
              <w:t xml:space="preserve">Nepietiekams pašvaldību dzīvojamais fonds </w:t>
            </w:r>
          </w:p>
        </w:tc>
      </w:tr>
      <w:tr w:rsidR="00950526" w:rsidTr="00950526">
        <w:tc>
          <w:tcPr>
            <w:tcW w:w="1838" w:type="dxa"/>
          </w:tcPr>
          <w:p w:rsidR="00950526" w:rsidRDefault="00950526" w:rsidP="00950526">
            <w:pPr>
              <w:jc w:val="left"/>
            </w:pPr>
            <w:r>
              <w:t>Ieteikumi problēmas risinājumam</w:t>
            </w:r>
          </w:p>
        </w:tc>
        <w:tc>
          <w:tcPr>
            <w:tcW w:w="7844" w:type="dxa"/>
          </w:tcPr>
          <w:p w:rsidR="00950526" w:rsidRDefault="00950526" w:rsidP="00950526">
            <w:r>
              <w:t>Turpināt darbu pie valsts atbalsta programmas izstrādes pašvaldībām īres namu būvniecības atbalstam, samazinot investīciju atmaksas riskus un ceļot būvniecības izmaksu efektivitāti. Īres dzīvokļu kā mājokļa tipa priekšrocība ir iespējā salāgot cilvēka dzīves cikla un mājokļa vajadzības (piemēram, gados jauniem un veciem cilvēkiem bez bērniem ir nepieciešami mazāki mājokļi, kamēr ģimenēm ar bērniem  lielāki). Vi</w:t>
            </w:r>
            <w:r w:rsidR="005110A1">
              <w:t>enlaikus jāņem vērā, ka īres na</w:t>
            </w:r>
            <w:r>
              <w:t>mu būvniecība nav risinājums sociālā dzīvojamā fonda veidošanai.</w:t>
            </w:r>
          </w:p>
          <w:p w:rsidR="00950526" w:rsidRDefault="00950526" w:rsidP="00950526">
            <w:r>
              <w:t>Papildu risinājums ir izvērtēt iespēju pašvaldībām iepirkt īre</w:t>
            </w:r>
            <w:r w:rsidR="00527D70">
              <w:t>s pakalpojumus (nomāt dzīvojamo</w:t>
            </w:r>
            <w:r>
              <w:t xml:space="preserve"> platību). </w:t>
            </w:r>
          </w:p>
          <w:p w:rsidR="00950526" w:rsidRDefault="00950526" w:rsidP="00950526">
            <w:r>
              <w:t xml:space="preserve">Nepieciešams turpināt darbu pie mājokļa politikas plānošanas dokumentu izstrādes un tiesiskā regulējuma pilnveidošanas ar mērķi attīstīt mājokļu īres un būvniecības tirgu. </w:t>
            </w:r>
          </w:p>
          <w:p w:rsidR="00950526" w:rsidRDefault="00950526" w:rsidP="00950526">
            <w:r>
              <w:t xml:space="preserve">Mājokļu cenai un kvalitātei vajadzētu nosegt visu mājokļa vajadzību spektru, tāpēc esošajā situācijā nepieciešams dažādot mājokļu piedāvājumu vai atvieglot mājokļu maiņas iespējas iedzīvotājiem, mazinot administratīvos un </w:t>
            </w:r>
            <w:r>
              <w:lastRenderedPageBreak/>
              <w:t xml:space="preserve">fiskālos šķēršļus. </w:t>
            </w:r>
          </w:p>
          <w:p w:rsidR="00950526" w:rsidRPr="000527DF" w:rsidRDefault="00950526" w:rsidP="00950526">
            <w:r>
              <w:t xml:space="preserve">Mazināt ienākuma nodokļa (10%) slogu iedzīvotājiem, kuri izīrē savus mājokļus, tādējādi mākslīgi neceļot īres cenas un attīstot īres tirgu, t.sk. mazcenas īres dzīvokļu tirgu. </w:t>
            </w:r>
          </w:p>
        </w:tc>
      </w:tr>
      <w:tr w:rsidR="00316778" w:rsidRPr="006106B3" w:rsidTr="006106B3">
        <w:tc>
          <w:tcPr>
            <w:tcW w:w="1838" w:type="dxa"/>
            <w:shd w:val="clear" w:color="auto" w:fill="B8CCE4" w:themeFill="accent1" w:themeFillTint="66"/>
          </w:tcPr>
          <w:p w:rsidR="00A860EF" w:rsidRPr="006106B3" w:rsidRDefault="00A860EF" w:rsidP="00EA26D7">
            <w:pPr>
              <w:jc w:val="left"/>
              <w:rPr>
                <w:b/>
                <w:color w:val="002060"/>
              </w:rPr>
            </w:pPr>
            <w:r w:rsidRPr="006106B3">
              <w:rPr>
                <w:b/>
                <w:color w:val="002060"/>
              </w:rPr>
              <w:lastRenderedPageBreak/>
              <w:t>Problēma</w:t>
            </w:r>
          </w:p>
        </w:tc>
        <w:tc>
          <w:tcPr>
            <w:tcW w:w="7844" w:type="dxa"/>
            <w:shd w:val="clear" w:color="auto" w:fill="B8CCE4" w:themeFill="accent1" w:themeFillTint="66"/>
          </w:tcPr>
          <w:p w:rsidR="00A860EF" w:rsidRPr="006106B3" w:rsidRDefault="00A860EF" w:rsidP="00EA26D7">
            <w:pPr>
              <w:rPr>
                <w:b/>
                <w:color w:val="002060"/>
              </w:rPr>
            </w:pPr>
            <w:r w:rsidRPr="006106B3">
              <w:rPr>
                <w:b/>
                <w:color w:val="002060"/>
              </w:rPr>
              <w:t>Neapmierinošs dzīvojamā fonda tehniskais stāvoklis,  radot riskus palikt bez mājokļa ievērojamam iedzīvotāju skaitam</w:t>
            </w:r>
          </w:p>
        </w:tc>
      </w:tr>
      <w:tr w:rsidR="00950526" w:rsidTr="00950526">
        <w:tc>
          <w:tcPr>
            <w:tcW w:w="1838" w:type="dxa"/>
          </w:tcPr>
          <w:p w:rsidR="00950526" w:rsidRDefault="00950526" w:rsidP="00950526">
            <w:pPr>
              <w:jc w:val="left"/>
            </w:pPr>
            <w:r>
              <w:t>Ieteikumi problēmas risinājumam</w:t>
            </w:r>
          </w:p>
        </w:tc>
        <w:tc>
          <w:tcPr>
            <w:tcW w:w="7844" w:type="dxa"/>
          </w:tcPr>
          <w:p w:rsidR="00950526" w:rsidRPr="00527896" w:rsidRDefault="00950526" w:rsidP="00950526">
            <w:r w:rsidRPr="00527896">
              <w:t>Problēma aptver kā publisko, tā privāto sektoru. Lielākā daļa dzīvojamā fonda ir iedzīvotāju īpašumā, vienlaikus iedzīvotājiem ir zema kapacitāte un resursi mājokļu tehniskā stāvokļa uzlabošanai. Iedzīvotāji kā mājokļu īpašnieki (īpaši tas attiecas uz daudzdzīvokļu namiem) nav gatavi uzņemties atbildību, t.sk. finansiālu, par mājokļa tehniskā stāvokļa problēmu risināšanu.</w:t>
            </w:r>
          </w:p>
          <w:p w:rsidR="00950526" w:rsidRPr="00527896" w:rsidRDefault="00950526" w:rsidP="00950526">
            <w:r w:rsidRPr="00527896">
              <w:t xml:space="preserve">Nepieciešams sistemātisks, pēc vienotām tehniskām vadlīnijām veikts dzīvojama fonda tehniskās kvalitātes izvērtējums, nosakot dzīvojamā fonda daļas zaudēšanas riskus un prognozējot iedzīvotāju īpatsvaru, kuriem ir apdraudēta mājokļa pieejamība, kā arī nosakot termiņus, kuros problēma risināma. </w:t>
            </w:r>
          </w:p>
          <w:p w:rsidR="00950526" w:rsidRPr="00527896" w:rsidRDefault="00950526" w:rsidP="00950526">
            <w:r w:rsidRPr="00527896">
              <w:t xml:space="preserve">Balstoties uz veikto dzīvojamā fonda visaptverošu novērtējumu, izstrādāt darbību plāna dzīvojamā fonda atjaunošanai un veikt nepieciešamo investīciju aprēķinu. </w:t>
            </w:r>
          </w:p>
          <w:p w:rsidR="00950526" w:rsidRPr="00527896" w:rsidRDefault="00950526" w:rsidP="00203A08">
            <w:r w:rsidRPr="00527896">
              <w:t>Veikt izmaiņas normatīvajā regulējumā („</w:t>
            </w:r>
            <w:r w:rsidR="00203A08">
              <w:t>Dzīvojamo māju</w:t>
            </w:r>
            <w:r w:rsidRPr="00527896">
              <w:t xml:space="preserve"> pārvaldīšanas likums”), nosakot jomas, t.sk. saistībā ar mājokļa tehniskā stāvokļa uzturēšanu, par kurām lēmumu drīkst pieņemt mājokļa pārvaldnieks, un par kurām – dzīvokļa īpašnieku kopums. </w:t>
            </w:r>
          </w:p>
        </w:tc>
      </w:tr>
      <w:tr w:rsidR="00316778" w:rsidRPr="006106B3" w:rsidTr="006106B3">
        <w:tc>
          <w:tcPr>
            <w:tcW w:w="1838" w:type="dxa"/>
            <w:shd w:val="clear" w:color="auto" w:fill="B8CCE4" w:themeFill="accent1" w:themeFillTint="66"/>
          </w:tcPr>
          <w:p w:rsidR="00A860EF" w:rsidRPr="006106B3" w:rsidRDefault="00A860EF" w:rsidP="00EA26D7">
            <w:pPr>
              <w:spacing w:before="160" w:after="160"/>
              <w:jc w:val="left"/>
              <w:rPr>
                <w:b/>
                <w:color w:val="002060"/>
              </w:rPr>
            </w:pPr>
            <w:r w:rsidRPr="006106B3">
              <w:rPr>
                <w:b/>
                <w:color w:val="002060"/>
              </w:rPr>
              <w:t>Problēma</w:t>
            </w:r>
          </w:p>
        </w:tc>
        <w:tc>
          <w:tcPr>
            <w:tcW w:w="7844" w:type="dxa"/>
            <w:shd w:val="clear" w:color="auto" w:fill="B8CCE4" w:themeFill="accent1" w:themeFillTint="66"/>
          </w:tcPr>
          <w:p w:rsidR="00A860EF" w:rsidRPr="006106B3" w:rsidRDefault="00A860EF" w:rsidP="00EA26D7">
            <w:pPr>
              <w:spacing w:before="160" w:after="160"/>
              <w:rPr>
                <w:b/>
                <w:color w:val="002060"/>
              </w:rPr>
            </w:pPr>
            <w:r w:rsidRPr="006106B3">
              <w:rPr>
                <w:b/>
                <w:color w:val="002060"/>
              </w:rPr>
              <w:t>Nepietiekami attīstīts mājokļu īres tirgus</w:t>
            </w:r>
          </w:p>
        </w:tc>
      </w:tr>
      <w:tr w:rsidR="00950526" w:rsidTr="00950526">
        <w:tc>
          <w:tcPr>
            <w:tcW w:w="1838" w:type="dxa"/>
          </w:tcPr>
          <w:p w:rsidR="00950526" w:rsidRDefault="00950526" w:rsidP="00950526">
            <w:pPr>
              <w:jc w:val="left"/>
            </w:pPr>
            <w:r>
              <w:t>Ieteikumi problēmas risinājumam</w:t>
            </w:r>
          </w:p>
        </w:tc>
        <w:tc>
          <w:tcPr>
            <w:tcW w:w="7844" w:type="dxa"/>
          </w:tcPr>
          <w:p w:rsidR="00950526" w:rsidRDefault="00950526" w:rsidP="00950526">
            <w:r>
              <w:t>Nepieciešams turpināt darbu pie mājokļa politikas plānošanas dokumentu izstrādes un tiesiskā regulējuma pilnveidošanas ar mērķi attīstīt mājokļu īres un būvniecības tirgu.</w:t>
            </w:r>
          </w:p>
          <w:p w:rsidR="00950526" w:rsidRDefault="00950526" w:rsidP="00950526">
            <w:r>
              <w:t xml:space="preserve">Turpināt darbu </w:t>
            </w:r>
            <w:r w:rsidR="00915157">
              <w:t>pie</w:t>
            </w:r>
            <w:r>
              <w:t xml:space="preserve"> likumprojekta „Dzīvojam</w:t>
            </w:r>
            <w:r w:rsidR="00203A08">
              <w:t>o</w:t>
            </w:r>
            <w:r>
              <w:t xml:space="preserve"> telp</w:t>
            </w:r>
            <w:r w:rsidR="00203A08">
              <w:t>u</w:t>
            </w:r>
            <w:r>
              <w:t xml:space="preserve"> īres likums”</w:t>
            </w:r>
            <w:r w:rsidR="00915157">
              <w:t xml:space="preserve"> pieņemšanas</w:t>
            </w:r>
            <w:r>
              <w:t xml:space="preserve">, </w:t>
            </w:r>
            <w:r w:rsidR="00915157">
              <w:t>kas</w:t>
            </w:r>
            <w:r>
              <w:t xml:space="preserve"> sniegtu būtisku ilgtermiņa ieguldījumu īres tirgus sakārtošanā un attīstīšanā, sekmējot arī publiskā un privātā sektora sadarbību dzīvojamā fonda attīstīšanā, t.sk. īres namu būvniecību.</w:t>
            </w:r>
          </w:p>
          <w:p w:rsidR="00950526" w:rsidRDefault="00950526" w:rsidP="00950526">
            <w:r>
              <w:t xml:space="preserve">Turpināt darbu pie valsts atbalsta programmas ieviešanas pašvaldībām īres namu būvniecībai. </w:t>
            </w:r>
          </w:p>
          <w:p w:rsidR="00950526" w:rsidRDefault="00950526" w:rsidP="00950526">
            <w:r>
              <w:t>Mazināt nodokļu slogu iedzīvotājiem, kuri izīrē savus mājokļus, tādējādi mākslīgi neceļot īres cenas un attīstot īres tirgu.</w:t>
            </w:r>
          </w:p>
        </w:tc>
      </w:tr>
      <w:tr w:rsidR="00316778" w:rsidRPr="006106B3" w:rsidTr="006106B3">
        <w:tc>
          <w:tcPr>
            <w:tcW w:w="1838" w:type="dxa"/>
            <w:shd w:val="clear" w:color="auto" w:fill="B8CCE4" w:themeFill="accent1" w:themeFillTint="66"/>
          </w:tcPr>
          <w:p w:rsidR="00A860EF" w:rsidRPr="006106B3" w:rsidRDefault="00A860EF" w:rsidP="00EA26D7">
            <w:pPr>
              <w:jc w:val="left"/>
              <w:rPr>
                <w:b/>
                <w:color w:val="002060"/>
              </w:rPr>
            </w:pPr>
          </w:p>
          <w:p w:rsidR="00A860EF" w:rsidRPr="006106B3" w:rsidRDefault="00A860EF" w:rsidP="00EA26D7">
            <w:pPr>
              <w:jc w:val="left"/>
              <w:rPr>
                <w:b/>
                <w:color w:val="002060"/>
              </w:rPr>
            </w:pPr>
            <w:r w:rsidRPr="006106B3">
              <w:rPr>
                <w:b/>
                <w:color w:val="002060"/>
              </w:rPr>
              <w:t>Problēma</w:t>
            </w:r>
          </w:p>
        </w:tc>
        <w:tc>
          <w:tcPr>
            <w:tcW w:w="7844" w:type="dxa"/>
            <w:shd w:val="clear" w:color="auto" w:fill="B8CCE4" w:themeFill="accent1" w:themeFillTint="66"/>
          </w:tcPr>
          <w:p w:rsidR="00A860EF" w:rsidRPr="006106B3" w:rsidRDefault="00A860EF" w:rsidP="00EA26D7">
            <w:pPr>
              <w:rPr>
                <w:b/>
                <w:color w:val="002060"/>
              </w:rPr>
            </w:pPr>
            <w:r w:rsidRPr="006106B3">
              <w:rPr>
                <w:b/>
                <w:color w:val="002060"/>
              </w:rPr>
              <w:t>Vienotas pieejas trūkums dzīvokļa pabalsta noteikšanas kārtībai pašvaldībās: iedzīvotājiem ar līdzvērtīgu ienākumu un materiālā stāvokļa līmeni nav nodrošinātas vienlīdzīgas iespējas saņemt dzīvokļa pabalstu</w:t>
            </w:r>
          </w:p>
        </w:tc>
      </w:tr>
      <w:tr w:rsidR="00950526" w:rsidTr="00950526">
        <w:tc>
          <w:tcPr>
            <w:tcW w:w="1838" w:type="dxa"/>
          </w:tcPr>
          <w:p w:rsidR="00950526" w:rsidRDefault="00950526" w:rsidP="00950526">
            <w:pPr>
              <w:jc w:val="left"/>
            </w:pPr>
            <w:r>
              <w:t>Ieteikumi problēmas risinājumam</w:t>
            </w:r>
          </w:p>
        </w:tc>
        <w:tc>
          <w:tcPr>
            <w:tcW w:w="7844" w:type="dxa"/>
          </w:tcPr>
          <w:p w:rsidR="00950526" w:rsidRDefault="00950526" w:rsidP="00950526">
            <w:pPr>
              <w:autoSpaceDE w:val="0"/>
              <w:autoSpaceDN w:val="0"/>
              <w:adjustRightInd w:val="0"/>
            </w:pPr>
            <w:r w:rsidRPr="00017FC7">
              <w:t xml:space="preserve">Izvērtēt iespēju normatīvajos aktos noteikt vienotus dzīvokļa pabalsta piešķiršanas principus (ietvarus), tajā skaitā, pašvaldībām nosakot </w:t>
            </w:r>
            <w:r>
              <w:t xml:space="preserve">minimālās prasības attiecībā uz </w:t>
            </w:r>
            <w:r w:rsidRPr="00017FC7">
              <w:t>pabalsta saņēmēj</w:t>
            </w:r>
            <w:r>
              <w:t>iem</w:t>
            </w:r>
            <w:r w:rsidRPr="00017FC7">
              <w:t xml:space="preserve"> un </w:t>
            </w:r>
            <w:r>
              <w:t>atvieglojumu piešķiršanas kritērijiem</w:t>
            </w:r>
            <w:r w:rsidRPr="00017FC7">
              <w:t xml:space="preserve">, </w:t>
            </w:r>
            <w:r>
              <w:t>atbalsta</w:t>
            </w:r>
            <w:r w:rsidRPr="00017FC7">
              <w:t xml:space="preserve"> saturu un aprēķinu</w:t>
            </w:r>
            <w:r>
              <w:t>, ja tas paredz finansiālu atbalstu</w:t>
            </w:r>
            <w:r w:rsidRPr="00017FC7">
              <w:t xml:space="preserve">. </w:t>
            </w:r>
          </w:p>
          <w:p w:rsidR="00950526" w:rsidRPr="00017FC7" w:rsidRDefault="00950526" w:rsidP="00950526">
            <w:pPr>
              <w:autoSpaceDE w:val="0"/>
              <w:autoSpaceDN w:val="0"/>
              <w:adjustRightInd w:val="0"/>
            </w:pPr>
            <w:r>
              <w:lastRenderedPageBreak/>
              <w:t xml:space="preserve">Noteikt mērķa grupas, kurām jāpiemēro vienota pieeja, sniedzot palīdzību mājokļa jomā. Balstoties uz izvērtējumā veikto analīzi, tās būtu ģimenes ar bērniem, kuru ienākumi ir zem vidējiem valstī noteiktajiem ienākumiem uz vienu personu mēnesī; personas ar invaliditāti un ģimenes, kurās ir šādas personas neatkarīgi no to vecuma; atsevišķi dzīvojoši seniori. </w:t>
            </w:r>
          </w:p>
        </w:tc>
      </w:tr>
      <w:tr w:rsidR="00316778" w:rsidRPr="006106B3" w:rsidTr="006106B3">
        <w:tc>
          <w:tcPr>
            <w:tcW w:w="1838" w:type="dxa"/>
            <w:shd w:val="clear" w:color="auto" w:fill="B8CCE4" w:themeFill="accent1" w:themeFillTint="66"/>
          </w:tcPr>
          <w:p w:rsidR="00A860EF" w:rsidRPr="006106B3" w:rsidRDefault="00A860EF" w:rsidP="00EA26D7">
            <w:pPr>
              <w:spacing w:before="160" w:after="160"/>
              <w:jc w:val="left"/>
              <w:rPr>
                <w:b/>
                <w:color w:val="002060"/>
              </w:rPr>
            </w:pPr>
            <w:r w:rsidRPr="006106B3">
              <w:rPr>
                <w:b/>
                <w:color w:val="002060"/>
              </w:rPr>
              <w:lastRenderedPageBreak/>
              <w:t>Problēma</w:t>
            </w:r>
          </w:p>
        </w:tc>
        <w:tc>
          <w:tcPr>
            <w:tcW w:w="7844" w:type="dxa"/>
            <w:shd w:val="clear" w:color="auto" w:fill="B8CCE4" w:themeFill="accent1" w:themeFillTint="66"/>
          </w:tcPr>
          <w:p w:rsidR="00A860EF" w:rsidRPr="006106B3" w:rsidRDefault="00A860EF" w:rsidP="00EA26D7">
            <w:pPr>
              <w:spacing w:before="160" w:after="160"/>
              <w:rPr>
                <w:b/>
                <w:color w:val="002060"/>
              </w:rPr>
            </w:pPr>
            <w:r w:rsidRPr="006106B3">
              <w:rPr>
                <w:b/>
                <w:color w:val="002060"/>
              </w:rPr>
              <w:t>Rindas uz pašvaldības mājokļiem un sociālajiem mājokļiem</w:t>
            </w:r>
          </w:p>
        </w:tc>
      </w:tr>
      <w:tr w:rsidR="00950526" w:rsidTr="00950526">
        <w:tc>
          <w:tcPr>
            <w:tcW w:w="1838" w:type="dxa"/>
          </w:tcPr>
          <w:p w:rsidR="00950526" w:rsidRDefault="00950526" w:rsidP="00950526">
            <w:pPr>
              <w:jc w:val="left"/>
            </w:pPr>
            <w:r>
              <w:t>Ieteikumi problēmas risinājumam</w:t>
            </w:r>
          </w:p>
        </w:tc>
        <w:tc>
          <w:tcPr>
            <w:tcW w:w="7844" w:type="dxa"/>
          </w:tcPr>
          <w:p w:rsidR="00950526" w:rsidRDefault="00950526" w:rsidP="00950526">
            <w:r>
              <w:t xml:space="preserve">Problēmas pamatā ir nepietiekams pašvaldības dzīvojamais fonds, lai tās varētu pildīt likumā noteiktās funkcijas attiecībā uz palīdzību mājokļa jomā. Nepietiekams zemas īres maksas mājokļu fonds. </w:t>
            </w:r>
          </w:p>
          <w:p w:rsidR="00950526" w:rsidRDefault="00950526" w:rsidP="00950526">
            <w:r>
              <w:t xml:space="preserve">Problēmas risināšanai nepieciešami kompleksi risinājumi vairākos virzienos, gan ņemot vērā prognozējamās iedzīvotāju skaita izmaiņas pašvaldībās, gan apzinoties pastāvošos ierobežojumus pašvaldību dzīvojamā fonda attīstīšanai. </w:t>
            </w:r>
          </w:p>
          <w:p w:rsidR="00950526" w:rsidRDefault="00950526" w:rsidP="00950526">
            <w:r>
              <w:t xml:space="preserve">Pirmkārt, pēc iespējas jānovērš negodprātīga iedzīvotāju rīcība un stratēģijas pašvaldības atbalsta izmantošanā, samazinot rindas uz pašvaldības īres un sociālajiem mājokļiem, lai subsidētais pašvaldību dzīvojamais fonds tiek izmantots noteiktām sociāli aizsargājamām mērķa grupām. </w:t>
            </w:r>
          </w:p>
          <w:p w:rsidR="00950526" w:rsidRDefault="00950526" w:rsidP="00950526">
            <w:r>
              <w:t xml:space="preserve">Otrkārt, specifiskās mērķa grupās ir jāturpina darbs pie sociālo prasmju pilnveidošanas, uzsākot/ atsākot patstāvīgu dzīvi. </w:t>
            </w:r>
          </w:p>
          <w:p w:rsidR="00950526" w:rsidRDefault="00950526" w:rsidP="00950526">
            <w:r>
              <w:t>Treškārt, saglabāt pašvaldību sociālo mājokļu fondu vismaz esošā apmērā, nepadarot tos par īres mājokļiem pēc tam, kad persona zaudējusi tiesības uz sociālo mājokli, bet vēlas turpināt īrēt konkrēto dzīvokli.</w:t>
            </w:r>
          </w:p>
          <w:p w:rsidR="00950526" w:rsidRDefault="00950526" w:rsidP="00950526">
            <w:r>
              <w:t xml:space="preserve">Ceturtkārt, turpināt darbu pie valsts atbalsta programmas izstrādes pašvaldībām dzīvojamā fonda attīstīšanai. </w:t>
            </w:r>
          </w:p>
          <w:p w:rsidR="00950526" w:rsidRDefault="00950526" w:rsidP="00950526">
            <w:r>
              <w:t xml:space="preserve">Piektkārt, mazināt nodokļu un administratīvos šķēršļus mājokļu tirgus, t.sk. īres tirgus, stagnācijas novēršanai. </w:t>
            </w:r>
          </w:p>
        </w:tc>
      </w:tr>
      <w:tr w:rsidR="00316778" w:rsidRPr="006106B3" w:rsidTr="006106B3">
        <w:tc>
          <w:tcPr>
            <w:tcW w:w="1838" w:type="dxa"/>
            <w:shd w:val="clear" w:color="auto" w:fill="B8CCE4" w:themeFill="accent1" w:themeFillTint="66"/>
          </w:tcPr>
          <w:p w:rsidR="006106B3" w:rsidRDefault="006106B3" w:rsidP="00EA26D7">
            <w:pPr>
              <w:jc w:val="left"/>
              <w:rPr>
                <w:b/>
                <w:color w:val="002060"/>
              </w:rPr>
            </w:pPr>
          </w:p>
          <w:p w:rsidR="00A860EF" w:rsidRPr="006106B3" w:rsidRDefault="00A860EF" w:rsidP="00EA26D7">
            <w:pPr>
              <w:jc w:val="left"/>
              <w:rPr>
                <w:b/>
                <w:color w:val="002060"/>
              </w:rPr>
            </w:pPr>
            <w:r w:rsidRPr="006106B3">
              <w:rPr>
                <w:b/>
                <w:color w:val="002060"/>
              </w:rPr>
              <w:t>Problēma</w:t>
            </w:r>
          </w:p>
        </w:tc>
        <w:tc>
          <w:tcPr>
            <w:tcW w:w="7844" w:type="dxa"/>
            <w:shd w:val="clear" w:color="auto" w:fill="B8CCE4" w:themeFill="accent1" w:themeFillTint="66"/>
          </w:tcPr>
          <w:p w:rsidR="00A860EF" w:rsidRPr="006106B3" w:rsidRDefault="00A860EF" w:rsidP="00EA26D7">
            <w:pPr>
              <w:jc w:val="left"/>
              <w:rPr>
                <w:b/>
                <w:color w:val="002060"/>
              </w:rPr>
            </w:pPr>
            <w:r w:rsidRPr="006106B3">
              <w:rPr>
                <w:b/>
                <w:color w:val="002060"/>
              </w:rPr>
              <w:t>Augsts to iedzīvotāju īpatsvars, kas dzīvo privātos mājokļos, kas rada risku palikt bez mājokļa, pasliktinoties mājsaimniecības materiālajai situācijai un mājokļa tehniskajam stāvoklim</w:t>
            </w:r>
          </w:p>
        </w:tc>
      </w:tr>
      <w:tr w:rsidR="00950526" w:rsidTr="00950526">
        <w:tc>
          <w:tcPr>
            <w:tcW w:w="1838" w:type="dxa"/>
          </w:tcPr>
          <w:p w:rsidR="00950526" w:rsidRDefault="00950526" w:rsidP="00950526">
            <w:pPr>
              <w:jc w:val="left"/>
            </w:pPr>
            <w:r>
              <w:t>Ieteikumi problēmas risinājumam</w:t>
            </w:r>
          </w:p>
        </w:tc>
        <w:tc>
          <w:tcPr>
            <w:tcW w:w="7844" w:type="dxa"/>
          </w:tcPr>
          <w:p w:rsidR="00950526" w:rsidRDefault="00950526" w:rsidP="00950526">
            <w:r>
              <w:t xml:space="preserve">Problēma pēc būtības rada administratīvā un finansiālā sloga palielināšanās risku pašvaldībām jau esošā tiesiskā regulējuma ietvaros, ņemot vērā iedzīvotāju grupas un situācijas, kurās pašvaldībai ir jāsniedz iedzīvotājiem palīdzība mājokļa jomā. </w:t>
            </w:r>
          </w:p>
          <w:p w:rsidR="00950526" w:rsidRDefault="00950526" w:rsidP="00950526">
            <w:r>
              <w:t>Bāzes risinājumi ir saistīti ar mājokļa pieejamības pamata problēm</w:t>
            </w:r>
            <w:r w:rsidR="00A449FE">
              <w:t>u</w:t>
            </w:r>
            <w:r>
              <w:t xml:space="preserve"> – dzīvojamā fonda novecošanās, īres tirgus stagnācija, iedzīvotāju zemā kapacitāte mājokļa tehnisko problēmu risināšanā, publiskā un privātā sektora sadarbības iespējas mājokļa jomā - novēršanu. Attiecīgi konkrētās problēmas risināšanā izmantojami jau iepriekš norādītie darbības virzieni:</w:t>
            </w:r>
          </w:p>
          <w:p w:rsidR="00950526" w:rsidRDefault="00950526" w:rsidP="003F469F">
            <w:pPr>
              <w:pStyle w:val="ListParagraph"/>
              <w:numPr>
                <w:ilvl w:val="0"/>
                <w:numId w:val="155"/>
              </w:numPr>
              <w:jc w:val="both"/>
            </w:pPr>
            <w:r>
              <w:t>īres tirgus attīstība, regulējot īrnieku un izīrētāju tiesības un pienākumus;</w:t>
            </w:r>
          </w:p>
          <w:p w:rsidR="00950526" w:rsidRDefault="00950526" w:rsidP="003F469F">
            <w:pPr>
              <w:pStyle w:val="ListParagraph"/>
              <w:numPr>
                <w:ilvl w:val="0"/>
                <w:numId w:val="155"/>
              </w:numPr>
              <w:jc w:val="both"/>
            </w:pPr>
            <w:r>
              <w:t>īres tirgus attīstība, mazinot fiskālos ierobežojumus tirgus dalībniekiem;</w:t>
            </w:r>
          </w:p>
          <w:p w:rsidR="00950526" w:rsidRDefault="00950526" w:rsidP="003F469F">
            <w:pPr>
              <w:pStyle w:val="ListParagraph"/>
              <w:numPr>
                <w:ilvl w:val="0"/>
                <w:numId w:val="155"/>
              </w:numPr>
              <w:jc w:val="both"/>
            </w:pPr>
            <w:r>
              <w:t>īres namu būvniecības attīstība, rodot risinājumus publiskā un privātā sektora sadarbībai;</w:t>
            </w:r>
          </w:p>
          <w:p w:rsidR="00950526" w:rsidRDefault="00950526" w:rsidP="003F469F">
            <w:pPr>
              <w:pStyle w:val="ListParagraph"/>
              <w:numPr>
                <w:ilvl w:val="0"/>
                <w:numId w:val="155"/>
              </w:numPr>
              <w:jc w:val="both"/>
            </w:pPr>
            <w:r>
              <w:lastRenderedPageBreak/>
              <w:t>pašvaldību dzīvojamā fonda sistēmiska un pēc vienotām vadlīnijām veikta dzīvojamā fonda tehniskās kvalitātes novērtējuma veikšana;</w:t>
            </w:r>
          </w:p>
          <w:p w:rsidR="00950526" w:rsidRDefault="00950526" w:rsidP="003F469F">
            <w:pPr>
              <w:pStyle w:val="ListParagraph"/>
              <w:numPr>
                <w:ilvl w:val="0"/>
                <w:numId w:val="155"/>
              </w:numPr>
              <w:jc w:val="both"/>
            </w:pPr>
            <w:r>
              <w:t xml:space="preserve">prognožu izstrāde par paredzamo dzīvojamā fonda zudumu un iedzīvotāju īpatsvaru ar augstu, vidēju un zemu risku zaudēt mājokli. </w:t>
            </w:r>
          </w:p>
        </w:tc>
      </w:tr>
      <w:tr w:rsidR="00316778" w:rsidRPr="006106B3" w:rsidTr="006106B3">
        <w:tc>
          <w:tcPr>
            <w:tcW w:w="1838" w:type="dxa"/>
            <w:shd w:val="clear" w:color="auto" w:fill="B8CCE4" w:themeFill="accent1" w:themeFillTint="66"/>
          </w:tcPr>
          <w:p w:rsidR="00A860EF" w:rsidRPr="006106B3" w:rsidRDefault="00A860EF" w:rsidP="00EA26D7">
            <w:pPr>
              <w:jc w:val="left"/>
              <w:rPr>
                <w:b/>
                <w:color w:val="002060"/>
              </w:rPr>
            </w:pPr>
            <w:r w:rsidRPr="006106B3">
              <w:rPr>
                <w:b/>
                <w:color w:val="002060"/>
              </w:rPr>
              <w:lastRenderedPageBreak/>
              <w:t>Problēma</w:t>
            </w:r>
          </w:p>
        </w:tc>
        <w:tc>
          <w:tcPr>
            <w:tcW w:w="7844" w:type="dxa"/>
            <w:shd w:val="clear" w:color="auto" w:fill="B8CCE4" w:themeFill="accent1" w:themeFillTint="66"/>
          </w:tcPr>
          <w:p w:rsidR="00A860EF" w:rsidRPr="006106B3" w:rsidRDefault="00A860EF" w:rsidP="00EA26D7">
            <w:pPr>
              <w:rPr>
                <w:b/>
                <w:color w:val="002060"/>
              </w:rPr>
            </w:pPr>
            <w:r w:rsidRPr="006106B3">
              <w:rPr>
                <w:b/>
                <w:color w:val="002060"/>
              </w:rPr>
              <w:t>Pagaidu mājokļa pieejamība specifiskām mērķa grupām un iedzīvotājiem krīzes situācijā</w:t>
            </w:r>
          </w:p>
        </w:tc>
      </w:tr>
      <w:tr w:rsidR="00950526" w:rsidTr="00950526">
        <w:tc>
          <w:tcPr>
            <w:tcW w:w="1838" w:type="dxa"/>
          </w:tcPr>
          <w:p w:rsidR="00950526" w:rsidRDefault="00950526" w:rsidP="00950526">
            <w:pPr>
              <w:jc w:val="left"/>
            </w:pPr>
            <w:r>
              <w:t>Ieteikumi problēmas risinājumam</w:t>
            </w:r>
          </w:p>
        </w:tc>
        <w:tc>
          <w:tcPr>
            <w:tcW w:w="7844" w:type="dxa"/>
          </w:tcPr>
          <w:p w:rsidR="00950526" w:rsidRDefault="00950526" w:rsidP="00950526">
            <w:r>
              <w:t xml:space="preserve">Vairākām mērķa grupām ir nepieciešams atbalsts tieši pagaidu mājoklim uz laiku, kamēr persona atrisina savu situāciju, piemēram, veic dzīves vietas deklarāciju, iegūst tai pienākošos sociālo statusu, iesaistās darba tirgū, īsteno sociālās rehabilitācijas procesu u.tml. Šādas mērķa grupas ir no ieslodzījuma vietām atbrīvotas personas, vardarbībā cietušas personas, jaunieši pēc ārpusģimenes aprūpes vecumā līdz 24 gadiem, bezpajumtnieki, iedzīvotāji dažādās krīzes situācijās. </w:t>
            </w:r>
          </w:p>
          <w:p w:rsidR="00950526" w:rsidRDefault="00950526" w:rsidP="00950526">
            <w:r>
              <w:t xml:space="preserve">Ņemot vērā, ka pašvaldībām nav pietiekama dzīvojamā fonda, kuru izmantot šādu pagaidu mājokļu izveidei, primārais risinājums ir pēc iespējas efektīvāk izmantot esošos instrumentus (pakalpojumu, piemēram, īslaicīgās uzturēšanās mājokļi, dienas centri, patversmes) un piemērot netiešos risinājumus, ceļot konkrētu mērķa grupu kapacitāti, kas, kā liecina Izvērtējumā iegūtā informācija, jau tiek darīts. Tas nozīmē, sniegt sociālu un psiholoģisku atbalstu šīm mērķa grupām, attīstot viņu sociālās un patstāvīgas dzīves prasmes, palīdzot risināt administratīvos jautājumus, lai varētu saņemt jau pastāvošo sociālo palīdzību un pakalpojumus. </w:t>
            </w:r>
          </w:p>
        </w:tc>
      </w:tr>
      <w:tr w:rsidR="00316778" w:rsidRPr="006106B3" w:rsidTr="006106B3">
        <w:tc>
          <w:tcPr>
            <w:tcW w:w="1838" w:type="dxa"/>
            <w:shd w:val="clear" w:color="auto" w:fill="B8CCE4" w:themeFill="accent1" w:themeFillTint="66"/>
          </w:tcPr>
          <w:p w:rsidR="00A860EF" w:rsidRPr="006106B3" w:rsidRDefault="00A860EF" w:rsidP="00EA26D7">
            <w:pPr>
              <w:jc w:val="left"/>
              <w:rPr>
                <w:b/>
                <w:color w:val="002060"/>
              </w:rPr>
            </w:pPr>
            <w:r w:rsidRPr="006106B3">
              <w:rPr>
                <w:b/>
                <w:color w:val="002060"/>
              </w:rPr>
              <w:t>Problēma</w:t>
            </w:r>
          </w:p>
        </w:tc>
        <w:tc>
          <w:tcPr>
            <w:tcW w:w="7844" w:type="dxa"/>
            <w:shd w:val="clear" w:color="auto" w:fill="B8CCE4" w:themeFill="accent1" w:themeFillTint="66"/>
          </w:tcPr>
          <w:p w:rsidR="00A860EF" w:rsidRPr="006106B3" w:rsidRDefault="00A860EF" w:rsidP="00EA26D7">
            <w:pPr>
              <w:rPr>
                <w:b/>
                <w:color w:val="002060"/>
              </w:rPr>
            </w:pPr>
            <w:r w:rsidRPr="006106B3">
              <w:rPr>
                <w:b/>
                <w:color w:val="002060"/>
              </w:rPr>
              <w:t>Vajadzībām atbilstošu mājokļu trūkums personām ar dažāda veida invaliditāti</w:t>
            </w:r>
          </w:p>
        </w:tc>
      </w:tr>
      <w:tr w:rsidR="00950526" w:rsidTr="00950526">
        <w:tc>
          <w:tcPr>
            <w:tcW w:w="1838" w:type="dxa"/>
          </w:tcPr>
          <w:p w:rsidR="00950526" w:rsidRDefault="00950526" w:rsidP="00950526">
            <w:pPr>
              <w:jc w:val="left"/>
            </w:pPr>
            <w:r>
              <w:t>Ieteikumi problēmas risinājumam</w:t>
            </w:r>
          </w:p>
        </w:tc>
        <w:tc>
          <w:tcPr>
            <w:tcW w:w="7844" w:type="dxa"/>
          </w:tcPr>
          <w:p w:rsidR="00950526" w:rsidRDefault="00950526" w:rsidP="00950526">
            <w:r>
              <w:t xml:space="preserve">Neraugoties uz to, ka spēkā esošais tiesiskais regulējums nosaka atbalsta pasākumus mājokļa jomā personām ar invaliditāti, t.sk. mājokļa pielāgošanu personas konkrētajām vajadzībām, praksē šī mērķa grupa saskaras ar pielāgotu mājokļu (servisa dzīvokļu) trūkumu. Problēmas pamatā ir gan finansiālie, gan administratīvie šķēršļi palīdzības </w:t>
            </w:r>
            <w:r w:rsidR="00BC4E63">
              <w:t>sniegšanai un saņemšanai</w:t>
            </w:r>
            <w:r>
              <w:t xml:space="preserve">. </w:t>
            </w:r>
          </w:p>
          <w:p w:rsidR="00950526" w:rsidRDefault="00950526" w:rsidP="00950526">
            <w:r>
              <w:t xml:space="preserve">Papildu risinājums būtu pašvaldībās izveidot īres servisa dzīvokļus, kurus varētu izīrēt personām (t.sk. ģimenēm, kurās ir šādas personas) ar pārejošu invaliditāti, vai arī uz laiku, kamēr tiek pielāgots personas īpašumā esošais mājoklis tās vajadzībām, kas izriet no iedzimtās vai iegūtās invaliditātes.  </w:t>
            </w:r>
          </w:p>
        </w:tc>
      </w:tr>
      <w:tr w:rsidR="00316778" w:rsidRPr="006106B3" w:rsidTr="006106B3">
        <w:tc>
          <w:tcPr>
            <w:tcW w:w="1838" w:type="dxa"/>
            <w:shd w:val="clear" w:color="auto" w:fill="B8CCE4" w:themeFill="accent1" w:themeFillTint="66"/>
          </w:tcPr>
          <w:p w:rsidR="00A860EF" w:rsidRPr="006106B3" w:rsidRDefault="00A860EF" w:rsidP="00EA26D7">
            <w:pPr>
              <w:jc w:val="left"/>
              <w:rPr>
                <w:b/>
                <w:color w:val="002060"/>
              </w:rPr>
            </w:pPr>
            <w:r w:rsidRPr="006106B3">
              <w:rPr>
                <w:b/>
                <w:color w:val="002060"/>
              </w:rPr>
              <w:t>Problēma</w:t>
            </w:r>
          </w:p>
        </w:tc>
        <w:tc>
          <w:tcPr>
            <w:tcW w:w="7844" w:type="dxa"/>
            <w:shd w:val="clear" w:color="auto" w:fill="B8CCE4" w:themeFill="accent1" w:themeFillTint="66"/>
          </w:tcPr>
          <w:p w:rsidR="00A860EF" w:rsidRPr="006106B3" w:rsidRDefault="00A860EF" w:rsidP="00EA26D7">
            <w:pPr>
              <w:rPr>
                <w:b/>
                <w:color w:val="002060"/>
              </w:rPr>
            </w:pPr>
            <w:r w:rsidRPr="006106B3">
              <w:rPr>
                <w:b/>
                <w:color w:val="002060"/>
              </w:rPr>
              <w:t xml:space="preserve">Trūkst atbalsta pasākumi ģimenēm ar bērniem mājokļa </w:t>
            </w:r>
            <w:r w:rsidRPr="006106B3">
              <w:rPr>
                <w:b/>
                <w:color w:val="002060"/>
                <w:u w:val="single"/>
              </w:rPr>
              <w:t xml:space="preserve">īrei </w:t>
            </w:r>
            <w:r w:rsidRPr="006106B3">
              <w:rPr>
                <w:b/>
                <w:color w:val="002060"/>
              </w:rPr>
              <w:t>atbilstoši ģimenes vajadzībām un ienākumiem</w:t>
            </w:r>
          </w:p>
        </w:tc>
      </w:tr>
      <w:tr w:rsidR="00A860EF" w:rsidTr="00950526">
        <w:tc>
          <w:tcPr>
            <w:tcW w:w="1838" w:type="dxa"/>
          </w:tcPr>
          <w:p w:rsidR="00A860EF" w:rsidRDefault="00950526" w:rsidP="00EA26D7">
            <w:pPr>
              <w:jc w:val="left"/>
            </w:pPr>
            <w:r>
              <w:t>Ieteikumi problēmas risinājumam</w:t>
            </w:r>
          </w:p>
        </w:tc>
        <w:tc>
          <w:tcPr>
            <w:tcW w:w="7844" w:type="dxa"/>
          </w:tcPr>
          <w:p w:rsidR="00A860EF" w:rsidRDefault="00A860EF" w:rsidP="00EA26D7">
            <w:r>
              <w:t>Nevienlīdzībai mājokļa pieejamības jomā pakļautas ir ģimenes, kuras neatbilst trūcīgās vai maznodrošinātās ģimenes statusam un kuru maksātspēja neatbilst pastāvošo atbalsta mehānismu prasībām, lai varētu iegādāties sev piemērotu mājokli. Pēc būtības tās ir ģimenes, kuru ienākumi uz vienu personu mēnesī ir zem vidējā ienākumu līmeņa valstī kopumā (jaunākie CSP dati ir par 2016.</w:t>
            </w:r>
            <w:r w:rsidR="00DE1C08">
              <w:t xml:space="preserve"> </w:t>
            </w:r>
            <w:r>
              <w:t xml:space="preserve">gadu, kad tie bija 437 EUR). </w:t>
            </w:r>
          </w:p>
          <w:p w:rsidR="00324F73" w:rsidRDefault="00A860EF" w:rsidP="00EA26D7">
            <w:r>
              <w:t xml:space="preserve">Problēmas risinājums ir saistīts ar jau iepriekš aplūkotajiem citu problēmu risinājumiem – īres tirgus attīstība un īres namu būvniecības attīstība, kuru sekmētu tiesiskā regulējuma pilnveidošana (primāri „Dzīvojamo telpu īres </w:t>
            </w:r>
            <w:r>
              <w:lastRenderedPageBreak/>
              <w:t xml:space="preserve">likuma” pieņemšana), publiskā un privātā sektora sadarbības mehānismu veidošana mājokļu attīstības jomā, fiskālo ierobežojumu mazināšana, dzīvojamā fonda pieprasījuma prognožu izstrāde, balstoties uz dzīvojamā fonda novērtējumu, iedzīvotāju skaita izmaiņām un iedzīvotāju mājokļa vajadzību izpētes rezultātiem. </w:t>
            </w:r>
          </w:p>
        </w:tc>
      </w:tr>
    </w:tbl>
    <w:p w:rsidR="007A5513" w:rsidRPr="00324F73" w:rsidRDefault="007A5513" w:rsidP="003945E0">
      <w:pPr>
        <w:pStyle w:val="Heading3"/>
      </w:pPr>
      <w:bookmarkStart w:id="787" w:name="_Toc6841682"/>
      <w:r w:rsidRPr="00324F73">
        <w:lastRenderedPageBreak/>
        <w:t>Atbalsta mehānisma, lai noteiktu laiku pasargātu īrnieku no izlikšanas no dzīvokļa, izstrādes priekšlikums</w:t>
      </w:r>
      <w:bookmarkEnd w:id="787"/>
      <w:r w:rsidRPr="00324F73">
        <w:t xml:space="preserve">  </w:t>
      </w:r>
    </w:p>
    <w:p w:rsidR="00955F6A" w:rsidRDefault="00955F6A" w:rsidP="00EC049B">
      <w:r>
        <w:t xml:space="preserve">Atbalsta mehānisma, lai noteiktu laiku pasargātu īrnieku no izlikšanas no dzīvokļa, izstrādes pamatojums ir saistīs ar likumprojekta “Dzīvojamo telpu īres likums” sagatavošanu. Likumprojekta 24.pants </w:t>
      </w:r>
      <w:r w:rsidRPr="00955F6A">
        <w:t>“Atkāpšanās no īres līguma, ja īrnieks kavē ar īres līgumu saistītos maksājumu</w:t>
      </w:r>
      <w:r>
        <w:t>”</w:t>
      </w:r>
      <w:r w:rsidR="00FF55E2">
        <w:t xml:space="preserve"> </w:t>
      </w:r>
      <w:r>
        <w:t>paredz</w:t>
      </w:r>
      <w:r w:rsidR="00FF55E2">
        <w:t xml:space="preserve">, ka </w:t>
      </w:r>
      <w:r>
        <w:t xml:space="preserve"> izīrētājs var atkāpties no īres līguma, ja īres maksājuma kavējums pārsniedz divus mēnešus. Tāpēc būtiska ietekme šāda atbalsta mehānisma izstrādē būs likumprojekta “Dzīvojamo telpu īres likums” un ar to saistīto citu tiesību aktu grozījumu pieņemšanai, ko Izvērtējuma veikšanas laikā vēl ir grūtības prognozēt, ņemot vērā likumprojekta līdzšinējo virzības gaitu.</w:t>
      </w:r>
    </w:p>
    <w:p w:rsidR="00955F6A" w:rsidRDefault="00955F6A" w:rsidP="00EC049B"/>
    <w:p w:rsidR="00EC049B" w:rsidRDefault="00EC049B" w:rsidP="00EC049B">
      <w:r>
        <w:t>Lai izstrādātu atbalsta mehānismu, kura mērķis ir noteiktu laiku pasargāt īrnieku, kuram nav trūcīgas vai maznodrošinātas personas statuss, un viņa ģimeni no izlikšanas no dzīvokļa, gadījumā, ja īrnieks vai īrnieka ģimene nokļuvusi nelabvēlīgā sociālā situācijā un īrniekam īslaicīgi nav iespējams samaksāt īri, tādējādi dodot īrniekam laiku situāciju sakārtot, ir jāņem vērā vairākas savstarpēji saistītas faktoru grupas:</w:t>
      </w:r>
    </w:p>
    <w:p w:rsidR="00EC049B" w:rsidRDefault="00EC049B" w:rsidP="003F469F">
      <w:pPr>
        <w:pStyle w:val="ListParagraph"/>
        <w:numPr>
          <w:ilvl w:val="0"/>
          <w:numId w:val="156"/>
        </w:numPr>
        <w:jc w:val="both"/>
      </w:pPr>
      <w:r>
        <w:t>atbalsta sniedzējs;</w:t>
      </w:r>
    </w:p>
    <w:p w:rsidR="00EC049B" w:rsidRDefault="00EC049B" w:rsidP="003F469F">
      <w:pPr>
        <w:pStyle w:val="ListParagraph"/>
        <w:numPr>
          <w:ilvl w:val="0"/>
          <w:numId w:val="156"/>
        </w:numPr>
        <w:jc w:val="both"/>
      </w:pPr>
      <w:r>
        <w:t>esošais tiesiskais regulējums, kas nosaka izlikšanas no mājokļa nosacījumus, kārtību un sociāli aizsargātās mērķa grupas;</w:t>
      </w:r>
    </w:p>
    <w:p w:rsidR="00EC049B" w:rsidRDefault="00EC049B" w:rsidP="003F469F">
      <w:pPr>
        <w:pStyle w:val="ListParagraph"/>
        <w:numPr>
          <w:ilvl w:val="0"/>
          <w:numId w:val="156"/>
        </w:numPr>
        <w:jc w:val="both"/>
      </w:pPr>
      <w:r>
        <w:t>atbalsta sniegšanas kritēriji (atbalsta sniegšanas ilgums, mērķa grupas, nelabvēlīgās situācijas kritēriji, personas līdzdalības pasākumi);</w:t>
      </w:r>
    </w:p>
    <w:p w:rsidR="00EC049B" w:rsidRDefault="00EC049B" w:rsidP="003F469F">
      <w:pPr>
        <w:pStyle w:val="ListParagraph"/>
        <w:numPr>
          <w:ilvl w:val="0"/>
          <w:numId w:val="156"/>
        </w:numPr>
        <w:jc w:val="both"/>
      </w:pPr>
      <w:r>
        <w:t>atbalsta indikatīvās izmaksas veidojošās pozīcijas (prognozējamais atbalsta saņēmēju apmērs, mājokļa izdevumu pozīcijas);</w:t>
      </w:r>
    </w:p>
    <w:p w:rsidR="00EC049B" w:rsidRDefault="00EC049B" w:rsidP="003F469F">
      <w:pPr>
        <w:pStyle w:val="ListParagraph"/>
        <w:numPr>
          <w:ilvl w:val="0"/>
          <w:numId w:val="156"/>
        </w:numPr>
        <w:jc w:val="both"/>
      </w:pPr>
      <w:r>
        <w:t xml:space="preserve">atbalsta mehānisma risku novērtēšana. </w:t>
      </w:r>
    </w:p>
    <w:p w:rsidR="00EC049B" w:rsidRDefault="00EC049B" w:rsidP="00EC049B"/>
    <w:p w:rsidR="00EC049B" w:rsidRDefault="00EC049B" w:rsidP="00EC049B">
      <w:r>
        <w:t xml:space="preserve">Ņemot vērā, ka palīdzība mājokļa jomā ir ar likumu noteikta pašvaldības autonomā funkcija, </w:t>
      </w:r>
      <w:r w:rsidRPr="002C5A91">
        <w:rPr>
          <w:b/>
        </w:rPr>
        <w:t>atbalsta sniedzējs šādos gadījumos būtu pašvaldība</w:t>
      </w:r>
      <w:r>
        <w:t>. Primāri pašvaldīb</w:t>
      </w:r>
      <w:r w:rsidR="004E5D1A">
        <w:t>ai būtu jānovērtē, vai situācijā</w:t>
      </w:r>
      <w:r>
        <w:t>, kurā nonākusi persona un/vai ģimene</w:t>
      </w:r>
      <w:r w:rsidR="004E5D1A">
        <w:t>,</w:t>
      </w:r>
      <w:r>
        <w:t xml:space="preserve"> stājas spēkā kritēriji, atbilstoši kuriem atbalsta pieprasītājs atbilst citām normatīvajos aktos noteiktām mērķa grupām, kurām sniedzama sociālā palīdzība mājokļa jomā. Piemēram, vai persona/ ģimene neatbilst trūcīgās vai maznodrošinātās ģimenes statusam vai citām pašvaldības saistošajos noteikumos noteiktajām atbalstāmajām mērķa grupām tieši mājokļa jomā, vai ir iespējams izmantot pašvaldības palīdzību dzīvokļa parāda segšanai, vai ir iespēja izmantot īslaicīgās uzturēšanās mājokļa pakalpojumu u.tml. Tātad pirmais solis paredz </w:t>
      </w:r>
      <w:r>
        <w:rPr>
          <w:b/>
        </w:rPr>
        <w:t>identificēt</w:t>
      </w:r>
      <w:r w:rsidRPr="008A69CA">
        <w:rPr>
          <w:b/>
        </w:rPr>
        <w:t xml:space="preserve"> gadījumus, kad ir iespējam</w:t>
      </w:r>
      <w:r>
        <w:rPr>
          <w:b/>
        </w:rPr>
        <w:t>s situāciju risināt</w:t>
      </w:r>
      <w:r w:rsidRPr="008A69CA">
        <w:rPr>
          <w:b/>
        </w:rPr>
        <w:t xml:space="preserve"> esošo atbalsta veidu </w:t>
      </w:r>
      <w:r>
        <w:rPr>
          <w:b/>
        </w:rPr>
        <w:t xml:space="preserve">ietvaros </w:t>
      </w:r>
      <w:r>
        <w:t xml:space="preserve">(sk. </w:t>
      </w:r>
      <w:r w:rsidR="00AD3EDD">
        <w:fldChar w:fldCharType="begin"/>
      </w:r>
      <w:r w:rsidR="006B5456">
        <w:instrText xml:space="preserve"> REF _Ref6498168 \h </w:instrText>
      </w:r>
      <w:r w:rsidR="00AD3EDD">
        <w:fldChar w:fldCharType="separate"/>
      </w:r>
      <w:r w:rsidR="00224B50">
        <w:rPr>
          <w:noProof/>
        </w:rPr>
        <w:t>3.34</w:t>
      </w:r>
      <w:r w:rsidR="00AD3EDD">
        <w:fldChar w:fldCharType="end"/>
      </w:r>
      <w:r>
        <w:t xml:space="preserve">. attēlu). Šī soļa īstenošanā nepieciešama katra konkrētā gadījuma individuāla izpēte, kuru īstenotu sociālais dienests. </w:t>
      </w:r>
    </w:p>
    <w:bookmarkStart w:id="788" w:name="_Ref6498168"/>
    <w:p w:rsidR="00EC049B" w:rsidRPr="00816B5C" w:rsidRDefault="00AD3EDD" w:rsidP="006B5456">
      <w:pPr>
        <w:pStyle w:val="Caption"/>
      </w:pPr>
      <w:r>
        <w:rPr>
          <w:noProof/>
        </w:rPr>
        <w:lastRenderedPageBreak/>
        <w:fldChar w:fldCharType="begin"/>
      </w:r>
      <w:r w:rsidR="006B5456">
        <w:rPr>
          <w:noProof/>
        </w:rPr>
        <w:instrText xml:space="preserve"> STYLEREF 1 \s </w:instrText>
      </w:r>
      <w:r>
        <w:rPr>
          <w:noProof/>
        </w:rPr>
        <w:fldChar w:fldCharType="separate"/>
      </w:r>
      <w:bookmarkStart w:id="789" w:name="_Toc6855849"/>
      <w:r w:rsidR="00224B50">
        <w:rPr>
          <w:noProof/>
        </w:rPr>
        <w:t>3</w:t>
      </w:r>
      <w:r>
        <w:rPr>
          <w:noProof/>
        </w:rPr>
        <w:fldChar w:fldCharType="end"/>
      </w:r>
      <w:r w:rsidR="006B5456">
        <w:rPr>
          <w:noProof/>
        </w:rPr>
        <w:t>.</w:t>
      </w:r>
      <w:r>
        <w:rPr>
          <w:noProof/>
        </w:rPr>
        <w:fldChar w:fldCharType="begin"/>
      </w:r>
      <w:r w:rsidR="006B5456">
        <w:rPr>
          <w:noProof/>
        </w:rPr>
        <w:instrText xml:space="preserve"> SEQ Ilustrācija \* ARABIC \s 1 </w:instrText>
      </w:r>
      <w:r>
        <w:rPr>
          <w:noProof/>
        </w:rPr>
        <w:fldChar w:fldCharType="separate"/>
      </w:r>
      <w:r w:rsidR="00224B50">
        <w:rPr>
          <w:noProof/>
        </w:rPr>
        <w:t>34</w:t>
      </w:r>
      <w:r>
        <w:rPr>
          <w:noProof/>
        </w:rPr>
        <w:fldChar w:fldCharType="end"/>
      </w:r>
      <w:bookmarkEnd w:id="788"/>
      <w:r w:rsidR="00EC049B" w:rsidRPr="008864A0">
        <w:t xml:space="preserve">. attēls. </w:t>
      </w:r>
      <w:r w:rsidR="00EC049B">
        <w:t>Atbalsta sniegšanas process personām, kas neatbilst sociāli aizsargājamām grupām</w:t>
      </w:r>
      <w:r w:rsidR="00B54BBD" w:rsidRPr="00D37898">
        <w:rPr>
          <w:rStyle w:val="FootnoteReference"/>
          <w:b w:val="0"/>
        </w:rPr>
        <w:footnoteReference w:id="369"/>
      </w:r>
      <w:r w:rsidR="00EC049B">
        <w:t>, izlikšanas no īres mājokļa gadījumos</w:t>
      </w:r>
      <w:bookmarkEnd w:id="789"/>
    </w:p>
    <w:p w:rsidR="00EC049B" w:rsidRDefault="00EC049B" w:rsidP="00EC049B">
      <w:r>
        <w:rPr>
          <w:noProof/>
        </w:rPr>
        <w:drawing>
          <wp:inline distT="0" distB="0" distL="0" distR="0">
            <wp:extent cx="5684808" cy="2880923"/>
            <wp:effectExtent l="0" t="0" r="0" b="0"/>
            <wp:docPr id="42"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rsidR="00950526" w:rsidRDefault="00950526" w:rsidP="00316778"/>
    <w:p w:rsidR="00316778" w:rsidRDefault="00316778" w:rsidP="00316778">
      <w:r w:rsidRPr="008A69CA">
        <w:t>Esošais normatīvais regulējums</w:t>
      </w:r>
      <w:r>
        <w:t xml:space="preserve"> (konkrēti, likums “Par dzīvojamo telpu īri”) paredz, ka  gadījumos, ja īrnieks ir parādā īres maksu un maksu par pamatpakalpojumiem par vairāk nekā trīs mēnešiem, izīrētājam ir tiesības izlikt īrnieku un viņa ģimenes locekļus bez citas dzīvojamās telpas ierādīšanas (28.</w:t>
      </w:r>
      <w:r w:rsidRPr="00574278">
        <w:rPr>
          <w:vertAlign w:val="superscript"/>
        </w:rPr>
        <w:t>2</w:t>
      </w:r>
      <w:r>
        <w:t xml:space="preserve"> pants). Likums nosaka arī īpaši aizsargājamās mērķa grupas, kurām šādās situācijās pašvaldībai ir jāierāda cita dzīvošanai derīga telpa pēc tam, kad ir stājies spēkā tiesas spriedums par īrnieka izlikšanu. Tās ir: maznodrošinātas personas, kuras sasniegušas pensijas vecumu vai ir darbnespējīgas invaliditātes dēļ, kā arī ja ar viņu kopā dzīvo un viņa apgādībā ir vismaz viens nepilngadīgs bērns, </w:t>
      </w:r>
      <w:r w:rsidRPr="00574278">
        <w:t xml:space="preserve">aizgādnībā esoša persona vai maznodrošināta pensijas vecumu sasniegusi persona, vai arī maznodrošināta persona, kura ir </w:t>
      </w:r>
      <w:r>
        <w:t>darbnespējīga invaliditātes dēļ (36.</w:t>
      </w:r>
      <w:r w:rsidRPr="00574278">
        <w:rPr>
          <w:vertAlign w:val="superscript"/>
        </w:rPr>
        <w:t>1</w:t>
      </w:r>
      <w:r>
        <w:t xml:space="preserve"> pants). </w:t>
      </w:r>
    </w:p>
    <w:p w:rsidR="00316778" w:rsidRDefault="00316778" w:rsidP="00316778"/>
    <w:p w:rsidR="00316778" w:rsidRDefault="00316778" w:rsidP="00316778">
      <w:r>
        <w:t xml:space="preserve">Pašvaldību saistošo noteikumu apsekojuma rezultāti rāda, ka ir pašvaldības, kurās tiek sniegta palīdzība dzīvokļa parāda segšanai. Piemēram, Rīgā sociālajam dienestam </w:t>
      </w:r>
      <w:r w:rsidRPr="008F12A3">
        <w:t>ir tiesības lemt par dzīvokļa pabalsta piešķiršanu palielinātā apmērā parāda par īri/apsaimniekošanu un par pakalpojumiem, kuri saistīti ar dzīvojamās telpas lietošanu, kas veidojies iepriekš neparedzētu izdevumu dēļ, ja ģimenē ir nepilngadīgi bērni, ģimenē ir tikai vecuma vai invaliditātes pensijas vai valsts sociālā nodrošinājuma pabalsta saņēmēji un nav nevienas personas darbspējīgā vecumā. Šāds atbalsts iespējams tad, ja personai, kura nonākusi grūtībās, mājoklis pieder vai ir dzīvojamās telpas īres līgums</w:t>
      </w:r>
      <w:r>
        <w:rPr>
          <w:rStyle w:val="FootnoteReference"/>
        </w:rPr>
        <w:footnoteReference w:id="370"/>
      </w:r>
      <w:r w:rsidRPr="008F12A3">
        <w:t xml:space="preserve">. </w:t>
      </w:r>
    </w:p>
    <w:p w:rsidR="00316778" w:rsidRDefault="00316778" w:rsidP="00316778">
      <w:r>
        <w:t xml:space="preserve">Ja persona neatbilst nevienai no grupām, kurām jau ir paredzēts noteikts atbalsta veids, tad otrajā solī ir jānosaka personas atbilstība konkrētā atbalsta veidam. Atbalsta mērķa grupas pēc būtības </w:t>
      </w:r>
      <w:r>
        <w:lastRenderedPageBreak/>
        <w:t xml:space="preserve">būtu, pirmkārt, visas </w:t>
      </w:r>
      <w:r w:rsidRPr="00765A1B">
        <w:rPr>
          <w:b/>
        </w:rPr>
        <w:t>personas, kas</w:t>
      </w:r>
      <w:r>
        <w:rPr>
          <w:b/>
        </w:rPr>
        <w:t>, pirmkārt,</w:t>
      </w:r>
      <w:r w:rsidRPr="00765A1B">
        <w:rPr>
          <w:b/>
        </w:rPr>
        <w:t xml:space="preserve"> pēc izslēgšanas principa neatbilst nevienai no t.s. sociāli aizsargājamām grupām</w:t>
      </w:r>
      <w:r>
        <w:t xml:space="preserve">, kurām esošās tiesību normas jau paredz kādus atbalsta veidus saistībā ar to zemo maksātspēju, t.sk. par mājokli. Otrkārt, tās ir </w:t>
      </w:r>
      <w:r w:rsidRPr="00765A1B">
        <w:rPr>
          <w:b/>
        </w:rPr>
        <w:t>personas, kurām ir noslēgts dzīvojamo telpu īres līgums</w:t>
      </w:r>
      <w:r>
        <w:t xml:space="preserve">. Treškārt, tās ir personas, kuru </w:t>
      </w:r>
      <w:r w:rsidRPr="00155870">
        <w:rPr>
          <w:b/>
        </w:rPr>
        <w:t>situācija atbilst sociāli nelabvēlīgas situācijas kritērijiem</w:t>
      </w:r>
      <w:r>
        <w:t xml:space="preserve">, kuras rezultātā radušās grūtības segt mājokļa izdevumus un iestājies izlikšanas no mājokļa risks. </w:t>
      </w:r>
    </w:p>
    <w:p w:rsidR="00316778" w:rsidRDefault="00316778" w:rsidP="00EC049B"/>
    <w:p w:rsidR="00EC049B" w:rsidRDefault="00EC049B" w:rsidP="00EC049B">
      <w:r>
        <w:t>Atbalsta mehānisms neattiektos uz personām, kuras dzīvo mājoklī, kas tām pieder bez vai ar hipotekārā kredīta saist</w:t>
      </w:r>
      <w:r w:rsidR="004E5D1A">
        <w:t>ībām. Kopumā, kā liecina CSP EU-</w:t>
      </w:r>
      <w:r>
        <w:t>SILC dati, 2017.</w:t>
      </w:r>
      <w:r w:rsidR="00DE1C08">
        <w:t xml:space="preserve"> </w:t>
      </w:r>
      <w:r>
        <w:t xml:space="preserve">gadā 7,6% mājsaimniecību īrēja savu mājokli atbilstoši tirgus vērtībai, savukārt, 4,6% - par samazinātu vai administratīvi regulētu īres maksu. Atbalstāmās mērķa grupas prognozējamā apmēra noteikšanai būtu nepieciešams arī apkopot pašvaldību datus par personu skaitu, kas vērsušās pēc palīdzības izlikšanas no īres dzīvokļa gadījumos, ja šāda informācija tiek uzkrāta. Papildu informācijas avots varētu būt tiesu prakses analīze par prasībām, kas saistītas ar personu izlikšanu no mājokļa, kuru tās īrē. </w:t>
      </w:r>
    </w:p>
    <w:p w:rsidR="00EC049B" w:rsidRDefault="00EC049B" w:rsidP="00EC049B"/>
    <w:p w:rsidR="00EC049B" w:rsidRDefault="00EC049B" w:rsidP="00EC049B">
      <w:r>
        <w:t xml:space="preserve">Ja persona, kas nonākusi situācijā, kurā </w:t>
      </w:r>
      <w:r w:rsidR="004E5D1A">
        <w:t xml:space="preserve">tā </w:t>
      </w:r>
      <w:r>
        <w:t xml:space="preserve">nespēj segt dzīvokļa īri un pastāv tās izlikšanas risks, kā arī </w:t>
      </w:r>
      <w:r w:rsidR="004E5D1A">
        <w:t xml:space="preserve">tā </w:t>
      </w:r>
      <w:r>
        <w:t xml:space="preserve">neatbilst nevienai no likumā vai pašvaldības saistošajos noteikumos definētajām īpaši atbalstāmajām vai aizsargājamām mērķa grupām, tad trešajā solī būtu </w:t>
      </w:r>
      <w:r w:rsidRPr="00765A1B">
        <w:rPr>
          <w:b/>
        </w:rPr>
        <w:t xml:space="preserve">jānovērtē vismaz šādi </w:t>
      </w:r>
      <w:r>
        <w:rPr>
          <w:b/>
        </w:rPr>
        <w:t xml:space="preserve">atbalstu raksturojoši </w:t>
      </w:r>
      <w:r w:rsidRPr="00765A1B">
        <w:rPr>
          <w:b/>
        </w:rPr>
        <w:t>rādītāji</w:t>
      </w:r>
      <w:r>
        <w:t>:</w:t>
      </w:r>
    </w:p>
    <w:p w:rsidR="00EC049B" w:rsidRDefault="00EC049B" w:rsidP="003F469F">
      <w:pPr>
        <w:pStyle w:val="ListParagraph"/>
        <w:numPr>
          <w:ilvl w:val="0"/>
          <w:numId w:val="157"/>
        </w:numPr>
        <w:spacing w:line="276" w:lineRule="auto"/>
        <w:jc w:val="both"/>
      </w:pPr>
      <w:r>
        <w:t>nepieciešamā atbalsta ilguma noteikšana (tas varētu būt no viena līdz sešiem mēnešiem atbilstoši laikam, kas nepieciešams radušās situācijas normalizēšanai – personas maksātspējas par mājokli atjaunošanai</w:t>
      </w:r>
      <w:r w:rsidR="00955F6A">
        <w:t>, pārcelšanās uz citu mājokli, jauna darba atrašanai, veselības stāvokļa atjaunošanai u.tml.</w:t>
      </w:r>
      <w:r>
        <w:t>);</w:t>
      </w:r>
    </w:p>
    <w:p w:rsidR="00EC049B" w:rsidRDefault="00EC049B" w:rsidP="003F469F">
      <w:pPr>
        <w:pStyle w:val="ListParagraph"/>
        <w:numPr>
          <w:ilvl w:val="0"/>
          <w:numId w:val="157"/>
        </w:numPr>
        <w:spacing w:line="276" w:lineRule="auto"/>
        <w:jc w:val="both"/>
      </w:pPr>
      <w:r>
        <w:t>nepieciešamā atbalsta apmēra noteikšana</w:t>
      </w:r>
      <w:r w:rsidR="00955F6A">
        <w:t xml:space="preserve"> (būtu nosakāmas šāda atbalsta/ pabalsta maksimālā apmēra robežas pašvaldībā, ņemot vērā atšķirīgās īres cenas pašvaldībās)</w:t>
      </w:r>
      <w:r>
        <w:t>;</w:t>
      </w:r>
    </w:p>
    <w:p w:rsidR="00EC049B" w:rsidRDefault="00EC049B" w:rsidP="003F469F">
      <w:pPr>
        <w:pStyle w:val="ListParagraph"/>
        <w:numPr>
          <w:ilvl w:val="0"/>
          <w:numId w:val="157"/>
        </w:numPr>
        <w:spacing w:line="276" w:lineRule="auto"/>
        <w:jc w:val="both"/>
      </w:pPr>
      <w:r>
        <w:t>personas līdzdalības pasākumi savas situācijas normalizēšanai (piemēram, apliecinājums, ka persona meklē darbu, veic ārstēšanos, lai atjaunotu darbspējas u.tml. darbības, kas liecina par aktīvu līdzdalību situācijas risināšanai, kā tas ir citu sociālās palīdzības un pakalpojumu sniegšanas gadījumos).</w:t>
      </w:r>
    </w:p>
    <w:p w:rsidR="00EC049B" w:rsidRDefault="00EC049B" w:rsidP="00EC049B"/>
    <w:p w:rsidR="00EC049B" w:rsidRDefault="00EC049B" w:rsidP="00EC049B">
      <w:r>
        <w:t xml:space="preserve">Atbalsta mehānisms paredz sniegt personai/ ģimenei </w:t>
      </w:r>
      <w:r w:rsidRPr="004E4F99">
        <w:rPr>
          <w:b/>
        </w:rPr>
        <w:t>finansiālu palīdzību</w:t>
      </w:r>
      <w:r>
        <w:t xml:space="preserve">, sedzot mājokļa izdevumus uz noteiktu laiku, tātad pēc būtības tas ir viens no dzīvokļa pabalsta veidiem. Šāda atbalsta mehānisma </w:t>
      </w:r>
      <w:r w:rsidRPr="00F72BCB">
        <w:rPr>
          <w:b/>
        </w:rPr>
        <w:t>indikatīvās izmaksas</w:t>
      </w:r>
      <w:r>
        <w:t xml:space="preserve"> veido izdevumi: a) par īri; b) par mājokļa uzturēšanu (pamatpakalpojumi); c) mājokļa izdevumi (gan īre, gan pamata pakalpo</w:t>
      </w:r>
      <w:r w:rsidR="004E5D1A">
        <w:t>jumi) kopumā. Saskaņā ar CSP EU-</w:t>
      </w:r>
      <w:r>
        <w:t xml:space="preserve">SILC datiem, kuri ir izmantoti arī Izvērtējumā situācijas raksturojumam mājokļa jomā, vidējie vienas mājsaimniecības mājokļa </w:t>
      </w:r>
      <w:r w:rsidR="002A774C">
        <w:t xml:space="preserve">uzturēšanas </w:t>
      </w:r>
      <w:r>
        <w:t>izdevumi 2017.</w:t>
      </w:r>
      <w:r w:rsidR="00D54545">
        <w:t xml:space="preserve"> </w:t>
      </w:r>
      <w:r>
        <w:t xml:space="preserve">gadā bija </w:t>
      </w:r>
      <w:r w:rsidRPr="00460F1A">
        <w:rPr>
          <w:b/>
        </w:rPr>
        <w:t>138,1 EUR mēnesī</w:t>
      </w:r>
      <w:r>
        <w:t xml:space="preserve"> (pilsētās 147,1 EUR mēnesī, laukos 115,47 EUR). </w:t>
      </w:r>
      <w:r w:rsidR="00A52543">
        <w:t>Pieņemot</w:t>
      </w:r>
      <w:r>
        <w:t xml:space="preserve">, ka atbalsts situācijas normalizēšanai </w:t>
      </w:r>
      <w:r w:rsidR="00A52543">
        <w:t>tiktu</w:t>
      </w:r>
      <w:r>
        <w:t xml:space="preserve"> sniegts uz laiku līdz sešiem mēnešiem, </w:t>
      </w:r>
      <w:r w:rsidR="00A52543">
        <w:t xml:space="preserve">maksimālās </w:t>
      </w:r>
      <w:r>
        <w:t>paredzamās vidējās izmaksas uz vienu mājsaimniecību būtu līdz 828,6 EUR</w:t>
      </w:r>
      <w:r w:rsidR="00A52543">
        <w:t xml:space="preserve"> par sešu mēnešu periodu</w:t>
      </w:r>
      <w:r w:rsidR="0082495F">
        <w:t xml:space="preserve"> (138,1 EUR mēnesī)</w:t>
      </w:r>
      <w:r>
        <w:t xml:space="preserve">.  </w:t>
      </w:r>
    </w:p>
    <w:p w:rsidR="00EC049B" w:rsidRDefault="00EC049B" w:rsidP="00EC049B"/>
    <w:p w:rsidR="004D78B6" w:rsidRDefault="00EC049B" w:rsidP="00FF55E2">
      <w:r>
        <w:t>Ieviešot jaunu mājokļa atbalsta veidu, svarīgi mazināt riskus un iespējas izmantot šo atbalstu negodprātīgi – insc</w:t>
      </w:r>
      <w:r w:rsidR="003B387E">
        <w:t>e</w:t>
      </w:r>
      <w:r>
        <w:t xml:space="preserve">nējot sociāli un ekonomiski nelabvēlīgu situāciju, kurā radušās grūtības segt īres </w:t>
      </w:r>
      <w:r>
        <w:lastRenderedPageBreak/>
        <w:t xml:space="preserve">mājokļa izdevumus - ar mērķi saņemt pašvaldības atbalstu mājokļa izdevumu segšanai, neraugoties uz reālo personas maksātspēju. </w:t>
      </w:r>
      <w:r w:rsidR="00FF55E2">
        <w:t xml:space="preserve">Viens no instrumentiem būtu augstāk minētie personas līdzdalības pasākumi radušās situācijas normalizēšanai. Otrs instruments </w:t>
      </w:r>
      <w:r>
        <w:t xml:space="preserve">šāda riska mazināšanai/ novēršanai būtu nosacījums </w:t>
      </w:r>
      <w:r w:rsidRPr="00B2000C">
        <w:t>personai pilnībā vai daļēji atmaksāt sniegto finansiālo atbalstu</w:t>
      </w:r>
      <w:r>
        <w:t xml:space="preserve"> </w:t>
      </w:r>
      <w:r w:rsidR="00FF55E2">
        <w:t>tā sniedzējam</w:t>
      </w:r>
      <w:r>
        <w:t>, nosakot atmaksas termiņus un apmērus, piemēr</w:t>
      </w:r>
      <w:r w:rsidR="003B387E">
        <w:t>a</w:t>
      </w:r>
      <w:r>
        <w:t>m, 50-100% apmērā atkarībā no konkrētā gadījuma, citiem atbalsta veidiem, ko persona saņem, tās ienākumiem u.c. kritērijiem.</w:t>
      </w:r>
      <w:r w:rsidR="00FF55E2">
        <w:t xml:space="preserve"> Šāda instrumenta izmantošana  gan lielā mērā ir atkarīga no tā, kā tiek definēta sniegtā palīdzība – kā pabalsts sociālās palīdzības izpratnē vai kā daļējs vai pilnīgs aizdevums. Ja atbalsta mehānisma veids ir pielīdzināms pašvaldības piešķirtam dzīvokļa pabalstam, tad tā atmaksa nav iespējama pēc būtības. Ja tas tiek pielīdzināts aizdevumam, tad šāda pieeja ir padziļināti izvērtējama. </w:t>
      </w:r>
      <w:r w:rsidR="004D78B6">
        <w:br w:type="page"/>
      </w:r>
    </w:p>
    <w:p w:rsidR="00324F73" w:rsidRPr="00B87378" w:rsidRDefault="004D78B6" w:rsidP="003945E0">
      <w:pPr>
        <w:pStyle w:val="Navnumercija"/>
      </w:pPr>
      <w:bookmarkStart w:id="790" w:name="_Toc6841683"/>
      <w:r w:rsidRPr="00C92F97">
        <w:lastRenderedPageBreak/>
        <w:t>Izmantotās</w:t>
      </w:r>
      <w:r w:rsidRPr="00B87378">
        <w:t xml:space="preserve"> literatūras un informācijas avoti</w:t>
      </w:r>
      <w:bookmarkEnd w:id="790"/>
    </w:p>
    <w:p w:rsidR="000C528D" w:rsidRPr="00FA6539" w:rsidRDefault="000C528D" w:rsidP="003F469F">
      <w:pPr>
        <w:numPr>
          <w:ilvl w:val="0"/>
          <w:numId w:val="158"/>
        </w:numPr>
        <w:tabs>
          <w:tab w:val="left" w:pos="567"/>
        </w:tabs>
        <w:ind w:left="0" w:firstLine="284"/>
        <w:jc w:val="left"/>
        <w:rPr>
          <w:sz w:val="22"/>
          <w:szCs w:val="22"/>
        </w:rPr>
      </w:pPr>
      <w:r w:rsidRPr="00FA6539">
        <w:rPr>
          <w:sz w:val="22"/>
          <w:szCs w:val="22"/>
        </w:rPr>
        <w:t xml:space="preserve">Ambulatorajai ārstēšanai paredzēto zāļu un medicīnisko ierīču iegādes izdevumu kompensācijas kārtība, 31.10.2006. Pieejams: </w:t>
      </w:r>
      <w:hyperlink r:id="rId134" w:history="1">
        <w:r w:rsidRPr="00FA6539">
          <w:rPr>
            <w:rStyle w:val="Hyperlink"/>
            <w:sz w:val="22"/>
            <w:szCs w:val="22"/>
          </w:rPr>
          <w:t>https://likumi.lv/doc.php?id=147522</w:t>
        </w:r>
      </w:hyperlink>
      <w:r w:rsidRPr="00FA6539">
        <w:rPr>
          <w:sz w:val="22"/>
          <w:szCs w:val="22"/>
        </w:rPr>
        <w:t xml:space="preserve"> (sk. 18.12.2018.)</w:t>
      </w:r>
    </w:p>
    <w:p w:rsidR="000C528D" w:rsidRPr="00FA6539" w:rsidRDefault="000C528D" w:rsidP="003F469F">
      <w:pPr>
        <w:numPr>
          <w:ilvl w:val="0"/>
          <w:numId w:val="158"/>
        </w:numPr>
        <w:tabs>
          <w:tab w:val="left" w:pos="567"/>
        </w:tabs>
        <w:ind w:left="0" w:firstLine="284"/>
        <w:jc w:val="left"/>
        <w:rPr>
          <w:sz w:val="22"/>
          <w:szCs w:val="22"/>
        </w:rPr>
      </w:pPr>
      <w:r w:rsidRPr="00FA6539">
        <w:rPr>
          <w:sz w:val="22"/>
          <w:szCs w:val="22"/>
        </w:rPr>
        <w:t xml:space="preserve">Ārstniecības likums, 12.06.1997. Pieejams: </w:t>
      </w:r>
      <w:hyperlink r:id="rId135" w:history="1">
        <w:r w:rsidRPr="00FA6539">
          <w:rPr>
            <w:rStyle w:val="Hyperlink"/>
            <w:sz w:val="22"/>
            <w:szCs w:val="22"/>
          </w:rPr>
          <w:t>https://likumi.lv/doc.php?id=44108</w:t>
        </w:r>
      </w:hyperlink>
      <w:r w:rsidRPr="00FA6539">
        <w:rPr>
          <w:sz w:val="22"/>
          <w:szCs w:val="22"/>
        </w:rPr>
        <w:t xml:space="preserve"> (sk. 18.12.2018.)</w:t>
      </w:r>
    </w:p>
    <w:p w:rsidR="000C528D" w:rsidRPr="00FA6539" w:rsidRDefault="000C528D" w:rsidP="003F469F">
      <w:pPr>
        <w:numPr>
          <w:ilvl w:val="0"/>
          <w:numId w:val="158"/>
        </w:numPr>
        <w:tabs>
          <w:tab w:val="left" w:pos="567"/>
        </w:tabs>
        <w:ind w:left="0" w:firstLine="284"/>
        <w:jc w:val="left"/>
        <w:rPr>
          <w:sz w:val="22"/>
          <w:szCs w:val="22"/>
        </w:rPr>
      </w:pPr>
      <w:r w:rsidRPr="00FA6539">
        <w:rPr>
          <w:sz w:val="22"/>
          <w:szCs w:val="22"/>
        </w:rPr>
        <w:t xml:space="preserve">Babītes novada domes saistošie noteikumi Nr.16 „Par Babītes novada pašvaldības pabalstiem ar materiālā stāvokļa izvērtēšanu”, 25.10.2017. Pieejams: </w:t>
      </w:r>
      <w:hyperlink r:id="rId136" w:history="1">
        <w:r w:rsidRPr="00FA6539">
          <w:rPr>
            <w:rStyle w:val="Hyperlink"/>
            <w:sz w:val="22"/>
            <w:szCs w:val="22"/>
          </w:rPr>
          <w:t>http://www.babite.lv/wp-content/uploads/2015/07/SN-16-pabalstiem-ar-materi%C4%81l%C4%81-st%C4%81vok%C4%BCa-izv%C4%93rt%C4%93%C5%A1anu_25.10.2017..pdf</w:t>
        </w:r>
      </w:hyperlink>
      <w:r w:rsidRPr="00FA6539">
        <w:rPr>
          <w:sz w:val="22"/>
          <w:szCs w:val="22"/>
        </w:rPr>
        <w:t xml:space="preserve"> (sk. 30.10.2018.)</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Darbības programmas "Izaugsme un nodarbinātība" 9.2.4. specifiskā atbalsta mērķa "Uzlabot pieejamību veselības veicināšanas un slimību profilakses pakalpojumiem, jo īpaši nabadzības un sociālās atstumtības riskam pakļautajiem iedzīvotājiem" 9.2.4.1. pasākuma "Kompleksi veselības veicināšanas un slimību profilakses pasākumi" un 9.2.4.2. pasākuma "Pasākumi vietējās sabiedrības veselības veicināšanai un slimību profilaksei" īstenošanas noteikumi. Pieejams: </w:t>
      </w:r>
      <w:hyperlink r:id="rId137" w:history="1">
        <w:r w:rsidRPr="00FA6539">
          <w:rPr>
            <w:rStyle w:val="Hyperlink"/>
            <w:sz w:val="22"/>
            <w:szCs w:val="22"/>
          </w:rPr>
          <w:t>https://likumi.lv/ta/id/282400-darbibas-programmas-izaugsme-un-nodarbinatiba-9-2-4-specifiska-atbalsta-merka-uzlabot-pieejamibu-veselibas-veicinasanas</w:t>
        </w:r>
      </w:hyperlink>
      <w:r w:rsidRPr="00FA6539">
        <w:rPr>
          <w:sz w:val="22"/>
          <w:szCs w:val="22"/>
        </w:rPr>
        <w:t xml:space="preserve"> (sk. 18.12.2018.)</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Dzīvesvietas deklarēšanas likums, 20.06.2002. Pieejams: </w:t>
      </w:r>
      <w:hyperlink r:id="rId138" w:history="1">
        <w:r w:rsidRPr="00FA6539">
          <w:rPr>
            <w:rStyle w:val="Hyperlink"/>
            <w:sz w:val="22"/>
            <w:szCs w:val="22"/>
          </w:rPr>
          <w:t>https://likumi.lv/doc.php?id=64328</w:t>
        </w:r>
      </w:hyperlink>
      <w:r w:rsidRPr="00FA6539">
        <w:rPr>
          <w:sz w:val="22"/>
          <w:szCs w:val="22"/>
        </w:rPr>
        <w:t xml:space="preserve"> (sk. 05.12.2018.)</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Dzīvojamo māju pārvaldīšanas likums, 04.06.2009. Pieejams: </w:t>
      </w:r>
      <w:hyperlink r:id="rId139" w:history="1">
        <w:r w:rsidRPr="00FA6539">
          <w:rPr>
            <w:rStyle w:val="Hyperlink"/>
            <w:sz w:val="22"/>
            <w:szCs w:val="22"/>
          </w:rPr>
          <w:t>https://likumi.lv/doc.php?id=193573</w:t>
        </w:r>
      </w:hyperlink>
      <w:r w:rsidRPr="00FA6539">
        <w:rPr>
          <w:sz w:val="22"/>
          <w:szCs w:val="22"/>
        </w:rPr>
        <w:t xml:space="preserve"> (sk. 14.01.2019.)</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Dzīvokļa īpašuma likums, 28.10.2010. Pieejams: </w:t>
      </w:r>
      <w:hyperlink r:id="rId140" w:history="1">
        <w:r w:rsidRPr="00FA6539">
          <w:rPr>
            <w:rStyle w:val="Hyperlink"/>
            <w:sz w:val="22"/>
            <w:szCs w:val="22"/>
          </w:rPr>
          <w:t>https://likumi.lv/doc.php?id=221382</w:t>
        </w:r>
      </w:hyperlink>
      <w:r w:rsidRPr="00FA6539">
        <w:rPr>
          <w:sz w:val="22"/>
          <w:szCs w:val="22"/>
        </w:rPr>
        <w:t xml:space="preserve"> (sk. 14.01.2019.)</w:t>
      </w:r>
    </w:p>
    <w:p w:rsidR="000C528D" w:rsidRPr="00FA6539" w:rsidRDefault="000C528D" w:rsidP="003F469F">
      <w:pPr>
        <w:numPr>
          <w:ilvl w:val="0"/>
          <w:numId w:val="158"/>
        </w:numPr>
        <w:tabs>
          <w:tab w:val="left" w:pos="567"/>
        </w:tabs>
        <w:ind w:left="0" w:firstLine="284"/>
        <w:jc w:val="left"/>
        <w:rPr>
          <w:sz w:val="22"/>
          <w:szCs w:val="22"/>
        </w:rPr>
      </w:pPr>
      <w:r w:rsidRPr="00FA6539">
        <w:rPr>
          <w:sz w:val="22"/>
          <w:szCs w:val="22"/>
        </w:rPr>
        <w:t xml:space="preserve">Ekonomikas ministrijas iesniegts noteikumu projekts „Noteikumi par valsts palīdzību īres dzīvojamo māju būvniecībai”, 10.07.2018.. Pieejams: </w:t>
      </w:r>
      <w:hyperlink r:id="rId141" w:history="1">
        <w:r w:rsidRPr="00FA6539">
          <w:rPr>
            <w:rStyle w:val="Hyperlink"/>
            <w:sz w:val="22"/>
            <w:szCs w:val="22"/>
          </w:rPr>
          <w:t>http://tap.mk.gov.lv/mk/tap/?pid=40460362</w:t>
        </w:r>
      </w:hyperlink>
      <w:r w:rsidRPr="00FA6539">
        <w:rPr>
          <w:sz w:val="22"/>
          <w:szCs w:val="22"/>
        </w:rPr>
        <w:t xml:space="preserve"> (sk. 20.02.2019.)</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Elektroenerģijas tirgus likums, 05.05.2005.. Pieejams: </w:t>
      </w:r>
      <w:hyperlink r:id="rId142" w:history="1">
        <w:r w:rsidRPr="00FA6539">
          <w:rPr>
            <w:rStyle w:val="Hyperlink"/>
            <w:sz w:val="22"/>
            <w:szCs w:val="22"/>
          </w:rPr>
          <w:t>https://likumi.lv/doc.php?id=108834</w:t>
        </w:r>
      </w:hyperlink>
      <w:r w:rsidRPr="00FA6539">
        <w:rPr>
          <w:sz w:val="22"/>
          <w:szCs w:val="22"/>
        </w:rPr>
        <w:t xml:space="preserve"> (sk. 17.01.2019.)</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Epidemioloģiskās drošības likums, 11.12.1997. Pieejams: </w:t>
      </w:r>
      <w:hyperlink r:id="rId143" w:history="1">
        <w:r w:rsidRPr="00FA6539">
          <w:rPr>
            <w:rStyle w:val="Hyperlink"/>
            <w:sz w:val="22"/>
            <w:szCs w:val="22"/>
          </w:rPr>
          <w:t>https://likumi.lv/doc.php?id=52951</w:t>
        </w:r>
      </w:hyperlink>
      <w:r w:rsidRPr="00FA6539">
        <w:rPr>
          <w:sz w:val="22"/>
          <w:szCs w:val="22"/>
        </w:rPr>
        <w:t xml:space="preserve"> (sk. 18.12.2018.)</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Farmācijas likums, 10.04.1997. Pieejams: </w:t>
      </w:r>
      <w:hyperlink r:id="rId144" w:history="1">
        <w:r w:rsidRPr="00FA6539">
          <w:rPr>
            <w:rStyle w:val="Hyperlink"/>
            <w:sz w:val="22"/>
            <w:szCs w:val="22"/>
          </w:rPr>
          <w:t>https://likumi.lv/doc.php?id=43127</w:t>
        </w:r>
      </w:hyperlink>
      <w:r w:rsidRPr="00FA6539">
        <w:rPr>
          <w:sz w:val="22"/>
          <w:szCs w:val="22"/>
        </w:rPr>
        <w:t xml:space="preserve"> (sk. 18.12.2018.)</w:t>
      </w:r>
    </w:p>
    <w:p w:rsidR="000C528D" w:rsidRPr="00FA6539" w:rsidRDefault="000C528D" w:rsidP="003F469F">
      <w:pPr>
        <w:numPr>
          <w:ilvl w:val="0"/>
          <w:numId w:val="158"/>
        </w:numPr>
        <w:tabs>
          <w:tab w:val="left" w:pos="567"/>
        </w:tabs>
        <w:ind w:left="0" w:firstLine="284"/>
        <w:jc w:val="left"/>
        <w:rPr>
          <w:sz w:val="22"/>
          <w:szCs w:val="22"/>
        </w:rPr>
      </w:pPr>
      <w:r w:rsidRPr="00FA6539">
        <w:rPr>
          <w:sz w:val="22"/>
          <w:szCs w:val="22"/>
        </w:rPr>
        <w:t xml:space="preserve">Finanšu ministrija. Budžets 2018. Pieejams: </w:t>
      </w:r>
      <w:hyperlink r:id="rId145" w:history="1">
        <w:r w:rsidRPr="00FA6539">
          <w:rPr>
            <w:rStyle w:val="Hyperlink"/>
            <w:sz w:val="22"/>
            <w:szCs w:val="22"/>
          </w:rPr>
          <w:t>http://www.fm.gov.lv/lv/sadalas/valsts_budzets/valsts_budzeta_izstrade/_budzets2018/</w:t>
        </w:r>
      </w:hyperlink>
      <w:r w:rsidRPr="00FA6539">
        <w:rPr>
          <w:sz w:val="22"/>
          <w:szCs w:val="22"/>
        </w:rPr>
        <w:t xml:space="preserve"> (sk. 31.10.2018.)</w:t>
      </w:r>
    </w:p>
    <w:p w:rsidR="000C528D" w:rsidRPr="00FA6539" w:rsidRDefault="000C528D" w:rsidP="003F469F">
      <w:pPr>
        <w:numPr>
          <w:ilvl w:val="0"/>
          <w:numId w:val="158"/>
        </w:numPr>
        <w:tabs>
          <w:tab w:val="left" w:pos="567"/>
        </w:tabs>
        <w:ind w:left="0" w:firstLine="284"/>
        <w:jc w:val="left"/>
        <w:rPr>
          <w:sz w:val="22"/>
          <w:szCs w:val="22"/>
        </w:rPr>
      </w:pPr>
      <w:r w:rsidRPr="00FA6539">
        <w:rPr>
          <w:sz w:val="22"/>
          <w:szCs w:val="22"/>
        </w:rPr>
        <w:t xml:space="preserve">Grozījumi Bērnu tiesību aizsardzības likumā, 26.11.2015. Pieejams: </w:t>
      </w:r>
      <w:hyperlink r:id="rId146" w:history="1">
        <w:r w:rsidRPr="00FA6539">
          <w:rPr>
            <w:rStyle w:val="Hyperlink"/>
            <w:sz w:val="22"/>
            <w:szCs w:val="22"/>
          </w:rPr>
          <w:t>https://likumi.lv/ta/id/278512-grozijumi-bernu-tiesibu-aizsardzibas-likuma</w:t>
        </w:r>
      </w:hyperlink>
      <w:r w:rsidRPr="00FA6539">
        <w:rPr>
          <w:sz w:val="22"/>
          <w:szCs w:val="22"/>
        </w:rPr>
        <w:t xml:space="preserve"> (sk. 12.01.2019.)</w:t>
      </w:r>
    </w:p>
    <w:p w:rsidR="000C528D" w:rsidRPr="00FA6539" w:rsidRDefault="000C528D" w:rsidP="003F469F">
      <w:pPr>
        <w:numPr>
          <w:ilvl w:val="0"/>
          <w:numId w:val="158"/>
        </w:numPr>
        <w:tabs>
          <w:tab w:val="left" w:pos="567"/>
        </w:tabs>
        <w:ind w:left="0" w:firstLine="284"/>
        <w:jc w:val="left"/>
        <w:rPr>
          <w:sz w:val="22"/>
          <w:szCs w:val="22"/>
        </w:rPr>
      </w:pPr>
      <w:r w:rsidRPr="00FA6539">
        <w:rPr>
          <w:sz w:val="22"/>
          <w:szCs w:val="22"/>
        </w:rPr>
        <w:t xml:space="preserve">Grozījumi Civilprocesa likumā, 13.02.2014. Pieejams: </w:t>
      </w:r>
      <w:hyperlink r:id="rId147" w:history="1">
        <w:r w:rsidRPr="00FA6539">
          <w:rPr>
            <w:rStyle w:val="Hyperlink"/>
            <w:sz w:val="22"/>
            <w:szCs w:val="22"/>
          </w:rPr>
          <w:t>https://likumi.lv/ta/id/264622-grozijumi-civilprocesa-likuma</w:t>
        </w:r>
      </w:hyperlink>
      <w:r w:rsidRPr="00FA6539">
        <w:rPr>
          <w:sz w:val="22"/>
          <w:szCs w:val="22"/>
        </w:rPr>
        <w:t xml:space="preserve"> (sk. 03.12.2018.)</w:t>
      </w:r>
    </w:p>
    <w:p w:rsidR="000C528D" w:rsidRPr="00FA6539" w:rsidRDefault="000C528D" w:rsidP="003F469F">
      <w:pPr>
        <w:numPr>
          <w:ilvl w:val="0"/>
          <w:numId w:val="158"/>
        </w:numPr>
        <w:tabs>
          <w:tab w:val="left" w:pos="567"/>
        </w:tabs>
        <w:ind w:left="0" w:firstLine="284"/>
        <w:jc w:val="left"/>
        <w:rPr>
          <w:sz w:val="22"/>
          <w:szCs w:val="22"/>
        </w:rPr>
      </w:pPr>
      <w:r w:rsidRPr="00FA6539">
        <w:rPr>
          <w:sz w:val="22"/>
          <w:szCs w:val="22"/>
        </w:rPr>
        <w:t xml:space="preserve">Grozījumi Dzīvesvietas deklarēšanas likumā, 08.10.2015. Pieejams: </w:t>
      </w:r>
      <w:hyperlink r:id="rId148" w:history="1">
        <w:r w:rsidRPr="00FA6539">
          <w:rPr>
            <w:rStyle w:val="Hyperlink"/>
            <w:sz w:val="22"/>
            <w:szCs w:val="22"/>
          </w:rPr>
          <w:t>https://likumi.lv/ta/id/277316-grozijumi-dzivesvietas-deklaresanas-likuma</w:t>
        </w:r>
      </w:hyperlink>
      <w:r w:rsidRPr="00FA6539">
        <w:rPr>
          <w:sz w:val="22"/>
          <w:szCs w:val="22"/>
        </w:rPr>
        <w:t xml:space="preserve"> (sk. 01.03.2019.)</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Grozījumi Elektroenerģijas tirgus likumā, 17.09.2015. Pieejams: </w:t>
      </w:r>
      <w:hyperlink r:id="rId149" w:history="1">
        <w:r w:rsidRPr="00FA6539">
          <w:rPr>
            <w:rStyle w:val="Hyperlink"/>
            <w:sz w:val="22"/>
            <w:szCs w:val="22"/>
          </w:rPr>
          <w:t>https://likumi.lv/ta/id/276770-grozijumi-elektroenergijas-tirgus-likuma</w:t>
        </w:r>
      </w:hyperlink>
      <w:r w:rsidRPr="00FA6539">
        <w:rPr>
          <w:sz w:val="22"/>
          <w:szCs w:val="22"/>
        </w:rPr>
        <w:t xml:space="preserve"> (sk. 01.03.2019.)</w:t>
      </w:r>
    </w:p>
    <w:p w:rsidR="000C528D" w:rsidRPr="00FA6539" w:rsidRDefault="000C528D" w:rsidP="003F469F">
      <w:pPr>
        <w:numPr>
          <w:ilvl w:val="0"/>
          <w:numId w:val="158"/>
        </w:numPr>
        <w:tabs>
          <w:tab w:val="left" w:pos="567"/>
        </w:tabs>
        <w:ind w:left="0" w:firstLine="284"/>
        <w:jc w:val="left"/>
        <w:rPr>
          <w:sz w:val="22"/>
          <w:szCs w:val="22"/>
        </w:rPr>
      </w:pPr>
      <w:r w:rsidRPr="00FA6539">
        <w:rPr>
          <w:sz w:val="22"/>
          <w:szCs w:val="22"/>
        </w:rPr>
        <w:t xml:space="preserve">Grozījumi likumā "Par nekustamā īpašuma nodokli", 10.12.2015.. Pieejami: </w:t>
      </w:r>
      <w:hyperlink r:id="rId150" w:history="1">
        <w:r w:rsidRPr="00FA6539">
          <w:rPr>
            <w:rStyle w:val="Hyperlink"/>
            <w:sz w:val="22"/>
            <w:szCs w:val="22"/>
          </w:rPr>
          <w:t>https://likumi.lv/ta/id/278635-grozijumi-likuma-par-nekustama-ipasuma-nodokli</w:t>
        </w:r>
      </w:hyperlink>
      <w:r w:rsidRPr="00FA6539">
        <w:rPr>
          <w:sz w:val="22"/>
          <w:szCs w:val="22"/>
        </w:rPr>
        <w:t xml:space="preserve"> (sk. 01.03.2019.)</w:t>
      </w:r>
    </w:p>
    <w:p w:rsidR="000C528D" w:rsidRPr="00FA6539" w:rsidRDefault="000C528D" w:rsidP="003F469F">
      <w:pPr>
        <w:numPr>
          <w:ilvl w:val="0"/>
          <w:numId w:val="158"/>
        </w:numPr>
        <w:tabs>
          <w:tab w:val="left" w:pos="567"/>
        </w:tabs>
        <w:ind w:left="0" w:firstLine="284"/>
        <w:jc w:val="left"/>
        <w:rPr>
          <w:sz w:val="22"/>
          <w:szCs w:val="22"/>
        </w:rPr>
      </w:pPr>
      <w:r w:rsidRPr="00FA6539">
        <w:rPr>
          <w:sz w:val="22"/>
          <w:szCs w:val="22"/>
        </w:rPr>
        <w:t xml:space="preserve">Grozījumi likumā "Par nodokļiem un nodevām", 30.11.2015.. Pieejami: </w:t>
      </w:r>
      <w:hyperlink r:id="rId151" w:history="1">
        <w:r w:rsidRPr="00FA6539">
          <w:rPr>
            <w:rStyle w:val="Hyperlink"/>
            <w:sz w:val="22"/>
            <w:szCs w:val="22"/>
          </w:rPr>
          <w:t>https://likumi.lv/ta/id/278641-grozijumi-likuma-par-nodokliem-un-nodevam</w:t>
        </w:r>
      </w:hyperlink>
      <w:r w:rsidRPr="00FA6539">
        <w:rPr>
          <w:sz w:val="22"/>
          <w:szCs w:val="22"/>
        </w:rPr>
        <w:t xml:space="preserve"> (sk. 01.03.2019.)</w:t>
      </w:r>
    </w:p>
    <w:p w:rsidR="000C528D" w:rsidRPr="00FA6539" w:rsidRDefault="000C528D" w:rsidP="003F469F">
      <w:pPr>
        <w:numPr>
          <w:ilvl w:val="0"/>
          <w:numId w:val="158"/>
        </w:numPr>
        <w:tabs>
          <w:tab w:val="left" w:pos="567"/>
        </w:tabs>
        <w:ind w:left="0" w:firstLine="284"/>
        <w:jc w:val="left"/>
        <w:rPr>
          <w:sz w:val="22"/>
          <w:szCs w:val="22"/>
        </w:rPr>
      </w:pPr>
      <w:r w:rsidRPr="00FA6539">
        <w:rPr>
          <w:sz w:val="22"/>
          <w:szCs w:val="22"/>
        </w:rPr>
        <w:t xml:space="preserve">Grozījumi likumā „Par iedzīvotāju ienākuma nodokli”, 17.12.2014. Pieejami: </w:t>
      </w:r>
      <w:hyperlink r:id="rId152" w:history="1">
        <w:r w:rsidRPr="00FA6539">
          <w:rPr>
            <w:rStyle w:val="Hyperlink"/>
            <w:sz w:val="22"/>
            <w:szCs w:val="22"/>
          </w:rPr>
          <w:t>https://likumi.lv/ta/id/271317-grozijumi-likuma-par-iedzivotaju-ienakuma-nodokli</w:t>
        </w:r>
      </w:hyperlink>
      <w:r w:rsidRPr="00FA6539">
        <w:rPr>
          <w:sz w:val="22"/>
          <w:szCs w:val="22"/>
        </w:rPr>
        <w:t xml:space="preserve"> (sk. 02.03.2019)</w:t>
      </w:r>
    </w:p>
    <w:p w:rsidR="000C528D" w:rsidRPr="00FA6539" w:rsidRDefault="000C528D" w:rsidP="003F469F">
      <w:pPr>
        <w:numPr>
          <w:ilvl w:val="0"/>
          <w:numId w:val="158"/>
        </w:numPr>
        <w:tabs>
          <w:tab w:val="left" w:pos="567"/>
        </w:tabs>
        <w:ind w:left="0" w:firstLine="284"/>
        <w:jc w:val="left"/>
        <w:rPr>
          <w:sz w:val="22"/>
          <w:szCs w:val="22"/>
        </w:rPr>
      </w:pPr>
      <w:r w:rsidRPr="00FA6539">
        <w:rPr>
          <w:sz w:val="22"/>
          <w:szCs w:val="22"/>
        </w:rPr>
        <w:t xml:space="preserve">Grozījumi likumā „Par iedzīvotāju ienākuma nodokli”, 30.11.2015. Pieejams: </w:t>
      </w:r>
      <w:hyperlink r:id="rId153" w:history="1">
        <w:r w:rsidRPr="00FA6539">
          <w:rPr>
            <w:rStyle w:val="Hyperlink"/>
            <w:sz w:val="22"/>
            <w:szCs w:val="22"/>
          </w:rPr>
          <w:t>https://likumi.lv/ta/id/278633-grozijumi-likuma-par-iedzivotaju-ienakuma-nodokli</w:t>
        </w:r>
      </w:hyperlink>
      <w:r w:rsidRPr="00FA6539">
        <w:rPr>
          <w:sz w:val="22"/>
          <w:szCs w:val="22"/>
        </w:rPr>
        <w:t xml:space="preserve"> (sk. 01.03.2019.)</w:t>
      </w:r>
    </w:p>
    <w:p w:rsidR="000C528D" w:rsidRPr="008E0AED" w:rsidRDefault="000C528D" w:rsidP="003F469F">
      <w:pPr>
        <w:numPr>
          <w:ilvl w:val="0"/>
          <w:numId w:val="158"/>
        </w:numPr>
        <w:tabs>
          <w:tab w:val="left" w:pos="567"/>
        </w:tabs>
        <w:ind w:left="0" w:firstLine="284"/>
        <w:jc w:val="left"/>
        <w:rPr>
          <w:sz w:val="22"/>
          <w:szCs w:val="22"/>
        </w:rPr>
      </w:pPr>
      <w:r w:rsidRPr="008E0AED">
        <w:rPr>
          <w:sz w:val="22"/>
          <w:szCs w:val="22"/>
        </w:rPr>
        <w:lastRenderedPageBreak/>
        <w:t xml:space="preserve">Grozījumi likumā „Par maternitātes un slimības apdrošināšanu”, 23.10.2014. Pieejami: </w:t>
      </w:r>
      <w:hyperlink r:id="rId154" w:history="1">
        <w:r w:rsidRPr="008E0AED">
          <w:rPr>
            <w:rStyle w:val="Hyperlink"/>
            <w:sz w:val="22"/>
            <w:szCs w:val="22"/>
          </w:rPr>
          <w:t>https://likumi.lv/ta/id/270231-grozijumi-likuma-par-maternitates-un-slimibas-apdrosinasanu-</w:t>
        </w:r>
      </w:hyperlink>
      <w:r w:rsidRPr="008E0AED">
        <w:rPr>
          <w:sz w:val="22"/>
          <w:szCs w:val="22"/>
        </w:rPr>
        <w:t xml:space="preserve"> (sk.07.11.2018.)</w:t>
      </w:r>
    </w:p>
    <w:p w:rsidR="000C528D" w:rsidRPr="008E0AED" w:rsidRDefault="000C528D" w:rsidP="003F469F">
      <w:pPr>
        <w:numPr>
          <w:ilvl w:val="0"/>
          <w:numId w:val="158"/>
        </w:numPr>
        <w:tabs>
          <w:tab w:val="left" w:pos="567"/>
        </w:tabs>
        <w:ind w:left="0" w:firstLine="284"/>
        <w:jc w:val="left"/>
        <w:rPr>
          <w:sz w:val="22"/>
          <w:szCs w:val="22"/>
        </w:rPr>
      </w:pPr>
      <w:r w:rsidRPr="008E0AED">
        <w:rPr>
          <w:sz w:val="22"/>
          <w:szCs w:val="22"/>
        </w:rPr>
        <w:t xml:space="preserve">Grozījumi likumā „Par obligāto sociālo apdrošināšanu pret nelaimes gadījumiem darbā un arodslimībām” , 23.10.2014. Pieejami: </w:t>
      </w:r>
      <w:hyperlink r:id="rId155" w:history="1">
        <w:r w:rsidRPr="008E0AED">
          <w:rPr>
            <w:rStyle w:val="Hyperlink"/>
            <w:sz w:val="22"/>
            <w:szCs w:val="22"/>
          </w:rPr>
          <w:t>https://likumi.lv/ta/id/270225-grozijumi-likuma-par-obligato-socialo-apdrosinasanu-pret-nelaimes-gadijumiem-darba-un-arodslimibam-</w:t>
        </w:r>
      </w:hyperlink>
      <w:r w:rsidRPr="008E0AED">
        <w:rPr>
          <w:sz w:val="22"/>
          <w:szCs w:val="22"/>
        </w:rPr>
        <w:t xml:space="preserve"> (sk. 07.12.2018.)</w:t>
      </w:r>
    </w:p>
    <w:p w:rsidR="000C528D" w:rsidRPr="008E0AED" w:rsidRDefault="000C528D" w:rsidP="003F469F">
      <w:pPr>
        <w:numPr>
          <w:ilvl w:val="0"/>
          <w:numId w:val="158"/>
        </w:numPr>
        <w:tabs>
          <w:tab w:val="left" w:pos="567"/>
        </w:tabs>
        <w:ind w:left="0" w:firstLine="284"/>
        <w:jc w:val="left"/>
        <w:rPr>
          <w:sz w:val="22"/>
          <w:szCs w:val="22"/>
        </w:rPr>
      </w:pPr>
      <w:r w:rsidRPr="008E0AED">
        <w:rPr>
          <w:sz w:val="22"/>
          <w:szCs w:val="22"/>
        </w:rPr>
        <w:t xml:space="preserve">Grozījumi likumā „Par valsts pensijām”, 18.06.2015. Pieejams: </w:t>
      </w:r>
      <w:hyperlink r:id="rId156" w:history="1">
        <w:r w:rsidRPr="008E0AED">
          <w:rPr>
            <w:rStyle w:val="Hyperlink"/>
            <w:sz w:val="22"/>
            <w:szCs w:val="22"/>
          </w:rPr>
          <w:t>https://likumi.lv/ta/id/274899-grozijumi-likuma-par-valsts-pensijam-</w:t>
        </w:r>
      </w:hyperlink>
      <w:r w:rsidRPr="008E0AED">
        <w:rPr>
          <w:sz w:val="22"/>
          <w:szCs w:val="22"/>
        </w:rPr>
        <w:t xml:space="preserve"> (sk. 12.01.2019.)</w:t>
      </w:r>
    </w:p>
    <w:p w:rsidR="000C528D" w:rsidRPr="008E0AED" w:rsidRDefault="000C528D" w:rsidP="003F469F">
      <w:pPr>
        <w:numPr>
          <w:ilvl w:val="0"/>
          <w:numId w:val="158"/>
        </w:numPr>
        <w:tabs>
          <w:tab w:val="left" w:pos="567"/>
          <w:tab w:val="left" w:pos="851"/>
        </w:tabs>
        <w:ind w:left="0" w:firstLine="284"/>
        <w:jc w:val="left"/>
        <w:rPr>
          <w:sz w:val="22"/>
          <w:szCs w:val="22"/>
        </w:rPr>
      </w:pPr>
      <w:r w:rsidRPr="008E0AED">
        <w:rPr>
          <w:sz w:val="22"/>
          <w:szCs w:val="22"/>
        </w:rPr>
        <w:t xml:space="preserve">Grozījumi Maksātnespējas likumā, 25.09.2014. Pieejams: </w:t>
      </w:r>
      <w:hyperlink r:id="rId157" w:history="1">
        <w:r w:rsidRPr="008E0AED">
          <w:rPr>
            <w:rStyle w:val="Hyperlink"/>
            <w:sz w:val="22"/>
            <w:szCs w:val="22"/>
          </w:rPr>
          <w:t>https://likumi.lv/ta/id/269517-grozijumi-maksatnespejas-likuma</w:t>
        </w:r>
      </w:hyperlink>
      <w:r w:rsidRPr="008E0AED">
        <w:rPr>
          <w:sz w:val="22"/>
          <w:szCs w:val="22"/>
        </w:rPr>
        <w:t xml:space="preserve"> (sk. 01.03.2019.)</w:t>
      </w:r>
    </w:p>
    <w:p w:rsidR="000C528D" w:rsidRPr="008E0AED" w:rsidRDefault="000C528D" w:rsidP="003F469F">
      <w:pPr>
        <w:numPr>
          <w:ilvl w:val="0"/>
          <w:numId w:val="158"/>
        </w:numPr>
        <w:tabs>
          <w:tab w:val="left" w:pos="567"/>
          <w:tab w:val="left" w:pos="851"/>
        </w:tabs>
        <w:ind w:left="0" w:firstLine="284"/>
        <w:jc w:val="left"/>
        <w:rPr>
          <w:sz w:val="22"/>
          <w:szCs w:val="22"/>
        </w:rPr>
      </w:pPr>
      <w:r w:rsidRPr="008E0AED">
        <w:rPr>
          <w:sz w:val="22"/>
          <w:szCs w:val="22"/>
        </w:rPr>
        <w:t xml:space="preserve">Invaliditātes likums, 20.05.2010. Pieejams: </w:t>
      </w:r>
      <w:hyperlink r:id="rId158" w:history="1">
        <w:r w:rsidRPr="008E0AED">
          <w:rPr>
            <w:rStyle w:val="Hyperlink"/>
            <w:sz w:val="22"/>
            <w:szCs w:val="22"/>
          </w:rPr>
          <w:t>https://likumi.lv/doc.php?id=211494</w:t>
        </w:r>
      </w:hyperlink>
      <w:r w:rsidRPr="008E0AED">
        <w:rPr>
          <w:sz w:val="22"/>
          <w:szCs w:val="22"/>
        </w:rPr>
        <w:t xml:space="preserve"> (sk. 17.01.2019.)</w:t>
      </w:r>
    </w:p>
    <w:p w:rsidR="000C528D" w:rsidRPr="008E0AED" w:rsidRDefault="000C528D" w:rsidP="003F469F">
      <w:pPr>
        <w:numPr>
          <w:ilvl w:val="0"/>
          <w:numId w:val="158"/>
        </w:numPr>
        <w:tabs>
          <w:tab w:val="left" w:pos="567"/>
        </w:tabs>
        <w:ind w:left="0" w:firstLine="284"/>
        <w:jc w:val="left"/>
        <w:rPr>
          <w:sz w:val="22"/>
          <w:szCs w:val="22"/>
        </w:rPr>
      </w:pPr>
      <w:r w:rsidRPr="008E0AED">
        <w:rPr>
          <w:sz w:val="22"/>
          <w:szCs w:val="22"/>
        </w:rPr>
        <w:t xml:space="preserve">Izglītības likums, 29.10.1998.. Pieejams: </w:t>
      </w:r>
      <w:hyperlink r:id="rId159" w:history="1">
        <w:r w:rsidRPr="008E0AED">
          <w:rPr>
            <w:rStyle w:val="Hyperlink"/>
            <w:sz w:val="22"/>
            <w:szCs w:val="22"/>
          </w:rPr>
          <w:t>https://likumi.lv/doc.php?id=50759</w:t>
        </w:r>
      </w:hyperlink>
      <w:r w:rsidRPr="008E0AED">
        <w:rPr>
          <w:sz w:val="22"/>
          <w:szCs w:val="22"/>
        </w:rPr>
        <w:t xml:space="preserve"> (sk. 03.12.2018.)</w:t>
      </w:r>
    </w:p>
    <w:p w:rsidR="000C528D" w:rsidRPr="008E0AED" w:rsidRDefault="000C528D" w:rsidP="003F469F">
      <w:pPr>
        <w:numPr>
          <w:ilvl w:val="0"/>
          <w:numId w:val="158"/>
        </w:numPr>
        <w:tabs>
          <w:tab w:val="left" w:pos="567"/>
        </w:tabs>
        <w:ind w:left="0" w:firstLine="284"/>
        <w:jc w:val="left"/>
        <w:rPr>
          <w:sz w:val="22"/>
          <w:szCs w:val="22"/>
        </w:rPr>
      </w:pPr>
      <w:r w:rsidRPr="008E0AED">
        <w:rPr>
          <w:sz w:val="22"/>
          <w:szCs w:val="22"/>
        </w:rPr>
        <w:t xml:space="preserve">Kārtība, kādā pašvaldībām piešķiramas valsts mērķdotācijas dzīvokļa jautājumu risināšanai, 05.04.2005.. Pieejams: </w:t>
      </w:r>
      <w:hyperlink r:id="rId160" w:history="1">
        <w:r w:rsidRPr="008E0AED">
          <w:rPr>
            <w:rStyle w:val="Hyperlink"/>
            <w:sz w:val="22"/>
            <w:szCs w:val="22"/>
          </w:rPr>
          <w:t>https://likumi.lv/doc.php?id=105785</w:t>
        </w:r>
      </w:hyperlink>
      <w:r w:rsidRPr="008E0AED">
        <w:rPr>
          <w:sz w:val="22"/>
          <w:szCs w:val="22"/>
        </w:rPr>
        <w:t xml:space="preserve"> (sk. 04.03.2019.)</w:t>
      </w:r>
    </w:p>
    <w:p w:rsidR="000C528D" w:rsidRPr="008E0AED" w:rsidRDefault="000C528D" w:rsidP="008E0AED">
      <w:pPr>
        <w:numPr>
          <w:ilvl w:val="0"/>
          <w:numId w:val="158"/>
        </w:numPr>
        <w:tabs>
          <w:tab w:val="left" w:pos="567"/>
        </w:tabs>
        <w:ind w:left="0" w:firstLine="284"/>
        <w:jc w:val="left"/>
        <w:rPr>
          <w:sz w:val="22"/>
          <w:szCs w:val="22"/>
        </w:rPr>
      </w:pPr>
      <w:r w:rsidRPr="008E0AED">
        <w:rPr>
          <w:sz w:val="22"/>
          <w:szCs w:val="22"/>
        </w:rPr>
        <w:t xml:space="preserve">Kredītinformācijas biroju likums, 18.09.2014. Pieejams: </w:t>
      </w:r>
      <w:hyperlink r:id="rId161" w:history="1">
        <w:r w:rsidRPr="008E0AED">
          <w:rPr>
            <w:sz w:val="22"/>
            <w:szCs w:val="22"/>
          </w:rPr>
          <w:t>https://likumi.lv/ta/id/269374-kreditinformacijas-biroju-likums</w:t>
        </w:r>
      </w:hyperlink>
      <w:r w:rsidRPr="008E0AED">
        <w:rPr>
          <w:sz w:val="22"/>
          <w:szCs w:val="22"/>
        </w:rPr>
        <w:t xml:space="preserve"> (sk. 02.03.2019) </w:t>
      </w:r>
    </w:p>
    <w:p w:rsidR="008E0AED" w:rsidRPr="008E0AED" w:rsidRDefault="008E0AED" w:rsidP="008E0AED">
      <w:pPr>
        <w:numPr>
          <w:ilvl w:val="0"/>
          <w:numId w:val="158"/>
        </w:numPr>
        <w:tabs>
          <w:tab w:val="left" w:pos="567"/>
        </w:tabs>
        <w:ind w:left="0" w:firstLine="284"/>
        <w:jc w:val="left"/>
        <w:rPr>
          <w:sz w:val="22"/>
          <w:szCs w:val="22"/>
        </w:rPr>
      </w:pPr>
      <w:r w:rsidRPr="008E0AED">
        <w:rPr>
          <w:sz w:val="22"/>
          <w:szCs w:val="22"/>
        </w:rPr>
        <w:t>LDDK atzinums „Par Ministru kabineta noteikumu projektu "Noteikumi par valsts palīdzību īres dzīvojamo māju būvniecībai”, 26.07.2018. (VSS -707)”.</w:t>
      </w:r>
    </w:p>
    <w:p w:rsidR="008E0AED" w:rsidRPr="008E0AED" w:rsidRDefault="008E0AED" w:rsidP="008E0AED">
      <w:pPr>
        <w:numPr>
          <w:ilvl w:val="0"/>
          <w:numId w:val="158"/>
        </w:numPr>
        <w:tabs>
          <w:tab w:val="left" w:pos="567"/>
        </w:tabs>
        <w:ind w:left="0" w:firstLine="284"/>
        <w:jc w:val="left"/>
        <w:rPr>
          <w:sz w:val="22"/>
          <w:szCs w:val="22"/>
        </w:rPr>
      </w:pPr>
      <w:r w:rsidRPr="008E0AED">
        <w:rPr>
          <w:sz w:val="22"/>
          <w:szCs w:val="22"/>
        </w:rPr>
        <w:t>LDDK atzinums EM par likumprojektu "Grozījumi likumā “Par palīdzību dzīvokļa jautājumu risināšanā””, 19.01.2018.  (VSS - 1074)</w:t>
      </w:r>
    </w:p>
    <w:p w:rsidR="000C528D" w:rsidRPr="008E0AED" w:rsidRDefault="000C528D" w:rsidP="003F469F">
      <w:pPr>
        <w:numPr>
          <w:ilvl w:val="0"/>
          <w:numId w:val="158"/>
        </w:numPr>
        <w:tabs>
          <w:tab w:val="left" w:pos="567"/>
        </w:tabs>
        <w:ind w:left="0" w:firstLine="284"/>
        <w:jc w:val="left"/>
        <w:rPr>
          <w:sz w:val="22"/>
          <w:szCs w:val="22"/>
        </w:rPr>
      </w:pPr>
      <w:r w:rsidRPr="008E0AED">
        <w:rPr>
          <w:sz w:val="22"/>
          <w:szCs w:val="22"/>
        </w:rPr>
        <w:t xml:space="preserve">Likumprojekta “Grozījumi likumā “Par sociālajiem dzīvokļiem un sociālajām mājām”” anotācija. Pieejams: </w:t>
      </w:r>
      <w:hyperlink r:id="rId162" w:history="1">
        <w:r w:rsidRPr="008E0AED">
          <w:rPr>
            <w:rStyle w:val="Hyperlink"/>
            <w:sz w:val="22"/>
            <w:szCs w:val="22"/>
          </w:rPr>
          <w:t>http://titania.saeima.lv/LIVS12/SaeimaLIVS12.nsf/0/A57D4D026B9B8107C2258251002F6750?OpenDocument</w:t>
        </w:r>
      </w:hyperlink>
      <w:r w:rsidRPr="008E0AED">
        <w:rPr>
          <w:sz w:val="22"/>
          <w:szCs w:val="22"/>
        </w:rPr>
        <w:t xml:space="preserve"> (sk. 18.01.209.)</w:t>
      </w:r>
    </w:p>
    <w:p w:rsidR="000C528D" w:rsidRPr="008E0AED" w:rsidRDefault="000C528D" w:rsidP="003F469F">
      <w:pPr>
        <w:numPr>
          <w:ilvl w:val="0"/>
          <w:numId w:val="158"/>
        </w:numPr>
        <w:tabs>
          <w:tab w:val="left" w:pos="567"/>
        </w:tabs>
        <w:ind w:left="0" w:firstLine="284"/>
        <w:jc w:val="left"/>
        <w:rPr>
          <w:sz w:val="22"/>
          <w:szCs w:val="22"/>
        </w:rPr>
      </w:pPr>
      <w:r w:rsidRPr="008E0AED">
        <w:rPr>
          <w:bCs/>
          <w:sz w:val="22"/>
          <w:szCs w:val="22"/>
        </w:rPr>
        <w:t xml:space="preserve">Likumprojekta „Dzīvojamo telpu īres likums” sākotnējās ietekmes novērtējuma ziņojums (anotācija). Pieejams: </w:t>
      </w:r>
      <w:hyperlink r:id="rId163" w:history="1">
        <w:r w:rsidRPr="008E0AED">
          <w:rPr>
            <w:rStyle w:val="Hyperlink"/>
            <w:sz w:val="22"/>
            <w:szCs w:val="22"/>
          </w:rPr>
          <w:t>https://www.em.gov.lv/lv/nozares_politika/majokli/dzivojamo_telpu_ires_likumprojekts/</w:t>
        </w:r>
      </w:hyperlink>
      <w:r w:rsidRPr="008E0AED">
        <w:rPr>
          <w:bCs/>
          <w:sz w:val="22"/>
          <w:szCs w:val="22"/>
        </w:rPr>
        <w:t xml:space="preserve"> (sk. 14.01.2019.)</w:t>
      </w:r>
    </w:p>
    <w:p w:rsidR="000C528D" w:rsidRPr="008E0AED" w:rsidRDefault="000C528D" w:rsidP="003F469F">
      <w:pPr>
        <w:numPr>
          <w:ilvl w:val="0"/>
          <w:numId w:val="158"/>
        </w:numPr>
        <w:tabs>
          <w:tab w:val="left" w:pos="567"/>
        </w:tabs>
        <w:ind w:left="0" w:firstLine="284"/>
        <w:jc w:val="left"/>
        <w:rPr>
          <w:sz w:val="22"/>
          <w:szCs w:val="22"/>
        </w:rPr>
      </w:pPr>
      <w:r w:rsidRPr="008E0AED">
        <w:rPr>
          <w:bCs/>
          <w:sz w:val="22"/>
          <w:szCs w:val="22"/>
        </w:rPr>
        <w:t xml:space="preserve">Likumprojekta „Grozījumi likumā „Par palīdzību dzīvokļa jautājumu risināšanā”” sākotnējās ietekmes novērtējuma ziņojums (anotācija). Pieejams: </w:t>
      </w:r>
      <w:hyperlink r:id="rId164" w:history="1">
        <w:r w:rsidRPr="008E0AED">
          <w:rPr>
            <w:rStyle w:val="Hyperlink"/>
            <w:sz w:val="22"/>
            <w:szCs w:val="22"/>
          </w:rPr>
          <w:t>http://tap.mk.gov.lv/lv/mk/tap/?pid=40438757</w:t>
        </w:r>
      </w:hyperlink>
      <w:r w:rsidRPr="008E0AED">
        <w:rPr>
          <w:bCs/>
          <w:sz w:val="22"/>
          <w:szCs w:val="22"/>
        </w:rPr>
        <w:t xml:space="preserve"> (sk. 12.01.2019.)</w:t>
      </w:r>
    </w:p>
    <w:p w:rsidR="000C528D" w:rsidRPr="008E0AED" w:rsidRDefault="000C528D" w:rsidP="003F469F">
      <w:pPr>
        <w:pStyle w:val="ListParagraph"/>
        <w:numPr>
          <w:ilvl w:val="0"/>
          <w:numId w:val="158"/>
        </w:numPr>
        <w:tabs>
          <w:tab w:val="left" w:pos="567"/>
        </w:tabs>
        <w:spacing w:line="276" w:lineRule="auto"/>
        <w:ind w:left="0" w:firstLine="284"/>
        <w:rPr>
          <w:sz w:val="22"/>
          <w:szCs w:val="22"/>
        </w:rPr>
      </w:pPr>
      <w:r w:rsidRPr="008E0AED">
        <w:rPr>
          <w:sz w:val="22"/>
          <w:szCs w:val="22"/>
        </w:rPr>
        <w:t xml:space="preserve">Likumprojekta „Grozījumi likumā „Par valsts pensijām” sākotnējās ietekmes novērtējuma ziņojums (anotācija). Pieejams: </w:t>
      </w:r>
      <w:hyperlink r:id="rId165" w:history="1">
        <w:r w:rsidRPr="008E0AED">
          <w:rPr>
            <w:rStyle w:val="Hyperlink"/>
            <w:sz w:val="22"/>
            <w:szCs w:val="22"/>
          </w:rPr>
          <w:t>http://titania.saeima.lv/LIVS12/SaeimaLIVS12.nsf/0/C31CBED7BAE8551BC2257E50002625A0?OpenDocument</w:t>
        </w:r>
      </w:hyperlink>
      <w:r w:rsidRPr="008E0AED">
        <w:rPr>
          <w:sz w:val="22"/>
          <w:szCs w:val="22"/>
        </w:rPr>
        <w:t xml:space="preserve">  (sk. 17.04.2019.)</w:t>
      </w:r>
    </w:p>
    <w:p w:rsidR="000C528D" w:rsidRPr="00FA6539" w:rsidRDefault="000C528D" w:rsidP="003F469F">
      <w:pPr>
        <w:numPr>
          <w:ilvl w:val="0"/>
          <w:numId w:val="158"/>
        </w:numPr>
        <w:tabs>
          <w:tab w:val="left" w:pos="567"/>
        </w:tabs>
        <w:ind w:left="0" w:firstLine="284"/>
        <w:jc w:val="left"/>
        <w:rPr>
          <w:sz w:val="22"/>
          <w:szCs w:val="22"/>
        </w:rPr>
      </w:pPr>
      <w:r w:rsidRPr="008E0AED">
        <w:rPr>
          <w:sz w:val="22"/>
          <w:szCs w:val="22"/>
        </w:rPr>
        <w:t xml:space="preserve">Likums “Par palīdzību dzīvokļa jautājumu risināšanā”, 06.12.2001.. Pieejams: </w:t>
      </w:r>
      <w:hyperlink r:id="rId166" w:history="1">
        <w:r w:rsidRPr="008E0AED">
          <w:rPr>
            <w:rStyle w:val="Hyperlink"/>
            <w:sz w:val="22"/>
            <w:szCs w:val="22"/>
          </w:rPr>
          <w:t>https://likumi.lv/doc.php?id=56812</w:t>
        </w:r>
      </w:hyperlink>
      <w:r w:rsidRPr="00FA6539">
        <w:rPr>
          <w:sz w:val="22"/>
          <w:szCs w:val="22"/>
        </w:rPr>
        <w:t xml:space="preserve"> (sk. 29.10.2018.)</w:t>
      </w:r>
    </w:p>
    <w:p w:rsidR="000C528D" w:rsidRPr="00FA6539" w:rsidRDefault="000C528D" w:rsidP="003F469F">
      <w:pPr>
        <w:numPr>
          <w:ilvl w:val="0"/>
          <w:numId w:val="158"/>
        </w:numPr>
        <w:tabs>
          <w:tab w:val="left" w:pos="567"/>
        </w:tabs>
        <w:ind w:left="0" w:firstLine="284"/>
        <w:jc w:val="left"/>
        <w:rPr>
          <w:sz w:val="22"/>
          <w:szCs w:val="22"/>
        </w:rPr>
      </w:pPr>
      <w:r w:rsidRPr="00FA6539">
        <w:rPr>
          <w:bCs/>
          <w:sz w:val="22"/>
          <w:szCs w:val="22"/>
        </w:rPr>
        <w:t xml:space="preserve">Likums „Par dzīvojamo telpu īri”, 16.02.1993. Pieejams: </w:t>
      </w:r>
      <w:hyperlink r:id="rId167" w:history="1">
        <w:r w:rsidRPr="00FA6539">
          <w:rPr>
            <w:rStyle w:val="Hyperlink"/>
            <w:sz w:val="22"/>
            <w:szCs w:val="22"/>
          </w:rPr>
          <w:t>https://likumi.lv/doc.php?id=56863</w:t>
        </w:r>
      </w:hyperlink>
      <w:r w:rsidRPr="00FA6539">
        <w:rPr>
          <w:bCs/>
          <w:sz w:val="22"/>
          <w:szCs w:val="22"/>
        </w:rPr>
        <w:t xml:space="preserve"> (sk. 27.11.2018.)</w:t>
      </w:r>
    </w:p>
    <w:p w:rsidR="000C528D" w:rsidRPr="00FA6539" w:rsidRDefault="000C528D" w:rsidP="003F469F">
      <w:pPr>
        <w:numPr>
          <w:ilvl w:val="0"/>
          <w:numId w:val="158"/>
        </w:numPr>
        <w:tabs>
          <w:tab w:val="left" w:pos="567"/>
        </w:tabs>
        <w:ind w:left="0" w:firstLine="284"/>
        <w:jc w:val="left"/>
        <w:rPr>
          <w:sz w:val="22"/>
          <w:szCs w:val="22"/>
        </w:rPr>
      </w:pPr>
      <w:r w:rsidRPr="00FA6539">
        <w:rPr>
          <w:sz w:val="22"/>
          <w:szCs w:val="22"/>
        </w:rPr>
        <w:t xml:space="preserve">Likums „Par sociālo drošību”, 07.09.1995.. Pieejams: </w:t>
      </w:r>
      <w:hyperlink r:id="rId168" w:history="1">
        <w:r w:rsidRPr="00FA6539">
          <w:rPr>
            <w:rStyle w:val="Hyperlink"/>
            <w:sz w:val="22"/>
            <w:szCs w:val="22"/>
          </w:rPr>
          <w:t>https://likumi.lv/doc.php?id=36850</w:t>
        </w:r>
      </w:hyperlink>
      <w:r w:rsidRPr="00FA6539">
        <w:rPr>
          <w:sz w:val="22"/>
          <w:szCs w:val="22"/>
        </w:rPr>
        <w:t xml:space="preserve"> (sk. 29.10.2018.)</w:t>
      </w:r>
    </w:p>
    <w:p w:rsidR="000C528D" w:rsidRPr="00FA6539" w:rsidRDefault="000C528D" w:rsidP="003F469F">
      <w:pPr>
        <w:numPr>
          <w:ilvl w:val="0"/>
          <w:numId w:val="158"/>
        </w:numPr>
        <w:tabs>
          <w:tab w:val="left" w:pos="567"/>
        </w:tabs>
        <w:ind w:left="0" w:firstLine="284"/>
        <w:jc w:val="left"/>
        <w:rPr>
          <w:sz w:val="22"/>
          <w:szCs w:val="22"/>
        </w:rPr>
      </w:pPr>
      <w:r w:rsidRPr="00FA6539">
        <w:rPr>
          <w:sz w:val="22"/>
          <w:szCs w:val="22"/>
        </w:rPr>
        <w:t xml:space="preserve">Likums „Par valsts un pašvaldību dzīvojamo māju privatizāciju”, 21.06.1995., Latvijas Vēstnesis 103 (386). Pieejams: </w:t>
      </w:r>
      <w:hyperlink r:id="rId169" w:history="1">
        <w:r w:rsidRPr="00FA6539">
          <w:rPr>
            <w:rStyle w:val="Hyperlink"/>
            <w:sz w:val="22"/>
            <w:szCs w:val="22"/>
          </w:rPr>
          <w:t>https://likumi.lv/doc.php?id=35770</w:t>
        </w:r>
      </w:hyperlink>
      <w:r w:rsidRPr="00FA6539">
        <w:rPr>
          <w:sz w:val="22"/>
          <w:szCs w:val="22"/>
        </w:rPr>
        <w:t xml:space="preserve">  (sk. 30.10.2018.)</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Likums Par izdienas pensijām, 26.03.1992. Pieejams: </w:t>
      </w:r>
      <w:hyperlink r:id="rId170" w:history="1">
        <w:r w:rsidRPr="00FA6539">
          <w:rPr>
            <w:rStyle w:val="Hyperlink"/>
            <w:sz w:val="22"/>
            <w:szCs w:val="22"/>
          </w:rPr>
          <w:t>https://likumi.lv/doc.php?id=65827</w:t>
        </w:r>
      </w:hyperlink>
      <w:r w:rsidRPr="00FA6539">
        <w:rPr>
          <w:sz w:val="22"/>
          <w:szCs w:val="22"/>
        </w:rPr>
        <w:t xml:space="preserve"> (sk. 12.01.2019.)</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Likums Par nekustamā īpašuma nodokli, 04.06.1997. Pieejams: </w:t>
      </w:r>
      <w:hyperlink r:id="rId171" w:history="1">
        <w:r w:rsidRPr="00FA6539">
          <w:rPr>
            <w:rStyle w:val="Hyperlink"/>
            <w:sz w:val="22"/>
            <w:szCs w:val="22"/>
          </w:rPr>
          <w:t>https://likumi.lv/doc.php?id=43913</w:t>
        </w:r>
      </w:hyperlink>
      <w:r w:rsidRPr="00FA6539">
        <w:rPr>
          <w:sz w:val="22"/>
          <w:szCs w:val="22"/>
        </w:rPr>
        <w:t xml:space="preserve"> (sk. 14.01.2019.)</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Likums Par palīdzību dzīvokļa jautājumu risināšanā, 06.12.2001. Pieejams: </w:t>
      </w:r>
      <w:hyperlink r:id="rId172" w:history="1">
        <w:r w:rsidRPr="00FA6539">
          <w:rPr>
            <w:rStyle w:val="Hyperlink"/>
            <w:sz w:val="22"/>
            <w:szCs w:val="22"/>
          </w:rPr>
          <w:t>https://likumi.lv/doc.php?id=56812</w:t>
        </w:r>
      </w:hyperlink>
      <w:r w:rsidRPr="00FA6539">
        <w:rPr>
          <w:sz w:val="22"/>
          <w:szCs w:val="22"/>
        </w:rPr>
        <w:t xml:space="preserve"> (sk. 14.01.2019.)</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Likums Par pašvaldībām, 19.05.1994. Pieejams: </w:t>
      </w:r>
      <w:hyperlink r:id="rId173" w:history="1">
        <w:r w:rsidRPr="00FA6539">
          <w:rPr>
            <w:rStyle w:val="Hyperlink"/>
            <w:sz w:val="22"/>
            <w:szCs w:val="22"/>
          </w:rPr>
          <w:t>https://likumi.lv/doc.php?id=57255</w:t>
        </w:r>
      </w:hyperlink>
      <w:r w:rsidRPr="00FA6539">
        <w:rPr>
          <w:sz w:val="22"/>
          <w:szCs w:val="22"/>
        </w:rPr>
        <w:t xml:space="preserve"> (sk. 14.01.2019.)</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lastRenderedPageBreak/>
        <w:t xml:space="preserve">Likums Par sociālo drošību, 07.09.1995. Pieejams: </w:t>
      </w:r>
      <w:hyperlink r:id="rId174" w:history="1">
        <w:r w:rsidRPr="00FA6539">
          <w:rPr>
            <w:rStyle w:val="Hyperlink"/>
            <w:sz w:val="22"/>
            <w:szCs w:val="22"/>
          </w:rPr>
          <w:t>https://likumi.lv/doc.php?id=36850</w:t>
        </w:r>
      </w:hyperlink>
      <w:r w:rsidRPr="00FA6539">
        <w:rPr>
          <w:sz w:val="22"/>
          <w:szCs w:val="22"/>
        </w:rPr>
        <w:t xml:space="preserve"> (sk. 17.01.2019.)</w:t>
      </w:r>
    </w:p>
    <w:p w:rsidR="000C528D" w:rsidRPr="00FA6539" w:rsidRDefault="000C528D" w:rsidP="003F469F">
      <w:pPr>
        <w:numPr>
          <w:ilvl w:val="0"/>
          <w:numId w:val="158"/>
        </w:numPr>
        <w:tabs>
          <w:tab w:val="left" w:pos="567"/>
        </w:tabs>
        <w:ind w:left="0" w:firstLine="284"/>
        <w:jc w:val="left"/>
        <w:rPr>
          <w:sz w:val="22"/>
          <w:szCs w:val="22"/>
        </w:rPr>
      </w:pPr>
      <w:r w:rsidRPr="00FA6539">
        <w:rPr>
          <w:sz w:val="22"/>
          <w:szCs w:val="22"/>
        </w:rPr>
        <w:t xml:space="preserve">LR Satversme, 05.02.1922. Latvijas Vēstnesis 43, 01.07.1993. Pieejams: </w:t>
      </w:r>
      <w:hyperlink r:id="rId175" w:history="1">
        <w:r w:rsidRPr="00FA6539">
          <w:rPr>
            <w:rStyle w:val="Hyperlink"/>
            <w:sz w:val="22"/>
            <w:szCs w:val="22"/>
          </w:rPr>
          <w:t>https://likumi.lv/doc.php?id=57980</w:t>
        </w:r>
      </w:hyperlink>
      <w:r w:rsidRPr="00FA6539">
        <w:rPr>
          <w:sz w:val="22"/>
          <w:szCs w:val="22"/>
        </w:rPr>
        <w:t xml:space="preserve"> (sk. 30.10.2018.)</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Maksātnespējas likums, 26.07.2010. Pieejams: </w:t>
      </w:r>
      <w:hyperlink r:id="rId176" w:history="1">
        <w:r w:rsidRPr="00FA6539">
          <w:rPr>
            <w:rStyle w:val="Hyperlink"/>
            <w:sz w:val="22"/>
            <w:szCs w:val="22"/>
          </w:rPr>
          <w:t>https://likumi.lv/doc.php?id=214590</w:t>
        </w:r>
      </w:hyperlink>
      <w:r w:rsidRPr="00FA6539">
        <w:rPr>
          <w:sz w:val="22"/>
          <w:szCs w:val="22"/>
        </w:rPr>
        <w:t xml:space="preserve"> (sk. 17.01.2019.)</w:t>
      </w:r>
    </w:p>
    <w:p w:rsidR="000C528D" w:rsidRPr="00FA6539" w:rsidRDefault="000C528D" w:rsidP="003F469F">
      <w:pPr>
        <w:numPr>
          <w:ilvl w:val="0"/>
          <w:numId w:val="158"/>
        </w:numPr>
        <w:tabs>
          <w:tab w:val="left" w:pos="567"/>
        </w:tabs>
        <w:ind w:left="0" w:firstLine="284"/>
        <w:jc w:val="left"/>
        <w:rPr>
          <w:sz w:val="22"/>
          <w:szCs w:val="22"/>
        </w:rPr>
      </w:pPr>
      <w:r w:rsidRPr="00FA6539">
        <w:rPr>
          <w:sz w:val="22"/>
          <w:szCs w:val="22"/>
        </w:rPr>
        <w:t xml:space="preserve">MK instrukcija Nr.19. „Tiesību akta projekta sākotnējās ietekmes izvērtēšanas kārtība”, 15.12.2009. Pieejams: </w:t>
      </w:r>
      <w:hyperlink r:id="rId177" w:history="1">
        <w:r w:rsidRPr="00FA6539">
          <w:rPr>
            <w:rStyle w:val="Hyperlink"/>
            <w:sz w:val="22"/>
            <w:szCs w:val="22"/>
          </w:rPr>
          <w:t>https://likumi.lv/doc.php?id=203061</w:t>
        </w:r>
      </w:hyperlink>
      <w:r w:rsidRPr="00FA6539">
        <w:rPr>
          <w:sz w:val="22"/>
          <w:szCs w:val="22"/>
        </w:rPr>
        <w:t xml:space="preserve"> (sk. 25.09.2018.)  </w:t>
      </w:r>
    </w:p>
    <w:p w:rsidR="00CE5642" w:rsidRPr="00CE5642" w:rsidRDefault="00CE5642" w:rsidP="003F469F">
      <w:pPr>
        <w:numPr>
          <w:ilvl w:val="0"/>
          <w:numId w:val="158"/>
        </w:numPr>
        <w:tabs>
          <w:tab w:val="left" w:pos="567"/>
        </w:tabs>
        <w:ind w:left="0" w:firstLine="284"/>
        <w:jc w:val="left"/>
        <w:rPr>
          <w:sz w:val="22"/>
          <w:szCs w:val="22"/>
        </w:rPr>
      </w:pPr>
      <w:r w:rsidRPr="00CE5642">
        <w:rPr>
          <w:sz w:val="22"/>
          <w:szCs w:val="22"/>
        </w:rPr>
        <w:t xml:space="preserve">MK noteikumi Nr. 205 „Apdrošināšanas iemaksu algas indeksa aprēķināšanas un vecuma pensijas kapitāla aktualizācijas kārtība”, 27.03.2007. Pieejams: </w:t>
      </w:r>
      <w:hyperlink r:id="rId178" w:history="1">
        <w:r w:rsidRPr="00CE5642">
          <w:rPr>
            <w:rStyle w:val="Hyperlink"/>
            <w:sz w:val="22"/>
            <w:szCs w:val="22"/>
          </w:rPr>
          <w:t>https://likumi.lv/doc.php?id=155220</w:t>
        </w:r>
      </w:hyperlink>
      <w:r w:rsidRPr="00CE5642">
        <w:rPr>
          <w:sz w:val="22"/>
          <w:szCs w:val="22"/>
        </w:rPr>
        <w:t xml:space="preserve">  (sk. 17.04.2019.)</w:t>
      </w:r>
    </w:p>
    <w:p w:rsidR="000C528D" w:rsidRPr="00FA6539" w:rsidRDefault="000C528D" w:rsidP="003F469F">
      <w:pPr>
        <w:numPr>
          <w:ilvl w:val="0"/>
          <w:numId w:val="158"/>
        </w:numPr>
        <w:tabs>
          <w:tab w:val="left" w:pos="567"/>
        </w:tabs>
        <w:ind w:left="0" w:firstLine="284"/>
        <w:jc w:val="left"/>
        <w:rPr>
          <w:sz w:val="22"/>
          <w:szCs w:val="22"/>
        </w:rPr>
      </w:pPr>
      <w:r w:rsidRPr="00FA6539">
        <w:rPr>
          <w:bCs/>
          <w:sz w:val="22"/>
          <w:szCs w:val="22"/>
        </w:rPr>
        <w:t xml:space="preserve">MK </w:t>
      </w:r>
      <w:r w:rsidRPr="00FA6539">
        <w:rPr>
          <w:sz w:val="22"/>
          <w:szCs w:val="22"/>
        </w:rPr>
        <w:t xml:space="preserve">noteikumi Nr. 1077 „Noteikumi par valsts sociālo pabalstu Černobiļas atomelektrostacijas avārijas seku likvidēšanas dalībniekiem un mirušo Černobiļas atomelektrostacijas avārijas seku likvidēšanas dalībnieku ģimenēm”, </w:t>
      </w:r>
      <w:r w:rsidRPr="00FA6539">
        <w:rPr>
          <w:bCs/>
          <w:sz w:val="22"/>
          <w:szCs w:val="22"/>
        </w:rPr>
        <w:t xml:space="preserve">30.11.2010. </w:t>
      </w:r>
      <w:r w:rsidRPr="00FA6539">
        <w:rPr>
          <w:sz w:val="22"/>
          <w:szCs w:val="22"/>
        </w:rPr>
        <w:t>Pieejams:</w:t>
      </w:r>
      <w:r w:rsidRPr="00FA6539">
        <w:rPr>
          <w:sz w:val="22"/>
          <w:szCs w:val="22"/>
          <w:u w:val="single"/>
        </w:rPr>
        <w:t xml:space="preserve"> </w:t>
      </w:r>
      <w:hyperlink r:id="rId179" w:history="1">
        <w:r w:rsidRPr="00FA6539">
          <w:rPr>
            <w:rStyle w:val="Hyperlink"/>
            <w:sz w:val="22"/>
            <w:szCs w:val="22"/>
          </w:rPr>
          <w:t>https://likumi.lv/ta/id/222142-noteikumi-par-valsts-socialo-pabalstu-cernobilas-atomelektrostacijas-avarijas-seku-likvidesanas-dalibniekiem-un-miruso-cernobil</w:t>
        </w:r>
      </w:hyperlink>
      <w:r w:rsidRPr="00FA6539">
        <w:rPr>
          <w:sz w:val="22"/>
          <w:szCs w:val="22"/>
        </w:rPr>
        <w:t>... (sk. 12.01.2019.)</w:t>
      </w:r>
    </w:p>
    <w:p w:rsidR="000C528D" w:rsidRPr="00FA6539" w:rsidRDefault="000C528D" w:rsidP="003F469F">
      <w:pPr>
        <w:numPr>
          <w:ilvl w:val="0"/>
          <w:numId w:val="158"/>
        </w:numPr>
        <w:tabs>
          <w:tab w:val="left" w:pos="567"/>
        </w:tabs>
        <w:ind w:left="0" w:firstLine="284"/>
        <w:jc w:val="left"/>
        <w:rPr>
          <w:sz w:val="22"/>
          <w:szCs w:val="22"/>
        </w:rPr>
      </w:pPr>
      <w:r w:rsidRPr="00FA6539">
        <w:rPr>
          <w:sz w:val="22"/>
          <w:szCs w:val="22"/>
        </w:rPr>
        <w:t>MK noteikumi Nr. 1170 „</w:t>
      </w:r>
      <w:r w:rsidRPr="00FA6539">
        <w:rPr>
          <w:bCs/>
          <w:sz w:val="22"/>
          <w:szCs w:val="22"/>
        </w:rPr>
        <w:t xml:space="preserve">Noteikumi par kārtību, kādā personas ar invaliditāti saņem atbalstu mājokļa pielāgošanai, un atbalsta saņemšanas nosacījumiem”, </w:t>
      </w:r>
      <w:r w:rsidRPr="00FA6539">
        <w:rPr>
          <w:sz w:val="22"/>
          <w:szCs w:val="22"/>
        </w:rPr>
        <w:t xml:space="preserve">21.12.2010. </w:t>
      </w:r>
      <w:r w:rsidRPr="00FA6539">
        <w:rPr>
          <w:bCs/>
          <w:sz w:val="22"/>
          <w:szCs w:val="22"/>
        </w:rPr>
        <w:t>Pieejams:</w:t>
      </w:r>
      <w:r w:rsidRPr="00FA6539">
        <w:rPr>
          <w:sz w:val="22"/>
          <w:szCs w:val="22"/>
        </w:rPr>
        <w:t xml:space="preserve"> </w:t>
      </w:r>
      <w:hyperlink r:id="rId180" w:history="1">
        <w:r w:rsidRPr="00FA6539">
          <w:rPr>
            <w:rStyle w:val="Hyperlink"/>
            <w:sz w:val="22"/>
            <w:szCs w:val="22"/>
          </w:rPr>
          <w:t>https://likumi.lv/doc.php?id=223578</w:t>
        </w:r>
      </w:hyperlink>
      <w:r w:rsidRPr="00FA6539">
        <w:rPr>
          <w:sz w:val="22"/>
          <w:szCs w:val="22"/>
        </w:rPr>
        <w:t xml:space="preserve"> </w:t>
      </w:r>
      <w:r w:rsidRPr="00FA6539">
        <w:rPr>
          <w:bCs/>
          <w:sz w:val="22"/>
          <w:szCs w:val="22"/>
        </w:rPr>
        <w:t xml:space="preserve"> (skatīts 11.05.2017.).</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bCs/>
          <w:sz w:val="22"/>
          <w:szCs w:val="22"/>
        </w:rPr>
        <w:t xml:space="preserve">MK noteikumi Nr. 1268 „Ārstniecības riska fonda darbības noteikumi’’, 05.11.2013. Pieejams: </w:t>
      </w:r>
      <w:hyperlink r:id="rId181" w:history="1">
        <w:r w:rsidRPr="00FA6539">
          <w:rPr>
            <w:rStyle w:val="Hyperlink"/>
            <w:bCs/>
            <w:sz w:val="22"/>
            <w:szCs w:val="22"/>
          </w:rPr>
          <w:t>https://likumi.lv/doc.php?id=262102</w:t>
        </w:r>
      </w:hyperlink>
      <w:r w:rsidRPr="00FA6539">
        <w:rPr>
          <w:bCs/>
          <w:sz w:val="22"/>
          <w:szCs w:val="22"/>
        </w:rPr>
        <w:t xml:space="preserve"> (sk. 17.04.2019.)</w:t>
      </w:r>
    </w:p>
    <w:p w:rsidR="000C528D" w:rsidRPr="00FA6539" w:rsidRDefault="000C528D" w:rsidP="003F469F">
      <w:pPr>
        <w:numPr>
          <w:ilvl w:val="0"/>
          <w:numId w:val="158"/>
        </w:numPr>
        <w:tabs>
          <w:tab w:val="left" w:pos="567"/>
        </w:tabs>
        <w:ind w:left="0" w:firstLine="284"/>
        <w:jc w:val="left"/>
        <w:rPr>
          <w:sz w:val="22"/>
          <w:szCs w:val="22"/>
        </w:rPr>
      </w:pPr>
      <w:r w:rsidRPr="00FA6539">
        <w:rPr>
          <w:sz w:val="22"/>
          <w:szCs w:val="22"/>
        </w:rPr>
        <w:t xml:space="preserve">MK noteikumi Nr. 261 „Noteikumi par valsts atbalstu ar celiakiju slimiem bērniem, kuriem nav noteikta invaliditāte”, 21.05.2013. Pieejams: </w:t>
      </w:r>
      <w:hyperlink r:id="rId182" w:history="1">
        <w:r w:rsidRPr="00FA6539">
          <w:rPr>
            <w:rStyle w:val="Hyperlink"/>
            <w:sz w:val="22"/>
            <w:szCs w:val="22"/>
          </w:rPr>
          <w:t>https://likumi.lv/doc.php?id=256929</w:t>
        </w:r>
      </w:hyperlink>
      <w:r w:rsidRPr="00FA6539">
        <w:rPr>
          <w:sz w:val="22"/>
          <w:szCs w:val="22"/>
        </w:rPr>
        <w:t xml:space="preserve"> (sk. 12.01.2019.)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MK noteikumi Nr. 310 „Darbības programmas „Izaugsme un nodarbinātība” 9.2.4. specifiskā atbalsta mērķa „Uzlabot pieejamību veselības veicināšanas un slimību profilakses pakalpojumiem, jo īpaši nabadzības un sociālās atstumtības riskam pakļautajiem iedzīvotājiem” 9.2.4.1. pasākuma „Kompleksi veselības veicināšanas un slimību profilakses pasākumi” un 9.2.4.2. pasākuma „Pasākumi vietējās sabiedrības veselības veicināšanai un slimību profilaksei” īstenošanas noteikumi”, 17.05.2016. Pieejams: </w:t>
      </w:r>
      <w:hyperlink r:id="rId183" w:history="1">
        <w:r w:rsidRPr="00FA6539">
          <w:rPr>
            <w:rStyle w:val="Hyperlink"/>
            <w:sz w:val="22"/>
            <w:szCs w:val="22"/>
          </w:rPr>
          <w:t>https://likumi.lv/ta/id/282400-darbibas-programmas-izaugsme-un-nodarbinatiba-9-2-4-specifiska-atbalsta-merka-uzlabot-pieejamibu-veselibas-veicinasanas</w:t>
        </w:r>
      </w:hyperlink>
      <w:r w:rsidRPr="00FA6539">
        <w:rPr>
          <w:sz w:val="22"/>
          <w:szCs w:val="22"/>
        </w:rPr>
        <w:t xml:space="preserve"> (sk. 12.04.2019.)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bCs/>
          <w:sz w:val="22"/>
          <w:szCs w:val="22"/>
        </w:rPr>
        <w:t xml:space="preserve">MK noteikumi Nr. 330 „Vakcinācijas noteikumi”, 26.09.2000. Pieejams: </w:t>
      </w:r>
      <w:hyperlink r:id="rId184" w:history="1">
        <w:r w:rsidRPr="00FA6539">
          <w:rPr>
            <w:rStyle w:val="Hyperlink"/>
            <w:bCs/>
            <w:sz w:val="22"/>
            <w:szCs w:val="22"/>
          </w:rPr>
          <w:t>https://likumi.lv/doc.php?id=11215</w:t>
        </w:r>
      </w:hyperlink>
      <w:r w:rsidRPr="00FA6539">
        <w:rPr>
          <w:bCs/>
          <w:sz w:val="22"/>
          <w:szCs w:val="22"/>
        </w:rPr>
        <w:t xml:space="preserve"> (sk. 17.04.2019.)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bCs/>
          <w:sz w:val="22"/>
          <w:szCs w:val="22"/>
        </w:rPr>
        <w:t xml:space="preserve">MK noteikumi Nr. 555 „Veselības aprūpes pakalpojumu organizēšanas un samaksas kārtība”, 28.08.2018. Pieejams: </w:t>
      </w:r>
      <w:hyperlink r:id="rId185" w:history="1">
        <w:r w:rsidRPr="00FA6539">
          <w:rPr>
            <w:rStyle w:val="Hyperlink"/>
            <w:bCs/>
            <w:sz w:val="22"/>
            <w:szCs w:val="22"/>
          </w:rPr>
          <w:t>https://likumi.lv/ta/id/301399</w:t>
        </w:r>
      </w:hyperlink>
      <w:r w:rsidRPr="00FA6539">
        <w:rPr>
          <w:bCs/>
          <w:sz w:val="22"/>
          <w:szCs w:val="22"/>
        </w:rPr>
        <w:t xml:space="preserve"> (sk. 10.04.2019.)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bCs/>
          <w:sz w:val="22"/>
          <w:szCs w:val="22"/>
        </w:rPr>
        <w:t>MK noteikumi Nr. 60 „</w:t>
      </w:r>
      <w:r w:rsidRPr="00FA6539">
        <w:rPr>
          <w:sz w:val="22"/>
          <w:szCs w:val="22"/>
        </w:rPr>
        <w:t xml:space="preserve">Noteikumi par obligātajām prasībām ārstniecības iestādēm un to struktūrvienībām”, 20.01.2009. Pieejams: </w:t>
      </w:r>
      <w:hyperlink r:id="rId186" w:history="1">
        <w:r w:rsidRPr="00FA6539">
          <w:rPr>
            <w:rStyle w:val="Hyperlink"/>
            <w:sz w:val="22"/>
            <w:szCs w:val="22"/>
          </w:rPr>
          <w:t>https://likumi.lv/doc.php?id=187621</w:t>
        </w:r>
      </w:hyperlink>
      <w:r w:rsidRPr="00FA6539">
        <w:rPr>
          <w:sz w:val="22"/>
          <w:szCs w:val="22"/>
        </w:rPr>
        <w:t xml:space="preserve"> (sk. 18.04.2019.)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bCs/>
          <w:sz w:val="22"/>
          <w:szCs w:val="22"/>
        </w:rPr>
        <w:t xml:space="preserve">MK noteikumi Nr. 899 „Ambulatorajai ārstēšanai paredzēto zāļu un medicīnisko ierīču iegādes izdevumu kompensācijas kārtība”, 31.10.2006. Pieejams: </w:t>
      </w:r>
      <w:hyperlink r:id="rId187" w:history="1">
        <w:r w:rsidRPr="00FA6539">
          <w:rPr>
            <w:rStyle w:val="Hyperlink"/>
            <w:bCs/>
            <w:sz w:val="22"/>
            <w:szCs w:val="22"/>
          </w:rPr>
          <w:t>https://likumi.lv/doc.php?id=147522</w:t>
        </w:r>
      </w:hyperlink>
      <w:r w:rsidRPr="00FA6539">
        <w:rPr>
          <w:bCs/>
          <w:sz w:val="22"/>
          <w:szCs w:val="22"/>
        </w:rPr>
        <w:t xml:space="preserve"> (sk. 10.04.2019.)</w:t>
      </w:r>
    </w:p>
    <w:p w:rsidR="000C528D" w:rsidRPr="00FA6539" w:rsidRDefault="000C528D" w:rsidP="003F469F">
      <w:pPr>
        <w:numPr>
          <w:ilvl w:val="0"/>
          <w:numId w:val="158"/>
        </w:numPr>
        <w:tabs>
          <w:tab w:val="left" w:pos="567"/>
        </w:tabs>
        <w:ind w:left="0" w:firstLine="284"/>
        <w:jc w:val="left"/>
        <w:rPr>
          <w:sz w:val="22"/>
          <w:szCs w:val="22"/>
        </w:rPr>
      </w:pPr>
      <w:r w:rsidRPr="00FA6539">
        <w:rPr>
          <w:sz w:val="22"/>
          <w:szCs w:val="22"/>
        </w:rPr>
        <w:t xml:space="preserve">MK noteikumi Nr.299 "Noteikumi par ģimenes vai atsevišķi dzīvojošas personas atzīšanu par trūcīgu", 30.03.2010. Pieejams: </w:t>
      </w:r>
      <w:hyperlink r:id="rId188" w:history="1">
        <w:r w:rsidRPr="00FA6539">
          <w:rPr>
            <w:rStyle w:val="Hyperlink"/>
            <w:sz w:val="22"/>
            <w:szCs w:val="22"/>
          </w:rPr>
          <w:t>https://likumi.lv/doc.php?id=207462</w:t>
        </w:r>
      </w:hyperlink>
      <w:r w:rsidRPr="00FA6539">
        <w:rPr>
          <w:sz w:val="22"/>
          <w:szCs w:val="22"/>
        </w:rPr>
        <w:t xml:space="preserve"> (sk. 20.09.2018.) </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MK noteikumi Nr.398 „Noteikumi par valsts pensijas apmēra pārskatīšanu”, 15.07.2014. Pieejams: </w:t>
      </w:r>
      <w:hyperlink r:id="rId189" w:history="1">
        <w:r w:rsidRPr="00FA6539">
          <w:rPr>
            <w:rStyle w:val="Hyperlink"/>
            <w:sz w:val="22"/>
            <w:szCs w:val="22"/>
          </w:rPr>
          <w:t>https://likumi.lv/ta/id/267626-noteikumi-par-valsts-pensijas-apmera-parskatisanu</w:t>
        </w:r>
      </w:hyperlink>
      <w:r w:rsidRPr="00FA6539">
        <w:rPr>
          <w:sz w:val="22"/>
          <w:szCs w:val="22"/>
        </w:rPr>
        <w:t xml:space="preserve">  (sk. 17.04.2019.)</w:t>
      </w:r>
    </w:p>
    <w:p w:rsidR="000C528D" w:rsidRPr="00FA6539" w:rsidRDefault="000C528D" w:rsidP="003F469F">
      <w:pPr>
        <w:numPr>
          <w:ilvl w:val="0"/>
          <w:numId w:val="158"/>
        </w:numPr>
        <w:tabs>
          <w:tab w:val="left" w:pos="567"/>
        </w:tabs>
        <w:ind w:left="0" w:firstLine="284"/>
        <w:jc w:val="left"/>
        <w:rPr>
          <w:sz w:val="22"/>
          <w:szCs w:val="22"/>
        </w:rPr>
      </w:pPr>
      <w:r w:rsidRPr="00FA6539">
        <w:rPr>
          <w:sz w:val="22"/>
          <w:szCs w:val="22"/>
        </w:rPr>
        <w:t xml:space="preserve">MK noteikumi Nr.727 „Darbības programmas "Pārtikas un pamata materiālās palīdzības sniegšana vistrūcīgākajām personām 2014.–2020. gada plānošanas periodā" īstenošanas noteikumi”, 25.11.2014. Pieejams: </w:t>
      </w:r>
      <w:hyperlink r:id="rId190" w:history="1">
        <w:r w:rsidRPr="00FA6539">
          <w:rPr>
            <w:rStyle w:val="Hyperlink"/>
            <w:sz w:val="22"/>
            <w:szCs w:val="22"/>
          </w:rPr>
          <w:t>https://likumi.lv/ta/id/270789-darbibas-programmas-partikas-un-pamata-materialas-palidzibas-sniegsana-vistrucigakajam-personam-2014-2020-gada-planosanas</w:t>
        </w:r>
      </w:hyperlink>
      <w:r w:rsidRPr="00FA6539">
        <w:rPr>
          <w:sz w:val="22"/>
          <w:szCs w:val="22"/>
        </w:rPr>
        <w:t xml:space="preserve"> (sk. 12.01.2019.)</w:t>
      </w:r>
    </w:p>
    <w:p w:rsidR="000C528D" w:rsidRPr="00FA6539" w:rsidRDefault="000C528D" w:rsidP="003F469F">
      <w:pPr>
        <w:numPr>
          <w:ilvl w:val="0"/>
          <w:numId w:val="158"/>
        </w:numPr>
        <w:tabs>
          <w:tab w:val="left" w:pos="567"/>
        </w:tabs>
        <w:ind w:left="0" w:firstLine="284"/>
        <w:jc w:val="left"/>
        <w:rPr>
          <w:sz w:val="22"/>
          <w:szCs w:val="22"/>
        </w:rPr>
      </w:pPr>
      <w:r w:rsidRPr="00FA6539">
        <w:rPr>
          <w:sz w:val="22"/>
          <w:szCs w:val="22"/>
        </w:rPr>
        <w:t xml:space="preserve">MK noteikumi Nr.734 „Grozījumi Ministru kabineta 2013. gada 27. augusta noteikumos Nr.665 „Noteikumi par minimālo mēneša darba algu un minimālo stundas tarifa likmi””, 02.12.2014. Pieejams: </w:t>
      </w:r>
      <w:hyperlink r:id="rId191" w:history="1">
        <w:r w:rsidRPr="00FA6539">
          <w:rPr>
            <w:rStyle w:val="Hyperlink"/>
            <w:sz w:val="22"/>
            <w:szCs w:val="22"/>
          </w:rPr>
          <w:t>https://likumi.lv/ta/id/270686-grozijumi-ministru-kabineta-2013-gada-27-augusta-noteikumos-nr-665-noteikumi-par-minimalo-menesa-darba-algu-un-minimalo-stundas</w:t>
        </w:r>
      </w:hyperlink>
      <w:r w:rsidRPr="00FA6539">
        <w:rPr>
          <w:sz w:val="22"/>
          <w:szCs w:val="22"/>
        </w:rPr>
        <w:t>... (sk. 02.01.2019.)</w:t>
      </w:r>
    </w:p>
    <w:p w:rsidR="000C528D" w:rsidRPr="00FA6539" w:rsidRDefault="000C528D" w:rsidP="003F469F">
      <w:pPr>
        <w:numPr>
          <w:ilvl w:val="0"/>
          <w:numId w:val="158"/>
        </w:numPr>
        <w:tabs>
          <w:tab w:val="left" w:pos="567"/>
        </w:tabs>
        <w:ind w:left="0" w:firstLine="284"/>
        <w:jc w:val="left"/>
        <w:rPr>
          <w:sz w:val="22"/>
          <w:szCs w:val="22"/>
        </w:rPr>
      </w:pPr>
      <w:r w:rsidRPr="00FA6539">
        <w:rPr>
          <w:sz w:val="22"/>
          <w:szCs w:val="22"/>
        </w:rPr>
        <w:t xml:space="preserve">MK noteikumi Nr.807 „Noteikumi par valsts sociālās apdrošināšanas iemaksu likmes sadalījumu pa valsts sociālās apdrošināšanas veidiem 2015. gadā”, 23.12.2014. (stājās spēkā 01.01.2015., zaudējuši spēku 01.01.2016.). Pieejami: </w:t>
      </w:r>
      <w:hyperlink r:id="rId192" w:history="1">
        <w:r w:rsidRPr="00FA6539">
          <w:rPr>
            <w:rStyle w:val="Hyperlink"/>
            <w:sz w:val="22"/>
            <w:szCs w:val="22"/>
          </w:rPr>
          <w:t>https://likumi.lv/ta/id/271255-noteikumi-par-valsts-socialas-apdrosinasanas-iemaksu-likmes-sadalijumu-pa-valsts-socialas-apdrosinasanas-veidiem-2015-gada</w:t>
        </w:r>
      </w:hyperlink>
      <w:r w:rsidRPr="00FA6539">
        <w:rPr>
          <w:sz w:val="22"/>
          <w:szCs w:val="22"/>
        </w:rPr>
        <w:t xml:space="preserve"> (sk. 02.03.2019.)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MK noteikumi Nr.913. „Noteikumi par garantēto minimālo ienākumu līmeni”, 18.12.2012. Pieejams: </w:t>
      </w:r>
      <w:hyperlink r:id="rId193" w:history="1">
        <w:r w:rsidRPr="00FA6539">
          <w:rPr>
            <w:rStyle w:val="Hyperlink"/>
            <w:sz w:val="22"/>
            <w:szCs w:val="22"/>
          </w:rPr>
          <w:t>https://likumi.lv/doc.php?id=253731</w:t>
        </w:r>
      </w:hyperlink>
      <w:r w:rsidRPr="00FA6539">
        <w:rPr>
          <w:sz w:val="22"/>
          <w:szCs w:val="22"/>
        </w:rPr>
        <w:t xml:space="preserve"> (sk. 08.04.2019.)</w:t>
      </w:r>
    </w:p>
    <w:p w:rsidR="000C528D" w:rsidRPr="00FA6539" w:rsidRDefault="000C528D" w:rsidP="003F469F">
      <w:pPr>
        <w:numPr>
          <w:ilvl w:val="0"/>
          <w:numId w:val="158"/>
        </w:numPr>
        <w:tabs>
          <w:tab w:val="left" w:pos="567"/>
        </w:tabs>
        <w:ind w:left="0" w:firstLine="284"/>
        <w:jc w:val="left"/>
        <w:rPr>
          <w:sz w:val="22"/>
          <w:szCs w:val="22"/>
        </w:rPr>
      </w:pPr>
      <w:r w:rsidRPr="00FA6539">
        <w:rPr>
          <w:sz w:val="22"/>
          <w:szCs w:val="22"/>
        </w:rPr>
        <w:t>MK noteikumi </w:t>
      </w:r>
      <w:hyperlink r:id="rId194" w:tgtFrame="_blank" w:history="1">
        <w:r w:rsidRPr="00FA6539">
          <w:rPr>
            <w:rStyle w:val="Hyperlink"/>
            <w:sz w:val="22"/>
            <w:szCs w:val="22"/>
          </w:rPr>
          <w:t>Nr.665</w:t>
        </w:r>
      </w:hyperlink>
      <w:r w:rsidRPr="00FA6539">
        <w:rPr>
          <w:sz w:val="22"/>
          <w:szCs w:val="22"/>
        </w:rPr>
        <w:t xml:space="preserve"> „Noteikumi par minimālo mēneša darba algu un minimālo stundas tarifa likmi”, 24.11.2015. Pieejams: </w:t>
      </w:r>
      <w:hyperlink r:id="rId195" w:history="1">
        <w:r w:rsidRPr="00FA6539">
          <w:rPr>
            <w:rStyle w:val="Hyperlink"/>
            <w:sz w:val="22"/>
            <w:szCs w:val="22"/>
          </w:rPr>
          <w:t>https://likumi.lv/ta/id/278067-noteikumi-par-minimalas-menesa-darba-algas-apmeru-normala-darba-laika-ietvaros-un-minimalas-stundas-tarifa-likmes-aprekinasanu</w:t>
        </w:r>
      </w:hyperlink>
      <w:r w:rsidRPr="00FA6539">
        <w:rPr>
          <w:sz w:val="22"/>
          <w:szCs w:val="22"/>
        </w:rPr>
        <w:t xml:space="preserve"> (sk. 02.01.2019.)</w:t>
      </w:r>
    </w:p>
    <w:p w:rsidR="000C528D" w:rsidRPr="00FA6539" w:rsidRDefault="000C528D" w:rsidP="003F469F">
      <w:pPr>
        <w:numPr>
          <w:ilvl w:val="0"/>
          <w:numId w:val="158"/>
        </w:numPr>
        <w:tabs>
          <w:tab w:val="left" w:pos="567"/>
        </w:tabs>
        <w:ind w:left="0" w:firstLine="284"/>
        <w:jc w:val="left"/>
        <w:rPr>
          <w:sz w:val="22"/>
          <w:szCs w:val="22"/>
        </w:rPr>
      </w:pPr>
      <w:r w:rsidRPr="00FA6539">
        <w:rPr>
          <w:bCs/>
          <w:sz w:val="22"/>
          <w:szCs w:val="22"/>
        </w:rPr>
        <w:t>MK noteikumu projekta „Noteikumi par valsts palīdzību īres dzīvojamās mājas būvniecībai”</w:t>
      </w:r>
      <w:r w:rsidRPr="00FA6539">
        <w:rPr>
          <w:sz w:val="22"/>
          <w:szCs w:val="22"/>
        </w:rPr>
        <w:t xml:space="preserve"> un “Grozījumi Ministru kabineta 2016. gada 15. jūlija noteikumos Nr. 469 "Noteikumi par paralēlajiem aizdevumiem saimnieciskās darbības veicējiem konkurētspējas uzlabošanai"” sākotnējās ietekmes novērtējuma ziņojums (anotācija), 10.07.2018. Pieejams: </w:t>
      </w:r>
      <w:hyperlink r:id="rId196" w:history="1">
        <w:r w:rsidRPr="00FA6539">
          <w:rPr>
            <w:rStyle w:val="Hyperlink"/>
            <w:sz w:val="22"/>
            <w:szCs w:val="22"/>
          </w:rPr>
          <w:t>http://tap.mk.gov.lv/mk/tap/?pid=40460362</w:t>
        </w:r>
      </w:hyperlink>
      <w:r w:rsidRPr="00FA6539">
        <w:rPr>
          <w:sz w:val="22"/>
          <w:szCs w:val="22"/>
        </w:rPr>
        <w:t xml:space="preserve">  (sk. 04.03.2019.)</w:t>
      </w:r>
    </w:p>
    <w:p w:rsidR="000C528D" w:rsidRPr="00FA6539" w:rsidRDefault="000C528D" w:rsidP="003F469F">
      <w:pPr>
        <w:numPr>
          <w:ilvl w:val="0"/>
          <w:numId w:val="158"/>
        </w:numPr>
        <w:tabs>
          <w:tab w:val="left" w:pos="567"/>
        </w:tabs>
        <w:ind w:left="0" w:firstLine="284"/>
        <w:jc w:val="left"/>
        <w:rPr>
          <w:sz w:val="22"/>
          <w:szCs w:val="22"/>
        </w:rPr>
      </w:pPr>
      <w:r w:rsidRPr="00FA6539">
        <w:rPr>
          <w:sz w:val="22"/>
          <w:szCs w:val="22"/>
        </w:rPr>
        <w:t xml:space="preserve">MK sēdes protokollēmums „Informatīvais ziņojums „Par bēgļu un personu ar alternatīvo statusu uzņemšanas un sociālekonomiskās iekļaušanas pasākumu ietekmi uz pašvaldību budžetiem””, 20.09.2016. Pieejams: </w:t>
      </w:r>
      <w:hyperlink r:id="rId197" w:history="1">
        <w:r w:rsidRPr="00FA6539">
          <w:rPr>
            <w:rStyle w:val="Hyperlink"/>
            <w:sz w:val="22"/>
            <w:szCs w:val="22"/>
          </w:rPr>
          <w:t>http://tap.mk.gov.lv/mk/tap/?pid=40393118</w:t>
        </w:r>
      </w:hyperlink>
      <w:r w:rsidRPr="00FA6539">
        <w:rPr>
          <w:sz w:val="22"/>
          <w:szCs w:val="22"/>
        </w:rPr>
        <w:t xml:space="preserve"> (sk. 04.03.2019.) </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Noteikumi par dienas centru, grupu māju (dzīvokļu) un pusceļa māju izveidošanas un uzturēšanas izdevumu līdzfinansēšanu, 04.12.2007. Pieejams: </w:t>
      </w:r>
      <w:hyperlink r:id="rId198" w:history="1">
        <w:r w:rsidRPr="00FA6539">
          <w:rPr>
            <w:rStyle w:val="Hyperlink"/>
            <w:sz w:val="22"/>
            <w:szCs w:val="22"/>
          </w:rPr>
          <w:t>https://likumi.lv/doc.php?id=167547</w:t>
        </w:r>
      </w:hyperlink>
      <w:r w:rsidRPr="00FA6539">
        <w:rPr>
          <w:sz w:val="22"/>
          <w:szCs w:val="22"/>
        </w:rPr>
        <w:t xml:space="preserve"> (sk. 17.01.2019.)</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Noteikumi par dokumentiem, kas apliecina personas (ģimenes) tiesības īrēt sociālo dzīvokli, un dzīvokļa kopējās platības normām, 30.06.1998. Pieejams: </w:t>
      </w:r>
      <w:hyperlink r:id="rId199" w:history="1">
        <w:r w:rsidRPr="00FA6539">
          <w:rPr>
            <w:rStyle w:val="Hyperlink"/>
            <w:sz w:val="22"/>
            <w:szCs w:val="22"/>
          </w:rPr>
          <w:t>https://likumi.lv/doc.php?id=48995&amp;from=o</w:t>
        </w:r>
      </w:hyperlink>
      <w:r w:rsidRPr="00FA6539">
        <w:rPr>
          <w:sz w:val="22"/>
          <w:szCs w:val="22"/>
        </w:rPr>
        <w:t xml:space="preserve"> (sk. 18.01.2019.)</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Noteikumi par kārtību, kādā cilvēku tirdzniecības upuri saņem sociālās rehabilitācijas pakalpojumus, un kritērijiem personas atzīšanai par cilvēku tirdzniecības upuri, 31.10.2006. Pieejams: </w:t>
      </w:r>
      <w:hyperlink r:id="rId200" w:history="1">
        <w:r w:rsidRPr="00FA6539">
          <w:rPr>
            <w:rStyle w:val="Hyperlink"/>
            <w:sz w:val="22"/>
            <w:szCs w:val="22"/>
          </w:rPr>
          <w:t>https://likumi.lv/doc.php?id=147113</w:t>
        </w:r>
      </w:hyperlink>
      <w:r w:rsidRPr="00FA6539">
        <w:rPr>
          <w:sz w:val="22"/>
          <w:szCs w:val="22"/>
        </w:rPr>
        <w:t xml:space="preserve"> (sk. 19.01.2019.)</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Noteikumu projekts "Grozījumi Ministru kabineta 2018. gada 20. februāra noteikumos Nr.95 "Noteikumi par valsts palīdzību dzīvojamās telpas iegādei vai būvniecībai"", 16.08.2018. Pieejams: </w:t>
      </w:r>
      <w:hyperlink r:id="rId201" w:history="1">
        <w:r w:rsidRPr="00FA6539">
          <w:rPr>
            <w:rStyle w:val="Hyperlink"/>
            <w:sz w:val="22"/>
            <w:szCs w:val="22"/>
          </w:rPr>
          <w:t>http://tap.mk.gov.lv/lv/mk/tap/?pid=40461868</w:t>
        </w:r>
      </w:hyperlink>
      <w:r w:rsidRPr="00FA6539">
        <w:rPr>
          <w:sz w:val="22"/>
          <w:szCs w:val="22"/>
        </w:rPr>
        <w:t xml:space="preserve"> (sk. 12.01.2019.)</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Noteikumu projekts "Noteikumi par valsts palīdzību īres dzīvojamo māju būvniecībai", 12.07.2018. Pieejams: </w:t>
      </w:r>
      <w:hyperlink r:id="rId202" w:history="1">
        <w:r w:rsidRPr="00FA6539">
          <w:rPr>
            <w:rStyle w:val="Hyperlink"/>
            <w:sz w:val="22"/>
            <w:szCs w:val="22"/>
          </w:rPr>
          <w:t>http://tap.mk.gov.lv/mk/tap/?pid=40460362</w:t>
        </w:r>
      </w:hyperlink>
      <w:r w:rsidRPr="00FA6539">
        <w:rPr>
          <w:sz w:val="22"/>
          <w:szCs w:val="22"/>
        </w:rPr>
        <w:t xml:space="preserve"> (sk. 12.01.2019.)</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Par Valsts nodokļu politikas pamatnostādnēm 2018.-2021. Gadam, 24.05.2017. Pieejams: </w:t>
      </w:r>
      <w:hyperlink r:id="rId203" w:history="1">
        <w:r w:rsidRPr="00FA6539">
          <w:rPr>
            <w:rStyle w:val="Hyperlink"/>
            <w:sz w:val="22"/>
            <w:szCs w:val="22"/>
          </w:rPr>
          <w:t>https://likumi.lv/ta/id/291013-par-valsts-nodoklu-politikas-pamatnostadnem-2018-2021-gadam</w:t>
        </w:r>
      </w:hyperlink>
      <w:r w:rsidRPr="00FA6539">
        <w:rPr>
          <w:sz w:val="22"/>
          <w:szCs w:val="22"/>
        </w:rPr>
        <w:t xml:space="preserve"> (sk. 26.11.2018.)</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Par valsts pabalstu izmaksu laika periodā no 2009. gada līdz 2014. Gadam, 16.06.2009. Pieejams: </w:t>
      </w:r>
      <w:hyperlink r:id="rId204" w:history="1">
        <w:r w:rsidRPr="00FA6539">
          <w:rPr>
            <w:rStyle w:val="Hyperlink"/>
            <w:sz w:val="22"/>
            <w:szCs w:val="22"/>
          </w:rPr>
          <w:t>https://likumi.lv/doc.php?id=194076</w:t>
        </w:r>
      </w:hyperlink>
      <w:r w:rsidRPr="00FA6539">
        <w:rPr>
          <w:sz w:val="22"/>
          <w:szCs w:val="22"/>
        </w:rPr>
        <w:t xml:space="preserve"> (sk. 12.01.2019.)</w:t>
      </w:r>
    </w:p>
    <w:p w:rsidR="000C528D" w:rsidRPr="00FA6539" w:rsidRDefault="000C528D" w:rsidP="003F469F">
      <w:pPr>
        <w:numPr>
          <w:ilvl w:val="0"/>
          <w:numId w:val="158"/>
        </w:numPr>
        <w:tabs>
          <w:tab w:val="left" w:pos="567"/>
        </w:tabs>
        <w:ind w:left="0" w:firstLine="284"/>
        <w:jc w:val="left"/>
        <w:rPr>
          <w:sz w:val="22"/>
          <w:szCs w:val="22"/>
        </w:rPr>
      </w:pPr>
      <w:r w:rsidRPr="00FA6539">
        <w:rPr>
          <w:sz w:val="22"/>
          <w:szCs w:val="22"/>
        </w:rPr>
        <w:t xml:space="preserve">Pārskatītā Eiropas Sociālā Harta, 03.05.1996. Pieejams: </w:t>
      </w:r>
      <w:hyperlink r:id="rId205" w:history="1">
        <w:r w:rsidRPr="00FA6539">
          <w:rPr>
            <w:rStyle w:val="Hyperlink"/>
            <w:sz w:val="22"/>
            <w:szCs w:val="22"/>
          </w:rPr>
          <w:t>https://m.likumi.lv/doc.php?id=255042</w:t>
        </w:r>
      </w:hyperlink>
      <w:r w:rsidRPr="00FA6539">
        <w:rPr>
          <w:sz w:val="22"/>
          <w:szCs w:val="22"/>
        </w:rPr>
        <w:t xml:space="preserve"> (sk. 29.10.2018.) </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RD lēmums Nr. 2001 "Par palīdzības sniegšanu bezpajumtniekiem nelabvēlīgos laika apstākļos Rīgā", 30.01.2007.Pieejams: </w:t>
      </w:r>
      <w:hyperlink r:id="rId206" w:history="1">
        <w:r w:rsidRPr="00FA6539">
          <w:rPr>
            <w:rStyle w:val="Hyperlink"/>
            <w:sz w:val="22"/>
            <w:szCs w:val="22"/>
          </w:rPr>
          <w:t>https://www.eriga.lv/ServiceCards/Default.aspx?cardExternalId=RD017958AJ0010</w:t>
        </w:r>
      </w:hyperlink>
      <w:r w:rsidRPr="00FA6539">
        <w:rPr>
          <w:sz w:val="22"/>
          <w:szCs w:val="22"/>
        </w:rPr>
        <w:t xml:space="preserve"> (sk. 20.01.2019.)</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RD saistošie noteikumi Nr.184 "Rīgas pilsētas pašvaldības sniegto sociālo pakalpojumu saņemšanas un samaksas kārtība", 04.09.2012. Pieejams:  </w:t>
      </w:r>
      <w:hyperlink r:id="rId207" w:history="1">
        <w:r w:rsidRPr="00FA6539">
          <w:rPr>
            <w:rStyle w:val="Hyperlink"/>
            <w:sz w:val="22"/>
            <w:szCs w:val="22"/>
          </w:rPr>
          <w:t>https://likumi.lv/doc.php?id=252684</w:t>
        </w:r>
      </w:hyperlink>
      <w:r w:rsidRPr="00FA6539">
        <w:rPr>
          <w:sz w:val="22"/>
          <w:szCs w:val="22"/>
        </w:rPr>
        <w:t xml:space="preserve">   (sk. 04.03.2019.)</w:t>
      </w:r>
    </w:p>
    <w:p w:rsidR="000C528D" w:rsidRPr="00FA6539" w:rsidRDefault="000C528D" w:rsidP="003F469F">
      <w:pPr>
        <w:numPr>
          <w:ilvl w:val="0"/>
          <w:numId w:val="158"/>
        </w:numPr>
        <w:tabs>
          <w:tab w:val="left" w:pos="567"/>
        </w:tabs>
        <w:ind w:left="0" w:firstLine="284"/>
        <w:jc w:val="left"/>
        <w:rPr>
          <w:sz w:val="22"/>
          <w:szCs w:val="22"/>
        </w:rPr>
      </w:pPr>
      <w:r w:rsidRPr="00FA6539">
        <w:rPr>
          <w:bCs/>
          <w:sz w:val="22"/>
          <w:szCs w:val="22"/>
        </w:rPr>
        <w:t xml:space="preserve">RD saistošie noteikumi Nr.202 “Par ģimenes vai atsevišķi dzīvojošas personas atzīšanu par trūcīgu vai maznodrošinātu un sociālajiem pabalstiem Rīgas pilsētas pašvaldībā”. Pieejami: </w:t>
      </w:r>
      <w:hyperlink r:id="rId208" w:history="1">
        <w:r w:rsidRPr="00FA6539">
          <w:rPr>
            <w:rStyle w:val="Hyperlink"/>
            <w:bCs/>
            <w:sz w:val="22"/>
            <w:szCs w:val="22"/>
          </w:rPr>
          <w:t>https://likumi.lv/doc.php?id=254202</w:t>
        </w:r>
      </w:hyperlink>
      <w:r w:rsidRPr="00FA6539">
        <w:rPr>
          <w:bCs/>
          <w:sz w:val="22"/>
          <w:szCs w:val="22"/>
        </w:rPr>
        <w:t xml:space="preserve"> (sk. 07.03.2019.)</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lastRenderedPageBreak/>
        <w:t xml:space="preserve">Rīgas domes [RD] Labklājības departamenta iekšējie noteikumi nr. Nr. DL-15-3-nts „Ģimenes asistenta pakalpojuma saņemšanas kārtība Rīgas pilsētas pašvaldībā”, 06.02.2015. Pieejams: </w:t>
      </w:r>
      <w:hyperlink r:id="rId209" w:history="1">
        <w:r w:rsidRPr="00FA6539">
          <w:rPr>
            <w:rStyle w:val="Hyperlink"/>
            <w:sz w:val="22"/>
            <w:szCs w:val="22"/>
          </w:rPr>
          <w:t>https://www.eriga.lv/ServiceCards/Default.aspx?cardExternalId=RD018661AJ0018</w:t>
        </w:r>
      </w:hyperlink>
      <w:r w:rsidRPr="00FA6539">
        <w:rPr>
          <w:sz w:val="22"/>
          <w:szCs w:val="22"/>
        </w:rPr>
        <w:t xml:space="preserve"> (sk. 12.02.2019.)</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Rīgas pilsētas pašvaldības sniegto sociālo pakalpojumu saņemšanas un samaksas kārtība, 04.09.2012. Pieejams: </w:t>
      </w:r>
      <w:hyperlink r:id="rId210" w:history="1">
        <w:r w:rsidRPr="00FA6539">
          <w:rPr>
            <w:rStyle w:val="Hyperlink"/>
            <w:sz w:val="22"/>
            <w:szCs w:val="22"/>
          </w:rPr>
          <w:t>https://likumi.lv/doc.php?id=252684</w:t>
        </w:r>
      </w:hyperlink>
      <w:r w:rsidRPr="00FA6539">
        <w:rPr>
          <w:sz w:val="22"/>
          <w:szCs w:val="22"/>
        </w:rPr>
        <w:t xml:space="preserve"> (sk. 20.01.2019.)</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Sociālo pakalpojumu un sociālās palīdzības likums, 31.10.2002. Pieejams: </w:t>
      </w:r>
      <w:hyperlink r:id="rId211" w:history="1">
        <w:r w:rsidRPr="00FA6539">
          <w:rPr>
            <w:rStyle w:val="Hyperlink"/>
            <w:sz w:val="22"/>
            <w:szCs w:val="22"/>
          </w:rPr>
          <w:t>https://likumi.lv/doc.php?id=68488</w:t>
        </w:r>
      </w:hyperlink>
      <w:r w:rsidRPr="00FA6539">
        <w:rPr>
          <w:sz w:val="22"/>
          <w:szCs w:val="22"/>
        </w:rPr>
        <w:t xml:space="preserve"> (sk. 14.01.2019.)</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Vakcinācijas noteikumi, 26.09.2000. Pieejams: </w:t>
      </w:r>
      <w:hyperlink r:id="rId212" w:history="1">
        <w:r w:rsidRPr="00FA6539">
          <w:rPr>
            <w:rStyle w:val="Hyperlink"/>
            <w:sz w:val="22"/>
            <w:szCs w:val="22"/>
          </w:rPr>
          <w:t>https://likumi.lv/doc.php?id=11215</w:t>
        </w:r>
      </w:hyperlink>
      <w:r w:rsidRPr="00FA6539">
        <w:rPr>
          <w:sz w:val="22"/>
          <w:szCs w:val="22"/>
        </w:rPr>
        <w:t xml:space="preserve"> (sk. 18.12.2018.)</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Valsts budžeta likums 2017. Pieejams: </w:t>
      </w:r>
      <w:hyperlink r:id="rId213" w:history="1">
        <w:r w:rsidRPr="00FA6539">
          <w:rPr>
            <w:rStyle w:val="Hyperlink"/>
            <w:sz w:val="22"/>
            <w:szCs w:val="22"/>
          </w:rPr>
          <w:t>http://www.fm.gov.lv/lv/sadalas/valsts_budzets/valsts_budzeta_izstrade/_budzets2017/</w:t>
        </w:r>
      </w:hyperlink>
      <w:r w:rsidRPr="00FA6539">
        <w:rPr>
          <w:sz w:val="22"/>
          <w:szCs w:val="22"/>
        </w:rPr>
        <w:t xml:space="preserve"> </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Valsts pārvaldes iekārtas likums, 06.06.2002. Pieejams: </w:t>
      </w:r>
      <w:hyperlink r:id="rId214" w:history="1">
        <w:r w:rsidRPr="00FA6539">
          <w:rPr>
            <w:rStyle w:val="Hyperlink"/>
            <w:sz w:val="22"/>
            <w:szCs w:val="22"/>
          </w:rPr>
          <w:t>https://likumi.lv/doc.php?id=63545</w:t>
        </w:r>
      </w:hyperlink>
      <w:r w:rsidRPr="00FA6539">
        <w:rPr>
          <w:sz w:val="22"/>
          <w:szCs w:val="22"/>
        </w:rPr>
        <w:t xml:space="preserve"> (sk. 12.02.2019.)</w:t>
      </w:r>
    </w:p>
    <w:p w:rsidR="000C528D" w:rsidRPr="00FA6539" w:rsidRDefault="00AD3EDD" w:rsidP="003F469F">
      <w:pPr>
        <w:numPr>
          <w:ilvl w:val="0"/>
          <w:numId w:val="158"/>
        </w:numPr>
        <w:tabs>
          <w:tab w:val="left" w:pos="567"/>
        </w:tabs>
        <w:ind w:left="0" w:firstLine="284"/>
        <w:jc w:val="left"/>
        <w:rPr>
          <w:sz w:val="22"/>
          <w:szCs w:val="22"/>
        </w:rPr>
      </w:pPr>
      <w:hyperlink r:id="rId215" w:tgtFrame="_blank" w:history="1">
        <w:r w:rsidR="000C528D" w:rsidRPr="00FA6539">
          <w:rPr>
            <w:rStyle w:val="Hyperlink"/>
            <w:sz w:val="22"/>
            <w:szCs w:val="22"/>
          </w:rPr>
          <w:t>Valsts sociālo pabalstu likums</w:t>
        </w:r>
      </w:hyperlink>
      <w:r w:rsidR="000C528D" w:rsidRPr="00FA6539">
        <w:rPr>
          <w:sz w:val="22"/>
          <w:szCs w:val="22"/>
        </w:rPr>
        <w:t>, 31.10.2002., un MK noteikumi </w:t>
      </w:r>
      <w:hyperlink r:id="rId216" w:tgtFrame="_blank" w:history="1">
        <w:r w:rsidR="000C528D" w:rsidRPr="00FA6539">
          <w:rPr>
            <w:rStyle w:val="Hyperlink"/>
            <w:sz w:val="22"/>
            <w:szCs w:val="22"/>
          </w:rPr>
          <w:t>Nr.1517</w:t>
        </w:r>
      </w:hyperlink>
      <w:r w:rsidR="000C528D" w:rsidRPr="00FA6539">
        <w:rPr>
          <w:sz w:val="22"/>
          <w:szCs w:val="22"/>
        </w:rPr>
        <w:t xml:space="preserve"> „Noteikumi par ģimenes valsts pabalsta un piemaksas pie ģimenes valsts pabalsta par bērnu invalīdu apmēru, tā pārskatīšanas kārtību un pabalsta un piemaksas piešķiršanas un izmaksas kārtību”, 22.12.2009. Pieejams: </w:t>
      </w:r>
      <w:hyperlink r:id="rId217" w:history="1">
        <w:r w:rsidR="000C528D" w:rsidRPr="00FA6539">
          <w:rPr>
            <w:rStyle w:val="Hyperlink"/>
            <w:sz w:val="22"/>
            <w:szCs w:val="22"/>
          </w:rPr>
          <w:t>https://likumi.lv/doc.php?id=202676</w:t>
        </w:r>
      </w:hyperlink>
      <w:r w:rsidR="000C528D" w:rsidRPr="00FA6539">
        <w:rPr>
          <w:sz w:val="22"/>
          <w:szCs w:val="22"/>
        </w:rPr>
        <w:t xml:space="preserve"> (sk. 12.01.2019.)</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Veselības aprūpes finansēšanas likums, 14.12.2017. Pieejams: </w:t>
      </w:r>
      <w:hyperlink r:id="rId218" w:history="1">
        <w:r w:rsidRPr="00FA6539">
          <w:rPr>
            <w:rStyle w:val="Hyperlink"/>
            <w:sz w:val="22"/>
            <w:szCs w:val="22"/>
          </w:rPr>
          <w:t>https://likumi.lv/doc.php?id=296188</w:t>
        </w:r>
      </w:hyperlink>
      <w:r w:rsidRPr="00FA6539">
        <w:rPr>
          <w:sz w:val="22"/>
          <w:szCs w:val="22"/>
        </w:rPr>
        <w:t xml:space="preserve"> (sk. 18.12.2018.)</w:t>
      </w:r>
    </w:p>
    <w:p w:rsidR="000C528D" w:rsidRDefault="000C528D" w:rsidP="008E0AED">
      <w:pPr>
        <w:numPr>
          <w:ilvl w:val="0"/>
          <w:numId w:val="158"/>
        </w:numPr>
        <w:tabs>
          <w:tab w:val="left" w:pos="567"/>
          <w:tab w:val="left" w:pos="851"/>
        </w:tabs>
        <w:ind w:left="0" w:firstLine="284"/>
        <w:jc w:val="left"/>
        <w:rPr>
          <w:sz w:val="22"/>
          <w:szCs w:val="22"/>
        </w:rPr>
      </w:pPr>
      <w:r w:rsidRPr="00FA6539">
        <w:rPr>
          <w:sz w:val="22"/>
          <w:szCs w:val="22"/>
        </w:rPr>
        <w:t xml:space="preserve">Veselības ministrija, „Normatīvie dokumenti”. Pieejams: </w:t>
      </w:r>
      <w:hyperlink r:id="rId219" w:history="1">
        <w:r w:rsidRPr="008E0AED">
          <w:t>http://www.vm.gov.lv/lv/nozare/normativie_dokumenti/</w:t>
        </w:r>
      </w:hyperlink>
      <w:r w:rsidRPr="00FA6539">
        <w:rPr>
          <w:sz w:val="22"/>
          <w:szCs w:val="22"/>
        </w:rPr>
        <w:t xml:space="preserve"> (sk. 20.09.2018.)</w:t>
      </w:r>
    </w:p>
    <w:p w:rsidR="008E0AED" w:rsidRPr="008E0AED" w:rsidRDefault="008E0AED" w:rsidP="008E0AED">
      <w:pPr>
        <w:numPr>
          <w:ilvl w:val="0"/>
          <w:numId w:val="158"/>
        </w:numPr>
        <w:tabs>
          <w:tab w:val="left" w:pos="567"/>
          <w:tab w:val="left" w:pos="851"/>
        </w:tabs>
        <w:ind w:left="0" w:firstLine="284"/>
        <w:jc w:val="left"/>
        <w:rPr>
          <w:sz w:val="22"/>
          <w:szCs w:val="22"/>
        </w:rPr>
      </w:pPr>
      <w:r w:rsidRPr="008E0AED">
        <w:rPr>
          <w:sz w:val="22"/>
          <w:szCs w:val="22"/>
        </w:rPr>
        <w:t xml:space="preserve">Informatīvais ziņojums „Sabiedrības veselības pamatnostādņu 2014.-2020. gadam īstenošanas vidusposma (2014.-2016. gadā) novērtējums”; Pieejams: </w:t>
      </w:r>
      <w:hyperlink r:id="rId220" w:history="1">
        <w:r w:rsidRPr="008E0AED">
          <w:t>http://polsis.mk.gov.lv/documents/6128</w:t>
        </w:r>
      </w:hyperlink>
      <w:r w:rsidRPr="008E0AED">
        <w:rPr>
          <w:sz w:val="22"/>
          <w:szCs w:val="22"/>
        </w:rPr>
        <w:t xml:space="preserve"> (sk.11.04.2019.)</w:t>
      </w:r>
    </w:p>
    <w:p w:rsidR="008E0AED" w:rsidRPr="008E0AED" w:rsidRDefault="008E0AED" w:rsidP="008E0AED">
      <w:pPr>
        <w:numPr>
          <w:ilvl w:val="0"/>
          <w:numId w:val="158"/>
        </w:numPr>
        <w:tabs>
          <w:tab w:val="left" w:pos="567"/>
          <w:tab w:val="left" w:pos="851"/>
        </w:tabs>
        <w:ind w:left="0" w:firstLine="284"/>
        <w:jc w:val="left"/>
        <w:rPr>
          <w:sz w:val="22"/>
          <w:szCs w:val="22"/>
        </w:rPr>
      </w:pPr>
      <w:r w:rsidRPr="008E0AED">
        <w:rPr>
          <w:sz w:val="22"/>
          <w:szCs w:val="22"/>
        </w:rPr>
        <w:t xml:space="preserve">Informatīvais ziņojums „Par tālāku rindu samazināšanu sekundārā ambulatorā veselības aprūpē” (2017. gads); Pieejams: </w:t>
      </w:r>
      <w:hyperlink r:id="rId221" w:history="1">
        <w:r w:rsidRPr="008E0AED">
          <w:t>http://polsis.mk.gov.lv/documents/6023</w:t>
        </w:r>
      </w:hyperlink>
      <w:r w:rsidRPr="008E0AED">
        <w:rPr>
          <w:sz w:val="22"/>
          <w:szCs w:val="22"/>
        </w:rPr>
        <w:t xml:space="preserve"> (sk.11.04.2019.)</w:t>
      </w:r>
    </w:p>
    <w:p w:rsidR="008E0AED" w:rsidRPr="008E0AED" w:rsidRDefault="008E0AED" w:rsidP="008E0AED">
      <w:pPr>
        <w:numPr>
          <w:ilvl w:val="0"/>
          <w:numId w:val="158"/>
        </w:numPr>
        <w:tabs>
          <w:tab w:val="left" w:pos="567"/>
          <w:tab w:val="left" w:pos="851"/>
        </w:tabs>
        <w:ind w:left="0" w:firstLine="284"/>
        <w:jc w:val="left"/>
        <w:rPr>
          <w:sz w:val="22"/>
          <w:szCs w:val="22"/>
        </w:rPr>
      </w:pPr>
      <w:r w:rsidRPr="008E0AED">
        <w:rPr>
          <w:sz w:val="22"/>
          <w:szCs w:val="22"/>
        </w:rPr>
        <w:t xml:space="preserve">Informatīvais ziņojums „Sirds un asinsvadu veselības uzlabošanas rīcības plāna 2013.-2015. gadam īstenošana”; Pieejams: </w:t>
      </w:r>
      <w:hyperlink r:id="rId222" w:history="1">
        <w:r w:rsidRPr="008E0AED">
          <w:t>http://polsis.mk.gov.lv/documents/5825</w:t>
        </w:r>
      </w:hyperlink>
      <w:r w:rsidRPr="008E0AED">
        <w:rPr>
          <w:sz w:val="22"/>
          <w:szCs w:val="22"/>
        </w:rPr>
        <w:t xml:space="preserve"> (sk.11.04.2019.)</w:t>
      </w:r>
    </w:p>
    <w:p w:rsidR="008E0AED" w:rsidRPr="008E0AED" w:rsidRDefault="008E0AED" w:rsidP="008E0AED">
      <w:pPr>
        <w:numPr>
          <w:ilvl w:val="0"/>
          <w:numId w:val="158"/>
        </w:numPr>
        <w:tabs>
          <w:tab w:val="left" w:pos="567"/>
          <w:tab w:val="left" w:pos="851"/>
        </w:tabs>
        <w:ind w:left="0" w:firstLine="284"/>
        <w:jc w:val="left"/>
        <w:rPr>
          <w:sz w:val="22"/>
          <w:szCs w:val="22"/>
        </w:rPr>
      </w:pPr>
      <w:r w:rsidRPr="008E0AED">
        <w:rPr>
          <w:sz w:val="22"/>
          <w:szCs w:val="22"/>
        </w:rPr>
        <w:t xml:space="preserve">Informatīvais ziņojums par farmaceitiskās aprūpes pieejamību valsts teritorijā (30.05.2014.); Pieejams: </w:t>
      </w:r>
      <w:hyperlink r:id="rId223" w:history="1">
        <w:r w:rsidRPr="008E0AED">
          <w:t>http://polsis.mk.gov.lv/documents/4805</w:t>
        </w:r>
      </w:hyperlink>
      <w:r w:rsidRPr="008E0AED">
        <w:rPr>
          <w:sz w:val="22"/>
          <w:szCs w:val="22"/>
        </w:rPr>
        <w:t xml:space="preserve"> (sk.11.04.2019.)</w:t>
      </w:r>
    </w:p>
    <w:p w:rsidR="008E0AED" w:rsidRPr="008E0AED" w:rsidRDefault="008E0AED" w:rsidP="008E0AED">
      <w:pPr>
        <w:numPr>
          <w:ilvl w:val="0"/>
          <w:numId w:val="158"/>
        </w:numPr>
        <w:tabs>
          <w:tab w:val="left" w:pos="567"/>
          <w:tab w:val="left" w:pos="851"/>
        </w:tabs>
        <w:ind w:left="0" w:firstLine="284"/>
        <w:jc w:val="left"/>
        <w:rPr>
          <w:sz w:val="22"/>
          <w:szCs w:val="22"/>
        </w:rPr>
      </w:pPr>
      <w:r w:rsidRPr="008E0AED">
        <w:rPr>
          <w:sz w:val="22"/>
          <w:szCs w:val="22"/>
        </w:rPr>
        <w:t xml:space="preserve">Informatīvais ziņojums „Par veselības reformas pasākumu īstenošanu 2019.gadā”. Pieejams: </w:t>
      </w:r>
      <w:hyperlink r:id="rId224" w:history="1">
        <w:r w:rsidRPr="008E0AED">
          <w:t>http://tap.mk.gov.lv/lv/mk/tap/?pid=40467516</w:t>
        </w:r>
      </w:hyperlink>
      <w:r w:rsidRPr="008E0AED">
        <w:rPr>
          <w:sz w:val="22"/>
          <w:szCs w:val="22"/>
        </w:rPr>
        <w:t xml:space="preserve"> (sk.11.04.2019.)</w:t>
      </w:r>
    </w:p>
    <w:p w:rsidR="008E0AED" w:rsidRDefault="008E0AED" w:rsidP="008E0AED">
      <w:pPr>
        <w:numPr>
          <w:ilvl w:val="0"/>
          <w:numId w:val="158"/>
        </w:numPr>
        <w:tabs>
          <w:tab w:val="left" w:pos="567"/>
          <w:tab w:val="left" w:pos="851"/>
        </w:tabs>
        <w:ind w:left="0" w:firstLine="284"/>
        <w:jc w:val="left"/>
        <w:rPr>
          <w:sz w:val="22"/>
          <w:szCs w:val="22"/>
        </w:rPr>
      </w:pPr>
      <w:r w:rsidRPr="008E0AED">
        <w:rPr>
          <w:sz w:val="22"/>
          <w:szCs w:val="22"/>
        </w:rPr>
        <w:t xml:space="preserve">Informatīvais ziņojums „Par veselības reformas pasākumu īstenošanu 2018.gadā”. Pieejams: </w:t>
      </w:r>
      <w:hyperlink r:id="rId225" w:history="1">
        <w:r w:rsidRPr="008E0AED">
          <w:t>http://tap.mk.gov.lv/mk/tap/?pid=40443771</w:t>
        </w:r>
      </w:hyperlink>
      <w:r w:rsidRPr="008E0AED">
        <w:rPr>
          <w:sz w:val="22"/>
          <w:szCs w:val="22"/>
        </w:rPr>
        <w:t xml:space="preserve"> (sk.11.04.2019.)</w:t>
      </w:r>
    </w:p>
    <w:p w:rsidR="008E0AED" w:rsidRPr="008E0AED" w:rsidRDefault="008E0AED" w:rsidP="008E0AED">
      <w:pPr>
        <w:numPr>
          <w:ilvl w:val="0"/>
          <w:numId w:val="158"/>
        </w:numPr>
        <w:tabs>
          <w:tab w:val="left" w:pos="567"/>
          <w:tab w:val="left" w:pos="851"/>
        </w:tabs>
        <w:ind w:left="0" w:firstLine="284"/>
        <w:jc w:val="left"/>
        <w:rPr>
          <w:sz w:val="22"/>
          <w:szCs w:val="22"/>
        </w:rPr>
      </w:pPr>
      <w:r w:rsidRPr="008E0AED">
        <w:rPr>
          <w:sz w:val="22"/>
          <w:szCs w:val="22"/>
        </w:rPr>
        <w:t xml:space="preserve">Informatīvais ziņojums „Par nepieciešamajām izmaiņām Veselības aprūpes finansēšanas likumā”. Pieejams: </w:t>
      </w:r>
      <w:hyperlink r:id="rId226" w:history="1">
        <w:r w:rsidRPr="008E0AED">
          <w:t>http://polsis.mk.gov.lv/documents/6393</w:t>
        </w:r>
      </w:hyperlink>
      <w:r w:rsidRPr="008E0AED">
        <w:rPr>
          <w:sz w:val="22"/>
          <w:szCs w:val="22"/>
        </w:rPr>
        <w:t xml:space="preserve"> (sk.11.04.2019.)</w:t>
      </w:r>
    </w:p>
    <w:p w:rsidR="000C528D" w:rsidRPr="00FA6539" w:rsidRDefault="000C528D" w:rsidP="008E0AED">
      <w:pPr>
        <w:numPr>
          <w:ilvl w:val="0"/>
          <w:numId w:val="158"/>
        </w:numPr>
        <w:tabs>
          <w:tab w:val="left" w:pos="567"/>
          <w:tab w:val="left" w:pos="851"/>
        </w:tabs>
        <w:ind w:left="0" w:firstLine="284"/>
        <w:jc w:val="left"/>
        <w:rPr>
          <w:sz w:val="22"/>
          <w:szCs w:val="22"/>
        </w:rPr>
      </w:pPr>
      <w:r w:rsidRPr="00FA6539">
        <w:rPr>
          <w:sz w:val="22"/>
          <w:szCs w:val="22"/>
        </w:rPr>
        <w:t xml:space="preserve">Apvienoto Nāciju Organizācijas Konvencijas par personu ar invaliditāti tiesībām īstenošanas pamatnostādnes 2014.-2020. gadam, 22.11.2013. Pieejams: </w:t>
      </w:r>
      <w:hyperlink r:id="rId227" w:history="1">
        <w:r w:rsidRPr="00FA6539">
          <w:rPr>
            <w:rStyle w:val="Hyperlink"/>
            <w:sz w:val="22"/>
            <w:szCs w:val="22"/>
          </w:rPr>
          <w:t>http://polsis.mk.gov.lv/documents/4559</w:t>
        </w:r>
      </w:hyperlink>
      <w:r w:rsidRPr="00FA6539">
        <w:rPr>
          <w:sz w:val="22"/>
          <w:szCs w:val="22"/>
        </w:rPr>
        <w:t xml:space="preserve"> (sk. 26.11.2018.)</w:t>
      </w:r>
    </w:p>
    <w:p w:rsidR="000C528D" w:rsidRPr="00FA6539" w:rsidRDefault="000C528D" w:rsidP="003F469F">
      <w:pPr>
        <w:numPr>
          <w:ilvl w:val="0"/>
          <w:numId w:val="158"/>
        </w:numPr>
        <w:tabs>
          <w:tab w:val="left" w:pos="567"/>
        </w:tabs>
        <w:ind w:left="0" w:firstLine="284"/>
        <w:jc w:val="left"/>
        <w:rPr>
          <w:sz w:val="22"/>
          <w:szCs w:val="22"/>
        </w:rPr>
      </w:pPr>
      <w:r w:rsidRPr="00FA6539">
        <w:rPr>
          <w:sz w:val="22"/>
          <w:szCs w:val="22"/>
        </w:rPr>
        <w:t xml:space="preserve">Cilvēku tirdzniecības novēršanas pamatnostādnes 2014.–2020. gadam, 21.01.2014. Pieejams: </w:t>
      </w:r>
      <w:hyperlink r:id="rId228" w:history="1">
        <w:r w:rsidRPr="00FA6539">
          <w:rPr>
            <w:rStyle w:val="Hyperlink"/>
            <w:sz w:val="22"/>
            <w:szCs w:val="22"/>
          </w:rPr>
          <w:t>http://polsis.mk.gov.lv/documents/4633</w:t>
        </w:r>
      </w:hyperlink>
      <w:r w:rsidRPr="00FA6539">
        <w:rPr>
          <w:sz w:val="22"/>
          <w:szCs w:val="22"/>
        </w:rPr>
        <w:t xml:space="preserve"> (sk. 26.11.2018.)</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Ekonomikas ministrijas izstrādātā  „Mājokļu attīstības kreditēšanas programma” (21.10.2002.) . Pieejams: </w:t>
      </w:r>
      <w:hyperlink r:id="rId229" w:history="1">
        <w:r w:rsidRPr="00FA6539">
          <w:rPr>
            <w:rStyle w:val="Hyperlink"/>
            <w:sz w:val="22"/>
            <w:szCs w:val="22"/>
          </w:rPr>
          <w:t>http://polsis.mk.gov.lv/documents/584</w:t>
        </w:r>
      </w:hyperlink>
      <w:r w:rsidRPr="00FA6539">
        <w:rPr>
          <w:sz w:val="22"/>
          <w:szCs w:val="22"/>
        </w:rPr>
        <w:t xml:space="preserve"> (sk. 30.10.2018.). Tiesību akts zaudējis spēku 25.08.2005. Skat.: </w:t>
      </w:r>
      <w:hyperlink r:id="rId230" w:history="1">
        <w:r w:rsidRPr="00FA6539">
          <w:rPr>
            <w:rStyle w:val="Hyperlink"/>
            <w:sz w:val="22"/>
            <w:szCs w:val="22"/>
          </w:rPr>
          <w:t>https://likumi.lv/ta/id/67556-par-majoklu-attistibas-kreditesanas-programmu-ii-posms</w:t>
        </w:r>
      </w:hyperlink>
      <w:r w:rsidRPr="00FA6539">
        <w:rPr>
          <w:sz w:val="22"/>
          <w:szCs w:val="22"/>
        </w:rPr>
        <w:t xml:space="preserve"> (sk. 12.01.2019.)</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Enerģētikas attīstības pamatnostādnes 2016.–2020. gadam, 09.02.2016. Pieejams: </w:t>
      </w:r>
      <w:hyperlink r:id="rId231" w:history="1">
        <w:r w:rsidRPr="00FA6539">
          <w:rPr>
            <w:rStyle w:val="Hyperlink"/>
            <w:sz w:val="22"/>
            <w:szCs w:val="22"/>
          </w:rPr>
          <w:t>http://polsis.mk.gov.lv/documents/5499</w:t>
        </w:r>
      </w:hyperlink>
      <w:r w:rsidRPr="00FA6539">
        <w:rPr>
          <w:sz w:val="22"/>
          <w:szCs w:val="22"/>
        </w:rPr>
        <w:t xml:space="preserve"> (sk. 26.11.2018.)</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Eurostat. Statistics Explained. Pieejams:  </w:t>
      </w:r>
      <w:hyperlink r:id="rId232" w:history="1">
        <w:r w:rsidRPr="00FA6539">
          <w:rPr>
            <w:rStyle w:val="Hyperlink"/>
            <w:sz w:val="22"/>
            <w:szCs w:val="22"/>
          </w:rPr>
          <w:t>https://ec.europa.eu/eurostat/statistics-explained/index.php?title=Glossary:Overcrowding_rate</w:t>
        </w:r>
      </w:hyperlink>
      <w:r w:rsidRPr="00FA6539">
        <w:rPr>
          <w:sz w:val="22"/>
          <w:szCs w:val="22"/>
        </w:rPr>
        <w:t xml:space="preserve"> (sk. 31.10.2018.)</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lastRenderedPageBreak/>
        <w:t xml:space="preserve">Finanšu ministrijas izstrādā „Mājokļu attīstības kreditēšanas programma. I etaps” (13.06.2000.). Pieejams:  </w:t>
      </w:r>
      <w:hyperlink r:id="rId233" w:history="1">
        <w:r w:rsidRPr="00FA6539">
          <w:rPr>
            <w:rStyle w:val="Hyperlink"/>
            <w:sz w:val="22"/>
            <w:szCs w:val="22"/>
          </w:rPr>
          <w:t>http://polsis.mk.gov.lv/documents/158</w:t>
        </w:r>
      </w:hyperlink>
      <w:r w:rsidRPr="00FA6539">
        <w:rPr>
          <w:sz w:val="22"/>
          <w:szCs w:val="22"/>
        </w:rPr>
        <w:t xml:space="preserve"> (sk. 30.10.2018.). Dokuments nav aktuāls. </w:t>
      </w:r>
    </w:p>
    <w:p w:rsidR="000C528D" w:rsidRPr="00FA6539" w:rsidRDefault="000C528D" w:rsidP="003F469F">
      <w:pPr>
        <w:numPr>
          <w:ilvl w:val="0"/>
          <w:numId w:val="158"/>
        </w:numPr>
        <w:tabs>
          <w:tab w:val="left" w:pos="567"/>
        </w:tabs>
        <w:ind w:left="0" w:firstLine="284"/>
        <w:jc w:val="left"/>
        <w:rPr>
          <w:sz w:val="22"/>
          <w:szCs w:val="22"/>
        </w:rPr>
      </w:pPr>
      <w:r w:rsidRPr="00FA6539">
        <w:rPr>
          <w:sz w:val="22"/>
          <w:szCs w:val="22"/>
        </w:rPr>
        <w:t xml:space="preserve">Finanšu ministrijas izstrādātā Darbības programma „Izaugsmei un nodarbinātībai” (2014). Pieejams: </w:t>
      </w:r>
      <w:hyperlink r:id="rId234" w:history="1">
        <w:r w:rsidRPr="00FA6539">
          <w:rPr>
            <w:rStyle w:val="Hyperlink"/>
            <w:sz w:val="22"/>
            <w:szCs w:val="22"/>
          </w:rPr>
          <w:t>https://www.esfondi.lv/upload/Planosana/FMProg_270115_DP_2.pdf</w:t>
        </w:r>
      </w:hyperlink>
      <w:r w:rsidRPr="00FA6539">
        <w:rPr>
          <w:sz w:val="22"/>
          <w:szCs w:val="22"/>
        </w:rPr>
        <w:t xml:space="preserve">  (sk. 14.01.2019.) </w:t>
      </w:r>
    </w:p>
    <w:p w:rsidR="000C528D" w:rsidRPr="00FA6539" w:rsidRDefault="000C528D" w:rsidP="003F469F">
      <w:pPr>
        <w:numPr>
          <w:ilvl w:val="0"/>
          <w:numId w:val="158"/>
        </w:numPr>
        <w:tabs>
          <w:tab w:val="left" w:pos="567"/>
        </w:tabs>
        <w:ind w:left="0" w:firstLine="284"/>
        <w:jc w:val="left"/>
        <w:rPr>
          <w:sz w:val="22"/>
          <w:szCs w:val="22"/>
        </w:rPr>
      </w:pPr>
      <w:r w:rsidRPr="00FA6539">
        <w:rPr>
          <w:sz w:val="22"/>
          <w:szCs w:val="22"/>
        </w:rPr>
        <w:t xml:space="preserve">Ģimenes valsts politikas pamatnostādnes 2011. – 2017. gadam. Pieejams: </w:t>
      </w:r>
      <w:hyperlink r:id="rId235" w:history="1">
        <w:r w:rsidRPr="00FA6539">
          <w:rPr>
            <w:rStyle w:val="Hyperlink"/>
            <w:sz w:val="22"/>
            <w:szCs w:val="22"/>
          </w:rPr>
          <w:t>http://www.lm.gov.lv/upload/berns_gimene/lmpamn_200111_gvp.pdf</w:t>
        </w:r>
      </w:hyperlink>
      <w:r w:rsidRPr="00FA6539">
        <w:rPr>
          <w:sz w:val="22"/>
          <w:szCs w:val="22"/>
        </w:rPr>
        <w:t xml:space="preserve"> (sk. 19.01.2019.)</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Ģimenes valsts politikas pamatnostādnes 2011.- 2017. gadam, 20.01.2011. Pieejams:</w:t>
      </w:r>
      <w:hyperlink r:id="rId236" w:history="1">
        <w:r w:rsidRPr="00FA6539">
          <w:rPr>
            <w:rStyle w:val="Hyperlink"/>
            <w:sz w:val="22"/>
            <w:szCs w:val="22"/>
          </w:rPr>
          <w:t>http://www.lm.gov.lv/upload/berns_gimene/lmpamn_200111_gvp.pdf</w:t>
        </w:r>
      </w:hyperlink>
      <w:r w:rsidRPr="00FA6539">
        <w:rPr>
          <w:sz w:val="22"/>
          <w:szCs w:val="22"/>
        </w:rPr>
        <w:t xml:space="preserve">  (sk. 02.11.2018.)</w:t>
      </w:r>
    </w:p>
    <w:p w:rsidR="000C528D" w:rsidRPr="00FA6539" w:rsidRDefault="000C528D" w:rsidP="003F469F">
      <w:pPr>
        <w:numPr>
          <w:ilvl w:val="0"/>
          <w:numId w:val="158"/>
        </w:numPr>
        <w:tabs>
          <w:tab w:val="left" w:pos="567"/>
        </w:tabs>
        <w:ind w:left="0" w:firstLine="284"/>
        <w:jc w:val="left"/>
        <w:rPr>
          <w:sz w:val="22"/>
          <w:szCs w:val="22"/>
        </w:rPr>
      </w:pPr>
      <w:r w:rsidRPr="00FA6539">
        <w:rPr>
          <w:sz w:val="22"/>
          <w:szCs w:val="22"/>
        </w:rPr>
        <w:t xml:space="preserve">Jaunatnes politikas pamatnostādnes 2009.- 2018. gadam, 14.10.2014.. Pieejams: </w:t>
      </w:r>
      <w:hyperlink r:id="rId237" w:history="1">
        <w:r w:rsidRPr="00FA6539">
          <w:rPr>
            <w:rStyle w:val="Hyperlink"/>
            <w:sz w:val="22"/>
            <w:szCs w:val="22"/>
          </w:rPr>
          <w:t>http://polsis.mk.gov.lv/documents/2994</w:t>
        </w:r>
      </w:hyperlink>
      <w:r w:rsidRPr="00FA6539">
        <w:rPr>
          <w:sz w:val="22"/>
          <w:szCs w:val="22"/>
        </w:rPr>
        <w:t xml:space="preserve"> (sk. 26.11.2018.)</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Labklājības ministrija (2014). Koncepcija „Par minimālā ienākuma līmeņa noteikšanu” (informatīvā daļa).  Pieejams:  </w:t>
      </w:r>
      <w:hyperlink r:id="rId238" w:history="1">
        <w:r w:rsidRPr="00FA6539">
          <w:rPr>
            <w:rStyle w:val="Hyperlink"/>
            <w:sz w:val="22"/>
            <w:szCs w:val="22"/>
          </w:rPr>
          <w:t>http://www.lm.gov.lv/upload/sociala_ieklausana/koncepcija_fin.pdf</w:t>
        </w:r>
      </w:hyperlink>
      <w:r w:rsidRPr="00FA6539">
        <w:rPr>
          <w:sz w:val="22"/>
          <w:szCs w:val="22"/>
        </w:rPr>
        <w:t xml:space="preserve">  (sk. 17.04.2019.)</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Latvijas nacionālā reformu programma. Pieejams: </w:t>
      </w:r>
      <w:hyperlink r:id="rId239" w:history="1">
        <w:r w:rsidRPr="00FA6539">
          <w:rPr>
            <w:rStyle w:val="Hyperlink"/>
            <w:sz w:val="22"/>
            <w:szCs w:val="22"/>
          </w:rPr>
          <w:t>https://www.em.gov.lv/lv/eiropas_savieniba/strategija__eiropa_2020_/latvijas_nacionala_reformu_programma/</w:t>
        </w:r>
      </w:hyperlink>
      <w:r w:rsidRPr="00FA6539">
        <w:rPr>
          <w:sz w:val="22"/>
          <w:szCs w:val="22"/>
        </w:rPr>
        <w:t xml:space="preserve"> (sk. 12.12.2018.). </w:t>
      </w:r>
    </w:p>
    <w:p w:rsidR="000C528D" w:rsidRPr="00FA6539" w:rsidRDefault="000C528D" w:rsidP="003F469F">
      <w:pPr>
        <w:numPr>
          <w:ilvl w:val="0"/>
          <w:numId w:val="158"/>
        </w:numPr>
        <w:tabs>
          <w:tab w:val="left" w:pos="567"/>
        </w:tabs>
        <w:ind w:left="0" w:firstLine="284"/>
        <w:jc w:val="left"/>
        <w:rPr>
          <w:sz w:val="22"/>
          <w:szCs w:val="22"/>
        </w:rPr>
      </w:pPr>
      <w:r w:rsidRPr="00FA6539">
        <w:rPr>
          <w:sz w:val="22"/>
          <w:szCs w:val="22"/>
        </w:rPr>
        <w:t xml:space="preserve">Nacionālās identitātes, pilsoniskās sabiedrības un integrācijas politikas pamatnostādnes 2012.–2018. gadam, 22.04.2015. Pieejams: </w:t>
      </w:r>
      <w:hyperlink r:id="rId240" w:history="1">
        <w:r w:rsidRPr="00FA6539">
          <w:rPr>
            <w:rStyle w:val="Hyperlink"/>
            <w:sz w:val="22"/>
            <w:szCs w:val="22"/>
          </w:rPr>
          <w:t>http://polsis.mk.gov.lv/documents/3782</w:t>
        </w:r>
      </w:hyperlink>
      <w:r w:rsidRPr="00FA6539">
        <w:rPr>
          <w:sz w:val="22"/>
          <w:szCs w:val="22"/>
        </w:rPr>
        <w:t xml:space="preserve"> (sk. 26.11.2018.)</w:t>
      </w:r>
    </w:p>
    <w:p w:rsidR="000C528D" w:rsidRPr="00FA6539" w:rsidRDefault="000C528D" w:rsidP="003F469F">
      <w:pPr>
        <w:numPr>
          <w:ilvl w:val="0"/>
          <w:numId w:val="158"/>
        </w:numPr>
        <w:tabs>
          <w:tab w:val="left" w:pos="567"/>
        </w:tabs>
        <w:ind w:left="0" w:firstLine="284"/>
        <w:jc w:val="left"/>
        <w:rPr>
          <w:sz w:val="22"/>
          <w:szCs w:val="22"/>
        </w:rPr>
      </w:pPr>
      <w:r w:rsidRPr="00FA6539">
        <w:rPr>
          <w:sz w:val="22"/>
          <w:szCs w:val="22"/>
        </w:rPr>
        <w:t xml:space="preserve">Pamatnostādnes "Bērniem piemērota Latvija", 20.02.2007.. Pieejams: </w:t>
      </w:r>
      <w:hyperlink r:id="rId241" w:history="1">
        <w:r w:rsidRPr="00FA6539">
          <w:rPr>
            <w:rStyle w:val="Hyperlink"/>
            <w:sz w:val="22"/>
            <w:szCs w:val="22"/>
          </w:rPr>
          <w:t>http://polsis.mk.gov.lv/documents/1232</w:t>
        </w:r>
      </w:hyperlink>
      <w:r w:rsidRPr="00FA6539">
        <w:rPr>
          <w:sz w:val="22"/>
          <w:szCs w:val="22"/>
        </w:rPr>
        <w:t xml:space="preserve"> (sk. 26.11.2018.)</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Pamatnostādnes nodokļu un nodevu sistēmas attīstībā, 10.06.2003.. Pieejams: </w:t>
      </w:r>
      <w:hyperlink r:id="rId242" w:history="1">
        <w:r w:rsidRPr="00FA6539">
          <w:rPr>
            <w:rStyle w:val="Hyperlink"/>
            <w:sz w:val="22"/>
            <w:szCs w:val="22"/>
          </w:rPr>
          <w:t>http://polsis.mk.gov.lv/documents/757</w:t>
        </w:r>
      </w:hyperlink>
      <w:r w:rsidRPr="00FA6539">
        <w:rPr>
          <w:sz w:val="22"/>
          <w:szCs w:val="22"/>
        </w:rPr>
        <w:t xml:space="preserve"> (sk. 26.11.2018.)</w:t>
      </w:r>
    </w:p>
    <w:p w:rsidR="000C528D" w:rsidRPr="00FA6539" w:rsidRDefault="000C528D" w:rsidP="003F469F">
      <w:pPr>
        <w:numPr>
          <w:ilvl w:val="0"/>
          <w:numId w:val="158"/>
        </w:numPr>
        <w:tabs>
          <w:tab w:val="left" w:pos="567"/>
        </w:tabs>
        <w:ind w:left="0" w:firstLine="284"/>
        <w:jc w:val="left"/>
        <w:rPr>
          <w:sz w:val="22"/>
          <w:szCs w:val="22"/>
        </w:rPr>
      </w:pPr>
      <w:r w:rsidRPr="00FA6539">
        <w:rPr>
          <w:sz w:val="22"/>
          <w:szCs w:val="22"/>
        </w:rPr>
        <w:t xml:space="preserve">Pamatnostādnes sociālo pakalpojumu attīstībai 2014.- 2020. gadam, </w:t>
      </w:r>
      <w:r w:rsidRPr="00FA6539">
        <w:rPr>
          <w:iCs/>
          <w:sz w:val="22"/>
          <w:szCs w:val="22"/>
        </w:rPr>
        <w:t>28.11.2013</w:t>
      </w:r>
      <w:r w:rsidRPr="00FA6539">
        <w:rPr>
          <w:sz w:val="22"/>
          <w:szCs w:val="22"/>
        </w:rPr>
        <w:t xml:space="preserve">. Pieejams: </w:t>
      </w:r>
      <w:hyperlink r:id="rId243" w:history="1">
        <w:r w:rsidRPr="00FA6539">
          <w:rPr>
            <w:rStyle w:val="Hyperlink"/>
            <w:sz w:val="22"/>
            <w:szCs w:val="22"/>
          </w:rPr>
          <w:t>http://polsis.mk.gov.lv/documents/4558</w:t>
        </w:r>
      </w:hyperlink>
      <w:r w:rsidRPr="00FA6539">
        <w:rPr>
          <w:sz w:val="22"/>
          <w:szCs w:val="22"/>
        </w:rPr>
        <w:t xml:space="preserve">  (sk. 02.11.2018.)</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Primārās veselības aprūpes attīstības plāns 2014.-2016. gadam (informatīvā daļa), 27.02.2014. Pieejams: </w:t>
      </w:r>
      <w:hyperlink r:id="rId244" w:history="1">
        <w:r w:rsidRPr="00FA6539">
          <w:rPr>
            <w:rStyle w:val="Hyperlink"/>
            <w:sz w:val="22"/>
            <w:szCs w:val="22"/>
          </w:rPr>
          <w:t>www.vm.gov.lv/images/userfiles/vmpl_270214_pva.doc</w:t>
        </w:r>
      </w:hyperlink>
      <w:r w:rsidRPr="00FA6539">
        <w:rPr>
          <w:sz w:val="22"/>
          <w:szCs w:val="22"/>
        </w:rPr>
        <w:t xml:space="preserve"> (sk. 18.12.2018.)</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Reģionālās politikas pamatnostādnes 2013.-2019. gadam. Pieejams: </w:t>
      </w:r>
      <w:hyperlink r:id="rId245" w:history="1">
        <w:r w:rsidRPr="00FA6539">
          <w:rPr>
            <w:rStyle w:val="Hyperlink"/>
            <w:sz w:val="22"/>
            <w:szCs w:val="22"/>
          </w:rPr>
          <w:t>http://www.varam.gov.lv/lat/pol/ppd/?doc=20773</w:t>
        </w:r>
      </w:hyperlink>
      <w:r w:rsidRPr="00FA6539">
        <w:rPr>
          <w:sz w:val="22"/>
          <w:szCs w:val="22"/>
        </w:rPr>
        <w:t xml:space="preserve">   (sk. 02.11.2018.)</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Rīcības plāns "Ģimenes valsts politikas pamatnostādņu 2011.–2017. gadam" īstenošanai 2016.–2017. Gadā, 03.02.2016. Pieejams: </w:t>
      </w:r>
      <w:hyperlink r:id="rId246" w:history="1">
        <w:r w:rsidRPr="00FA6539">
          <w:rPr>
            <w:rStyle w:val="Hyperlink"/>
            <w:sz w:val="22"/>
            <w:szCs w:val="22"/>
          </w:rPr>
          <w:t>https://likumi.lv/ta/id/280055-par-ricibas-planu-gimenes-valsts-politikas-pamatnostadnu-2011-2017-gadam-istenosanai-2016-2017-gada</w:t>
        </w:r>
      </w:hyperlink>
      <w:r w:rsidRPr="00FA6539">
        <w:rPr>
          <w:sz w:val="22"/>
          <w:szCs w:val="22"/>
        </w:rPr>
        <w:t xml:space="preserve"> (sk. 14.01.2019.)</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Rīcības plāns pamatnostādņu „Ģimenes valsts politikas pamatnostādnes 2011.–2017. gadam" īstenošanai 2012.-2014. gadam, 11.03.2013. Pieejams: </w:t>
      </w:r>
      <w:hyperlink r:id="rId247" w:history="1">
        <w:r w:rsidRPr="00FA6539">
          <w:rPr>
            <w:rStyle w:val="Hyperlink"/>
            <w:sz w:val="22"/>
            <w:szCs w:val="22"/>
          </w:rPr>
          <w:t>http://www.lm.gov.lv/upload/berns_gimene/apstr_plans_11032013.pdf</w:t>
        </w:r>
      </w:hyperlink>
      <w:r w:rsidRPr="00FA6539">
        <w:rPr>
          <w:sz w:val="22"/>
          <w:szCs w:val="22"/>
        </w:rPr>
        <w:t xml:space="preserve"> (sk. 14.01.2019.)</w:t>
      </w:r>
    </w:p>
    <w:p w:rsidR="000C528D" w:rsidRPr="00FA6539" w:rsidRDefault="000C528D" w:rsidP="003F469F">
      <w:pPr>
        <w:numPr>
          <w:ilvl w:val="0"/>
          <w:numId w:val="158"/>
        </w:numPr>
        <w:tabs>
          <w:tab w:val="left" w:pos="567"/>
          <w:tab w:val="left" w:pos="851"/>
        </w:tabs>
        <w:ind w:left="0" w:firstLine="284"/>
        <w:jc w:val="left"/>
        <w:rPr>
          <w:sz w:val="22"/>
          <w:szCs w:val="22"/>
        </w:rPr>
      </w:pPr>
      <w:r w:rsidRPr="00FA6539">
        <w:rPr>
          <w:sz w:val="22"/>
          <w:szCs w:val="22"/>
        </w:rPr>
        <w:t xml:space="preserve">Rīcības plāns pamatnostādņu „Ģimenes valsts politikas pamatnostādnes 2011.–2017. gadam" īstenošanai 2015.-2017. gadam, 30.03.2015. Pieejams: </w:t>
      </w:r>
      <w:hyperlink r:id="rId248" w:history="1">
        <w:r w:rsidRPr="00FA6539">
          <w:rPr>
            <w:rStyle w:val="Hyperlink"/>
            <w:sz w:val="22"/>
            <w:szCs w:val="22"/>
          </w:rPr>
          <w:t>http://www.lm.gov.lv/upload/sabiedribas_lidzdaliba/demografisko_lietu/1/plans_2015-17_300315.pdf</w:t>
        </w:r>
      </w:hyperlink>
      <w:r w:rsidRPr="00FA6539">
        <w:rPr>
          <w:sz w:val="22"/>
          <w:szCs w:val="22"/>
        </w:rPr>
        <w:t xml:space="preserve"> (sk. 14.01.2019.)</w:t>
      </w:r>
    </w:p>
    <w:p w:rsidR="000C528D" w:rsidRPr="00FA6539" w:rsidRDefault="000C528D" w:rsidP="003F469F">
      <w:pPr>
        <w:numPr>
          <w:ilvl w:val="0"/>
          <w:numId w:val="158"/>
        </w:numPr>
        <w:suppressLineNumbers/>
        <w:tabs>
          <w:tab w:val="left" w:pos="567"/>
          <w:tab w:val="left" w:pos="851"/>
        </w:tabs>
        <w:ind w:left="0" w:firstLine="284"/>
        <w:jc w:val="left"/>
        <w:rPr>
          <w:sz w:val="22"/>
          <w:szCs w:val="22"/>
        </w:rPr>
      </w:pPr>
      <w:r w:rsidRPr="00FA6539">
        <w:rPr>
          <w:sz w:val="22"/>
          <w:szCs w:val="22"/>
        </w:rPr>
        <w:t xml:space="preserve">Sabiedrības veselības pamatnostādnes 2014.–2020. gadam, 14.10.2014. Pieejams: </w:t>
      </w:r>
      <w:hyperlink r:id="rId249" w:history="1">
        <w:r w:rsidRPr="00FA6539">
          <w:rPr>
            <w:rStyle w:val="Hyperlink"/>
            <w:sz w:val="22"/>
            <w:szCs w:val="22"/>
          </w:rPr>
          <w:t>http://polsis.mk.gov.lv/documents/4965</w:t>
        </w:r>
      </w:hyperlink>
      <w:r w:rsidRPr="00FA6539">
        <w:rPr>
          <w:sz w:val="22"/>
          <w:szCs w:val="22"/>
        </w:rPr>
        <w:t xml:space="preserve"> (sk. 18.12.2018.)</w:t>
      </w:r>
    </w:p>
    <w:p w:rsidR="000C528D" w:rsidRPr="00FA6539" w:rsidRDefault="000C528D" w:rsidP="003F469F">
      <w:pPr>
        <w:numPr>
          <w:ilvl w:val="0"/>
          <w:numId w:val="158"/>
        </w:numPr>
        <w:tabs>
          <w:tab w:val="left" w:pos="567"/>
        </w:tabs>
        <w:ind w:left="0" w:firstLine="284"/>
        <w:jc w:val="left"/>
        <w:rPr>
          <w:sz w:val="22"/>
          <w:szCs w:val="22"/>
        </w:rPr>
      </w:pPr>
      <w:r w:rsidRPr="00FA6539">
        <w:rPr>
          <w:sz w:val="22"/>
          <w:szCs w:val="22"/>
        </w:rPr>
        <w:t xml:space="preserve">VARAM, „Reģionālās attīstības plānošanas, vadības, finansēšanas, uzraudzības un novērtēšanas procesa pamatprincipi”, pieejams: </w:t>
      </w:r>
      <w:hyperlink r:id="rId250" w:history="1">
        <w:r w:rsidRPr="00FA6539">
          <w:rPr>
            <w:rStyle w:val="Hyperlink"/>
            <w:sz w:val="22"/>
            <w:szCs w:val="22"/>
          </w:rPr>
          <w:t>http://www.varam.gov.lv/lat/darbibas_veidi/reg_att/?doc=13630</w:t>
        </w:r>
      </w:hyperlink>
      <w:r w:rsidRPr="00FA6539">
        <w:rPr>
          <w:sz w:val="22"/>
          <w:szCs w:val="22"/>
        </w:rPr>
        <w:t xml:space="preserve"> (sk. 30.11.2018.)</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Veselības ministrija (2003), Pamatnostādnes „Veselīgs uzturs (2003-2013)”. Pieejams: </w:t>
      </w:r>
      <w:hyperlink r:id="rId251" w:history="1">
        <w:r w:rsidRPr="00FA6539">
          <w:rPr>
            <w:rStyle w:val="Hyperlink"/>
            <w:sz w:val="22"/>
            <w:szCs w:val="22"/>
          </w:rPr>
          <w:t>http://www.vm.gov.lv/images/userfiles/pamatnostad_veseligs_uzturs_20032013.pdf</w:t>
        </w:r>
      </w:hyperlink>
      <w:r w:rsidRPr="00FA6539">
        <w:rPr>
          <w:sz w:val="22"/>
          <w:szCs w:val="22"/>
        </w:rPr>
        <w:t xml:space="preserve"> (sk. 10.04.2019.)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Veselības ministrija (2006), Cilvēkresursu attīstība veselības aprūpē 2006.-2015. gadam, t.sk. informatīvā daļa pamatnostādnes „Cilvēkresursu attīstība veselības aprūpē”. Pieejams: </w:t>
      </w:r>
      <w:hyperlink r:id="rId252" w:history="1">
        <w:r w:rsidRPr="00FA6539">
          <w:rPr>
            <w:rStyle w:val="Hyperlink"/>
            <w:sz w:val="22"/>
            <w:szCs w:val="22"/>
          </w:rPr>
          <w:t>http://www.vm.gov.lv/images/userfiles/phoebe/tiesibu_akti_attistibas_planosanas_dokumenti_d81959c0f94f7a66c22574960024121e/cilvekresursu__programma.pdf</w:t>
        </w:r>
      </w:hyperlink>
      <w:r w:rsidRPr="00FA6539">
        <w:rPr>
          <w:sz w:val="22"/>
          <w:szCs w:val="22"/>
        </w:rPr>
        <w:t xml:space="preserve"> (sk. 10.04.2019.)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lastRenderedPageBreak/>
        <w:t xml:space="preserve">Veselības ministrija (2008), Pamatnostādnes „Iedzīvotāju garīgās veselības uzlabošana 2009.-2014. gadā”. Pieejams: </w:t>
      </w:r>
      <w:hyperlink r:id="rId253" w:history="1">
        <w:r w:rsidRPr="00FA6539">
          <w:rPr>
            <w:rStyle w:val="Hyperlink"/>
            <w:sz w:val="22"/>
            <w:szCs w:val="22"/>
          </w:rPr>
          <w:t>https://likumi.lv/ta/id/179405-par-pamatnostadnem-iedzivotaju-garigas-veselibas-uzlabosana-2009-2014-gada</w:t>
        </w:r>
      </w:hyperlink>
      <w:r w:rsidRPr="00FA6539">
        <w:rPr>
          <w:sz w:val="22"/>
          <w:szCs w:val="22"/>
        </w:rPr>
        <w:t xml:space="preserve"> (sk. 17.04.2019.)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Veselības ministrija (2009), Onkoloģisko slimību kontroles programma 2009. – 2015. Gadam. Pieejams: </w:t>
      </w:r>
      <w:hyperlink r:id="rId254" w:history="1">
        <w:r w:rsidRPr="00FA6539">
          <w:rPr>
            <w:rStyle w:val="Hyperlink"/>
            <w:sz w:val="22"/>
            <w:szCs w:val="22"/>
          </w:rPr>
          <w:t>http://www.epaac.eu/from_heidi_wiki/Latvia_-_Oncolgical_Diseases_Control_Programme_2009-2015,_Latvi.pdf</w:t>
        </w:r>
      </w:hyperlink>
      <w:r w:rsidRPr="00FA6539">
        <w:rPr>
          <w:sz w:val="22"/>
          <w:szCs w:val="22"/>
        </w:rPr>
        <w:t xml:space="preserve"> (sk. 10.04.2019.)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Veselības ministrija (2010), Informatīvais ziņojums par Pamatnostādņu „Cilvēkresursu attīstība veselības aprūpē” un programmas „Cilvēkresursu attīstība veselības aprūpē 2006.-2015. gadam” īstenošanu 2006.–2009. Gadā. Pieejams: </w:t>
      </w:r>
      <w:hyperlink r:id="rId255" w:history="1">
        <w:r w:rsidRPr="00FA6539">
          <w:rPr>
            <w:rStyle w:val="Hyperlink"/>
            <w:sz w:val="22"/>
            <w:szCs w:val="22"/>
          </w:rPr>
          <w:t>http://www.vm.gov.lv/images/userfiles/phoebe/tiesibu_akti_attistibas_planosanas_dokumenti_d81959c0f94f7a66c22574960024121e/informat_zinojums_programmai.pdf</w:t>
        </w:r>
      </w:hyperlink>
      <w:r w:rsidRPr="00FA6539">
        <w:rPr>
          <w:sz w:val="22"/>
          <w:szCs w:val="22"/>
        </w:rPr>
        <w:t xml:space="preserve"> (sk. 10.04.2019.)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Veselības ministrija (2016), „Veselības aprūpes pakalpojumu onkoloģijas jomā uzlabošanas plāns 2017. – 2020. gadam”. Pieejams: </w:t>
      </w:r>
      <w:hyperlink r:id="rId256" w:history="1">
        <w:r w:rsidRPr="00FA6539">
          <w:rPr>
            <w:rStyle w:val="Hyperlink"/>
            <w:sz w:val="22"/>
            <w:szCs w:val="22"/>
          </w:rPr>
          <w:t>http://www.vm.gov.lv/images/userfiles/Sabiedriska_apspriesana/141216_ONKO_PLANS_2017_2020%5B1%5D.docx</w:t>
        </w:r>
      </w:hyperlink>
      <w:r w:rsidRPr="00FA6539">
        <w:rPr>
          <w:sz w:val="22"/>
          <w:szCs w:val="22"/>
        </w:rPr>
        <w:t xml:space="preserve"> (sk. 10.04.2019.)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Veselības ministrija (2016), Informatīvais ziņojums „Rīcības plāns Pasaules bankas pētījuma rezultātu izmantošanai nacionālajos politikas plānošanas dokumentos un Eiropas Savienības fondu ieviešanas nosacījumos”. Pieejams: </w:t>
      </w:r>
      <w:hyperlink r:id="rId257" w:history="1">
        <w:r w:rsidRPr="00FA6539">
          <w:rPr>
            <w:rStyle w:val="Hyperlink"/>
            <w:sz w:val="22"/>
            <w:szCs w:val="22"/>
          </w:rPr>
          <w:t>http://tap.mk.gov.lv/mk/tap/?pid=40398873</w:t>
        </w:r>
      </w:hyperlink>
      <w:r w:rsidRPr="00FA6539">
        <w:rPr>
          <w:sz w:val="22"/>
          <w:szCs w:val="22"/>
        </w:rPr>
        <w:t xml:space="preserve"> (sk. 10.04.2019.)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Veselības ministrija (2017), „Plāns reto slimību jomā 2017. – 2020. gadam”. Pieejams: </w:t>
      </w:r>
      <w:hyperlink r:id="rId258" w:history="1">
        <w:r w:rsidRPr="00FA6539">
          <w:rPr>
            <w:rStyle w:val="Hyperlink"/>
            <w:sz w:val="22"/>
            <w:szCs w:val="22"/>
          </w:rPr>
          <w:t>http://tap.mk.gov.lv/doc/2017_06/VMrik_160617_RSplans%20.695.doc</w:t>
        </w:r>
      </w:hyperlink>
      <w:r w:rsidRPr="00FA6539">
        <w:rPr>
          <w:sz w:val="22"/>
          <w:szCs w:val="22"/>
        </w:rPr>
        <w:t xml:space="preserve"> (sk. 10.04.2019.)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Veselības ministrija (2017), Plāns „HIV infekcijas, seksuālās transmisijas infekciju, B un C hepatīta izplatības ierobežošanas rīcības plāns 2018. – 2020. gadam”. Pieejams: </w:t>
      </w:r>
      <w:hyperlink r:id="rId259" w:history="1">
        <w:r w:rsidRPr="00FA6539">
          <w:rPr>
            <w:rStyle w:val="Hyperlink"/>
            <w:sz w:val="22"/>
            <w:szCs w:val="22"/>
          </w:rPr>
          <w:t>https://likumi.lv/ta/id/294753-par-hiv-infekcijas-seksualas-transmisijas-infekciju-b-un-c-hepatita-izplatibas-ierobezosanas-ricibas-planu-2018-2020-gadam</w:t>
        </w:r>
      </w:hyperlink>
      <w:r w:rsidRPr="00FA6539">
        <w:rPr>
          <w:sz w:val="22"/>
          <w:szCs w:val="22"/>
        </w:rPr>
        <w:t xml:space="preserve"> (sk. 10.04.2019.) </w:t>
      </w:r>
    </w:p>
    <w:p w:rsidR="000C528D"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Veselības ministrija (2018), Mātes un bērna veselības uzlabošanas plāns 2018.–2020. Gadam. Pieejams: </w:t>
      </w:r>
      <w:hyperlink r:id="rId260" w:history="1">
        <w:r w:rsidRPr="00FA6539">
          <w:rPr>
            <w:rStyle w:val="Hyperlink"/>
            <w:sz w:val="22"/>
            <w:szCs w:val="22"/>
          </w:rPr>
          <w:t>https://likumi.lv/ta/id/299503-par-mates-un-berna-veselibas-uzlabosanas-planu-2018-2020-gadam</w:t>
        </w:r>
      </w:hyperlink>
      <w:r w:rsidRPr="00FA6539">
        <w:rPr>
          <w:sz w:val="22"/>
          <w:szCs w:val="22"/>
        </w:rPr>
        <w:t xml:space="preserve"> (sk. 16.04.2019.)</w:t>
      </w:r>
    </w:p>
    <w:p w:rsidR="008E0AED" w:rsidRPr="00FA6539" w:rsidRDefault="008E0AED" w:rsidP="003F469F">
      <w:pPr>
        <w:pStyle w:val="ListParagraph"/>
        <w:numPr>
          <w:ilvl w:val="0"/>
          <w:numId w:val="158"/>
        </w:numPr>
        <w:tabs>
          <w:tab w:val="left" w:pos="567"/>
        </w:tabs>
        <w:spacing w:line="276" w:lineRule="auto"/>
        <w:ind w:left="0" w:firstLine="284"/>
        <w:rPr>
          <w:sz w:val="22"/>
          <w:szCs w:val="22"/>
        </w:rPr>
      </w:pPr>
      <w:r w:rsidRPr="00FA6539">
        <w:rPr>
          <w:sz w:val="22"/>
          <w:szCs w:val="22"/>
        </w:rPr>
        <w:t>Veselības ministrija</w:t>
      </w:r>
      <w:r w:rsidRPr="005E728E">
        <w:rPr>
          <w:sz w:val="22"/>
          <w:szCs w:val="22"/>
        </w:rPr>
        <w:t xml:space="preserve"> (19.02.2019.). Veselības ministre piedāvā ieviest vienotu veselības aprūpes pakalpojuma klāstu. Preses relīze. Pieejams:  </w:t>
      </w:r>
      <w:hyperlink r:id="rId261" w:history="1">
        <w:r w:rsidRPr="005E728E">
          <w:rPr>
            <w:rStyle w:val="Hyperlink"/>
            <w:sz w:val="22"/>
            <w:szCs w:val="22"/>
          </w:rPr>
          <w:t>http://www.vm.gov.lv/lv/aktualitates/preses_relizes/5938_veselibas_ministre_piedava_ieviest_vienotu_veselibas_aprupes</w:t>
        </w:r>
      </w:hyperlink>
      <w:r w:rsidRPr="005E728E">
        <w:rPr>
          <w:sz w:val="22"/>
          <w:szCs w:val="22"/>
        </w:rPr>
        <w:t xml:space="preserve"> (sk.11.04.2019.)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„Baltic Institute of Social Sciences” [BISS], Labklājības ministrija (2017). „Pašvaldību sociālo dienestu un sociālā darba speciālistu darbības efektivitātes novērtēšanas rezultāti un to analīze”, 3. starpziņojums. Pieejams: </w:t>
      </w:r>
      <w:hyperlink r:id="rId262" w:history="1">
        <w:r w:rsidRPr="00FA6539">
          <w:rPr>
            <w:rStyle w:val="Hyperlink"/>
            <w:rFonts w:eastAsiaTheme="majorEastAsia"/>
            <w:sz w:val="22"/>
            <w:szCs w:val="22"/>
          </w:rPr>
          <w:t>http://www.lm.gov.lv/upload/projekts/faili/4_vadiba_partneri_zinojums_saskanots.pdf</w:t>
        </w:r>
      </w:hyperlink>
      <w:r w:rsidRPr="00FA6539">
        <w:rPr>
          <w:sz w:val="22"/>
          <w:szCs w:val="22"/>
        </w:rPr>
        <w:t xml:space="preserve">  (sk. 30.11.2018.)</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w:t>
      </w:r>
      <w:r w:rsidRPr="00FA6539">
        <w:rPr>
          <w:bCs/>
          <w:sz w:val="22"/>
          <w:szCs w:val="22"/>
        </w:rPr>
        <w:t>SIA SAFEGE Baltija</w:t>
      </w:r>
      <w:r w:rsidRPr="00FA6539">
        <w:rPr>
          <w:sz w:val="22"/>
          <w:szCs w:val="22"/>
        </w:rPr>
        <w:t xml:space="preserve">” (2019). “Ģimenes valsts politikas pamatnostādņu 2011. – 2017. gadam </w:t>
      </w:r>
      <w:r w:rsidRPr="00FA6539">
        <w:rPr>
          <w:i/>
          <w:sz w:val="22"/>
          <w:szCs w:val="22"/>
        </w:rPr>
        <w:t>ex-post</w:t>
      </w:r>
      <w:r w:rsidRPr="00FA6539">
        <w:rPr>
          <w:sz w:val="22"/>
          <w:szCs w:val="22"/>
        </w:rPr>
        <w:t xml:space="preserve"> novērtējums”. Gala ziņojums. Projekts.</w:t>
      </w:r>
      <w:r w:rsidRPr="00FA6539">
        <w:rPr>
          <w:bCs/>
          <w:sz w:val="22"/>
          <w:szCs w:val="22"/>
        </w:rPr>
        <w:t xml:space="preserve"> Nepublicēts materiāls.</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Alice Pittini, CECODHAS Housing Europe Observatory (2012). </w:t>
      </w:r>
      <w:r w:rsidR="00E17538" w:rsidRPr="00FA6539">
        <w:rPr>
          <w:sz w:val="22"/>
          <w:szCs w:val="22"/>
        </w:rPr>
        <w:t>„</w:t>
      </w:r>
      <w:r w:rsidRPr="00FA6539">
        <w:rPr>
          <w:sz w:val="22"/>
          <w:szCs w:val="22"/>
        </w:rPr>
        <w:t>Housing Affordability in the EU. Current siutation and Recent Trends.</w:t>
      </w:r>
      <w:r w:rsidR="00E17538" w:rsidRPr="00FA6539">
        <w:rPr>
          <w:sz w:val="22"/>
          <w:szCs w:val="22"/>
        </w:rPr>
        <w:t>”</w:t>
      </w:r>
      <w:r w:rsidRPr="00FA6539">
        <w:rPr>
          <w:sz w:val="22"/>
          <w:szCs w:val="22"/>
        </w:rPr>
        <w:t xml:space="preserve"> Research Briefing (2012). Pieejams: </w:t>
      </w:r>
      <w:hyperlink r:id="rId263" w:history="1">
        <w:r w:rsidRPr="00FA6539">
          <w:rPr>
            <w:rStyle w:val="Hyperlink"/>
            <w:rFonts w:eastAsiaTheme="majorEastAsia"/>
            <w:sz w:val="22"/>
            <w:szCs w:val="22"/>
          </w:rPr>
          <w:t>https://www.researchgate.net/publication/265059299_HOUSING_AFFORDABILITY_IN_THE_EU_Current_situation_and_recent_trends</w:t>
        </w:r>
      </w:hyperlink>
      <w:r w:rsidRPr="00FA6539">
        <w:rPr>
          <w:sz w:val="22"/>
          <w:szCs w:val="22"/>
        </w:rPr>
        <w:t xml:space="preserve"> (sk. 02.11.2018.)</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lang w:eastAsia="en-GB"/>
        </w:rPr>
        <w:t>Bela et al. (2018). „Ilgtsp</w:t>
      </w:r>
      <w:r w:rsidRPr="00FA6539">
        <w:rPr>
          <w:rFonts w:hint="eastAsia"/>
          <w:sz w:val="22"/>
          <w:szCs w:val="22"/>
          <w:lang w:eastAsia="en-GB"/>
        </w:rPr>
        <w:t>ē</w:t>
      </w:r>
      <w:r w:rsidRPr="00FA6539">
        <w:rPr>
          <w:sz w:val="22"/>
          <w:szCs w:val="22"/>
          <w:lang w:eastAsia="en-GB"/>
        </w:rPr>
        <w:t>jas soci</w:t>
      </w:r>
      <w:r w:rsidRPr="00FA6539">
        <w:rPr>
          <w:rFonts w:hint="eastAsia"/>
          <w:sz w:val="22"/>
          <w:szCs w:val="22"/>
          <w:lang w:eastAsia="en-GB"/>
        </w:rPr>
        <w:t>ā</w:t>
      </w:r>
      <w:r w:rsidRPr="00FA6539">
        <w:rPr>
          <w:sz w:val="22"/>
          <w:szCs w:val="22"/>
          <w:lang w:eastAsia="en-GB"/>
        </w:rPr>
        <w:t>l</w:t>
      </w:r>
      <w:r w:rsidRPr="00FA6539">
        <w:rPr>
          <w:rFonts w:hint="eastAsia"/>
          <w:sz w:val="22"/>
          <w:szCs w:val="22"/>
          <w:lang w:eastAsia="en-GB"/>
        </w:rPr>
        <w:t>ā</w:t>
      </w:r>
      <w:r w:rsidRPr="00FA6539">
        <w:rPr>
          <w:sz w:val="22"/>
          <w:szCs w:val="22"/>
          <w:lang w:eastAsia="en-GB"/>
        </w:rPr>
        <w:t xml:space="preserve"> dimensija: vai virz</w:t>
      </w:r>
      <w:r w:rsidRPr="00FA6539">
        <w:rPr>
          <w:rFonts w:hint="eastAsia"/>
          <w:sz w:val="22"/>
          <w:szCs w:val="22"/>
          <w:lang w:eastAsia="en-GB"/>
        </w:rPr>
        <w:t>ā</w:t>
      </w:r>
      <w:r w:rsidRPr="00FA6539">
        <w:rPr>
          <w:sz w:val="22"/>
          <w:szCs w:val="22"/>
          <w:lang w:eastAsia="en-GB"/>
        </w:rPr>
        <w:t>mies pret</w:t>
      </w:r>
      <w:r w:rsidRPr="00FA6539">
        <w:rPr>
          <w:rFonts w:hint="eastAsia"/>
          <w:sz w:val="22"/>
          <w:szCs w:val="22"/>
          <w:lang w:eastAsia="en-GB"/>
        </w:rPr>
        <w:t>ī</w:t>
      </w:r>
      <w:r w:rsidRPr="00FA6539">
        <w:rPr>
          <w:sz w:val="22"/>
          <w:szCs w:val="22"/>
          <w:lang w:eastAsia="en-GB"/>
        </w:rPr>
        <w:t xml:space="preserve"> labkl</w:t>
      </w:r>
      <w:r w:rsidRPr="00FA6539">
        <w:rPr>
          <w:rFonts w:hint="eastAsia"/>
          <w:sz w:val="22"/>
          <w:szCs w:val="22"/>
          <w:lang w:eastAsia="en-GB"/>
        </w:rPr>
        <w:t>ā</w:t>
      </w:r>
      <w:r w:rsidRPr="00FA6539">
        <w:rPr>
          <w:sz w:val="22"/>
          <w:szCs w:val="22"/>
          <w:lang w:eastAsia="en-GB"/>
        </w:rPr>
        <w:t>j</w:t>
      </w:r>
      <w:r w:rsidRPr="00FA6539">
        <w:rPr>
          <w:rFonts w:hint="eastAsia"/>
          <w:sz w:val="22"/>
          <w:szCs w:val="22"/>
          <w:lang w:eastAsia="en-GB"/>
        </w:rPr>
        <w:t>ī</w:t>
      </w:r>
      <w:r w:rsidRPr="00FA6539">
        <w:rPr>
          <w:sz w:val="22"/>
          <w:szCs w:val="22"/>
          <w:lang w:eastAsia="en-GB"/>
        </w:rPr>
        <w:t>bai un cie</w:t>
      </w:r>
      <w:r w:rsidRPr="00FA6539">
        <w:rPr>
          <w:rFonts w:hint="eastAsia"/>
          <w:sz w:val="22"/>
          <w:szCs w:val="22"/>
          <w:lang w:eastAsia="en-GB"/>
        </w:rPr>
        <w:t>ņ</w:t>
      </w:r>
      <w:r w:rsidRPr="00FA6539">
        <w:rPr>
          <w:sz w:val="22"/>
          <w:szCs w:val="22"/>
          <w:lang w:eastAsia="en-GB"/>
        </w:rPr>
        <w:t>pilnai dz</w:t>
      </w:r>
      <w:r w:rsidRPr="00FA6539">
        <w:rPr>
          <w:rFonts w:hint="eastAsia"/>
          <w:sz w:val="22"/>
          <w:szCs w:val="22"/>
          <w:lang w:eastAsia="en-GB"/>
        </w:rPr>
        <w:t>ī</w:t>
      </w:r>
      <w:r w:rsidRPr="00FA6539">
        <w:rPr>
          <w:sz w:val="22"/>
          <w:szCs w:val="22"/>
          <w:lang w:eastAsia="en-GB"/>
        </w:rPr>
        <w:t>vei?” Grāmatā: Ilgtspējīga attīstība un sociālās inovācijas. Bela, B. (zin. red.),  LU Akadēmiskais apgāds</w:t>
      </w:r>
    </w:p>
    <w:p w:rsidR="000C528D"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Bela et al. (2018). „Ilgtspējīgas attīstības sociālie izaicinājumi”. Grāmatā: Inovatīvi risinājumi ceļā uz ilgtspēju: sabiedrība, ekonomika, vide; zin. red. Zobena, A.</w:t>
      </w:r>
    </w:p>
    <w:p w:rsidR="008E0AED" w:rsidRPr="008E0AED" w:rsidRDefault="008E0AED" w:rsidP="008E0AED">
      <w:pPr>
        <w:pStyle w:val="ListParagraph"/>
        <w:numPr>
          <w:ilvl w:val="0"/>
          <w:numId w:val="158"/>
        </w:numPr>
        <w:tabs>
          <w:tab w:val="left" w:pos="567"/>
        </w:tabs>
        <w:spacing w:line="276" w:lineRule="auto"/>
        <w:ind w:left="0" w:firstLine="284"/>
        <w:rPr>
          <w:sz w:val="22"/>
          <w:szCs w:val="22"/>
        </w:rPr>
      </w:pPr>
      <w:r>
        <w:rPr>
          <w:sz w:val="22"/>
          <w:szCs w:val="22"/>
        </w:rPr>
        <w:t xml:space="preserve">BISS </w:t>
      </w:r>
      <w:r w:rsidRPr="008E0AED">
        <w:rPr>
          <w:sz w:val="22"/>
          <w:szCs w:val="22"/>
        </w:rPr>
        <w:t xml:space="preserve"> (2012). Administratīvo prasību analīze un kontrolējošo institūciju darbības novērtējums veselības aprūpes pakalpojumu jomā. Starpziņojums (1.aktivitāte). Pieejams: </w:t>
      </w:r>
      <w:hyperlink r:id="rId264" w:history="1">
        <w:r w:rsidRPr="008E0AED">
          <w:t>http://petijumi.mk.gov.lv/node/2210</w:t>
        </w:r>
      </w:hyperlink>
      <w:r w:rsidRPr="008E0AED">
        <w:rPr>
          <w:sz w:val="22"/>
          <w:szCs w:val="22"/>
        </w:rPr>
        <w:t xml:space="preserve"> (sk.11.04.2019.)</w:t>
      </w:r>
    </w:p>
    <w:p w:rsidR="000C528D" w:rsidRPr="00FA6539" w:rsidRDefault="00E17538" w:rsidP="003F469F">
      <w:pPr>
        <w:pStyle w:val="ListParagraph"/>
        <w:numPr>
          <w:ilvl w:val="0"/>
          <w:numId w:val="158"/>
        </w:numPr>
        <w:tabs>
          <w:tab w:val="left" w:pos="567"/>
        </w:tabs>
        <w:spacing w:line="276" w:lineRule="auto"/>
        <w:ind w:left="0" w:firstLine="284"/>
        <w:rPr>
          <w:sz w:val="22"/>
          <w:szCs w:val="22"/>
        </w:rPr>
      </w:pPr>
      <w:r w:rsidRPr="00FA6539">
        <w:rPr>
          <w:sz w:val="22"/>
          <w:szCs w:val="22"/>
        </w:rPr>
        <w:lastRenderedPageBreak/>
        <w:t xml:space="preserve">BISS (2016). </w:t>
      </w:r>
      <w:r w:rsidR="000C528D" w:rsidRPr="00FA6539">
        <w:rPr>
          <w:sz w:val="22"/>
          <w:szCs w:val="22"/>
        </w:rPr>
        <w:t xml:space="preserve">„Motivācijas paaugstināšanas un atbalsta pakalpojumu potenciālās mērķa grupas profilēšana un  vajadzību izpēte”. Gala ziņojums. Rīga: Sabiedrības integrācijas fonds. Pieejams: </w:t>
      </w:r>
      <w:hyperlink r:id="rId265" w:history="1">
        <w:r w:rsidR="000C528D" w:rsidRPr="00FA6539">
          <w:rPr>
            <w:rStyle w:val="Hyperlink"/>
            <w:rFonts w:eastAsiaTheme="majorEastAsia"/>
            <w:sz w:val="22"/>
            <w:szCs w:val="22"/>
          </w:rPr>
          <w:t>http://petijumi.mk.gov.lv/sites/default/files/title_file/petij_sif_motivac_paaugst_un_atbalst_pakalpoj_potencial%2Bmerka%2Bgrup_profiles_un_vaj_izpete.pdf</w:t>
        </w:r>
      </w:hyperlink>
      <w:r w:rsidR="000C528D" w:rsidRPr="00FA6539">
        <w:rPr>
          <w:sz w:val="22"/>
          <w:szCs w:val="22"/>
        </w:rPr>
        <w:t xml:space="preserve"> (sk. 11.01.2019.)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BISS (2017), „Pašvaldību politikas instrumenti aizbraukušo iedzīvotāju remigrācijas veicināšanai”. Pieejams: </w:t>
      </w:r>
      <w:hyperlink r:id="rId266" w:history="1">
        <w:r w:rsidRPr="00FA6539">
          <w:rPr>
            <w:rStyle w:val="Hyperlink"/>
            <w:rFonts w:eastAsiaTheme="majorEastAsia"/>
            <w:sz w:val="22"/>
            <w:szCs w:val="22"/>
          </w:rPr>
          <w:t>http://petijumi.mk.gov.lv/node/3060</w:t>
        </w:r>
      </w:hyperlink>
      <w:r w:rsidRPr="00FA6539">
        <w:rPr>
          <w:sz w:val="22"/>
          <w:szCs w:val="22"/>
        </w:rPr>
        <w:t xml:space="preserve"> (sk. 02.01.2019.)</w:t>
      </w:r>
    </w:p>
    <w:p w:rsidR="000C528D" w:rsidRPr="00FA6539" w:rsidRDefault="00E17538"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BISS (2017). </w:t>
      </w:r>
      <w:r w:rsidR="000C528D" w:rsidRPr="00FA6539">
        <w:rPr>
          <w:sz w:val="22"/>
          <w:szCs w:val="22"/>
        </w:rPr>
        <w:t>„Motivācijas paaugstināšanas un atbal</w:t>
      </w:r>
      <w:r w:rsidR="00C548CE">
        <w:rPr>
          <w:sz w:val="22"/>
          <w:szCs w:val="22"/>
        </w:rPr>
        <w:t>sta pakalpojumu potenciālās mēr</w:t>
      </w:r>
      <w:r w:rsidR="000C528D" w:rsidRPr="00FA6539">
        <w:rPr>
          <w:sz w:val="22"/>
          <w:szCs w:val="22"/>
        </w:rPr>
        <w:t xml:space="preserve">ķa grupas profilēšana un  vajadzību izpēte”. Gala ziņojums. Rīga: Sabiedrības integrācijas fonds. Pieejams: </w:t>
      </w:r>
      <w:hyperlink r:id="rId267" w:history="1">
        <w:r w:rsidR="000C528D" w:rsidRPr="00FA6539">
          <w:rPr>
            <w:rStyle w:val="Hyperlink"/>
            <w:rFonts w:eastAsiaTheme="majorEastAsia"/>
            <w:sz w:val="22"/>
            <w:szCs w:val="22"/>
          </w:rPr>
          <w:t>http://petijumi.mk.gov.lv/sites/default/files/title_file/petij_sif_motivac_paaugst_un_atbalst_pakalpoj_potencial%2Bmerka%2Bgrup_profiles_un_vaj_izpete.pdf</w:t>
        </w:r>
      </w:hyperlink>
      <w:r w:rsidR="000C528D" w:rsidRPr="00FA6539">
        <w:rPr>
          <w:sz w:val="22"/>
          <w:szCs w:val="22"/>
        </w:rPr>
        <w:t xml:space="preserve"> (sk. 11.01.2019.)</w:t>
      </w:r>
    </w:p>
    <w:p w:rsidR="000C528D"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BISS (2017). </w:t>
      </w:r>
      <w:r w:rsidR="00E17538" w:rsidRPr="00FA6539">
        <w:rPr>
          <w:sz w:val="22"/>
          <w:szCs w:val="22"/>
        </w:rPr>
        <w:t>„</w:t>
      </w:r>
      <w:r w:rsidRPr="00FA6539">
        <w:rPr>
          <w:sz w:val="22"/>
          <w:szCs w:val="22"/>
        </w:rPr>
        <w:t>Trešo valstu pilsoņu situācijas  izpēte Latvijā 2017</w:t>
      </w:r>
      <w:r w:rsidR="00E17538" w:rsidRPr="00FA6539">
        <w:rPr>
          <w:sz w:val="22"/>
          <w:szCs w:val="22"/>
        </w:rPr>
        <w:t>”</w:t>
      </w:r>
      <w:r w:rsidRPr="00FA6539">
        <w:rPr>
          <w:sz w:val="22"/>
          <w:szCs w:val="22"/>
        </w:rPr>
        <w:t xml:space="preserve">. Pieejams: </w:t>
      </w:r>
      <w:hyperlink r:id="rId268" w:history="1">
        <w:r w:rsidRPr="00FA6539">
          <w:rPr>
            <w:rStyle w:val="Hyperlink"/>
            <w:rFonts w:eastAsiaTheme="majorEastAsia"/>
            <w:sz w:val="22"/>
            <w:szCs w:val="22"/>
          </w:rPr>
          <w:t>http://www.biss.soc.lv/downloads/publications/BISS_Petijuma_zinojums_2017.pdf</w:t>
        </w:r>
      </w:hyperlink>
      <w:r w:rsidRPr="00FA6539">
        <w:rPr>
          <w:sz w:val="22"/>
          <w:szCs w:val="22"/>
        </w:rPr>
        <w:t xml:space="preserve"> (sk. 14.01.2019.)</w:t>
      </w:r>
    </w:p>
    <w:p w:rsidR="000C528D" w:rsidRPr="00FA6539" w:rsidRDefault="008E0AE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 </w:t>
      </w:r>
      <w:r w:rsidR="00E17538" w:rsidRPr="00FA6539">
        <w:rPr>
          <w:sz w:val="22"/>
          <w:szCs w:val="22"/>
        </w:rPr>
        <w:t>„</w:t>
      </w:r>
      <w:r w:rsidR="000C528D" w:rsidRPr="00FA6539">
        <w:rPr>
          <w:sz w:val="22"/>
          <w:szCs w:val="22"/>
        </w:rPr>
        <w:t>Estimating the costs of gender-based violence in the European Union</w:t>
      </w:r>
      <w:r w:rsidR="00E17538" w:rsidRPr="00FA6539">
        <w:rPr>
          <w:sz w:val="22"/>
          <w:szCs w:val="22"/>
        </w:rPr>
        <w:t>”</w:t>
      </w:r>
      <w:r w:rsidR="000C528D" w:rsidRPr="00FA6539">
        <w:rPr>
          <w:sz w:val="22"/>
          <w:szCs w:val="22"/>
        </w:rPr>
        <w:t xml:space="preserve">. Report. Pieejams: </w:t>
      </w:r>
      <w:hyperlink r:id="rId269" w:history="1">
        <w:r w:rsidR="000C528D" w:rsidRPr="00FA6539">
          <w:rPr>
            <w:rStyle w:val="Hyperlink"/>
            <w:rFonts w:eastAsiaTheme="majorEastAsia"/>
            <w:sz w:val="22"/>
            <w:szCs w:val="22"/>
          </w:rPr>
          <w:t>https://eige.europa.eu/rdc/eige-publications/estimating-costs-gender-based-violence-european-union-report</w:t>
        </w:r>
      </w:hyperlink>
      <w:r w:rsidR="000C528D" w:rsidRPr="00FA6539">
        <w:rPr>
          <w:sz w:val="22"/>
          <w:szCs w:val="22"/>
        </w:rPr>
        <w:t xml:space="preserve"> </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EU Agency for Fundamental Rights (2014). </w:t>
      </w:r>
      <w:r w:rsidR="00E17538" w:rsidRPr="00FA6539">
        <w:rPr>
          <w:sz w:val="22"/>
          <w:szCs w:val="22"/>
        </w:rPr>
        <w:t>„</w:t>
      </w:r>
      <w:r w:rsidRPr="00FA6539">
        <w:rPr>
          <w:sz w:val="22"/>
          <w:szCs w:val="22"/>
        </w:rPr>
        <w:t>Violence against Women Survey.</w:t>
      </w:r>
      <w:r w:rsidR="00E17538" w:rsidRPr="00FA6539">
        <w:rPr>
          <w:sz w:val="22"/>
          <w:szCs w:val="22"/>
        </w:rPr>
        <w:t>”</w:t>
      </w:r>
      <w:r w:rsidRPr="00FA6539">
        <w:rPr>
          <w:sz w:val="22"/>
          <w:szCs w:val="22"/>
        </w:rPr>
        <w:t xml:space="preserve"> Pieejams: </w:t>
      </w:r>
      <w:hyperlink r:id="rId270" w:history="1">
        <w:r w:rsidRPr="00FA6539">
          <w:rPr>
            <w:rStyle w:val="Hyperlink"/>
            <w:rFonts w:eastAsiaTheme="majorEastAsia"/>
            <w:sz w:val="22"/>
            <w:szCs w:val="22"/>
          </w:rPr>
          <w:t>http://fra.europa.eu/en/publications-and-resources/data-and-maps/survey-data-explorer-violence-against-women-survey</w:t>
        </w:r>
      </w:hyperlink>
      <w:r w:rsidRPr="00FA6539">
        <w:rPr>
          <w:sz w:val="22"/>
          <w:szCs w:val="22"/>
        </w:rPr>
        <w:t xml:space="preserve"> (sk. 25.10.2016.)</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European Commission (2009). </w:t>
      </w:r>
      <w:r w:rsidR="00E17538" w:rsidRPr="00FA6539">
        <w:rPr>
          <w:sz w:val="22"/>
          <w:szCs w:val="22"/>
        </w:rPr>
        <w:t>„</w:t>
      </w:r>
      <w:r w:rsidRPr="00FA6539">
        <w:rPr>
          <w:sz w:val="22"/>
          <w:szCs w:val="22"/>
        </w:rPr>
        <w:t>Questions and Answer on Solidarity in health: Reducing health inequalities in the EU.</w:t>
      </w:r>
      <w:r w:rsidR="00E17538" w:rsidRPr="00FA6539">
        <w:rPr>
          <w:sz w:val="22"/>
          <w:szCs w:val="22"/>
        </w:rPr>
        <w:t>”</w:t>
      </w:r>
      <w:r w:rsidRPr="00FA6539">
        <w:rPr>
          <w:sz w:val="22"/>
          <w:szCs w:val="22"/>
        </w:rPr>
        <w:t xml:space="preserve"> Pieejams: </w:t>
      </w:r>
      <w:hyperlink r:id="rId271" w:history="1">
        <w:r w:rsidRPr="00FA6539">
          <w:rPr>
            <w:rStyle w:val="Hyperlink"/>
            <w:rFonts w:eastAsiaTheme="majorEastAsia"/>
            <w:sz w:val="22"/>
            <w:szCs w:val="22"/>
          </w:rPr>
          <w:t>http://europa.eu/rapid/press-release_MEMO-09-467_en.pdf</w:t>
        </w:r>
      </w:hyperlink>
      <w:r w:rsidRPr="00FA6539">
        <w:rPr>
          <w:sz w:val="22"/>
          <w:szCs w:val="22"/>
        </w:rPr>
        <w:t xml:space="preserve"> (sk. 19.12.2018.)</w:t>
      </w:r>
    </w:p>
    <w:p w:rsidR="000C528D" w:rsidRPr="00FA6539" w:rsidRDefault="00E17538" w:rsidP="003F469F">
      <w:pPr>
        <w:pStyle w:val="ListParagraph"/>
        <w:numPr>
          <w:ilvl w:val="0"/>
          <w:numId w:val="158"/>
        </w:numPr>
        <w:tabs>
          <w:tab w:val="left" w:pos="567"/>
        </w:tabs>
        <w:spacing w:line="276" w:lineRule="auto"/>
        <w:ind w:left="0" w:firstLine="284"/>
        <w:rPr>
          <w:sz w:val="22"/>
          <w:szCs w:val="22"/>
        </w:rPr>
      </w:pPr>
      <w:r w:rsidRPr="00FA6539">
        <w:rPr>
          <w:bCs/>
          <w:sz w:val="22"/>
          <w:szCs w:val="22"/>
        </w:rPr>
        <w:t>EVALSED. „</w:t>
      </w:r>
      <w:r w:rsidR="000C528D" w:rsidRPr="00FA6539">
        <w:rPr>
          <w:bCs/>
          <w:sz w:val="22"/>
          <w:szCs w:val="22"/>
        </w:rPr>
        <w:t xml:space="preserve">The resource for the evaluation of Socio-Economic Development: Sourcebook - </w:t>
      </w:r>
      <w:r w:rsidR="000C528D" w:rsidRPr="00FA6539">
        <w:rPr>
          <w:sz w:val="22"/>
          <w:szCs w:val="22"/>
        </w:rPr>
        <w:t>Method and Techniques.</w:t>
      </w:r>
      <w:r w:rsidRPr="00FA6539">
        <w:rPr>
          <w:sz w:val="22"/>
          <w:szCs w:val="22"/>
        </w:rPr>
        <w:t>”</w:t>
      </w:r>
      <w:r w:rsidR="000C528D" w:rsidRPr="00FA6539">
        <w:rPr>
          <w:sz w:val="22"/>
          <w:szCs w:val="22"/>
        </w:rPr>
        <w:t xml:space="preserve"> (2013). European Comission. Pieejams: </w:t>
      </w:r>
      <w:hyperlink r:id="rId272" w:history="1">
        <w:r w:rsidR="000C528D" w:rsidRPr="00FA6539">
          <w:rPr>
            <w:rStyle w:val="Hyperlink"/>
            <w:rFonts w:eastAsiaTheme="majorEastAsia"/>
            <w:sz w:val="22"/>
            <w:szCs w:val="22"/>
          </w:rPr>
          <w:t>http://ec.europa.eu/regional_policy/sources/docgener/evaluation/guide/evaluation_sourcebook.pdf</w:t>
        </w:r>
      </w:hyperlink>
      <w:r w:rsidR="000C528D" w:rsidRPr="00FA6539">
        <w:rPr>
          <w:sz w:val="22"/>
          <w:szCs w:val="22"/>
        </w:rPr>
        <w:t xml:space="preserve"> (sk. 15.01.2018.)</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Henilane, I (2016). Housing concept and analysis of housing classification. </w:t>
      </w:r>
      <w:r w:rsidR="00E17538" w:rsidRPr="00FA6539">
        <w:rPr>
          <w:sz w:val="22"/>
          <w:szCs w:val="22"/>
        </w:rPr>
        <w:t>„</w:t>
      </w:r>
      <w:r w:rsidRPr="00FA6539">
        <w:rPr>
          <w:bCs/>
          <w:iCs/>
          <w:sz w:val="22"/>
          <w:szCs w:val="22"/>
        </w:rPr>
        <w:t>Baltic Journal of Real Estate Economics and Construction</w:t>
      </w:r>
      <w:r w:rsidRPr="00C548CE">
        <w:rPr>
          <w:bCs/>
          <w:iCs/>
          <w:sz w:val="22"/>
          <w:szCs w:val="22"/>
        </w:rPr>
        <w:t xml:space="preserve"> Management</w:t>
      </w:r>
      <w:r w:rsidRPr="00FA6539">
        <w:rPr>
          <w:bCs/>
          <w:iCs/>
          <w:sz w:val="22"/>
          <w:szCs w:val="22"/>
        </w:rPr>
        <w:t>.</w:t>
      </w:r>
      <w:r w:rsidR="00E17538" w:rsidRPr="00FA6539">
        <w:rPr>
          <w:bCs/>
          <w:iCs/>
          <w:sz w:val="22"/>
          <w:szCs w:val="22"/>
        </w:rPr>
        <w:t>”</w:t>
      </w:r>
      <w:r w:rsidRPr="00FA6539">
        <w:rPr>
          <w:bCs/>
          <w:i/>
          <w:iCs/>
          <w:sz w:val="22"/>
          <w:szCs w:val="22"/>
        </w:rPr>
        <w:t xml:space="preserve"> </w:t>
      </w:r>
      <w:r w:rsidRPr="00FA6539">
        <w:rPr>
          <w:bCs/>
          <w:iCs/>
          <w:sz w:val="22"/>
          <w:szCs w:val="22"/>
        </w:rPr>
        <w:t xml:space="preserve">Pieejams: </w:t>
      </w:r>
      <w:hyperlink r:id="rId273" w:history="1">
        <w:r w:rsidRPr="00FA6539">
          <w:rPr>
            <w:rStyle w:val="Hyperlink"/>
            <w:rFonts w:eastAsiaTheme="majorEastAsia"/>
            <w:sz w:val="22"/>
            <w:szCs w:val="22"/>
          </w:rPr>
          <w:t>https://ortus.rtu.lv/science/lv/publications/23942/attachments/2580</w:t>
        </w:r>
      </w:hyperlink>
      <w:r w:rsidRPr="00FA6539">
        <w:rPr>
          <w:sz w:val="22"/>
          <w:szCs w:val="22"/>
        </w:rPr>
        <w:t xml:space="preserve"> (sk. 30.10.2018.)</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Holla, Alaka (2016). „Support to develop a health system strategy for priority</w:t>
      </w:r>
      <w:r w:rsidRPr="00AA32A2">
        <w:rPr>
          <w:sz w:val="22"/>
          <w:szCs w:val="22"/>
          <w:lang w:val="en-GB"/>
        </w:rPr>
        <w:t xml:space="preserve"> disease</w:t>
      </w:r>
      <w:r w:rsidRPr="00FA6539">
        <w:rPr>
          <w:sz w:val="22"/>
          <w:szCs w:val="22"/>
        </w:rPr>
        <w:t xml:space="preserve"> areas in Latvia. Health sector reform options for Latvia.” Konferences prezentācija. Pieejams: </w:t>
      </w:r>
      <w:hyperlink r:id="rId274" w:history="1">
        <w:r w:rsidRPr="00FA6539">
          <w:rPr>
            <w:rStyle w:val="Hyperlink"/>
            <w:rFonts w:eastAsiaTheme="majorEastAsia"/>
            <w:sz w:val="22"/>
            <w:szCs w:val="22"/>
          </w:rPr>
          <w:t>http://vmnvd.gov.lv/uploads/files/583d31a666f9a.pdf</w:t>
        </w:r>
      </w:hyperlink>
      <w:r w:rsidRPr="00FA6539">
        <w:rPr>
          <w:sz w:val="22"/>
          <w:szCs w:val="22"/>
        </w:rPr>
        <w:t xml:space="preserve"> (sk. 16.01.2019.)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Holla, Alaka, Amit Chandra, Paula Giovagnoli, un Christel Vermeersch (2016). </w:t>
      </w:r>
      <w:r w:rsidR="00E17538" w:rsidRPr="00FA6539">
        <w:rPr>
          <w:sz w:val="22"/>
          <w:szCs w:val="22"/>
        </w:rPr>
        <w:t>„</w:t>
      </w:r>
      <w:r w:rsidRPr="00FA6539">
        <w:rPr>
          <w:sz w:val="22"/>
          <w:szCs w:val="22"/>
        </w:rPr>
        <w:t>Valsts apmaksāto pakalpojumu klāsta un pakalpojumu nodrošināšanas modeļa pārskats.</w:t>
      </w:r>
      <w:r w:rsidR="00E17538" w:rsidRPr="00FA6539">
        <w:rPr>
          <w:sz w:val="22"/>
          <w:szCs w:val="22"/>
        </w:rPr>
        <w:t>”</w:t>
      </w:r>
      <w:r w:rsidRPr="00FA6539">
        <w:rPr>
          <w:sz w:val="22"/>
          <w:szCs w:val="22"/>
        </w:rPr>
        <w:t xml:space="preserve"> Pieejams: </w:t>
      </w:r>
      <w:hyperlink r:id="rId275" w:history="1">
        <w:r w:rsidRPr="00FA6539">
          <w:rPr>
            <w:rStyle w:val="Hyperlink"/>
            <w:rFonts w:eastAsiaTheme="majorEastAsia"/>
            <w:sz w:val="22"/>
            <w:szCs w:val="22"/>
          </w:rPr>
          <w:t>http://www.vmnvd.gov.lv/uploads/files/58aef4ca681b0.pdf</w:t>
        </w:r>
      </w:hyperlink>
      <w:r w:rsidRPr="00FA6539">
        <w:rPr>
          <w:sz w:val="22"/>
          <w:szCs w:val="22"/>
          <w:u w:val="single"/>
        </w:rPr>
        <w:t xml:space="preserve"> </w:t>
      </w:r>
      <w:r w:rsidRPr="00FA6539">
        <w:rPr>
          <w:sz w:val="22"/>
          <w:szCs w:val="22"/>
        </w:rPr>
        <w:t>(sk. 21.11.2018.)</w:t>
      </w:r>
    </w:p>
    <w:p w:rsidR="000C528D" w:rsidRPr="00FA6539" w:rsidRDefault="00E17538" w:rsidP="003F469F">
      <w:pPr>
        <w:pStyle w:val="ListParagraph"/>
        <w:numPr>
          <w:ilvl w:val="0"/>
          <w:numId w:val="158"/>
        </w:numPr>
        <w:tabs>
          <w:tab w:val="left" w:pos="567"/>
        </w:tabs>
        <w:spacing w:line="276" w:lineRule="auto"/>
        <w:ind w:left="0" w:firstLine="284"/>
        <w:rPr>
          <w:sz w:val="22"/>
          <w:szCs w:val="22"/>
        </w:rPr>
      </w:pPr>
      <w:r w:rsidRPr="00FA6539">
        <w:rPr>
          <w:sz w:val="22"/>
          <w:szCs w:val="22"/>
        </w:rPr>
        <w:t>„</w:t>
      </w:r>
      <w:r w:rsidR="000C528D" w:rsidRPr="00FA6539">
        <w:rPr>
          <w:sz w:val="22"/>
          <w:szCs w:val="22"/>
        </w:rPr>
        <w:t>Housing inequality in Europe Tackling inequalities in Europe:</w:t>
      </w:r>
      <w:r w:rsidRPr="00FA6539">
        <w:rPr>
          <w:sz w:val="22"/>
          <w:szCs w:val="22"/>
        </w:rPr>
        <w:t xml:space="preserve"> the role of social investment.„ </w:t>
      </w:r>
      <w:r w:rsidR="000C528D" w:rsidRPr="00FA6539">
        <w:rPr>
          <w:sz w:val="22"/>
          <w:szCs w:val="22"/>
        </w:rPr>
        <w:t xml:space="preserve">CEB (2017), p.1.-3. Pieejams: </w:t>
      </w:r>
      <w:hyperlink r:id="rId276" w:history="1">
        <w:r w:rsidR="000C528D" w:rsidRPr="00FA6539">
          <w:rPr>
            <w:rStyle w:val="Hyperlink"/>
            <w:rFonts w:eastAsiaTheme="majorEastAsia"/>
            <w:sz w:val="22"/>
            <w:szCs w:val="22"/>
          </w:rPr>
          <w:t>https://coebank.org/media/documents/Part_3-Inequality-Housing.pdf</w:t>
        </w:r>
      </w:hyperlink>
      <w:r w:rsidR="000C528D" w:rsidRPr="00FA6539">
        <w:rPr>
          <w:sz w:val="22"/>
          <w:szCs w:val="22"/>
          <w:u w:val="single"/>
        </w:rPr>
        <w:t xml:space="preserve"> </w:t>
      </w:r>
      <w:r w:rsidR="000C528D" w:rsidRPr="00FA6539">
        <w:rPr>
          <w:sz w:val="22"/>
          <w:szCs w:val="22"/>
        </w:rPr>
        <w:t>(sk. 30.10.2017.)</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ICF Consult</w:t>
      </w:r>
      <w:r w:rsidR="00E17538" w:rsidRPr="00FA6539">
        <w:rPr>
          <w:sz w:val="22"/>
          <w:szCs w:val="22"/>
        </w:rPr>
        <w:t>ing Services (2017). VulnerABLE</w:t>
      </w:r>
      <w:r w:rsidRPr="00FA6539">
        <w:rPr>
          <w:sz w:val="22"/>
          <w:szCs w:val="22"/>
        </w:rPr>
        <w:t xml:space="preserve"> </w:t>
      </w:r>
      <w:r w:rsidR="00E17538" w:rsidRPr="00FA6539">
        <w:rPr>
          <w:sz w:val="22"/>
          <w:szCs w:val="22"/>
        </w:rPr>
        <w:t>„</w:t>
      </w:r>
      <w:r w:rsidRPr="00FA6539">
        <w:rPr>
          <w:sz w:val="22"/>
          <w:szCs w:val="22"/>
        </w:rPr>
        <w:t>Pilot project related to the development of evidence based strategies to improve the health of isolated and vulnerable persons</w:t>
      </w:r>
      <w:r w:rsidR="00E17538" w:rsidRPr="00FA6539">
        <w:rPr>
          <w:sz w:val="22"/>
          <w:szCs w:val="22"/>
        </w:rPr>
        <w:t>”</w:t>
      </w:r>
      <w:r w:rsidRPr="00FA6539">
        <w:rPr>
          <w:sz w:val="22"/>
          <w:szCs w:val="22"/>
        </w:rPr>
        <w:t xml:space="preserve">, Literature Review 17 March 2017. European Commission. Pieejams: </w:t>
      </w:r>
      <w:hyperlink r:id="rId277" w:history="1">
        <w:r w:rsidRPr="00FA6539">
          <w:rPr>
            <w:rStyle w:val="Hyperlink"/>
            <w:rFonts w:eastAsiaTheme="majorEastAsia"/>
            <w:sz w:val="22"/>
            <w:szCs w:val="22"/>
          </w:rPr>
          <w:t>https://ec.europa.eu/health/sites/health/files/social_determinants/docs/2017_vulnerable_literaturereview_en.pdf</w:t>
        </w:r>
      </w:hyperlink>
      <w:r w:rsidRPr="00FA6539">
        <w:rPr>
          <w:sz w:val="22"/>
          <w:szCs w:val="22"/>
        </w:rPr>
        <w:t xml:space="preserve"> (sk. 19.12.2018.)</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Iekšlietu ministrija (2007). </w:t>
      </w:r>
      <w:r w:rsidR="00E17538" w:rsidRPr="00FA6539">
        <w:rPr>
          <w:sz w:val="22"/>
          <w:szCs w:val="22"/>
        </w:rPr>
        <w:t>„</w:t>
      </w:r>
      <w:r w:rsidRPr="00FA6539">
        <w:rPr>
          <w:sz w:val="22"/>
          <w:szCs w:val="22"/>
        </w:rPr>
        <w:t>Sadarbība cilvēku tirdzniecības novēršanai. Situācijas analīze un nacionālās sadarbības optimālais modelis.</w:t>
      </w:r>
      <w:r w:rsidR="00E17538" w:rsidRPr="00FA6539">
        <w:rPr>
          <w:sz w:val="22"/>
          <w:szCs w:val="22"/>
        </w:rPr>
        <w:t>”</w:t>
      </w:r>
      <w:r w:rsidRPr="00FA6539">
        <w:rPr>
          <w:sz w:val="22"/>
          <w:szCs w:val="22"/>
        </w:rPr>
        <w:t xml:space="preserve"> Pieejams: </w:t>
      </w:r>
      <w:hyperlink r:id="rId278" w:history="1">
        <w:r w:rsidRPr="00FA6539">
          <w:rPr>
            <w:rStyle w:val="Hyperlink"/>
            <w:rFonts w:eastAsiaTheme="majorEastAsia"/>
            <w:sz w:val="22"/>
            <w:szCs w:val="22"/>
          </w:rPr>
          <w:t>http://cilvektirdznieciba.lv/data/Files/macibspekiem/Gramata_Ministrijai_LV_NEW.pdf</w:t>
        </w:r>
      </w:hyperlink>
      <w:r w:rsidRPr="00FA6539">
        <w:rPr>
          <w:sz w:val="22"/>
          <w:szCs w:val="22"/>
        </w:rPr>
        <w:t xml:space="preserve"> (sk. 18.01.2019.)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Ieslodzījumu vietu pārvalde, SIA „Comperio”, BISS (2018). </w:t>
      </w:r>
      <w:r w:rsidR="00E17538" w:rsidRPr="00FA6539">
        <w:rPr>
          <w:sz w:val="22"/>
          <w:szCs w:val="22"/>
        </w:rPr>
        <w:t>„</w:t>
      </w:r>
      <w:r w:rsidRPr="00FA6539">
        <w:rPr>
          <w:sz w:val="22"/>
          <w:szCs w:val="22"/>
        </w:rPr>
        <w:t>Sabiedriskās domas pētījums par labās prakses popularizēšanas pasākumiem stereotipu mainīšanai par bijušajiem ieslodzītajiem.</w:t>
      </w:r>
      <w:r w:rsidR="00E17538" w:rsidRPr="00FA6539">
        <w:rPr>
          <w:sz w:val="22"/>
          <w:szCs w:val="22"/>
        </w:rPr>
        <w:t>”</w:t>
      </w:r>
      <w:r w:rsidRPr="00FA6539">
        <w:rPr>
          <w:sz w:val="22"/>
          <w:szCs w:val="22"/>
        </w:rPr>
        <w:t xml:space="preserve"> Gala ziņojums. Pieejams: </w:t>
      </w:r>
      <w:hyperlink r:id="rId279" w:history="1">
        <w:r w:rsidRPr="00FA6539">
          <w:rPr>
            <w:rStyle w:val="Hyperlink"/>
            <w:rFonts w:eastAsiaTheme="majorEastAsia"/>
            <w:sz w:val="22"/>
            <w:szCs w:val="22"/>
          </w:rPr>
          <w:t>http://www.ievp.gov.lv/images/stories/petijums/181220_Gala_zinojums_2v.pdf</w:t>
        </w:r>
      </w:hyperlink>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lastRenderedPageBreak/>
        <w:t xml:space="preserve">Informatīvais ziņojums "Par Ministru kabineta 2018. gada 2. oktobra sēdes protokola Nr.45 44.§ (Informatīvais ziņojums "Par atbalstu īres mājokļu būvniecībai reģionos") 2.un 3.punkta izpildi". Pieejams: </w:t>
      </w:r>
      <w:hyperlink r:id="rId280" w:history="1">
        <w:r w:rsidRPr="00FA6539">
          <w:rPr>
            <w:rStyle w:val="Hyperlink"/>
            <w:rFonts w:eastAsiaTheme="majorEastAsia"/>
            <w:sz w:val="22"/>
            <w:szCs w:val="22"/>
          </w:rPr>
          <w:t>http://polsis.mk.gov.lv/documents/6307</w:t>
        </w:r>
      </w:hyperlink>
      <w:r w:rsidRPr="00FA6539">
        <w:rPr>
          <w:sz w:val="22"/>
          <w:szCs w:val="22"/>
        </w:rPr>
        <w:t xml:space="preserve"> (sk. 27.11.2018.)</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Informatīvais ziņojums „Ēku atjaunošanas ilgtermiņa stratēģija”. Pieejams: </w:t>
      </w:r>
      <w:hyperlink r:id="rId281" w:history="1">
        <w:r w:rsidRPr="00FA6539">
          <w:rPr>
            <w:rStyle w:val="Hyperlink"/>
            <w:rFonts w:eastAsiaTheme="majorEastAsia"/>
            <w:sz w:val="22"/>
            <w:szCs w:val="22"/>
          </w:rPr>
          <w:t>http://polsis.mk.gov.lv/documents?query=%E2%80%A2%0924.10.2017.%20Informat%C4%ABvais%20zi%C5%86ojums%20%E2%80%9E%C4%92ku%20atjauno%C5%A1anas%20ilgtermi%C5%86a%20strat%C4%93%C4%A3ija%E2%80%9D&amp;order=desc&amp;pageNr=0&amp;pageSize=10</w:t>
        </w:r>
      </w:hyperlink>
      <w:r w:rsidRPr="00FA6539">
        <w:rPr>
          <w:sz w:val="22"/>
          <w:szCs w:val="22"/>
        </w:rPr>
        <w:t xml:space="preserve"> (sk. 14.01.2019.)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bCs/>
          <w:sz w:val="22"/>
          <w:szCs w:val="22"/>
        </w:rPr>
        <w:t xml:space="preserve">Informatīvais ziņojums par situāciju saistībā ar siltumapgādes pakalpojumiem 2015. gadā. Pieejams: </w:t>
      </w:r>
      <w:hyperlink r:id="rId282" w:history="1">
        <w:r w:rsidRPr="00FA6539">
          <w:rPr>
            <w:rStyle w:val="Hyperlink"/>
            <w:rFonts w:eastAsiaTheme="majorEastAsia"/>
            <w:sz w:val="22"/>
            <w:szCs w:val="22"/>
          </w:rPr>
          <w:t>https://www.em.gov.lv/lv/nozares_politika/majokli/informativie_zinojumi/</w:t>
        </w:r>
      </w:hyperlink>
      <w:r w:rsidRPr="00FA6539">
        <w:rPr>
          <w:bCs/>
          <w:sz w:val="22"/>
          <w:szCs w:val="22"/>
        </w:rPr>
        <w:t xml:space="preserve"> (sk. 29.11.2018.)</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Ivanovs, Andrejs (2016). </w:t>
      </w:r>
      <w:r w:rsidR="00E17538" w:rsidRPr="00FA6539">
        <w:rPr>
          <w:sz w:val="22"/>
          <w:szCs w:val="22"/>
        </w:rPr>
        <w:t>„</w:t>
      </w:r>
      <w:r w:rsidRPr="00FA6539">
        <w:rPr>
          <w:sz w:val="22"/>
          <w:szCs w:val="22"/>
        </w:rPr>
        <w:t>Riska faktoru analīze sasl</w:t>
      </w:r>
      <w:r w:rsidR="00E17538" w:rsidRPr="00FA6539">
        <w:rPr>
          <w:sz w:val="22"/>
          <w:szCs w:val="22"/>
        </w:rPr>
        <w:t xml:space="preserve">imšanai ar tuberkulozi Latvijā.„ </w:t>
      </w:r>
      <w:r w:rsidRPr="00FA6539">
        <w:rPr>
          <w:sz w:val="22"/>
          <w:szCs w:val="22"/>
        </w:rPr>
        <w:t xml:space="preserve">Promocijas darbs. Rīga: Rīgas Stradiņa universitāte. Pieejams: </w:t>
      </w:r>
      <w:hyperlink r:id="rId283" w:history="1">
        <w:r w:rsidRPr="00FA6539">
          <w:rPr>
            <w:rStyle w:val="Hyperlink"/>
            <w:rFonts w:eastAsiaTheme="majorEastAsia"/>
            <w:sz w:val="22"/>
            <w:szCs w:val="22"/>
          </w:rPr>
          <w:t>https://www.rsu.lv/sites/default/files/dissertations/AIvanovs_promocijas_darbs.pdf</w:t>
        </w:r>
      </w:hyperlink>
      <w:r w:rsidRPr="00FA6539">
        <w:rPr>
          <w:sz w:val="22"/>
          <w:szCs w:val="22"/>
        </w:rPr>
        <w:t xml:space="preserve"> (sk.14.12.2018.)</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Izvērtējums Sabiedrības veselības pamatnostādņu 2014.–2020. gadam izstrādei, 31.01.2014. Pieejams: </w:t>
      </w:r>
      <w:hyperlink r:id="rId284" w:history="1">
        <w:r w:rsidRPr="00FA6539">
          <w:rPr>
            <w:rStyle w:val="Hyperlink"/>
            <w:rFonts w:eastAsiaTheme="majorEastAsia"/>
            <w:sz w:val="22"/>
            <w:szCs w:val="22"/>
          </w:rPr>
          <w:t>http://www.vm.gov.lv/images/userfiles/sab_ves_pamatnost_izvertejums_31_01_14.pdf</w:t>
        </w:r>
      </w:hyperlink>
      <w:r w:rsidRPr="00FA6539">
        <w:rPr>
          <w:sz w:val="22"/>
          <w:szCs w:val="22"/>
        </w:rPr>
        <w:t xml:space="preserve"> (sk. 18.01.2019.)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Kļave, E., I. Bebriša, O. Žabko, I. Šūpule, L. Jansone (2014). </w:t>
      </w:r>
      <w:r w:rsidR="00E17538" w:rsidRPr="00FA6539">
        <w:rPr>
          <w:sz w:val="22"/>
          <w:szCs w:val="22"/>
        </w:rPr>
        <w:t>„</w:t>
      </w:r>
      <w:r w:rsidRPr="00FA6539">
        <w:rPr>
          <w:sz w:val="22"/>
          <w:szCs w:val="22"/>
        </w:rPr>
        <w:t>Narkotiku izplatība ieslodzījuma vietās Latvijā 2014. gadā.</w:t>
      </w:r>
      <w:r w:rsidR="00E17538" w:rsidRPr="00FA6539">
        <w:rPr>
          <w:sz w:val="22"/>
          <w:szCs w:val="22"/>
        </w:rPr>
        <w:t>”</w:t>
      </w:r>
      <w:r w:rsidRPr="00FA6539">
        <w:rPr>
          <w:sz w:val="22"/>
          <w:szCs w:val="22"/>
        </w:rPr>
        <w:t xml:space="preserve"> Rīga: Slimību profilakses un kontroles centrs, BISS. Pieejams: </w:t>
      </w:r>
      <w:hyperlink r:id="rId285" w:history="1">
        <w:r w:rsidRPr="00FA6539">
          <w:rPr>
            <w:rStyle w:val="Hyperlink"/>
            <w:rFonts w:eastAsiaTheme="majorEastAsia"/>
            <w:sz w:val="22"/>
            <w:szCs w:val="22"/>
          </w:rPr>
          <w:t>https://www.spkc.gov.lv/upload/Petijumi%20un%20zinojumi/Atkaribu%20slimibu%20petijumi/narkotiku_izplatiba_ieslodzijuma_vietas_lv_2014_gada.pdf</w:t>
        </w:r>
      </w:hyperlink>
      <w:r w:rsidRPr="00FA6539">
        <w:rPr>
          <w:sz w:val="22"/>
          <w:szCs w:val="22"/>
        </w:rPr>
        <w:t xml:space="preserve"> (sk. 13.12.2018.)</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Labklājības ministrija (2016). </w:t>
      </w:r>
      <w:r w:rsidR="00E17538" w:rsidRPr="00FA6539">
        <w:rPr>
          <w:sz w:val="22"/>
          <w:szCs w:val="22"/>
        </w:rPr>
        <w:t>„</w:t>
      </w:r>
      <w:r w:rsidRPr="00FA6539">
        <w:rPr>
          <w:sz w:val="22"/>
          <w:szCs w:val="22"/>
        </w:rPr>
        <w:t>Informatīvais ziņojums par vardarbības pret sievietēm un vardarbības ģimenē gadījumiem, to izplatību un dinamiku 2016. gadā.</w:t>
      </w:r>
      <w:r w:rsidR="00E17538" w:rsidRPr="00FA6539">
        <w:rPr>
          <w:sz w:val="22"/>
          <w:szCs w:val="22"/>
        </w:rPr>
        <w:t>”</w:t>
      </w:r>
      <w:r w:rsidRPr="00FA6539">
        <w:rPr>
          <w:sz w:val="22"/>
          <w:szCs w:val="22"/>
        </w:rPr>
        <w:t xml:space="preserve"> Pieejams: </w:t>
      </w:r>
      <w:hyperlink r:id="rId286" w:history="1">
        <w:r w:rsidRPr="00FA6539">
          <w:rPr>
            <w:rStyle w:val="Hyperlink"/>
            <w:rFonts w:eastAsiaTheme="majorEastAsia"/>
            <w:sz w:val="22"/>
            <w:szCs w:val="22"/>
          </w:rPr>
          <w:t>http://www.lm.gov.lv/upload/vardarbiba_gimene/lmzino_280318_vg.pdf</w:t>
        </w:r>
      </w:hyperlink>
      <w:r w:rsidRPr="00FA6539">
        <w:rPr>
          <w:sz w:val="22"/>
          <w:szCs w:val="22"/>
        </w:rPr>
        <w:t xml:space="preserve"> (sk. 18.01.2019.)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Latvijas Republikas Tiesībsargs (2016).</w:t>
      </w:r>
      <w:r w:rsidRPr="00FA6539">
        <w:rPr>
          <w:i/>
          <w:sz w:val="22"/>
          <w:szCs w:val="22"/>
        </w:rPr>
        <w:t xml:space="preserve"> </w:t>
      </w:r>
      <w:r w:rsidR="00E17538" w:rsidRPr="00FA6539">
        <w:rPr>
          <w:sz w:val="22"/>
          <w:szCs w:val="22"/>
        </w:rPr>
        <w:t>„</w:t>
      </w:r>
      <w:r w:rsidRPr="00FA6539">
        <w:rPr>
          <w:sz w:val="22"/>
          <w:szCs w:val="22"/>
        </w:rPr>
        <w:t>Latvijas valsts garantētā “medicīniskās palīdzības minimuma” atbilstība cilvēktiesību standartam.</w:t>
      </w:r>
      <w:r w:rsidR="00E17538" w:rsidRPr="00FA6539">
        <w:rPr>
          <w:sz w:val="22"/>
          <w:szCs w:val="22"/>
        </w:rPr>
        <w:t>”</w:t>
      </w:r>
      <w:r w:rsidRPr="00FA6539">
        <w:rPr>
          <w:sz w:val="22"/>
          <w:szCs w:val="22"/>
        </w:rPr>
        <w:t xml:space="preserve"> Pieejams: </w:t>
      </w:r>
      <w:hyperlink r:id="rId287" w:history="1">
        <w:r w:rsidRPr="00FA6539">
          <w:rPr>
            <w:rStyle w:val="Hyperlink"/>
            <w:sz w:val="22"/>
            <w:szCs w:val="22"/>
          </w:rPr>
          <w:t>http://www.tiesibsargs.lv/uploads/content/legacy/Petijums_Valsts_garantetais_mediciniskas_palidzibas_minimums_2016.pdf</w:t>
        </w:r>
      </w:hyperlink>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LR Tiesībsargs. Ziņojums par aktuālo situāciju pašvaldības palīdzības sniegšanā mājokļu jomā un rekomendāciju izpildi pārbaudes lietā Nr.2014-35-18AC, 28.08.2018. Pieejams: </w:t>
      </w:r>
      <w:hyperlink r:id="rId288" w:history="1">
        <w:r w:rsidRPr="00FA6539">
          <w:rPr>
            <w:rStyle w:val="Hyperlink"/>
            <w:rFonts w:eastAsiaTheme="majorEastAsia"/>
            <w:sz w:val="22"/>
            <w:szCs w:val="22"/>
          </w:rPr>
          <w:t>http://www.tiesibsargs.lv/uploads/content/lapas/zinojums_pasvaldibu_majokli_1535636795.pdf</w:t>
        </w:r>
      </w:hyperlink>
      <w:r w:rsidRPr="00FA6539">
        <w:rPr>
          <w:sz w:val="22"/>
          <w:szCs w:val="22"/>
          <w:u w:val="single"/>
        </w:rPr>
        <w:t xml:space="preserve"> </w:t>
      </w:r>
      <w:r w:rsidRPr="00FA6539">
        <w:rPr>
          <w:sz w:val="22"/>
          <w:szCs w:val="22"/>
        </w:rPr>
        <w:t>(sk. 29.10.2018.)</w:t>
      </w:r>
    </w:p>
    <w:p w:rsidR="000C528D" w:rsidRPr="009C026D" w:rsidRDefault="000C528D" w:rsidP="003F469F">
      <w:pPr>
        <w:pStyle w:val="ListParagraph"/>
        <w:numPr>
          <w:ilvl w:val="0"/>
          <w:numId w:val="158"/>
        </w:numPr>
        <w:tabs>
          <w:tab w:val="left" w:pos="567"/>
        </w:tabs>
        <w:spacing w:line="276" w:lineRule="auto"/>
        <w:ind w:left="0" w:firstLine="284"/>
        <w:rPr>
          <w:sz w:val="22"/>
          <w:szCs w:val="22"/>
        </w:rPr>
      </w:pPr>
      <w:r w:rsidRPr="00FA6539">
        <w:rPr>
          <w:rFonts w:eastAsia="Calibri"/>
          <w:sz w:val="22"/>
          <w:szCs w:val="22"/>
        </w:rPr>
        <w:t xml:space="preserve">LU Biznesa, vadības un ekonomikas fakultāte, LR tiesībsargs (2019). </w:t>
      </w:r>
      <w:r w:rsidR="00E17538" w:rsidRPr="00FA6539">
        <w:rPr>
          <w:rFonts w:eastAsia="Calibri"/>
          <w:sz w:val="22"/>
          <w:szCs w:val="22"/>
        </w:rPr>
        <w:t>„</w:t>
      </w:r>
      <w:r w:rsidRPr="00FA6539">
        <w:rPr>
          <w:rFonts w:eastAsia="Calibri"/>
          <w:sz w:val="22"/>
          <w:szCs w:val="22"/>
        </w:rPr>
        <w:t>Nodokļu reforma neapliekamā minimuma, atvieglojumu un attaisnoto izdevumu piemērošanas problēmu, efektivitātes un risinājumu izvērtējumā.</w:t>
      </w:r>
      <w:r w:rsidR="00E17538" w:rsidRPr="00FA6539">
        <w:rPr>
          <w:rFonts w:eastAsia="Calibri"/>
          <w:sz w:val="22"/>
          <w:szCs w:val="22"/>
        </w:rPr>
        <w:t>”</w:t>
      </w:r>
      <w:r w:rsidRPr="00FA6539">
        <w:rPr>
          <w:rFonts w:eastAsia="Calibri"/>
          <w:sz w:val="22"/>
          <w:szCs w:val="22"/>
        </w:rPr>
        <w:t xml:space="preserve"> Pētījuma kopsavilkums. Pieejams: </w:t>
      </w:r>
      <w:hyperlink r:id="rId289" w:history="1">
        <w:r w:rsidRPr="00FA6539">
          <w:rPr>
            <w:rStyle w:val="Hyperlink"/>
            <w:rFonts w:eastAsiaTheme="majorEastAsia"/>
            <w:sz w:val="22"/>
            <w:szCs w:val="22"/>
          </w:rPr>
          <w:t>http://www.tiesibsargs.lv/uploads/content/kopsavilkums_1551263741.pdf</w:t>
        </w:r>
      </w:hyperlink>
      <w:r w:rsidRPr="00FA6539">
        <w:rPr>
          <w:rFonts w:eastAsia="Calibri"/>
          <w:sz w:val="22"/>
          <w:szCs w:val="22"/>
        </w:rPr>
        <w:t xml:space="preserve"> (sk. 12.04. 2019.)</w:t>
      </w:r>
    </w:p>
    <w:p w:rsidR="009C026D" w:rsidRPr="009C026D" w:rsidRDefault="009C026D" w:rsidP="003F469F">
      <w:pPr>
        <w:pStyle w:val="ListParagraph"/>
        <w:numPr>
          <w:ilvl w:val="0"/>
          <w:numId w:val="158"/>
        </w:numPr>
        <w:tabs>
          <w:tab w:val="left" w:pos="567"/>
        </w:tabs>
        <w:spacing w:line="276" w:lineRule="auto"/>
        <w:ind w:left="0" w:firstLine="284"/>
        <w:rPr>
          <w:sz w:val="22"/>
          <w:szCs w:val="22"/>
        </w:rPr>
      </w:pPr>
      <w:r w:rsidRPr="009C026D">
        <w:rPr>
          <w:sz w:val="22"/>
          <w:szCs w:val="22"/>
        </w:rPr>
        <w:t xml:space="preserve">LU Biznesa, vadības un ekonomikas fakultāte, LR tiesībsargs (2019). „Nodokļu reforma neapliekamā minimuma, atvieglojumu un attaisnoto izdevumu piemērošanas problēmu, efektivitātes un risinājumu izvērtējumā.” Pētījums. 2.sējums. Pieejams: </w:t>
      </w:r>
      <w:hyperlink r:id="rId290" w:history="1">
        <w:r w:rsidRPr="009C026D">
          <w:rPr>
            <w:rStyle w:val="Hyperlink"/>
            <w:sz w:val="22"/>
            <w:szCs w:val="22"/>
          </w:rPr>
          <w:t>http://www.tiesibsargs.lv/uploads/content/2_sejums_1551263667.pdf</w:t>
        </w:r>
      </w:hyperlink>
      <w:r w:rsidRPr="009C026D">
        <w:rPr>
          <w:sz w:val="22"/>
          <w:szCs w:val="22"/>
        </w:rPr>
        <w:t xml:space="preserve"> (sk. 12.04.2019.)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Možajeva Irina (2012). </w:t>
      </w:r>
      <w:r w:rsidR="00E17538" w:rsidRPr="00FA6539">
        <w:rPr>
          <w:sz w:val="22"/>
          <w:szCs w:val="22"/>
        </w:rPr>
        <w:t>„</w:t>
      </w:r>
      <w:r w:rsidRPr="00FA6539">
        <w:rPr>
          <w:sz w:val="22"/>
          <w:szCs w:val="22"/>
        </w:rPr>
        <w:t>Latvijas un Eiropas iedzīvotāju pašnovērtētās veselības modeļi un veselības riska faktori.</w:t>
      </w:r>
      <w:r w:rsidR="00E17538" w:rsidRPr="00FA6539">
        <w:rPr>
          <w:sz w:val="22"/>
          <w:szCs w:val="22"/>
        </w:rPr>
        <w:t>”</w:t>
      </w:r>
      <w:r w:rsidRPr="00FA6539">
        <w:rPr>
          <w:sz w:val="22"/>
          <w:szCs w:val="22"/>
        </w:rPr>
        <w:t xml:space="preserve"> Promocijas darbs. Rīga: Latvijas Universitāte. Pieejams: </w:t>
      </w:r>
      <w:hyperlink r:id="rId291" w:history="1">
        <w:r w:rsidRPr="00FA6539">
          <w:rPr>
            <w:rStyle w:val="Hyperlink"/>
            <w:rFonts w:eastAsiaTheme="majorEastAsia"/>
            <w:sz w:val="22"/>
            <w:szCs w:val="22"/>
          </w:rPr>
          <w:t>https://dspace.lu.lv/dspace/bitstream/handle/7/5082/19803-Irina_Mozajeva_2012.pdf?sequence=1</w:t>
        </w:r>
      </w:hyperlink>
      <w:r w:rsidRPr="00FA6539">
        <w:rPr>
          <w:sz w:val="22"/>
          <w:szCs w:val="22"/>
        </w:rPr>
        <w:t xml:space="preserve"> (sk. 19.12.2018.)</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Nacionālais veselības dienests. Pasaules Bankas pētījums (2017). Pieejams </w:t>
      </w:r>
      <w:hyperlink r:id="rId292" w:history="1">
        <w:r w:rsidRPr="00FA6539">
          <w:rPr>
            <w:rStyle w:val="Hyperlink"/>
            <w:rFonts w:eastAsiaTheme="majorEastAsia"/>
            <w:sz w:val="22"/>
            <w:szCs w:val="22"/>
          </w:rPr>
          <w:t>http://www.vmnvd.gov.lv/lv/esf-projekts/zinojumi</w:t>
        </w:r>
      </w:hyperlink>
      <w:r w:rsidRPr="00FA6539">
        <w:rPr>
          <w:sz w:val="22"/>
          <w:szCs w:val="22"/>
        </w:rPr>
        <w:t xml:space="preserve">  (sk. 25.09.2018.). </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rFonts w:eastAsia="Calibri"/>
          <w:sz w:val="22"/>
          <w:szCs w:val="22"/>
        </w:rPr>
        <w:t xml:space="preserve">Niklass, M. (2018). </w:t>
      </w:r>
      <w:r w:rsidR="00E17538" w:rsidRPr="00FA6539">
        <w:rPr>
          <w:rFonts w:eastAsia="Calibri"/>
          <w:sz w:val="22"/>
          <w:szCs w:val="22"/>
        </w:rPr>
        <w:t>„</w:t>
      </w:r>
      <w:r w:rsidRPr="00FA6539">
        <w:rPr>
          <w:rFonts w:eastAsia="Calibri"/>
          <w:sz w:val="22"/>
          <w:szCs w:val="22"/>
        </w:rPr>
        <w:t>Strādājošo nabadzība Latvijā Sustinno projekta ietvaros.</w:t>
      </w:r>
      <w:r w:rsidR="00E17538" w:rsidRPr="00FA6539">
        <w:rPr>
          <w:rFonts w:eastAsia="Calibri"/>
          <w:sz w:val="22"/>
          <w:szCs w:val="22"/>
        </w:rPr>
        <w:t>”</w:t>
      </w:r>
      <w:r w:rsidRPr="00FA6539">
        <w:rPr>
          <w:rFonts w:eastAsia="Calibri"/>
          <w:sz w:val="22"/>
          <w:szCs w:val="22"/>
        </w:rPr>
        <w:t xml:space="preserve"> (nepublicēts raksts, izmantots ar autora atļauju)</w:t>
      </w:r>
    </w:p>
    <w:p w:rsidR="000C528D" w:rsidRPr="00FA6539" w:rsidRDefault="00E17538" w:rsidP="003F469F">
      <w:pPr>
        <w:pStyle w:val="ListParagraph"/>
        <w:numPr>
          <w:ilvl w:val="0"/>
          <w:numId w:val="158"/>
        </w:numPr>
        <w:tabs>
          <w:tab w:val="left" w:pos="567"/>
        </w:tabs>
        <w:spacing w:line="276" w:lineRule="auto"/>
        <w:ind w:left="0" w:firstLine="284"/>
        <w:rPr>
          <w:sz w:val="22"/>
          <w:szCs w:val="22"/>
        </w:rPr>
      </w:pPr>
      <w:r w:rsidRPr="00FA6539">
        <w:rPr>
          <w:sz w:val="22"/>
          <w:szCs w:val="22"/>
          <w:lang w:val="en-US"/>
        </w:rPr>
        <w:lastRenderedPageBreak/>
        <w:t>NOBODY LEFT BEHIND</w:t>
      </w:r>
      <w:r w:rsidR="000C528D" w:rsidRPr="00FA6539">
        <w:rPr>
          <w:sz w:val="22"/>
          <w:szCs w:val="22"/>
          <w:lang w:val="en-US"/>
        </w:rPr>
        <w:t xml:space="preserve"> </w:t>
      </w:r>
      <w:r w:rsidRPr="00FA6539">
        <w:rPr>
          <w:sz w:val="22"/>
          <w:szCs w:val="22"/>
          <w:lang w:val="en-US"/>
        </w:rPr>
        <w:t>“</w:t>
      </w:r>
      <w:r w:rsidR="000C528D" w:rsidRPr="00FA6539">
        <w:rPr>
          <w:sz w:val="22"/>
          <w:szCs w:val="22"/>
          <w:lang w:val="en-US"/>
        </w:rPr>
        <w:t xml:space="preserve">Ensuring access for all to affordable, quality housing and public health services", EAPN's EU Inclusion Strategies Group, December 2016. Pieejams: </w:t>
      </w:r>
      <w:hyperlink r:id="rId293" w:history="1">
        <w:r w:rsidR="000C528D" w:rsidRPr="00FA6539">
          <w:rPr>
            <w:rStyle w:val="Hyperlink"/>
            <w:rFonts w:eastAsiaTheme="majorEastAsia"/>
            <w:sz w:val="22"/>
            <w:szCs w:val="22"/>
            <w:lang w:val="en-US"/>
          </w:rPr>
          <w:t>https://ec.europa.eu/info/sites/info/files/eapn-access-to-housing-and-health-services.pdf</w:t>
        </w:r>
      </w:hyperlink>
      <w:r w:rsidR="000C528D" w:rsidRPr="00FA6539">
        <w:rPr>
          <w:sz w:val="22"/>
          <w:szCs w:val="22"/>
          <w:lang w:val="en-US"/>
        </w:rPr>
        <w:t xml:space="preserve"> (sk. 30.10.2018.). </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OECD (2017) </w:t>
      </w:r>
      <w:r w:rsidR="00E17538" w:rsidRPr="00FA6539">
        <w:rPr>
          <w:sz w:val="22"/>
          <w:szCs w:val="22"/>
        </w:rPr>
        <w:t>„</w:t>
      </w:r>
      <w:r w:rsidRPr="00FA6539">
        <w:rPr>
          <w:sz w:val="22"/>
          <w:szCs w:val="22"/>
        </w:rPr>
        <w:t>Economic Surveys Latvia.</w:t>
      </w:r>
      <w:r w:rsidR="00E17538" w:rsidRPr="00FA6539">
        <w:rPr>
          <w:sz w:val="22"/>
          <w:szCs w:val="22"/>
        </w:rPr>
        <w:t>”</w:t>
      </w:r>
      <w:r w:rsidRPr="00FA6539">
        <w:rPr>
          <w:sz w:val="22"/>
          <w:szCs w:val="22"/>
        </w:rPr>
        <w:t xml:space="preserve"> Overview. Pieejams:  </w:t>
      </w:r>
      <w:hyperlink r:id="rId294" w:history="1">
        <w:r w:rsidRPr="00FA6539">
          <w:rPr>
            <w:rStyle w:val="Hyperlink"/>
            <w:rFonts w:eastAsiaTheme="majorEastAsia"/>
            <w:sz w:val="22"/>
            <w:szCs w:val="22"/>
          </w:rPr>
          <w:t>http://www.oecd.org/economy/surveys/Latvia-2017-OECD-economic-survey-overview.pdf</w:t>
        </w:r>
      </w:hyperlink>
      <w:r w:rsidRPr="00FA6539">
        <w:rPr>
          <w:sz w:val="22"/>
          <w:szCs w:val="22"/>
        </w:rPr>
        <w:t xml:space="preserve">  (sk. 12.01.2019.)</w:t>
      </w:r>
    </w:p>
    <w:p w:rsidR="000C528D" w:rsidRPr="008E0AED" w:rsidRDefault="000C528D" w:rsidP="003F469F">
      <w:pPr>
        <w:pStyle w:val="ListParagraph"/>
        <w:numPr>
          <w:ilvl w:val="0"/>
          <w:numId w:val="158"/>
        </w:numPr>
        <w:tabs>
          <w:tab w:val="left" w:pos="567"/>
        </w:tabs>
        <w:spacing w:line="276" w:lineRule="auto"/>
        <w:ind w:left="0" w:firstLine="284"/>
        <w:rPr>
          <w:sz w:val="22"/>
          <w:szCs w:val="22"/>
          <w:lang w:val="en-US"/>
        </w:rPr>
      </w:pPr>
      <w:r w:rsidRPr="008E0AED">
        <w:rPr>
          <w:sz w:val="22"/>
          <w:szCs w:val="22"/>
          <w:lang w:val="en-US"/>
        </w:rPr>
        <w:t xml:space="preserve">OECD </w:t>
      </w:r>
      <w:r w:rsidR="00E17538" w:rsidRPr="008E0AED">
        <w:rPr>
          <w:sz w:val="22"/>
          <w:szCs w:val="22"/>
          <w:lang w:val="en-US"/>
        </w:rPr>
        <w:t>„</w:t>
      </w:r>
      <w:r w:rsidRPr="008E0AED">
        <w:rPr>
          <w:sz w:val="22"/>
          <w:szCs w:val="22"/>
          <w:lang w:val="en-US"/>
        </w:rPr>
        <w:t>Reviews of Health Systems: Latvia 2016.</w:t>
      </w:r>
      <w:r w:rsidR="00E17538" w:rsidRPr="008E0AED">
        <w:rPr>
          <w:sz w:val="22"/>
          <w:szCs w:val="22"/>
          <w:lang w:val="en-US"/>
        </w:rPr>
        <w:t>”</w:t>
      </w:r>
      <w:r w:rsidRPr="008E0AED">
        <w:rPr>
          <w:sz w:val="22"/>
          <w:szCs w:val="22"/>
          <w:lang w:val="en-US"/>
        </w:rPr>
        <w:t xml:space="preserve"> Pieejams: </w:t>
      </w:r>
      <w:hyperlink r:id="rId295" w:history="1">
        <w:r w:rsidRPr="008E0AED">
          <w:rPr>
            <w:lang w:val="en-US"/>
          </w:rPr>
          <w:t>http://dx.doi.org/10.1787/9789264262782-en</w:t>
        </w:r>
      </w:hyperlink>
      <w:r w:rsidRPr="008E0AED">
        <w:rPr>
          <w:sz w:val="22"/>
          <w:szCs w:val="22"/>
          <w:lang w:val="en-US"/>
        </w:rPr>
        <w:t xml:space="preserve"> (sk. 21.11.2018.)</w:t>
      </w:r>
    </w:p>
    <w:p w:rsidR="008E0AED" w:rsidRPr="008E0AED" w:rsidRDefault="008E0AED" w:rsidP="008E0AED">
      <w:pPr>
        <w:pStyle w:val="ListParagraph"/>
        <w:numPr>
          <w:ilvl w:val="0"/>
          <w:numId w:val="158"/>
        </w:numPr>
        <w:tabs>
          <w:tab w:val="left" w:pos="567"/>
        </w:tabs>
        <w:spacing w:line="276" w:lineRule="auto"/>
        <w:ind w:left="0" w:firstLine="284"/>
        <w:rPr>
          <w:sz w:val="22"/>
          <w:szCs w:val="22"/>
          <w:lang w:val="en-US"/>
        </w:rPr>
      </w:pPr>
      <w:r w:rsidRPr="008E0AED">
        <w:rPr>
          <w:sz w:val="22"/>
          <w:szCs w:val="22"/>
          <w:lang w:val="en-US"/>
        </w:rPr>
        <w:t xml:space="preserve">OECD Reviews of Health Systems: Latvia 2016 </w:t>
      </w:r>
      <w:hyperlink r:id="rId296" w:history="1">
        <w:r w:rsidRPr="008E0AED">
          <w:rPr>
            <w:lang w:val="en-US"/>
          </w:rPr>
          <w:t>http://dx.doi.org/10.1787/9789264262782-en</w:t>
        </w:r>
      </w:hyperlink>
    </w:p>
    <w:p w:rsidR="008E0AED" w:rsidRPr="008E0AED" w:rsidRDefault="008E0AED" w:rsidP="008E0AED">
      <w:pPr>
        <w:pStyle w:val="ListParagraph"/>
        <w:numPr>
          <w:ilvl w:val="0"/>
          <w:numId w:val="158"/>
        </w:numPr>
        <w:tabs>
          <w:tab w:val="left" w:pos="567"/>
        </w:tabs>
        <w:spacing w:line="276" w:lineRule="auto"/>
        <w:ind w:left="0" w:firstLine="284"/>
        <w:rPr>
          <w:sz w:val="22"/>
          <w:szCs w:val="22"/>
          <w:lang w:val="en-US"/>
        </w:rPr>
      </w:pPr>
      <w:r w:rsidRPr="008E0AED">
        <w:rPr>
          <w:sz w:val="22"/>
          <w:szCs w:val="22"/>
          <w:lang w:val="en-US"/>
        </w:rPr>
        <w:t>OECD (2019). Connecting People with Jobs. Evaluating Latvia’s Active Labour Market Policies. Paris: OECD.</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8E0AED">
        <w:rPr>
          <w:sz w:val="22"/>
          <w:szCs w:val="22"/>
          <w:lang w:val="en-US"/>
        </w:rPr>
        <w:t xml:space="preserve">Office of the High Commissioner for Human Rights. CESCR General Comment No 4: </w:t>
      </w:r>
      <w:r w:rsidR="00E17538" w:rsidRPr="008E0AED">
        <w:rPr>
          <w:sz w:val="22"/>
          <w:szCs w:val="22"/>
          <w:lang w:val="en-US"/>
        </w:rPr>
        <w:t>„</w:t>
      </w:r>
      <w:r w:rsidRPr="008E0AED">
        <w:rPr>
          <w:sz w:val="22"/>
          <w:szCs w:val="22"/>
          <w:lang w:val="en-US"/>
        </w:rPr>
        <w:t>The Right to</w:t>
      </w:r>
      <w:r w:rsidRPr="00FA6539">
        <w:rPr>
          <w:sz w:val="22"/>
          <w:szCs w:val="22"/>
        </w:rPr>
        <w:t xml:space="preserve"> Adequate Housing (Art. 11 (1) of the Covenant).</w:t>
      </w:r>
      <w:r w:rsidR="00E17538" w:rsidRPr="00FA6539">
        <w:rPr>
          <w:sz w:val="22"/>
          <w:szCs w:val="22"/>
        </w:rPr>
        <w:t>”</w:t>
      </w:r>
      <w:r w:rsidRPr="00FA6539">
        <w:rPr>
          <w:sz w:val="22"/>
          <w:szCs w:val="22"/>
        </w:rPr>
        <w:t xml:space="preserve"> Pieejams: </w:t>
      </w:r>
      <w:hyperlink r:id="rId297" w:history="1">
        <w:r w:rsidRPr="00FA6539">
          <w:rPr>
            <w:rStyle w:val="Hyperlink"/>
            <w:rFonts w:eastAsiaTheme="majorEastAsia"/>
            <w:sz w:val="22"/>
            <w:szCs w:val="22"/>
          </w:rPr>
          <w:t>http://www.refworld.org/pdfid/47a7079a1.pdf</w:t>
        </w:r>
      </w:hyperlink>
      <w:r w:rsidRPr="00FA6539">
        <w:rPr>
          <w:sz w:val="22"/>
          <w:szCs w:val="22"/>
        </w:rPr>
        <w:t xml:space="preserve"> (sk. 31.10.2018.).</w:t>
      </w:r>
    </w:p>
    <w:p w:rsidR="000C528D"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Pasaules Banka, BISS (2016). </w:t>
      </w:r>
      <w:r w:rsidR="00E17538" w:rsidRPr="00FA6539">
        <w:rPr>
          <w:sz w:val="22"/>
          <w:szCs w:val="22"/>
        </w:rPr>
        <w:t>„</w:t>
      </w:r>
      <w:r w:rsidRPr="00FA6539">
        <w:rPr>
          <w:sz w:val="22"/>
          <w:szCs w:val="22"/>
        </w:rPr>
        <w:t>Latvijas veselības aprūpes sistēmas trūkumi: interviju un fokusa grupu diskusiju rezultāti.</w:t>
      </w:r>
      <w:r w:rsidR="00E17538" w:rsidRPr="00FA6539">
        <w:rPr>
          <w:sz w:val="22"/>
          <w:szCs w:val="22"/>
        </w:rPr>
        <w:t>”</w:t>
      </w:r>
      <w:r w:rsidRPr="00FA6539">
        <w:rPr>
          <w:sz w:val="22"/>
          <w:szCs w:val="22"/>
        </w:rPr>
        <w:t xml:space="preserve"> Pieejams: </w:t>
      </w:r>
      <w:hyperlink r:id="rId298" w:history="1">
        <w:r w:rsidRPr="008E0AED">
          <w:t>http://www.vmnvd.gov.lv/uploads/files/58104acc690b4.pdf</w:t>
        </w:r>
      </w:hyperlink>
      <w:r w:rsidRPr="00FA6539">
        <w:rPr>
          <w:sz w:val="22"/>
          <w:szCs w:val="22"/>
        </w:rPr>
        <w:t xml:space="preserve"> (sk. 21.11.2018.)</w:t>
      </w:r>
    </w:p>
    <w:p w:rsidR="008E0AED" w:rsidRPr="008E0AED" w:rsidRDefault="008E0AED" w:rsidP="008E0AED">
      <w:pPr>
        <w:pStyle w:val="ListParagraph"/>
        <w:numPr>
          <w:ilvl w:val="0"/>
          <w:numId w:val="158"/>
        </w:numPr>
        <w:tabs>
          <w:tab w:val="left" w:pos="567"/>
        </w:tabs>
        <w:spacing w:line="276" w:lineRule="auto"/>
        <w:ind w:left="0" w:firstLine="284"/>
        <w:rPr>
          <w:sz w:val="22"/>
          <w:szCs w:val="22"/>
        </w:rPr>
      </w:pPr>
      <w:r w:rsidRPr="008E0AED">
        <w:rPr>
          <w:sz w:val="22"/>
          <w:szCs w:val="22"/>
        </w:rPr>
        <w:t xml:space="preserve">Pašvaldību dzīvojamais fonds autonomās funkcijas - palīdzības iedzīvotājiem dzīvokļa jautājumu risināšanā, realizēšanai. Pieejams: </w:t>
      </w:r>
      <w:hyperlink r:id="rId299" w:history="1">
        <w:r w:rsidRPr="008E0AED">
          <w:rPr>
            <w:sz w:val="22"/>
            <w:szCs w:val="22"/>
          </w:rPr>
          <w:t>http://www.tiesibsargs.lv/uploads/content/lapas/zinojums_pasvaldibu_majokli_pielikums_1535637005.pdf</w:t>
        </w:r>
      </w:hyperlink>
      <w:r w:rsidRPr="008E0AED">
        <w:rPr>
          <w:sz w:val="22"/>
          <w:szCs w:val="22"/>
        </w:rPr>
        <w:t xml:space="preserve"> (sk.11.04.2019.)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PKC (2017). </w:t>
      </w:r>
      <w:r w:rsidR="00E17538" w:rsidRPr="00FA6539">
        <w:rPr>
          <w:sz w:val="22"/>
          <w:szCs w:val="22"/>
        </w:rPr>
        <w:t>„</w:t>
      </w:r>
      <w:r w:rsidRPr="00FA6539">
        <w:rPr>
          <w:sz w:val="22"/>
          <w:szCs w:val="22"/>
        </w:rPr>
        <w:t>Nacionālā attīstības plāna 2014. - 2020. gadam un Latvijas ilgtspējīgas attīstības stratēģijas līdz 2030. gadam īstenošanas uzraudzības ziņojums.</w:t>
      </w:r>
      <w:r w:rsidR="00E17538" w:rsidRPr="00FA6539">
        <w:rPr>
          <w:sz w:val="22"/>
          <w:szCs w:val="22"/>
        </w:rPr>
        <w:t>”</w:t>
      </w:r>
      <w:r w:rsidRPr="00FA6539">
        <w:rPr>
          <w:sz w:val="22"/>
          <w:szCs w:val="22"/>
        </w:rPr>
        <w:t xml:space="preserve"> Pieejams: </w:t>
      </w:r>
      <w:hyperlink r:id="rId300" w:history="1">
        <w:r w:rsidRPr="008E0AED">
          <w:t>https://www.pkc.gov.lv/sites/default/files/inline-files/NAP2020%20vidusposma%20zinojums%20final_1.pdf</w:t>
        </w:r>
      </w:hyperlink>
      <w:r w:rsidRPr="00FA6539">
        <w:rPr>
          <w:sz w:val="22"/>
          <w:szCs w:val="22"/>
        </w:rPr>
        <w:t xml:space="preserve"> (sk. 25.10.2018.)</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P</w:t>
      </w:r>
      <w:r w:rsidR="00E8603F">
        <w:rPr>
          <w:sz w:val="22"/>
          <w:szCs w:val="22"/>
        </w:rPr>
        <w:t>ļ</w:t>
      </w:r>
      <w:r w:rsidRPr="00FA6539">
        <w:rPr>
          <w:sz w:val="22"/>
          <w:szCs w:val="22"/>
        </w:rPr>
        <w:t xml:space="preserve">uta A. &amp; A.Zasova (2018). „Distributional effects of recent benefit and tax reforms in Latvia.” SSE Riga/ BICEPS Occasional papers No.11. Pieejams: </w:t>
      </w:r>
      <w:hyperlink r:id="rId301" w:history="1">
        <w:r w:rsidRPr="00FA6539">
          <w:rPr>
            <w:rStyle w:val="Hyperlink"/>
            <w:sz w:val="22"/>
            <w:szCs w:val="22"/>
          </w:rPr>
          <w:t>http://www.biceps.org/assets/docs/neregulara-rakstura/OccasionalPaperNo11</w:t>
        </w:r>
      </w:hyperlink>
      <w:r w:rsidRPr="00FA6539">
        <w:rPr>
          <w:sz w:val="22"/>
          <w:szCs w:val="22"/>
        </w:rPr>
        <w:t xml:space="preserve"> (sk. 10.04.2019.)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Progresa ziņojums Latvijas nacionālā reformu programma „Eiropa 2020” stratēģijas īstenošanai. Rīga, 2016. Pieejams: </w:t>
      </w:r>
      <w:hyperlink r:id="rId302" w:history="1">
        <w:r w:rsidRPr="00FA6539">
          <w:rPr>
            <w:rStyle w:val="Hyperlink"/>
            <w:rFonts w:eastAsiaTheme="majorEastAsia"/>
            <w:sz w:val="22"/>
            <w:szCs w:val="22"/>
          </w:rPr>
          <w:t>https://www.em.gov.lv/files/eiropas_savieniba/Annex_LV_NRP_2016_Latvian.pdf</w:t>
        </w:r>
      </w:hyperlink>
      <w:r w:rsidRPr="00FA6539">
        <w:rPr>
          <w:sz w:val="22"/>
          <w:szCs w:val="22"/>
        </w:rPr>
        <w:t xml:space="preserve">  (sk.12.02.2019.)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SIA „Latvijas Fakti”, Sabiedrības integrācijas fonds (2015). </w:t>
      </w:r>
      <w:r w:rsidR="00E17538" w:rsidRPr="00FA6539">
        <w:rPr>
          <w:sz w:val="22"/>
          <w:szCs w:val="22"/>
        </w:rPr>
        <w:t>„</w:t>
      </w:r>
      <w:r w:rsidRPr="00FA6539">
        <w:rPr>
          <w:sz w:val="22"/>
          <w:szCs w:val="22"/>
        </w:rPr>
        <w:t>Romi Latvijā.</w:t>
      </w:r>
      <w:r w:rsidR="00E17538" w:rsidRPr="00FA6539">
        <w:rPr>
          <w:sz w:val="22"/>
          <w:szCs w:val="22"/>
        </w:rPr>
        <w:t>”</w:t>
      </w:r>
      <w:r w:rsidRPr="00FA6539">
        <w:rPr>
          <w:sz w:val="22"/>
          <w:szCs w:val="22"/>
        </w:rPr>
        <w:t xml:space="preserve"> Pētījuma ziņojums. Pētījums publicēts projekta “Dažādi cilvēki. Atšķirīga pieredze. Viena Latvija II” Nr. JUST/2013/PROG/. AG/4978/AD ietvaros, kurš saņēmis Eiropas Savienības PROGRESS programmas finansiālu atbalstu. Pieejams: </w:t>
      </w:r>
      <w:hyperlink r:id="rId303" w:history="1">
        <w:r w:rsidRPr="00FA6539">
          <w:rPr>
            <w:rStyle w:val="Hyperlink"/>
            <w:rFonts w:eastAsiaTheme="majorEastAsia"/>
            <w:sz w:val="22"/>
            <w:szCs w:val="22"/>
          </w:rPr>
          <w:t>https://issuu.com/sif2015/docs/petijums_romi_lavija</w:t>
        </w:r>
      </w:hyperlink>
      <w:r w:rsidRPr="00FA6539">
        <w:rPr>
          <w:sz w:val="22"/>
          <w:szCs w:val="22"/>
        </w:rPr>
        <w:t xml:space="preserve"> (sk. 19.01.2019.)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SIA „Projektu un kvalitātes vadība” (2018). „Optimāla pakalpojuma dizaina modelēšanu sociālās rehabilitācijas pakalpojumam no vardarbības cietušām pilngadīgām personām, ņemot vērā dzimuma perspektīvu”.</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SIA AC Konsultācijas (2018.). </w:t>
      </w:r>
      <w:r w:rsidR="00E17538" w:rsidRPr="00FA6539">
        <w:rPr>
          <w:sz w:val="22"/>
          <w:szCs w:val="22"/>
        </w:rPr>
        <w:t>„</w:t>
      </w:r>
      <w:r w:rsidRPr="00FA6539">
        <w:rPr>
          <w:sz w:val="22"/>
          <w:szCs w:val="22"/>
        </w:rPr>
        <w:t>Pētījums par brīvprātīgo darba iespējām un līdzgaitniecības modeļa ieviešanu kriminālsodu izpildē.</w:t>
      </w:r>
      <w:r w:rsidR="00E17538" w:rsidRPr="00FA6539">
        <w:rPr>
          <w:sz w:val="22"/>
          <w:szCs w:val="22"/>
        </w:rPr>
        <w:t>”</w:t>
      </w:r>
      <w:r w:rsidRPr="00FA6539">
        <w:rPr>
          <w:sz w:val="22"/>
          <w:szCs w:val="22"/>
        </w:rPr>
        <w:t xml:space="preserve"> Pieejams: </w:t>
      </w:r>
      <w:hyperlink r:id="rId304" w:history="1">
        <w:r w:rsidRPr="00FA6539">
          <w:rPr>
            <w:rStyle w:val="Hyperlink"/>
            <w:rFonts w:eastAsiaTheme="majorEastAsia"/>
            <w:sz w:val="22"/>
            <w:szCs w:val="22"/>
          </w:rPr>
          <w:t>http://www.ievp.gov.lv/images/stories/petijums/17041_Gala_zinojums_2018.07.20..pdf</w:t>
        </w:r>
      </w:hyperlink>
      <w:r w:rsidRPr="00FA6539">
        <w:rPr>
          <w:sz w:val="22"/>
          <w:szCs w:val="22"/>
        </w:rPr>
        <w:t xml:space="preserve"> (sk. 19.01.2019.)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SIA Jaunrades laboratorija (2017). </w:t>
      </w:r>
      <w:r w:rsidR="00E17538" w:rsidRPr="00FA6539">
        <w:rPr>
          <w:sz w:val="22"/>
          <w:szCs w:val="22"/>
        </w:rPr>
        <w:t>„</w:t>
      </w:r>
      <w:r w:rsidRPr="00FA6539">
        <w:rPr>
          <w:sz w:val="22"/>
          <w:szCs w:val="22"/>
        </w:rPr>
        <w:t>Nabadzības un sociālās atstumtības mazināšanas rīcībpolitiku ietekmes izvērtējums.</w:t>
      </w:r>
      <w:r w:rsidR="00E17538" w:rsidRPr="00FA6539">
        <w:rPr>
          <w:sz w:val="22"/>
          <w:szCs w:val="22"/>
        </w:rPr>
        <w:t>”</w:t>
      </w:r>
      <w:r w:rsidRPr="00FA6539">
        <w:rPr>
          <w:sz w:val="22"/>
          <w:szCs w:val="22"/>
        </w:rPr>
        <w:t xml:space="preserve"> Ziņojums. Pieejams: </w:t>
      </w:r>
      <w:hyperlink r:id="rId305" w:history="1">
        <w:r w:rsidRPr="00FA6539">
          <w:rPr>
            <w:rStyle w:val="Hyperlink"/>
            <w:rFonts w:eastAsiaTheme="majorEastAsia"/>
            <w:sz w:val="22"/>
            <w:szCs w:val="22"/>
          </w:rPr>
          <w:t>http://www.lm.gov.lv/upload/sociala_ieklausana/lm_nabadzibas_izvertejums_nodevums.pdf</w:t>
        </w:r>
      </w:hyperlink>
      <w:r w:rsidRPr="00FA6539">
        <w:rPr>
          <w:sz w:val="22"/>
          <w:szCs w:val="22"/>
        </w:rPr>
        <w:t xml:space="preserve">  (sk. 29.09.2018.)</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Sideļska, A. (2014). </w:t>
      </w:r>
      <w:r w:rsidR="00E17538" w:rsidRPr="00FA6539">
        <w:rPr>
          <w:sz w:val="22"/>
          <w:szCs w:val="22"/>
        </w:rPr>
        <w:t>„</w:t>
      </w:r>
      <w:r w:rsidRPr="00FA6539">
        <w:rPr>
          <w:sz w:val="22"/>
          <w:szCs w:val="22"/>
        </w:rPr>
        <w:t>Dzīvojamais fonds kā reģionu sociālekonomiskās attīstības elements.</w:t>
      </w:r>
      <w:r w:rsidR="00E17538" w:rsidRPr="00FA6539">
        <w:rPr>
          <w:sz w:val="22"/>
          <w:szCs w:val="22"/>
        </w:rPr>
        <w:t>”</w:t>
      </w:r>
      <w:r w:rsidRPr="00FA6539">
        <w:rPr>
          <w:sz w:val="22"/>
          <w:szCs w:val="22"/>
        </w:rPr>
        <w:t xml:space="preserve"> Promocijas darba kopsavilkums. Latvijas Lauksaimniecības universitāte. Pieejams: </w:t>
      </w:r>
      <w:hyperlink r:id="rId306" w:history="1">
        <w:r w:rsidRPr="00FA6539">
          <w:rPr>
            <w:rStyle w:val="Hyperlink"/>
            <w:rFonts w:eastAsiaTheme="majorEastAsia"/>
            <w:sz w:val="22"/>
            <w:szCs w:val="22"/>
          </w:rPr>
          <w:t>http://llufb.llu.lv/dissertation-summary/regionaleconomics/A_Sidelska_prom_darba_kopsavilkums_2014_LLU.pdf</w:t>
        </w:r>
      </w:hyperlink>
      <w:r w:rsidRPr="00FA6539">
        <w:rPr>
          <w:sz w:val="22"/>
          <w:szCs w:val="22"/>
        </w:rPr>
        <w:t xml:space="preserve"> (sk. 30.10.2018.)</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SPKC (2017). </w:t>
      </w:r>
      <w:r w:rsidR="00E17538" w:rsidRPr="00FA6539">
        <w:rPr>
          <w:sz w:val="22"/>
          <w:szCs w:val="22"/>
        </w:rPr>
        <w:t>„</w:t>
      </w:r>
      <w:r w:rsidRPr="00FA6539">
        <w:rPr>
          <w:sz w:val="22"/>
          <w:szCs w:val="22"/>
        </w:rPr>
        <w:t>Latvijas iedzīvotāju veselību ietekmējošo paradumu pētījums 2016.</w:t>
      </w:r>
      <w:r w:rsidR="00E17538" w:rsidRPr="00FA6539">
        <w:rPr>
          <w:sz w:val="22"/>
          <w:szCs w:val="22"/>
        </w:rPr>
        <w:t>”</w:t>
      </w:r>
      <w:r w:rsidRPr="00FA6539">
        <w:rPr>
          <w:sz w:val="22"/>
          <w:szCs w:val="22"/>
        </w:rPr>
        <w:t xml:space="preserve"> Rīga. Pieejams: </w:t>
      </w:r>
      <w:hyperlink r:id="rId307" w:history="1">
        <w:r w:rsidRPr="00FA6539">
          <w:rPr>
            <w:rStyle w:val="Hyperlink"/>
            <w:rFonts w:eastAsiaTheme="majorEastAsia"/>
            <w:sz w:val="22"/>
            <w:szCs w:val="22"/>
          </w:rPr>
          <w:t>https://www.spkc.gov.lv/upload/Petijumi%20un%20zinojumi/FINBALT/finbalt_2016_2.pdf</w:t>
        </w:r>
      </w:hyperlink>
      <w:r w:rsidRPr="00FA6539">
        <w:rPr>
          <w:sz w:val="22"/>
          <w:szCs w:val="22"/>
        </w:rPr>
        <w:t xml:space="preserve"> (sk. 27.02.2019.)</w:t>
      </w:r>
    </w:p>
    <w:p w:rsidR="000C528D" w:rsidRPr="00FA6539" w:rsidRDefault="00E17538" w:rsidP="003F469F">
      <w:pPr>
        <w:pStyle w:val="ListParagraph"/>
        <w:numPr>
          <w:ilvl w:val="0"/>
          <w:numId w:val="158"/>
        </w:numPr>
        <w:tabs>
          <w:tab w:val="left" w:pos="567"/>
        </w:tabs>
        <w:spacing w:line="276" w:lineRule="auto"/>
        <w:ind w:left="0" w:firstLine="284"/>
        <w:rPr>
          <w:sz w:val="22"/>
          <w:szCs w:val="22"/>
        </w:rPr>
      </w:pPr>
      <w:r w:rsidRPr="00FA6539">
        <w:rPr>
          <w:sz w:val="22"/>
          <w:szCs w:val="22"/>
        </w:rPr>
        <w:t>„</w:t>
      </w:r>
      <w:r w:rsidR="000C528D" w:rsidRPr="00FA6539">
        <w:rPr>
          <w:sz w:val="22"/>
          <w:szCs w:val="22"/>
        </w:rPr>
        <w:t>The State of Housing in the EU 2017.</w:t>
      </w:r>
      <w:r w:rsidRPr="00FA6539">
        <w:rPr>
          <w:sz w:val="22"/>
          <w:szCs w:val="22"/>
        </w:rPr>
        <w:t>”</w:t>
      </w:r>
      <w:r w:rsidR="000C528D" w:rsidRPr="00FA6539">
        <w:rPr>
          <w:sz w:val="22"/>
          <w:szCs w:val="22"/>
        </w:rPr>
        <w:t xml:space="preserve"> A Housing Europe Review. Pieejams: </w:t>
      </w:r>
      <w:hyperlink r:id="rId308" w:history="1">
        <w:r w:rsidR="000C528D" w:rsidRPr="00FA6539">
          <w:rPr>
            <w:rStyle w:val="Hyperlink"/>
            <w:rFonts w:eastAsiaTheme="majorEastAsia"/>
            <w:sz w:val="22"/>
            <w:szCs w:val="22"/>
          </w:rPr>
          <w:t>http://www.housingeurope.eu/resource-1000/the-state-of-housing-in-the-eu-2017</w:t>
        </w:r>
      </w:hyperlink>
      <w:r w:rsidR="000C528D" w:rsidRPr="00FA6539">
        <w:rPr>
          <w:sz w:val="22"/>
          <w:szCs w:val="22"/>
        </w:rPr>
        <w:t xml:space="preserve"> (sk. 30.10.2017.) </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Valsts kontroles likumības revīzija „Pašvaldību sniegtās sociālās palīdzības tiesiskums un efektivitāte” (2014).</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Veretjanovs, V. (2017). „Informācija par monetāro nabadzību un ienākumu nevienlīdzību Latvijā 2015. gadā. Pakalpojumu pieejamība Latvijā 2016. gadā”, prezentācija Sociālās iekļaušanas politikas koordinācijas komitejas sēdē. Pieejams: </w:t>
      </w:r>
      <w:hyperlink r:id="rId309" w:history="1">
        <w:r w:rsidRPr="00FA6539">
          <w:rPr>
            <w:rStyle w:val="Hyperlink"/>
            <w:rFonts w:eastAsiaTheme="majorEastAsia"/>
            <w:sz w:val="22"/>
            <w:szCs w:val="22"/>
          </w:rPr>
          <w:t>http://www.lm.gov.lv/upload/sociala_ieklausana/csp_sipkk_20062017.pdf</w:t>
        </w:r>
      </w:hyperlink>
      <w:r w:rsidRPr="00FA6539">
        <w:rPr>
          <w:sz w:val="22"/>
          <w:szCs w:val="22"/>
        </w:rPr>
        <w:t xml:space="preserve"> (skatīts 03.10.2018.)</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Veselības ministrija (2013), Informatīvais ziņojums </w:t>
      </w:r>
      <w:r w:rsidR="00E17538" w:rsidRPr="00FA6539">
        <w:rPr>
          <w:sz w:val="22"/>
          <w:szCs w:val="22"/>
        </w:rPr>
        <w:t>p</w:t>
      </w:r>
      <w:r w:rsidRPr="00FA6539">
        <w:rPr>
          <w:sz w:val="22"/>
          <w:szCs w:val="22"/>
        </w:rPr>
        <w:t xml:space="preserve">ar finanšu situāciju veselības aprūpes jomā. Pieejams: </w:t>
      </w:r>
      <w:hyperlink r:id="rId310" w:history="1">
        <w:r w:rsidRPr="00FA6539">
          <w:rPr>
            <w:rStyle w:val="Hyperlink"/>
            <w:rFonts w:eastAsiaTheme="majorEastAsia"/>
            <w:sz w:val="22"/>
            <w:szCs w:val="22"/>
          </w:rPr>
          <w:t>http://tap.mk.gov.lv/doc/2005/VMZino_220813_papild.2331.docx</w:t>
        </w:r>
      </w:hyperlink>
      <w:r w:rsidRPr="00FA6539">
        <w:rPr>
          <w:sz w:val="22"/>
          <w:szCs w:val="22"/>
        </w:rPr>
        <w:t xml:space="preserve"> (sk. 09.04.2019.)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Veselības ministrija (2013), Informatīvais ziņojums </w:t>
      </w:r>
      <w:r w:rsidR="00E17538" w:rsidRPr="00FA6539">
        <w:rPr>
          <w:sz w:val="22"/>
          <w:szCs w:val="22"/>
        </w:rPr>
        <w:t>p</w:t>
      </w:r>
      <w:r w:rsidRPr="00FA6539">
        <w:rPr>
          <w:sz w:val="22"/>
          <w:szCs w:val="22"/>
        </w:rPr>
        <w:t xml:space="preserve">ar mācību priekšmeta „Veselības mācība” iekļaušanu vispārējās vidējās un profesionālās izglītības mācību programmās. Pieejams: </w:t>
      </w:r>
      <w:hyperlink r:id="rId311" w:history="1">
        <w:r w:rsidRPr="00FA6539">
          <w:rPr>
            <w:rStyle w:val="Hyperlink"/>
            <w:rFonts w:eastAsiaTheme="majorEastAsia"/>
            <w:sz w:val="22"/>
            <w:szCs w:val="22"/>
          </w:rPr>
          <w:t>http://tap.mk.gov.lv/mk/tap/?pid=40267911</w:t>
        </w:r>
      </w:hyperlink>
      <w:r w:rsidRPr="00FA6539">
        <w:rPr>
          <w:sz w:val="22"/>
          <w:szCs w:val="22"/>
        </w:rPr>
        <w:t xml:space="preserve"> (sk. 17.04.2019.) </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Veselības ministrija (2013), Informatīvais ziņojums „Par normatīvo regulējumu un praksi ieslodzīto personu iesniegumu izskatīšanas kārtībai Veselības inspekcijā gadījumos, kas saistīti ar ieslodzīto perso</w:t>
      </w:r>
      <w:r w:rsidR="00E17538" w:rsidRPr="00FA6539">
        <w:rPr>
          <w:sz w:val="22"/>
          <w:szCs w:val="22"/>
        </w:rPr>
        <w:t>nu nopietnu un akūtu saslimšanu</w:t>
      </w:r>
      <w:r w:rsidRPr="00FA6539">
        <w:rPr>
          <w:sz w:val="22"/>
          <w:szCs w:val="22"/>
        </w:rPr>
        <w:t xml:space="preserve">. Pieejams: </w:t>
      </w:r>
      <w:hyperlink r:id="rId312" w:history="1">
        <w:r w:rsidRPr="00FA6539">
          <w:rPr>
            <w:rStyle w:val="Hyperlink"/>
            <w:rFonts w:eastAsiaTheme="majorEastAsia"/>
            <w:sz w:val="22"/>
            <w:szCs w:val="22"/>
          </w:rPr>
          <w:t>http://tap.mk.gov.lv/doc/2005/VMInf_171213.1621.docx</w:t>
        </w:r>
      </w:hyperlink>
      <w:r w:rsidRPr="00FA6539">
        <w:rPr>
          <w:sz w:val="22"/>
          <w:szCs w:val="22"/>
        </w:rPr>
        <w:t xml:space="preserve"> (sk. 10.04.2019.)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Veselības ministrija (2014), Informatīvais ziņojums </w:t>
      </w:r>
      <w:r w:rsidR="00E17538" w:rsidRPr="00FA6539">
        <w:rPr>
          <w:sz w:val="22"/>
          <w:szCs w:val="22"/>
        </w:rPr>
        <w:t>p</w:t>
      </w:r>
      <w:r w:rsidRPr="00FA6539">
        <w:rPr>
          <w:sz w:val="22"/>
          <w:szCs w:val="22"/>
        </w:rPr>
        <w:t xml:space="preserve">ar ārsta palīga atzīšanu citās EEZ valstīs problēmsituācijas izvērtējumu, kā arī pamatojumu ārsta palīga profesijas nepieciešamībai Latvijas veselības aprūpes sistēmā. Pieejams: </w:t>
      </w:r>
      <w:hyperlink r:id="rId313" w:history="1">
        <w:r w:rsidRPr="00FA6539">
          <w:rPr>
            <w:rStyle w:val="Hyperlink"/>
            <w:rFonts w:eastAsiaTheme="majorEastAsia"/>
            <w:sz w:val="22"/>
            <w:szCs w:val="22"/>
          </w:rPr>
          <w:t>http://tap.mk.gov.lv/mk/tap/?pid=40291708</w:t>
        </w:r>
      </w:hyperlink>
      <w:r w:rsidRPr="00FA6539">
        <w:rPr>
          <w:sz w:val="22"/>
          <w:szCs w:val="22"/>
        </w:rPr>
        <w:t xml:space="preserve"> (sk. 10.04.2019.)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Veselības ministrija (2014), Informatīvais ziņojums </w:t>
      </w:r>
      <w:r w:rsidR="00E17538" w:rsidRPr="00FA6539">
        <w:rPr>
          <w:sz w:val="22"/>
          <w:szCs w:val="22"/>
        </w:rPr>
        <w:t>p</w:t>
      </w:r>
      <w:r w:rsidRPr="00FA6539">
        <w:rPr>
          <w:sz w:val="22"/>
          <w:szCs w:val="22"/>
        </w:rPr>
        <w:t xml:space="preserve">ar veselības aprūpes darbinieku apmācībām prostitūcijā iesaistīto personu identificēšanai un atbilstošas aprūpes un informācijas nodrošināšanai, kā arī par iespēju izveidot zema sliekšņa centru prostitūcijā iesaistītajām personām un īstenot sociālās rehabilitācijas pakalpojumus. Pieejams: </w:t>
      </w:r>
      <w:hyperlink r:id="rId314" w:history="1">
        <w:r w:rsidRPr="00FA6539">
          <w:rPr>
            <w:rStyle w:val="Hyperlink"/>
            <w:rFonts w:eastAsiaTheme="majorEastAsia"/>
            <w:sz w:val="22"/>
            <w:szCs w:val="22"/>
          </w:rPr>
          <w:t>http://www.vm.gov.lv/images/userfiles/vmzino_110314_prostit.pdf</w:t>
        </w:r>
      </w:hyperlink>
      <w:r w:rsidRPr="00FA6539">
        <w:rPr>
          <w:sz w:val="22"/>
          <w:szCs w:val="22"/>
        </w:rPr>
        <w:t xml:space="preserve"> (sk. 17.04.2019.)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Veselības ministrija (2016), Informatīvais ziņojums </w:t>
      </w:r>
      <w:r w:rsidR="00E17538" w:rsidRPr="00FA6539">
        <w:rPr>
          <w:sz w:val="22"/>
          <w:szCs w:val="22"/>
        </w:rPr>
        <w:t>p</w:t>
      </w:r>
      <w:r w:rsidRPr="00FA6539">
        <w:rPr>
          <w:sz w:val="22"/>
          <w:szCs w:val="22"/>
        </w:rPr>
        <w:t>ar ambulatoro un stacionāro veselības aprūpes pak</w:t>
      </w:r>
      <w:r w:rsidR="00E17538" w:rsidRPr="00FA6539">
        <w:rPr>
          <w:sz w:val="22"/>
          <w:szCs w:val="22"/>
        </w:rPr>
        <w:t>alpojumu pieejamības uzlabošanu</w:t>
      </w:r>
      <w:r w:rsidRPr="00FA6539">
        <w:rPr>
          <w:sz w:val="22"/>
          <w:szCs w:val="22"/>
        </w:rPr>
        <w:t xml:space="preserve">. Pieejams: </w:t>
      </w:r>
      <w:hyperlink r:id="rId315" w:history="1">
        <w:r w:rsidRPr="00FA6539">
          <w:rPr>
            <w:rStyle w:val="Hyperlink"/>
            <w:rFonts w:eastAsiaTheme="majorEastAsia"/>
            <w:sz w:val="22"/>
            <w:szCs w:val="22"/>
          </w:rPr>
          <w:t>http://tap.mk.gov.lv/mk/tap/?pid=40402066</w:t>
        </w:r>
      </w:hyperlink>
      <w:r w:rsidRPr="00FA6539">
        <w:rPr>
          <w:sz w:val="22"/>
          <w:szCs w:val="22"/>
        </w:rPr>
        <w:t xml:space="preserve"> (sk. 10.04.2019.)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Veselības ministrija (2016), Informatīvais ziņojums </w:t>
      </w:r>
      <w:r w:rsidR="00E17538" w:rsidRPr="00FA6539">
        <w:rPr>
          <w:sz w:val="22"/>
          <w:szCs w:val="22"/>
        </w:rPr>
        <w:t>p</w:t>
      </w:r>
      <w:r w:rsidRPr="00FA6539">
        <w:rPr>
          <w:sz w:val="22"/>
          <w:szCs w:val="22"/>
        </w:rPr>
        <w:t>ar elektronisko darbnespējas lapu un recepšu ieviešanas īstenošanas rezultāt</w:t>
      </w:r>
      <w:r w:rsidR="00E17538" w:rsidRPr="00FA6539">
        <w:rPr>
          <w:sz w:val="22"/>
          <w:szCs w:val="22"/>
        </w:rPr>
        <w:t>iem</w:t>
      </w:r>
      <w:r w:rsidRPr="00FA6539">
        <w:rPr>
          <w:sz w:val="22"/>
          <w:szCs w:val="22"/>
        </w:rPr>
        <w:t xml:space="preserve">. Pieejams: </w:t>
      </w:r>
      <w:hyperlink r:id="rId316" w:history="1">
        <w:r w:rsidRPr="00FA6539">
          <w:rPr>
            <w:rStyle w:val="Hyperlink"/>
            <w:rFonts w:eastAsiaTheme="majorEastAsia"/>
            <w:sz w:val="22"/>
            <w:szCs w:val="22"/>
          </w:rPr>
          <w:t>http://tap.mk.gov.lv/mk/tap/?pid=40404592</w:t>
        </w:r>
      </w:hyperlink>
      <w:r w:rsidRPr="00FA6539">
        <w:rPr>
          <w:sz w:val="22"/>
          <w:szCs w:val="22"/>
        </w:rPr>
        <w:t xml:space="preserve"> (sk. 09.04.2019)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Veselības ministrija (2016), Informatīvais ziņojums </w:t>
      </w:r>
      <w:r w:rsidR="00E17538" w:rsidRPr="00FA6539">
        <w:rPr>
          <w:sz w:val="22"/>
          <w:szCs w:val="22"/>
        </w:rPr>
        <w:t>p</w:t>
      </w:r>
      <w:r w:rsidRPr="00FA6539">
        <w:rPr>
          <w:sz w:val="22"/>
          <w:szCs w:val="22"/>
        </w:rPr>
        <w:t>ar papildus līdzekļu piešķi</w:t>
      </w:r>
      <w:r w:rsidR="00E17538" w:rsidRPr="00FA6539">
        <w:rPr>
          <w:sz w:val="22"/>
          <w:szCs w:val="22"/>
        </w:rPr>
        <w:t>ršanu veselības aprūpes nozarei</w:t>
      </w:r>
      <w:r w:rsidRPr="00FA6539">
        <w:rPr>
          <w:sz w:val="22"/>
          <w:szCs w:val="22"/>
        </w:rPr>
        <w:t xml:space="preserve">. Pieejams: </w:t>
      </w:r>
      <w:hyperlink r:id="rId317" w:history="1">
        <w:r w:rsidRPr="00FA6539">
          <w:rPr>
            <w:rStyle w:val="Hyperlink"/>
            <w:rFonts w:eastAsiaTheme="majorEastAsia"/>
            <w:sz w:val="22"/>
            <w:szCs w:val="22"/>
          </w:rPr>
          <w:t>http://tap.mk.gov.lv/lv/mk/tap/?pid=40403121&amp;mode=mk&amp;date=2016-11-08</w:t>
        </w:r>
      </w:hyperlink>
      <w:r w:rsidRPr="00FA6539">
        <w:rPr>
          <w:sz w:val="22"/>
          <w:szCs w:val="22"/>
        </w:rPr>
        <w:t xml:space="preserve"> (sk. 10.04.2019.)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Veselības ministrija (2016), Informatīvais ziņojums </w:t>
      </w:r>
      <w:r w:rsidR="00E17538" w:rsidRPr="00FA6539">
        <w:rPr>
          <w:sz w:val="22"/>
          <w:szCs w:val="22"/>
        </w:rPr>
        <w:t>p</w:t>
      </w:r>
      <w:r w:rsidRPr="00FA6539">
        <w:rPr>
          <w:sz w:val="22"/>
          <w:szCs w:val="22"/>
        </w:rPr>
        <w:t xml:space="preserve">ar sistēmiski svarīgo ārstniecības iestāžu kartējumu un attīstības reformu. Pieejams: </w:t>
      </w:r>
      <w:hyperlink r:id="rId318" w:history="1">
        <w:r w:rsidRPr="00FA6539">
          <w:rPr>
            <w:rStyle w:val="Hyperlink"/>
            <w:rFonts w:eastAsiaTheme="majorEastAsia"/>
            <w:sz w:val="22"/>
            <w:szCs w:val="22"/>
          </w:rPr>
          <w:t>http://tap.mk.gov.lv/mk/tap/?pid=40406934</w:t>
        </w:r>
      </w:hyperlink>
      <w:r w:rsidRPr="00FA6539">
        <w:rPr>
          <w:sz w:val="22"/>
          <w:szCs w:val="22"/>
        </w:rPr>
        <w:t xml:space="preserve"> (sk. 09.04.2019.)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Veselības ministrija (2016), Informatīvais ziņojums </w:t>
      </w:r>
      <w:r w:rsidR="00E17538" w:rsidRPr="00FA6539">
        <w:rPr>
          <w:sz w:val="22"/>
          <w:szCs w:val="22"/>
        </w:rPr>
        <w:t>p</w:t>
      </w:r>
      <w:r w:rsidRPr="00FA6539">
        <w:rPr>
          <w:sz w:val="22"/>
          <w:szCs w:val="22"/>
        </w:rPr>
        <w:t xml:space="preserve">ar valsts finansēto veselības aprūpes pakalpojumu apjomu. Pieejams: </w:t>
      </w:r>
      <w:hyperlink r:id="rId319" w:history="1">
        <w:r w:rsidRPr="00FA6539">
          <w:rPr>
            <w:rStyle w:val="Hyperlink"/>
            <w:rFonts w:eastAsiaTheme="majorEastAsia"/>
            <w:sz w:val="22"/>
            <w:szCs w:val="22"/>
          </w:rPr>
          <w:t>http://tap.mk.gov.lv/lv/mk/tap/?pid=40390907&amp;mode=mk&amp;date=2016-09-27</w:t>
        </w:r>
      </w:hyperlink>
      <w:r w:rsidRPr="00FA6539">
        <w:rPr>
          <w:sz w:val="22"/>
          <w:szCs w:val="22"/>
        </w:rPr>
        <w:t xml:space="preserve"> (sk. 17.04.2019.)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Veselības ministrija (2016), Informatīvais ziņojums </w:t>
      </w:r>
      <w:r w:rsidR="00E17538" w:rsidRPr="00FA6539">
        <w:rPr>
          <w:sz w:val="22"/>
          <w:szCs w:val="22"/>
        </w:rPr>
        <w:t>p</w:t>
      </w:r>
      <w:r w:rsidRPr="00FA6539">
        <w:rPr>
          <w:sz w:val="22"/>
          <w:szCs w:val="22"/>
        </w:rPr>
        <w:t>ar valsts finansēto veselības aprūpes pakalpojumu apjomu</w:t>
      </w:r>
      <w:r w:rsidR="00E17538" w:rsidRPr="00FA6539">
        <w:rPr>
          <w:sz w:val="22"/>
          <w:szCs w:val="22"/>
        </w:rPr>
        <w:t>.</w:t>
      </w:r>
      <w:r w:rsidRPr="00FA6539">
        <w:rPr>
          <w:sz w:val="22"/>
          <w:szCs w:val="22"/>
        </w:rPr>
        <w:t xml:space="preserve"> Pieejams: </w:t>
      </w:r>
      <w:hyperlink r:id="rId320" w:history="1">
        <w:r w:rsidRPr="00FA6539">
          <w:rPr>
            <w:rStyle w:val="Hyperlink"/>
            <w:rFonts w:eastAsiaTheme="majorEastAsia"/>
            <w:sz w:val="22"/>
            <w:szCs w:val="22"/>
          </w:rPr>
          <w:t>http://tap.mk.gov.lv/mk/tap/?pid=40390907</w:t>
        </w:r>
      </w:hyperlink>
      <w:r w:rsidRPr="00FA6539">
        <w:rPr>
          <w:sz w:val="22"/>
          <w:szCs w:val="22"/>
        </w:rPr>
        <w:t xml:space="preserve"> (sk. 17.04.2019.)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Veselības ministrija (2016), Informatīvais ziņojums </w:t>
      </w:r>
      <w:r w:rsidR="00E17538" w:rsidRPr="00FA6539">
        <w:rPr>
          <w:sz w:val="22"/>
          <w:szCs w:val="22"/>
        </w:rPr>
        <w:t>p</w:t>
      </w:r>
      <w:r w:rsidRPr="00FA6539">
        <w:rPr>
          <w:sz w:val="22"/>
          <w:szCs w:val="22"/>
        </w:rPr>
        <w:t xml:space="preserve">ar veselības reformas pasākumu īstenošanu 2017. gadā. Pieejams: </w:t>
      </w:r>
      <w:hyperlink r:id="rId321" w:history="1">
        <w:r w:rsidRPr="00FA6539">
          <w:rPr>
            <w:rStyle w:val="Hyperlink"/>
            <w:rFonts w:eastAsiaTheme="majorEastAsia"/>
            <w:sz w:val="22"/>
            <w:szCs w:val="22"/>
          </w:rPr>
          <w:t>http://tap.mk.gov.lv/lv/mk/tap/?pid=40406912&amp;mode=mkk&amp;date=2016-12-19</w:t>
        </w:r>
      </w:hyperlink>
      <w:r w:rsidRPr="00FA6539">
        <w:rPr>
          <w:sz w:val="22"/>
          <w:szCs w:val="22"/>
        </w:rPr>
        <w:t xml:space="preserve"> (sk. 09.04.2019.)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lastRenderedPageBreak/>
        <w:t xml:space="preserve">Veselības ministrija (2017), Informatīvais ziņojums </w:t>
      </w:r>
      <w:r w:rsidR="00E17538" w:rsidRPr="00FA6539">
        <w:rPr>
          <w:sz w:val="22"/>
          <w:szCs w:val="22"/>
        </w:rPr>
        <w:t>p</w:t>
      </w:r>
      <w:r w:rsidRPr="00FA6539">
        <w:rPr>
          <w:sz w:val="22"/>
          <w:szCs w:val="22"/>
        </w:rPr>
        <w:t xml:space="preserve">ar veselības aprūpes organizāciju un finansējumu ieslodzījuma vietās. Pieejams: </w:t>
      </w:r>
      <w:hyperlink r:id="rId322" w:history="1">
        <w:r w:rsidRPr="00FA6539">
          <w:rPr>
            <w:rStyle w:val="Hyperlink"/>
            <w:rFonts w:eastAsiaTheme="majorEastAsia"/>
            <w:sz w:val="22"/>
            <w:szCs w:val="22"/>
          </w:rPr>
          <w:t>http://tap.mk.gov.lv/mk/tap/?pid=40441420</w:t>
        </w:r>
      </w:hyperlink>
      <w:r w:rsidRPr="00FA6539">
        <w:rPr>
          <w:sz w:val="22"/>
          <w:szCs w:val="22"/>
        </w:rPr>
        <w:t xml:space="preserve"> (sk. 16.04.2019.)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Veselības ministrija (2017), Informatīvais ziņojums </w:t>
      </w:r>
      <w:r w:rsidR="00E17538" w:rsidRPr="00FA6539">
        <w:rPr>
          <w:sz w:val="22"/>
          <w:szCs w:val="22"/>
        </w:rPr>
        <w:t>p</w:t>
      </w:r>
      <w:r w:rsidRPr="00FA6539">
        <w:rPr>
          <w:sz w:val="22"/>
          <w:szCs w:val="22"/>
        </w:rPr>
        <w:t xml:space="preserve">ar veselības reformas pasākumu īstenošanas progresu veselības aprūpē 2017. gada 1. pusgadā. Pieejams: </w:t>
      </w:r>
      <w:hyperlink r:id="rId323" w:history="1">
        <w:r w:rsidRPr="00FA6539">
          <w:rPr>
            <w:rStyle w:val="Hyperlink"/>
            <w:rFonts w:eastAsiaTheme="majorEastAsia"/>
            <w:sz w:val="22"/>
            <w:szCs w:val="22"/>
          </w:rPr>
          <w:t>http://tap.mk.gov.lv/mk/tap/?pid=40443903</w:t>
        </w:r>
      </w:hyperlink>
      <w:r w:rsidRPr="00FA6539">
        <w:rPr>
          <w:sz w:val="22"/>
          <w:szCs w:val="22"/>
        </w:rPr>
        <w:t xml:space="preserve"> (sk. 16.04.2019.)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Veselības ministrija (2017), Informatīvais ziņojums </w:t>
      </w:r>
      <w:r w:rsidR="00E17538" w:rsidRPr="00FA6539">
        <w:rPr>
          <w:sz w:val="22"/>
          <w:szCs w:val="22"/>
        </w:rPr>
        <w:t>p</w:t>
      </w:r>
      <w:r w:rsidRPr="00FA6539">
        <w:rPr>
          <w:sz w:val="22"/>
          <w:szCs w:val="22"/>
        </w:rPr>
        <w:t xml:space="preserve">ar veselības reformas pasākumu īstenošanas turpināšanu 2017. gadā. Pieejams: </w:t>
      </w:r>
      <w:hyperlink r:id="rId324" w:history="1">
        <w:r w:rsidRPr="00FA6539">
          <w:rPr>
            <w:rStyle w:val="Hyperlink"/>
            <w:rFonts w:eastAsiaTheme="majorEastAsia"/>
            <w:sz w:val="22"/>
            <w:szCs w:val="22"/>
          </w:rPr>
          <w:t>http://tap.mk.gov.lv/lv/mk/tap/?pid=40412827</w:t>
        </w:r>
      </w:hyperlink>
      <w:r w:rsidRPr="00FA6539">
        <w:rPr>
          <w:sz w:val="22"/>
          <w:szCs w:val="22"/>
        </w:rPr>
        <w:t xml:space="preserve"> (sk. 10.04.2019.)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Veselības ministrija (2017), Konceptuālais ziņojums </w:t>
      </w:r>
      <w:r w:rsidR="00E17538" w:rsidRPr="00FA6539">
        <w:rPr>
          <w:sz w:val="22"/>
          <w:szCs w:val="22"/>
        </w:rPr>
        <w:t>p</w:t>
      </w:r>
      <w:r w:rsidRPr="00FA6539">
        <w:rPr>
          <w:sz w:val="22"/>
          <w:szCs w:val="22"/>
        </w:rPr>
        <w:t xml:space="preserve">ar veselības aprūpes sistēmas reformu. Pieejams: </w:t>
      </w:r>
      <w:hyperlink r:id="rId325" w:history="1">
        <w:r w:rsidRPr="00FA6539">
          <w:rPr>
            <w:rStyle w:val="Hyperlink"/>
            <w:rFonts w:eastAsiaTheme="majorEastAsia"/>
            <w:sz w:val="22"/>
            <w:szCs w:val="22"/>
          </w:rPr>
          <w:t>http://www.vm.gov.lv/lv/aktualitates/par_veselibas_aprupes_sistemas_reformu/</w:t>
        </w:r>
      </w:hyperlink>
      <w:r w:rsidRPr="00FA6539">
        <w:rPr>
          <w:sz w:val="22"/>
          <w:szCs w:val="22"/>
        </w:rPr>
        <w:t xml:space="preserve"> (sk. 10.04.2019.) </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Veselības ministrija (2018), Informatīvais ziņojums „Darba grupas ziņojums par valsts apmaksāto veselības aprūpes pakalpojumu nodrošināšanu valsts, pašvaldību un privātajās ārstniecības iestādēs”. Pieejams: </w:t>
      </w:r>
      <w:hyperlink r:id="rId326" w:history="1">
        <w:r w:rsidRPr="00FA6539">
          <w:rPr>
            <w:rStyle w:val="Hyperlink"/>
            <w:rFonts w:eastAsiaTheme="majorEastAsia"/>
            <w:sz w:val="22"/>
            <w:szCs w:val="22"/>
          </w:rPr>
          <w:t>http://tap.mk.gov.lv/mk/tap/?pid=40459486</w:t>
        </w:r>
      </w:hyperlink>
      <w:r w:rsidRPr="00FA6539">
        <w:rPr>
          <w:sz w:val="22"/>
          <w:szCs w:val="22"/>
        </w:rPr>
        <w:t xml:space="preserve"> (sk. 17.04.2019.)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Veselības ministrija (2018), Informatīvais ziņojums </w:t>
      </w:r>
      <w:r w:rsidR="00E17538" w:rsidRPr="00FA6539">
        <w:rPr>
          <w:sz w:val="22"/>
          <w:szCs w:val="22"/>
        </w:rPr>
        <w:t>p</w:t>
      </w:r>
      <w:r w:rsidRPr="00FA6539">
        <w:rPr>
          <w:sz w:val="22"/>
          <w:szCs w:val="22"/>
        </w:rPr>
        <w:t xml:space="preserve">ar Ekonomiskās sadarbības un attīstības organizācijas rekomendāciju veselības jomā ieviešanas progresu. Pieejams: </w:t>
      </w:r>
      <w:hyperlink r:id="rId327" w:history="1">
        <w:r w:rsidRPr="00FA6539">
          <w:rPr>
            <w:rStyle w:val="Hyperlink"/>
            <w:rFonts w:eastAsiaTheme="majorEastAsia"/>
            <w:sz w:val="22"/>
            <w:szCs w:val="22"/>
          </w:rPr>
          <w:t>http://tap.mk.gov.lv/mk/tap/?pid=40459041</w:t>
        </w:r>
      </w:hyperlink>
      <w:r w:rsidRPr="00FA6539">
        <w:rPr>
          <w:sz w:val="22"/>
          <w:szCs w:val="22"/>
        </w:rPr>
        <w:t xml:space="preserve"> (sk. 17.04.2019.)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World Bank Group (2016). </w:t>
      </w:r>
      <w:r w:rsidR="00E17538" w:rsidRPr="00FA6539">
        <w:rPr>
          <w:sz w:val="22"/>
          <w:szCs w:val="22"/>
        </w:rPr>
        <w:t>„</w:t>
      </w:r>
      <w:r w:rsidRPr="00FA6539">
        <w:rPr>
          <w:sz w:val="22"/>
          <w:szCs w:val="22"/>
        </w:rPr>
        <w:t>Veselības aprūpes nozares reformu iespējas Latvijā. Pasaules bankas atmaksājamie analītiskie pakalpojumi. Atbalsts veselības aprūpes sistēmas stratēģijas izstrādei prioritārajās slimību jomās Latvijā.</w:t>
      </w:r>
      <w:r w:rsidR="00E17538" w:rsidRPr="00FA6539">
        <w:rPr>
          <w:sz w:val="22"/>
          <w:szCs w:val="22"/>
        </w:rPr>
        <w:t>”</w:t>
      </w:r>
      <w:r w:rsidRPr="00FA6539">
        <w:rPr>
          <w:sz w:val="22"/>
          <w:szCs w:val="22"/>
        </w:rPr>
        <w:t xml:space="preserve"> Pieejams: </w:t>
      </w:r>
      <w:hyperlink r:id="rId328" w:history="1">
        <w:r w:rsidRPr="00FA6539">
          <w:rPr>
            <w:rStyle w:val="Hyperlink"/>
            <w:rFonts w:eastAsiaTheme="majorEastAsia"/>
            <w:sz w:val="22"/>
            <w:szCs w:val="22"/>
          </w:rPr>
          <w:t>http://www.vmnvd.gov.lv/uploads/files/583d767fda31f.pdf</w:t>
        </w:r>
      </w:hyperlink>
      <w:r w:rsidRPr="00FA6539">
        <w:rPr>
          <w:sz w:val="22"/>
          <w:szCs w:val="22"/>
        </w:rPr>
        <w:t xml:space="preserve"> (sk. 21.11.2018.)</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World Health Organisation (2018). </w:t>
      </w:r>
      <w:r w:rsidR="00E17538" w:rsidRPr="00FA6539">
        <w:rPr>
          <w:sz w:val="22"/>
          <w:szCs w:val="22"/>
        </w:rPr>
        <w:t>„</w:t>
      </w:r>
      <w:r w:rsidRPr="00FA6539">
        <w:rPr>
          <w:sz w:val="22"/>
          <w:szCs w:val="22"/>
        </w:rPr>
        <w:t>Global Reference List of 100 Core Health Indicators (plus health-related SDGs)</w:t>
      </w:r>
      <w:r w:rsidR="00E17538" w:rsidRPr="00FA6539">
        <w:rPr>
          <w:sz w:val="22"/>
          <w:szCs w:val="22"/>
        </w:rPr>
        <w:t>”</w:t>
      </w:r>
      <w:r w:rsidRPr="00FA6539">
        <w:rPr>
          <w:sz w:val="22"/>
          <w:szCs w:val="22"/>
        </w:rPr>
        <w:t xml:space="preserve">. Pieejams: </w:t>
      </w:r>
      <w:hyperlink r:id="rId329" w:history="1">
        <w:r w:rsidRPr="00FA6539">
          <w:rPr>
            <w:rStyle w:val="Hyperlink"/>
            <w:rFonts w:eastAsiaTheme="majorEastAsia"/>
            <w:sz w:val="22"/>
            <w:szCs w:val="22"/>
          </w:rPr>
          <w:t>https://www.who.int/healthinfo/indicators/2018/en/</w:t>
        </w:r>
      </w:hyperlink>
      <w:r w:rsidRPr="00FA6539">
        <w:rPr>
          <w:sz w:val="22"/>
          <w:szCs w:val="22"/>
        </w:rPr>
        <w:t xml:space="preserve"> (sk.17.12.2018.); OECD (2016). OECD Reviews of Health Systems: Latvia 2016. Paris: OECD. Pieejams: </w:t>
      </w:r>
      <w:hyperlink r:id="rId330" w:history="1">
        <w:r w:rsidRPr="00FA6539">
          <w:rPr>
            <w:rStyle w:val="Hyperlink"/>
            <w:rFonts w:eastAsiaTheme="majorEastAsia"/>
            <w:sz w:val="22"/>
            <w:szCs w:val="22"/>
          </w:rPr>
          <w:t>http://dx.doi.org/10.1787/9789264262782-en</w:t>
        </w:r>
      </w:hyperlink>
      <w:r w:rsidRPr="00FA6539">
        <w:rPr>
          <w:sz w:val="22"/>
          <w:szCs w:val="22"/>
          <w:u w:val="single"/>
        </w:rPr>
        <w:t xml:space="preserve"> (sk. 19.12.2018.)</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Žabko, O., E. Kļave, L. Apine, L. Krieķe (2018). </w:t>
      </w:r>
      <w:r w:rsidR="00E17538" w:rsidRPr="00FA6539">
        <w:rPr>
          <w:sz w:val="22"/>
          <w:szCs w:val="22"/>
        </w:rPr>
        <w:t>„</w:t>
      </w:r>
      <w:r w:rsidRPr="00FA6539">
        <w:rPr>
          <w:sz w:val="22"/>
          <w:szCs w:val="22"/>
        </w:rPr>
        <w:t>Atkarību izraisošo vielu lietošanas tendenču analīze ieslodzījuma vietās Latvijā 2018. gadā.</w:t>
      </w:r>
      <w:r w:rsidR="00E17538" w:rsidRPr="00FA6539">
        <w:rPr>
          <w:sz w:val="22"/>
          <w:szCs w:val="22"/>
        </w:rPr>
        <w:t>”</w:t>
      </w:r>
      <w:r w:rsidRPr="00FA6539">
        <w:rPr>
          <w:sz w:val="22"/>
          <w:szCs w:val="22"/>
        </w:rPr>
        <w:t xml:space="preserve"> Rīga: Slimību profilakses un kontroles centrs, BISS. Pieejams: </w:t>
      </w:r>
      <w:hyperlink r:id="rId331" w:history="1">
        <w:r w:rsidRPr="00FA6539">
          <w:rPr>
            <w:rStyle w:val="Hyperlink"/>
            <w:rFonts w:eastAsiaTheme="majorEastAsia"/>
            <w:sz w:val="22"/>
            <w:szCs w:val="22"/>
          </w:rPr>
          <w:t>https://www.spkc.gov.lv/upload/Petijumi%20un%20zinojumi/Atkaribu%20slimibu%20petijumi/Diana/biss_atkaribu_lietosana_ieslodzijuma_2018_redits_002.pdf</w:t>
        </w:r>
      </w:hyperlink>
      <w:r w:rsidRPr="00FA6539">
        <w:rPr>
          <w:sz w:val="22"/>
          <w:szCs w:val="22"/>
        </w:rPr>
        <w:t xml:space="preserve"> (sk. 21.01.2019.)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CSP (2016). Iedzīvotāju veselības apsekojuma rezultāti Latvijā. Rīga. Pieejams: </w:t>
      </w:r>
      <w:hyperlink r:id="rId332" w:history="1">
        <w:r w:rsidRPr="00FA6539">
          <w:rPr>
            <w:rStyle w:val="Hyperlink"/>
            <w:sz w:val="22"/>
            <w:szCs w:val="22"/>
          </w:rPr>
          <w:t>https://www.csb.gov.lv/lv/statistika/statistikas-temas/socialie-procesi/veseliba/meklet-tema/214-iedzivotaju-veselibas-apsekojuma-rezultati</w:t>
        </w:r>
      </w:hyperlink>
      <w:r w:rsidRPr="00FA6539">
        <w:rPr>
          <w:sz w:val="22"/>
          <w:szCs w:val="22"/>
        </w:rPr>
        <w:t xml:space="preserve"> (sk. 27.02.2019.)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CSP datu bāze „Iedzīvotāji”. Pieejams: </w:t>
      </w:r>
      <w:hyperlink r:id="rId333" w:history="1">
        <w:r w:rsidRPr="00FA6539">
          <w:rPr>
            <w:rStyle w:val="Hyperlink"/>
            <w:sz w:val="22"/>
            <w:szCs w:val="22"/>
          </w:rPr>
          <w:t>https://www.csb.gov.lv/lv/statistika/db</w:t>
        </w:r>
      </w:hyperlink>
      <w:r w:rsidRPr="00FA6539">
        <w:rPr>
          <w:sz w:val="22"/>
          <w:szCs w:val="22"/>
        </w:rPr>
        <w:t xml:space="preserve"> (sk. 17.04.2019.)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CSP datu bāze „Sociālie procesi”. Pieejams: </w:t>
      </w:r>
      <w:hyperlink r:id="rId334" w:history="1">
        <w:r w:rsidRPr="00FA6539">
          <w:rPr>
            <w:rStyle w:val="Hyperlink"/>
            <w:sz w:val="22"/>
            <w:szCs w:val="22"/>
          </w:rPr>
          <w:t>https://www.csb.gov.lv/lv/statistika/db</w:t>
        </w:r>
      </w:hyperlink>
      <w:r w:rsidRPr="00FA6539">
        <w:rPr>
          <w:sz w:val="22"/>
          <w:szCs w:val="22"/>
        </w:rPr>
        <w:t xml:space="preserve"> (sk. 17.04.2019.)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Eurostat. European Union Statistics on Income and Living Conditions (EU-SILC). Pieejams: </w:t>
      </w:r>
      <w:hyperlink r:id="rId335" w:history="1">
        <w:r w:rsidRPr="00FA6539">
          <w:rPr>
            <w:rStyle w:val="Hyperlink"/>
            <w:sz w:val="22"/>
            <w:szCs w:val="22"/>
          </w:rPr>
          <w:t>https://ec.europa.eu/eurostat/web/microdata/european-union-statistics-on-income-and-living-conditions</w:t>
        </w:r>
      </w:hyperlink>
      <w:r w:rsidRPr="00FA6539">
        <w:rPr>
          <w:sz w:val="22"/>
          <w:szCs w:val="22"/>
        </w:rPr>
        <w:t xml:space="preserve"> (sk. 27.02.2019.)</w:t>
      </w:r>
    </w:p>
    <w:p w:rsidR="000C528D"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Eurostat. Statistics Explained. Pieejams: </w:t>
      </w:r>
      <w:hyperlink r:id="rId336" w:history="1">
        <w:r w:rsidRPr="00FA6539">
          <w:rPr>
            <w:rStyle w:val="Hyperlink"/>
            <w:sz w:val="22"/>
            <w:szCs w:val="22"/>
          </w:rPr>
          <w:t>https://ec.europa.eu/eurostat/statistics-explained/index.php/Housing_statistics</w:t>
        </w:r>
      </w:hyperlink>
      <w:r w:rsidRPr="00FA6539">
        <w:rPr>
          <w:sz w:val="22"/>
          <w:szCs w:val="22"/>
        </w:rPr>
        <w:t xml:space="preserve"> (sk. 30.10.2018.). </w:t>
      </w:r>
    </w:p>
    <w:p w:rsidR="008E0AED" w:rsidRPr="008E0AED" w:rsidRDefault="008E0AED" w:rsidP="008E0AED">
      <w:pPr>
        <w:pStyle w:val="ListParagraph"/>
        <w:numPr>
          <w:ilvl w:val="0"/>
          <w:numId w:val="158"/>
        </w:numPr>
        <w:tabs>
          <w:tab w:val="left" w:pos="567"/>
        </w:tabs>
        <w:spacing w:line="276" w:lineRule="auto"/>
        <w:ind w:left="0" w:firstLine="284"/>
        <w:rPr>
          <w:sz w:val="22"/>
          <w:szCs w:val="22"/>
        </w:rPr>
      </w:pPr>
      <w:r w:rsidRPr="008E0AED">
        <w:rPr>
          <w:sz w:val="22"/>
          <w:szCs w:val="22"/>
        </w:rPr>
        <w:t xml:space="preserve">Eurostat, Out-of-pocket expenditure on healthcare. Pieejams: </w:t>
      </w:r>
      <w:hyperlink r:id="rId337" w:history="1">
        <w:r w:rsidRPr="008E0AED">
          <w:t>https://ec.europa.eu/eurostat/web/products-datasets/product?code=tepsr_sp310</w:t>
        </w:r>
      </w:hyperlink>
      <w:r w:rsidRPr="008E0AED">
        <w:rPr>
          <w:sz w:val="22"/>
          <w:szCs w:val="22"/>
        </w:rPr>
        <w:t xml:space="preserve"> (sk.11.04.2019.)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EU-SILC moduļu saraksts. Pieejams: </w:t>
      </w:r>
      <w:hyperlink r:id="rId338" w:history="1">
        <w:r w:rsidRPr="008E0AED">
          <w:t>https://ec.europa.eu/eurostat/web/income-and-living-conditions/data/ad-hoc-modules</w:t>
        </w:r>
      </w:hyperlink>
      <w:r w:rsidRPr="00FA6539">
        <w:rPr>
          <w:sz w:val="22"/>
          <w:szCs w:val="22"/>
        </w:rPr>
        <w:t xml:space="preserve"> (sk. 27.02.2019.)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 PMLP (2017). Statistika patvēruma jomā. Pieejams: </w:t>
      </w:r>
      <w:hyperlink r:id="rId339" w:history="1">
        <w:r w:rsidRPr="00FA6539">
          <w:rPr>
            <w:rStyle w:val="Hyperlink"/>
            <w:sz w:val="22"/>
            <w:szCs w:val="22"/>
          </w:rPr>
          <w:t>http://www.pmlp.gov.lv/lv/sakums/statistika/patveruma-mekletaji.html</w:t>
        </w:r>
      </w:hyperlink>
      <w:r w:rsidRPr="00FA6539">
        <w:rPr>
          <w:sz w:val="22"/>
          <w:szCs w:val="22"/>
        </w:rPr>
        <w:t xml:space="preserve"> (sk. 29.09.2018.)</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PMLP (2018). Latvijas iedzīvotāju sadalījums pēc nacionālā sastāva un valstiskās piederības. Pieejams: </w:t>
      </w:r>
      <w:hyperlink r:id="rId340" w:history="1">
        <w:r w:rsidRPr="00FA6539">
          <w:rPr>
            <w:rStyle w:val="Hyperlink"/>
            <w:sz w:val="22"/>
            <w:szCs w:val="22"/>
          </w:rPr>
          <w:t>https://www.pmlp.gov.lv/lv/assets/documents/statistika/Iedz%C4%ABvot%C4%81ju%20re%C4%A3istrs%20st.%20uz%2001072018/ISVN_Latvija_pec_TTB_VPD.pdf</w:t>
        </w:r>
      </w:hyperlink>
      <w:r w:rsidRPr="00FA6539">
        <w:rPr>
          <w:sz w:val="22"/>
          <w:szCs w:val="22"/>
        </w:rPr>
        <w:t xml:space="preserve"> (sk. 19.01.2019.) </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Politikas plānošanas dokumentu datubāze. Pieejami: </w:t>
      </w:r>
      <w:hyperlink r:id="rId341" w:history="1">
        <w:r w:rsidRPr="00FA6539">
          <w:rPr>
            <w:rStyle w:val="Hyperlink"/>
            <w:sz w:val="22"/>
            <w:szCs w:val="22"/>
          </w:rPr>
          <w:t>http://polsis.mk.gov.lv/</w:t>
        </w:r>
      </w:hyperlink>
      <w:r w:rsidRPr="00FA6539">
        <w:rPr>
          <w:sz w:val="22"/>
          <w:szCs w:val="22"/>
        </w:rPr>
        <w:t xml:space="preserve"> (sk. 25.10.2018.)</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„Kārtība, kādā patvēruma meklētāju izmitināšanas centrā ievietotai personai veicama veselības pārbaude” Pieejams: </w:t>
      </w:r>
      <w:hyperlink r:id="rId342" w:history="1">
        <w:r w:rsidRPr="00FA6539">
          <w:rPr>
            <w:rStyle w:val="Hyperlink"/>
            <w:sz w:val="22"/>
            <w:szCs w:val="22"/>
          </w:rPr>
          <w:t>http://www.beglis.lv/lv/ir-stajusies-speka-kartiba-kada-patveruma-mekletaju-izmitinasanas-centra-ievietotai-personai-veicama-veselibas-parbaude</w:t>
        </w:r>
      </w:hyperlink>
      <w:r w:rsidRPr="00FA6539">
        <w:rPr>
          <w:sz w:val="22"/>
          <w:szCs w:val="22"/>
        </w:rPr>
        <w:t xml:space="preserve"> (sk. 13.09.2017.)</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Atklāta konkursa „Ikgadējā </w:t>
      </w:r>
      <w:r w:rsidRPr="00FA6539">
        <w:rPr>
          <w:bCs/>
          <w:sz w:val="22"/>
          <w:szCs w:val="22"/>
        </w:rPr>
        <w:t xml:space="preserve">nabadzības un sociālās atstumtības mazināšanas rīcībpolitikas izvērtējuma (t.sk. izvērtējuma par nevienlīdzību veselības aprūpē un nevienlīdzību mājokļa pieejamības jomā)” (iepirkuma Nr. LRLM2018/28-3-03/13ESF) nolikums, Labklājības ministrija, 2017. </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Economic Survey of Latvia 2017. Pieejams: </w:t>
      </w:r>
      <w:hyperlink r:id="rId343" w:history="1">
        <w:r w:rsidRPr="00FA6539">
          <w:rPr>
            <w:rStyle w:val="Hyperlink"/>
            <w:sz w:val="22"/>
            <w:szCs w:val="22"/>
          </w:rPr>
          <w:t>http://www.oecd.org/eco/surveys/economic-survey-latvia.htm</w:t>
        </w:r>
      </w:hyperlink>
      <w:r w:rsidRPr="00FA6539">
        <w:rPr>
          <w:sz w:val="22"/>
          <w:szCs w:val="22"/>
        </w:rPr>
        <w:t xml:space="preserve"> (sk. 18.01.2019.)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Ekonomikas ministrija, „Mājokļi”. Pieejams: </w:t>
      </w:r>
      <w:hyperlink r:id="rId344" w:history="1">
        <w:r w:rsidRPr="00FA6539">
          <w:rPr>
            <w:rStyle w:val="Hyperlink"/>
            <w:sz w:val="22"/>
            <w:szCs w:val="22"/>
          </w:rPr>
          <w:t>https://www.em.gov.lv/lv/nozares_politika/majokli/</w:t>
        </w:r>
      </w:hyperlink>
      <w:r w:rsidRPr="00FA6539">
        <w:rPr>
          <w:sz w:val="22"/>
          <w:szCs w:val="22"/>
        </w:rPr>
        <w:t xml:space="preserve"> (sk. 20.09.2018.)</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Finanšu ministrija. „</w:t>
      </w:r>
      <w:r w:rsidRPr="00FA6539">
        <w:rPr>
          <w:bCs/>
          <w:sz w:val="22"/>
          <w:szCs w:val="22"/>
        </w:rPr>
        <w:t xml:space="preserve">Vadlīnijas par ietekmes izvērtējumu metožu pielietošanu 2014. –2020. gada plānošanas perioda ES KP fondu prioritārajiem virzieniem„ 31.01.2014. Pieejams: </w:t>
      </w:r>
      <w:hyperlink r:id="rId345" w:history="1">
        <w:r w:rsidRPr="00FA6539">
          <w:rPr>
            <w:rStyle w:val="Hyperlink"/>
            <w:bCs/>
            <w:sz w:val="22"/>
            <w:szCs w:val="22"/>
          </w:rPr>
          <w:t>http://m.esfondi.lv/upload/Petijumi_un_izvertejumi/apraksti/Izvertesanas_vadlinijas_31012014_final.pdf</w:t>
        </w:r>
      </w:hyperlink>
      <w:r w:rsidRPr="00FA6539">
        <w:rPr>
          <w:bCs/>
          <w:sz w:val="22"/>
          <w:szCs w:val="22"/>
        </w:rPr>
        <w:t xml:space="preserve"> (sk.03.10.2018.)</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Komisijas paziņojums Eiropas parlamentam, padomei, Eiropas ekonomikas un sociālo lietu komitejai un reģionu komitejai, 05.04.2011. Pieejams: </w:t>
      </w:r>
      <w:hyperlink r:id="rId346" w:history="1">
        <w:r w:rsidRPr="00FA6539">
          <w:rPr>
            <w:rStyle w:val="Hyperlink"/>
            <w:sz w:val="22"/>
            <w:szCs w:val="22"/>
          </w:rPr>
          <w:t>https://eur-lex.europa.eu/legal-content/LV/TXT/HTML/?uri=CELEX:52011DC0173&amp;from=EN</w:t>
        </w:r>
      </w:hyperlink>
      <w:r w:rsidRPr="00FA6539">
        <w:rPr>
          <w:sz w:val="22"/>
          <w:szCs w:val="22"/>
        </w:rPr>
        <w:t xml:space="preserve"> (sk. 19.01.2019.)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Launch of the Economic Survey of Latvia. Pieejams: </w:t>
      </w:r>
      <w:hyperlink r:id="rId347" w:history="1">
        <w:r w:rsidRPr="00FA6539">
          <w:rPr>
            <w:rStyle w:val="Hyperlink"/>
            <w:sz w:val="22"/>
            <w:szCs w:val="22"/>
          </w:rPr>
          <w:t>https://www.oecd.org/economy/launch-of-the-economic-survey-of-latvia-2017.htm</w:t>
        </w:r>
      </w:hyperlink>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MK atbalsta EM piedāvājumu daudzdzīvokļu dzīvojamo māju būvniecībai reģionos. Pieejams: </w:t>
      </w:r>
      <w:hyperlink r:id="rId348" w:history="1">
        <w:r w:rsidRPr="00FA6539">
          <w:rPr>
            <w:rStyle w:val="Hyperlink"/>
            <w:sz w:val="22"/>
            <w:szCs w:val="22"/>
          </w:rPr>
          <w:t>https://www.em.gov.lv/lv/jaunumi/21029-mk-atbalsta-em-piedavajumu-daudzdzivoklu-dzivojamo-maju-buvniecibai-regionos</w:t>
        </w:r>
      </w:hyperlink>
      <w:r w:rsidRPr="00FA6539">
        <w:rPr>
          <w:sz w:val="22"/>
          <w:szCs w:val="22"/>
        </w:rPr>
        <w:t xml:space="preserve"> (sk. 12.02.2019.).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PADOMES IETEIKUMS par efektīviem romu integrācijas pasākumiem dalībvalstīs, 09.12.2013. Pieejams: </w:t>
      </w:r>
      <w:hyperlink r:id="rId349" w:history="1">
        <w:r w:rsidRPr="00FA6539">
          <w:rPr>
            <w:rStyle w:val="Hyperlink"/>
            <w:sz w:val="22"/>
            <w:szCs w:val="22"/>
          </w:rPr>
          <w:t>https://www.km.gov.lv/uploads/ckeditor/files/Sabiedribas_integracija/Romi/Dokumenti/Ieteikums_romu_integracijai_2013.pdf</w:t>
        </w:r>
      </w:hyperlink>
      <w:r w:rsidRPr="00FA6539">
        <w:rPr>
          <w:sz w:val="22"/>
          <w:szCs w:val="22"/>
        </w:rPr>
        <w:t xml:space="preserve"> (sk. 19.01.2019.)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Pakalpojuma apraksts ”Ģimenes asistenta pakalpojums”. Pieejams: </w:t>
      </w:r>
      <w:hyperlink r:id="rId350" w:history="1">
        <w:r w:rsidRPr="00FA6539">
          <w:rPr>
            <w:rStyle w:val="Hyperlink"/>
            <w:sz w:val="22"/>
            <w:szCs w:val="22"/>
          </w:rPr>
          <w:t>https://www.eriga.lv/ServiceCards/Default.aspx?cardExternalId=RD018661AJ0018</w:t>
        </w:r>
      </w:hyperlink>
      <w:r w:rsidRPr="00FA6539">
        <w:rPr>
          <w:sz w:val="22"/>
          <w:szCs w:val="22"/>
        </w:rPr>
        <w:t xml:space="preserve"> (sk. 12.02.2019.)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Paplašinās atbalsta un palīdzības pakalpojumi cilvēku tirdzniecībā cietušajiem. Pieejams: </w:t>
      </w:r>
      <w:hyperlink r:id="rId351" w:history="1">
        <w:r w:rsidRPr="00FA6539">
          <w:rPr>
            <w:rStyle w:val="Hyperlink"/>
            <w:sz w:val="22"/>
            <w:szCs w:val="22"/>
          </w:rPr>
          <w:t>http://www.cilvektirdznieciba.lv/lv/paplasinas-atbalsta-un-palidzibas-pakalpojumi-cilveku-tirdznieciba-cietusajiem/212</w:t>
        </w:r>
      </w:hyperlink>
      <w:r w:rsidRPr="00FA6539">
        <w:rPr>
          <w:sz w:val="22"/>
          <w:szCs w:val="22"/>
        </w:rPr>
        <w:t xml:space="preserve"> (sk. 19.01.2019.)</w:t>
      </w:r>
    </w:p>
    <w:p w:rsidR="000C528D"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Rīgas Tirdzniecības tehnikums (2011). Tiesību pamati. Pieejams: </w:t>
      </w:r>
      <w:hyperlink r:id="rId352" w:history="1">
        <w:r w:rsidRPr="00FA6539">
          <w:rPr>
            <w:rStyle w:val="Hyperlink"/>
            <w:sz w:val="22"/>
            <w:szCs w:val="22"/>
          </w:rPr>
          <w:t>http://www.rtpv.edu.lv/spaw/uploads/files/TIESIBU_PAMATI.pdf</w:t>
        </w:r>
      </w:hyperlink>
      <w:r w:rsidRPr="00FA6539">
        <w:rPr>
          <w:sz w:val="22"/>
          <w:szCs w:val="22"/>
        </w:rPr>
        <w:t xml:space="preserve"> (sk. 20.09.2018.)</w:t>
      </w:r>
    </w:p>
    <w:p w:rsidR="00DE1C08" w:rsidRPr="00FA6539" w:rsidRDefault="000C528D" w:rsidP="003F469F">
      <w:pPr>
        <w:pStyle w:val="ListParagraph"/>
        <w:numPr>
          <w:ilvl w:val="0"/>
          <w:numId w:val="158"/>
        </w:numPr>
        <w:tabs>
          <w:tab w:val="left" w:pos="567"/>
        </w:tabs>
        <w:spacing w:line="276" w:lineRule="auto"/>
        <w:ind w:left="0" w:firstLine="284"/>
        <w:rPr>
          <w:sz w:val="22"/>
          <w:szCs w:val="22"/>
        </w:rPr>
      </w:pPr>
      <w:r w:rsidRPr="00FA6539">
        <w:rPr>
          <w:sz w:val="22"/>
          <w:szCs w:val="22"/>
        </w:rPr>
        <w:t xml:space="preserve">Sociālās rehabilitācijas pakalpojums vardarbībā cietušiem pilngadīgiem cilvēkiem. Pieejams: </w:t>
      </w:r>
      <w:hyperlink r:id="rId353" w:history="1">
        <w:r w:rsidRPr="00FA6539">
          <w:rPr>
            <w:rStyle w:val="Hyperlink"/>
            <w:sz w:val="22"/>
            <w:szCs w:val="22"/>
          </w:rPr>
          <w:t>http://www.lm.gov.lv/lv/index.php?option=com_content&amp;view=article&amp;id=81555</w:t>
        </w:r>
      </w:hyperlink>
      <w:r w:rsidRPr="00FA6539">
        <w:rPr>
          <w:sz w:val="22"/>
          <w:szCs w:val="22"/>
        </w:rPr>
        <w:t xml:space="preserve"> (sk. 19.01.2019.)</w:t>
      </w:r>
    </w:p>
    <w:p w:rsidR="00DE1C08" w:rsidRDefault="00DE1C08" w:rsidP="003945E0">
      <w:pPr>
        <w:pStyle w:val="Navnumercija"/>
        <w:rPr>
          <w:sz w:val="36"/>
        </w:rPr>
      </w:pPr>
      <w:bookmarkStart w:id="791" w:name="_Toc6841684"/>
      <w:r w:rsidRPr="00B87378">
        <w:rPr>
          <w:sz w:val="36"/>
        </w:rPr>
        <w:lastRenderedPageBreak/>
        <w:t>Kopsavilkums</w:t>
      </w:r>
      <w:bookmarkStart w:id="792" w:name="_Toc447450"/>
      <w:bookmarkEnd w:id="791"/>
    </w:p>
    <w:p w:rsidR="00FF664D" w:rsidRPr="000B205C" w:rsidRDefault="00FF664D" w:rsidP="00FF664D">
      <w:pPr>
        <w:rPr>
          <w:bCs/>
        </w:rPr>
      </w:pPr>
      <w:r w:rsidRPr="000B205C">
        <w:rPr>
          <w:bCs/>
        </w:rPr>
        <w:t>„Ikgadējā nabadzības un sociālās atstumtības mazināšanas rīcībpolitikas izvērtējuma (t.sk. izvērtējuma par nevienlīdzību veselības aprūpē un nevienlīdzību mājokļa pieejamības jomā)” (turpmāk – Izvērtējums) mērķis ir veikt rīcībpolitikas un īstenoto politikas pasākumu ietekmes un iedzīvotāju ienākumu situāciju raksturojošo datu izvērtējumu, lai secinātu, vai iniciētās un ieviestās politikas sniedz mērķētu ieguldījumu, aptverot trīs jomas: nabadzības un sociālās atstumtības mazināšana; nevienlīdzība veselības aprūpes pieejamībā; nevienlīdzība mājokļa pieejamībā.</w:t>
      </w:r>
    </w:p>
    <w:p w:rsidR="00FF664D" w:rsidRPr="000B205C" w:rsidRDefault="00FF664D" w:rsidP="00FF664D">
      <w:pPr>
        <w:rPr>
          <w:bCs/>
        </w:rPr>
      </w:pPr>
    </w:p>
    <w:p w:rsidR="00FF664D" w:rsidRPr="00C33A64" w:rsidRDefault="00FF664D" w:rsidP="00C33A64">
      <w:pPr>
        <w:rPr>
          <w:u w:val="single"/>
        </w:rPr>
      </w:pPr>
      <w:r w:rsidRPr="00C33A64">
        <w:rPr>
          <w:u w:val="single"/>
        </w:rPr>
        <w:t>Nabadzības un sociālās atstumtības mazināšanas joma</w:t>
      </w:r>
    </w:p>
    <w:p w:rsidR="00FF664D" w:rsidRPr="000B205C" w:rsidRDefault="00FF664D" w:rsidP="00FF664D">
      <w:pPr>
        <w:rPr>
          <w:bCs/>
        </w:rPr>
      </w:pPr>
    </w:p>
    <w:p w:rsidR="00FF664D" w:rsidRPr="000B205C" w:rsidRDefault="00FF664D" w:rsidP="00FF664D">
      <w:pPr>
        <w:rPr>
          <w:bCs/>
        </w:rPr>
      </w:pPr>
      <w:r w:rsidRPr="000B205C">
        <w:rPr>
          <w:bCs/>
        </w:rPr>
        <w:t xml:space="preserve">2015., 2016. gadā tika īstenoti vairāki rīcībpolitikas pasākumi ar mērķi mazināt iedzīvotāju ienākumu nevienlīdzību, daļa no kuriem ir vērtējami kā mērķēts atbalsts nabadzības un sociālās atstumtības riska grupām. </w:t>
      </w:r>
      <w:bookmarkStart w:id="793" w:name="_Toc2949218"/>
      <w:r w:rsidRPr="000B205C">
        <w:rPr>
          <w:bCs/>
        </w:rPr>
        <w:t xml:space="preserve">Šajā periodā par 50 EUR pieauga minimālā mēneša darba alga – no 320 EUR 2014. gadā līdz 370 EUR 2016. gadā. Līdz ar šīm izmaiņām palielinājās arī minimālais valsts uzturlīdzekļu apmērs, kas ir īpaši nozīmīgi nepilnajām ģimenēm, kuras, kā rāda statistiskas datu analīze, joprojām ir viena no salīdzinoši augstam nabadzības riskam pakļautajām grupām. </w:t>
      </w:r>
    </w:p>
    <w:p w:rsidR="00FF664D" w:rsidRPr="000B205C" w:rsidRDefault="00FF664D" w:rsidP="00FF664D">
      <w:pPr>
        <w:rPr>
          <w:bCs/>
        </w:rPr>
      </w:pPr>
    </w:p>
    <w:p w:rsidR="00FF664D" w:rsidRPr="000B205C" w:rsidRDefault="00FF664D" w:rsidP="00FF664D">
      <w:pPr>
        <w:rPr>
          <w:bCs/>
        </w:rPr>
      </w:pPr>
      <w:r w:rsidRPr="000B205C">
        <w:rPr>
          <w:bCs/>
        </w:rPr>
        <w:t xml:space="preserve">Virkne rīcībpolitikas pasākumu bija vērsti uz ģimeņu ar bērniem, īpaši daudzbērnu ģimeņu, situācijas uzlabošanu: tika paplašināta daudzbērnu ģimenes definīcija, tika noteikti vairāki nodokļu atvieglojumi ģimenēm ar bērniem, palielinājās vairāku pabalstu apmērs (ģimenes pabalsts, vecāku pabalsts, maternitātes un paternitātes pabalsts), noteiktiem pakalpojumiem tika noteikti atviegloti to saņemšanas nosacījumi (piemēram, elektroenerģija par pazeminātu cenu, valsts sociālo atbalstu pieprasīšanas termiņa izmaiņas, transporta līdzekļa ekspluatācijas nodokļa atvieglojumu palielināšana). 2015. gadā nozīmīga pozitīva ietekme uz iedzīvotāju, t.sk. ģimeņu ar bērniem, tiešajiem ienākumiem bija sociālo pabalstu – slimības, maternitātes, paternitātes un vecāku pabalstus, bezdarbnieku pabalstu – ierobežojumu atcelšanai, kas pastāvēja laika periodā no 2009. līdz 2014. gadam. </w:t>
      </w:r>
    </w:p>
    <w:p w:rsidR="00FF664D" w:rsidRPr="000B205C" w:rsidRDefault="00FF664D" w:rsidP="00FF664D">
      <w:pPr>
        <w:rPr>
          <w:bCs/>
        </w:rPr>
      </w:pPr>
    </w:p>
    <w:p w:rsidR="00FF664D" w:rsidRPr="000B205C" w:rsidRDefault="00FF664D" w:rsidP="00FF664D">
      <w:pPr>
        <w:rPr>
          <w:bCs/>
        </w:rPr>
      </w:pPr>
      <w:r w:rsidRPr="000B205C">
        <w:rPr>
          <w:bCs/>
        </w:rPr>
        <w:t>2016. gadā veikt</w:t>
      </w:r>
      <w:r w:rsidR="00E43EBF">
        <w:rPr>
          <w:bCs/>
        </w:rPr>
        <w:t>ajai pensiju indeksācijai</w:t>
      </w:r>
      <w:r w:rsidRPr="000B205C">
        <w:rPr>
          <w:bCs/>
        </w:rPr>
        <w:t xml:space="preserve"> bija pozitīva ietekme uz pensionāru tiešajiem ienākumiem, kas lielā daļā gadījumu ir iedzīvotāji ar zemiem ienākumiem. Tomēr kopumā ietekme uz pensionāru tiešajiem ienākumiem ir drīzāk neliela, ņemot vērā datus par vidējās vecuma pensijas pieaugumu (tādējādi visdrīzāk noturot šo iedzīvotāju grupu 2. ienākumu kvintiļu grupā). Lai gan sagaidāmais efekts ir uzskatāms par relatīvi mazu, tā turpmākā īstenošana ir atbalstāma kā viens no soļiem, kas pakāpeniski ļauj atbalstīt trūcīgākās un vienlaikus iedzīvotāju īpatsvara ziņā plašākās iedzīvotāju grupas.</w:t>
      </w:r>
    </w:p>
    <w:p w:rsidR="00FF664D" w:rsidRPr="000B205C" w:rsidRDefault="00FF664D" w:rsidP="00FF664D">
      <w:pPr>
        <w:rPr>
          <w:bCs/>
        </w:rPr>
      </w:pPr>
    </w:p>
    <w:p w:rsidR="00FF664D" w:rsidRPr="000B205C" w:rsidRDefault="00FF664D" w:rsidP="00FF664D">
      <w:pPr>
        <w:rPr>
          <w:bCs/>
        </w:rPr>
      </w:pPr>
      <w:r w:rsidRPr="000B205C">
        <w:rPr>
          <w:bCs/>
        </w:rPr>
        <w:t xml:space="preserve">2015., 2016. gadā tika uzsākta nodokļu politikas reforma, ieviešot solidaritātes nodokli, uzsākot ieviest diferencēto neapliekamo minimumu. Šo pasākumu mērķis ir ienākumu nevienlīdzības mazināšanas, taču to ieviešanas rezultāti nav viennozīmīgi vērtējami. Nodokļu reformu efektivitāte, tāpat kā minimālās algas palielināšanas ietekme ir atšķirīga dažādās sociāli demogrāfiskās grupās un mājsaimniecību tipos.  </w:t>
      </w:r>
    </w:p>
    <w:p w:rsidR="00FF664D" w:rsidRPr="000B205C" w:rsidRDefault="00FF664D" w:rsidP="00FF664D">
      <w:pPr>
        <w:rPr>
          <w:bCs/>
        </w:rPr>
      </w:pPr>
    </w:p>
    <w:bookmarkEnd w:id="793"/>
    <w:p w:rsidR="00FF664D" w:rsidRPr="000B205C" w:rsidRDefault="00FF664D" w:rsidP="00FF664D">
      <w:pPr>
        <w:rPr>
          <w:bCs/>
        </w:rPr>
      </w:pPr>
      <w:r w:rsidRPr="000B205C">
        <w:rPr>
          <w:bCs/>
        </w:rPr>
        <w:lastRenderedPageBreak/>
        <w:t xml:space="preserve">Statistikas datu analīzes rezultāti atklāja, ka no 2014. gada līdz 2016. gadam vienas personas mājsaimniecībās minimālā ienākuma līmenis ir pieaudzis no 155 EUR līdz 177 EUR mēnesī (jeb par 14,2%), savukārt mājsaimniecībās ar diviem pieaugušajiem un diviem bērniem attiecīgi no 481 EUR līdz 549 EUR mēnesī (jeb par 14,2%). Kopumā Latvijā 2014. gadā 9% iedzīvotāju dzīvoja zem minimālā ienākumu līmeņa, šim rādītājām samazinoties līdz 7,8% 2016. gadā. Izvērtējot situāciju 2015., 2016. gadā, redzams, ka ienākumu apjoms uz vienu mājsaimniecības locekli pakāpeniski pieaug, tomēr tas nenotiek vienmērīgi un vienlīdzīgi visās kvintiļu grupās. Mazākā apmērā ienākumu apjoms pieaudzis zemākajās (trūcīgākajās) kvintilēs – 1., 2. kvintiļu grupās. Ja 1. kvintilē šis pieaugums gada laikā vidēji uz vienu mājsaimniecības locekli ir bijis 4,2 EUR (jeb par 2,8%), 2. kvintilē 9,3 EUR (jeb par 3,6%), 3. kvintilē 19,34 ER (jeb par 5,7%), 4. kvintilē tie bija 31,02 EUR (jeb par 6,4%), 5. kvintilē 45,97 EUR (jeb par 5,1%). Pieauguma aprēķins procentuāli parāda, ka pēc būtības vislielākais ienākumu pieaugums uz vienu mājsaimniecības locekli ir bijis 4. kvintilē. No tā secināms, ka iedzīvotāju ar zemiem ienākumiem situācija uzlabojas lēnāk, nekā tas ir iedzīvotāju grupās ar augstākiem ienākumiem. </w:t>
      </w:r>
    </w:p>
    <w:p w:rsidR="00FF664D" w:rsidRPr="000B205C" w:rsidRDefault="00FF664D" w:rsidP="00FF664D">
      <w:pPr>
        <w:rPr>
          <w:bCs/>
        </w:rPr>
      </w:pPr>
    </w:p>
    <w:p w:rsidR="00FF664D" w:rsidRPr="000B205C" w:rsidRDefault="00FF664D" w:rsidP="00FF664D">
      <w:pPr>
        <w:rPr>
          <w:bCs/>
        </w:rPr>
      </w:pPr>
      <w:r w:rsidRPr="000B205C">
        <w:t xml:space="preserve">Aplūkotajā periodā joprojām saglabājās augsta ienākumu nevienlīdzība, par ko liecina Džini koeficienta stabilās augstās vērtības (34,5%). </w:t>
      </w:r>
      <w:r w:rsidRPr="000B205C">
        <w:rPr>
          <w:bCs/>
        </w:rPr>
        <w:t xml:space="preserve">Ienākumu dinamikas analīze ļauj secināt, ka vislielākais ik mēneša ienākumu pieaugums laikā no 2014. gada ir bijis mājsaimniecībās, kurās ir trīs un vairāk pieaugušie ar apgādībā esošiem bērniem (ģimenēs, kurās dzīvo vairākas paaudzes), šīs mājsaimniecības laika posmā no 2014. gada līdz 2016. gadam piedzīvojušas 101,2 EUR lielu ienākumu kāpumu. Zemākais ienākumu kāpums bija mājsaimniecībām, kurās dzīvo viens vīrietis, šim mājsaimniecībām ienākumu kāpums bija tikai 11,7 EUR. Savukārt kopējais zemākais ienākumu līmenis 2016. gadā bija atsevišķi dzīvojošiem pensionāriem, kuru ienākumi vidēji bija 351,6 EUR mēnesī. </w:t>
      </w:r>
    </w:p>
    <w:p w:rsidR="00FF664D" w:rsidRPr="000B205C" w:rsidRDefault="00FF664D" w:rsidP="00FF664D">
      <w:pPr>
        <w:rPr>
          <w:bCs/>
        </w:rPr>
      </w:pPr>
    </w:p>
    <w:p w:rsidR="00FF664D" w:rsidRPr="000B205C" w:rsidRDefault="00FF664D" w:rsidP="00FF664D">
      <w:r w:rsidRPr="000B205C">
        <w:rPr>
          <w:bCs/>
        </w:rPr>
        <w:t xml:space="preserve">Galvenais iedzīvotāju ienākumu avots tāpat kā iepriekšējā periodā (2014. gadā) bija darba alga. </w:t>
      </w:r>
      <w:r w:rsidRPr="000B205C">
        <w:t>Otra populārākā ienākumu grupa bija saņemtie sociālie transferti (valsts, pašvaldības piešķirtās pensijas un pabalsti, izmaksātie uzturlīdzekļi bērniem, stipendijas, sociālās apdrošināšanas pabalsti un kompensācijas, tai skaitā arī citu valstu), 2016. gadā tie veidoja 26% no visiem iedzīvotāju ienākumiem.</w:t>
      </w:r>
    </w:p>
    <w:p w:rsidR="00FF664D" w:rsidRPr="000B205C" w:rsidRDefault="00FF664D" w:rsidP="00FF664D"/>
    <w:p w:rsidR="00FF664D" w:rsidRPr="000B205C" w:rsidRDefault="00FF664D" w:rsidP="00FF664D">
      <w:pPr>
        <w:rPr>
          <w:bCs/>
        </w:rPr>
      </w:pPr>
      <w:r w:rsidRPr="000B205C">
        <w:rPr>
          <w:bCs/>
        </w:rPr>
        <w:t xml:space="preserve">Pašvaldību administratīvo datu analīze iezīmē vairākas pozitīvas tendences – laikā no 2014. gada līdz 2016. gadam ir samazinājies trūcīgo personu un maznodrošināto personu absolūtais skaits un īpatsvars valstī (attiecīgi no 5,2% 2014. gadā līdz 3,5% 2016. gadā un no 5,1% 2014. gadā līdz 4,1% 2016. gadā), tāpat ir samazinājies arī GMI pabalsta un dzīvokļa pabalsta saņēmēju skaits (attiecīgi no 2,3% 2014. gadā līdz 1,4% 2016. gadā un 6,7% 2014. gadā līdz 5,1% 2016. gadā). Likumsakarīgi, ka ir samazinājies arī minēto mērķa grupu atbalstam un pabalstu izmaksai izlietoto līdzekļu apmērs. Vienlaikus jāņem vērā, ka GMI līmenis un trūcīgas personas ienākumu līmenis ilgstoši nav pārskatīti, neraugoties uz vidējo ienākumu pieaugumu valstī kopumā. Izmaiņas maznodrošināto personu īpatsvarā ietekmē pašvaldību atšķirīgā pieeja, nosakot maznodrošinātas personas ienākuma līmeņa robežas, kas 2016. gadā svārstījās no 135 līdz 400 EUR.  </w:t>
      </w:r>
    </w:p>
    <w:p w:rsidR="00FF664D" w:rsidRPr="000B205C" w:rsidRDefault="00FF664D" w:rsidP="00FF664D">
      <w:pPr>
        <w:rPr>
          <w:bCs/>
          <w:highlight w:val="yellow"/>
        </w:rPr>
      </w:pPr>
    </w:p>
    <w:p w:rsidR="00FF664D" w:rsidRPr="000B205C" w:rsidRDefault="00FF664D" w:rsidP="00FF664D">
      <w:r w:rsidRPr="000B205C">
        <w:t xml:space="preserve">Nabadzības riska indekss laika posmā no 2014. gada līdz 2016. gadam ir bijis svārstīgs. 2016. gadā Latvijā nabadzības riskam bija pakļauti 22,1 % iedzīvotāju – par 0,3 procentpunktiem vairāk nekā </w:t>
      </w:r>
      <w:r w:rsidRPr="000B205C">
        <w:lastRenderedPageBreak/>
        <w:t xml:space="preserve">2015. gadā. 2016. gadā, palielinoties iedzīvotāju rīcībā esošajiem ienākumiem, pieauga arī nabadzības riska slieksnis (pēc OECD modificētās ekvivalences skalas) – vienas personas mājsaimniecībai līdz 330 EUR mēnesī (2015. gadā – 318 EUR mēnesī), divu pieaugušo ar diviem bērniem mājsaimniecībai 693 EUR (2015. gadā – 668 EUR). Vislielākais nabadzības riska indekss (72,8%) 2016. gadā bija atsevišķi dzīvojošiem pensionāriem (vecumā virs 65 gadiem), augsts šis rādītājs, ar tendenci palielināties, ir arī atsevišķi dzīvojošām pieaugušām personām darbspējas vecumā neatkarīgi no dzimuma. Attiecībā pret 2014. gadu nabadzības risks ir nedaudz samazinājies nepilnajām ģimenēm, taču uzmanība vēršama uz to, ka 2015. un 2016. gadā rādītājs saglabājās teju nemainīgs (34,4-34,3%). Vismazākais nabadzības risks bija iedzīvotājiem vecumā no 25 līdz 49 gadiem (14,6 %) un no 18 līdz 24 gadiem (16,1 %). Visbūtiskākās pozitīvās izmaiņas – nabadzības riska samazināšanās – ir novērojamas daudzbērnu ģimeņu grupā, kas skaidrojams ar rīcībpolitikas pasākumiem ar ietekmi uz šīs mērķa grupas tiešajiem un netiešajiem ienākumiem (rādītāja izmaiņas ir no 34,5% 2014. gadā līdz 19,8% 2016. gadā). </w:t>
      </w:r>
    </w:p>
    <w:p w:rsidR="00FF664D" w:rsidRPr="000B205C" w:rsidRDefault="00FF664D" w:rsidP="00FF664D"/>
    <w:p w:rsidR="00FF664D" w:rsidRPr="000B205C" w:rsidRDefault="00FF664D" w:rsidP="00FF664D">
      <w:pPr>
        <w:rPr>
          <w:rFonts w:eastAsiaTheme="minorHAnsi"/>
          <w:lang w:eastAsia="en-US"/>
        </w:rPr>
      </w:pPr>
      <w:r w:rsidRPr="000B205C">
        <w:t xml:space="preserve">Sociālās atstumtības rādītājiem, ko raksturo materiālās nenodrošinātības indekss un ekonomiskās spriedzes indekss, ir vērojama tendence samazināties. Augstāka materiālā nenodrošinātība ir gados vecu cilvēku (virs 65 gadiem) vidū, daudzbērnu ģimenēs un nepilnajās ģimenēs. Attiecīgi zemāki materiālās nenodrošinātības rādītāji ir iedzīvotājiem bez bērniem vai ģimenēm ar vienu vai diviem bērniem. Pozitīvi vērtējamas kopējās tendences, kas rāda, ka laika gaitā samazinājās iedzīvotāju zem nabadzības riska sliekšņa grūtības segt atsevišķas izmaksas (piemēram, komunālos pakalpojumus, atmaksāt kredītu). </w:t>
      </w:r>
      <w:r w:rsidRPr="000B205C">
        <w:rPr>
          <w:rFonts w:eastAsiaTheme="minorHAnsi"/>
          <w:lang w:eastAsia="en-US"/>
        </w:rPr>
        <w:t>Materiālās nenodrošinātības indeksa aprēķinā netiek iekļauta spēja segt ar veselības aprūpi saistītos izdevumus. Augstais Latvijas iedzīvotāju tiešmaksājumu īpatsvars veselības aprūpē ir indikators tam, ka, iekļaujot šos izdevumus, materiālās nenodrošinātības indeksa vērtība potenciāli paaugstinātos.</w:t>
      </w:r>
    </w:p>
    <w:p w:rsidR="00FF664D" w:rsidRPr="000B205C" w:rsidRDefault="00FF664D" w:rsidP="00FF664D"/>
    <w:p w:rsidR="00FF664D" w:rsidRPr="00C33A64" w:rsidRDefault="00FF664D" w:rsidP="00C33A64">
      <w:pPr>
        <w:rPr>
          <w:u w:val="single"/>
        </w:rPr>
      </w:pPr>
      <w:r w:rsidRPr="00C33A64">
        <w:rPr>
          <w:u w:val="single"/>
        </w:rPr>
        <w:t>Nevienlīdzība veselības aprūpes pieejamības jomā</w:t>
      </w:r>
    </w:p>
    <w:p w:rsidR="00FF664D" w:rsidRDefault="00FF664D" w:rsidP="00FF664D">
      <w:pPr>
        <w:rPr>
          <w:u w:val="single"/>
        </w:rPr>
      </w:pPr>
    </w:p>
    <w:p w:rsidR="000F1524" w:rsidRDefault="000F1524" w:rsidP="000F1524">
      <w:r w:rsidRPr="00E80140">
        <w:t xml:space="preserve">Nevienlīdzība veselības aprūpē kārtējo pašreizējo politikas dokumentu līmenī </w:t>
      </w:r>
      <w:r>
        <w:t xml:space="preserve">(piemēram, informatīvajos ziņojumos par veselības aprūpes sistēmas reformas progresu) </w:t>
      </w:r>
      <w:r w:rsidRPr="00E80140">
        <w:t xml:space="preserve">tiek skaidrota kā izrietoša galvenokārt no nepietiekamā valsts budžeta finansējuma veselības aprūpei, kā rezultātā mājsaimniecību tiešmaksājumu līmenis veselības aprūpei ir augsts. 2016. gadā </w:t>
      </w:r>
      <w:r>
        <w:t>tas sasniedza 44,6%. Tiešmaksājumu proporcijas dažādiem ar veselības aprūpi saistītiem izdevumiem variē atkarībā no mājsaimniecības tipa. Ģimenēm ar bērniem lielāku slogu rada zobārstniecības un tad vienādās daļās – ārstēšanās un zāļu/ medikamentu iegādes izdevumi, savukārt vienas personas mājsaimniecībai, kurā dzīvo persona 65 un vairāk gadu vecumā, vislielāko apgrūtinājumu rada zāļu iegāde, tad vispārējie ārstēšanās izdevumi un vismazāko slogu – zobārstniecība (g.k. tāpēc, ka šīs mājsaimniecības atzīst, ka šādu izdevumu tām pēdējā gada laikā nav bijis).</w:t>
      </w:r>
    </w:p>
    <w:p w:rsidR="000F1524" w:rsidRDefault="000F1524" w:rsidP="000F1524"/>
    <w:p w:rsidR="000F1524" w:rsidRDefault="000F1524" w:rsidP="000F1524">
      <w:r w:rsidRPr="00E80140">
        <w:t>Reaģējot uz Pasaules Bankas un OECD izvērtējumu rekomendācijām, kopš 2016. gada VM īsteno aktīvāku valsts budžeta finansējuma piesaistīšanas politiku, kas vērsta uz sekundāro ambulatoro veselības aprūpes pakalpojumu pieejamības veicināšanu (rindu samazināšanu), bērnu zobārstniecības pieejamības uzlabošanu, kompensējamo medikamentu pieejamības paaugstināšanu noteiktām pacientu grupām u.c. pasākumiem.</w:t>
      </w:r>
      <w:r>
        <w:t xml:space="preserve"> </w:t>
      </w:r>
    </w:p>
    <w:p w:rsidR="000F1524" w:rsidRDefault="000F1524" w:rsidP="000F1524">
      <w:r>
        <w:lastRenderedPageBreak/>
        <w:t>Vienlaikus jāatzīmē, ka VM savu politiku īsteno vispārīgi un politikas dokumentos netiek iekļauti pārskati par veselības aprūpes pakalpojumu pieejamības atšķirībām reģionos, samērā ierobežoti politikas plānošanā tiek iekļauta nabadzības un sociālās atstumtības riskam īpaši pakļauto grupu situācijas un vajadzību veselības aprūpē padziļināta analīze.</w:t>
      </w:r>
    </w:p>
    <w:p w:rsidR="000F1524" w:rsidRDefault="000F1524" w:rsidP="000F1524"/>
    <w:p w:rsidR="000F1524" w:rsidRDefault="000F1524" w:rsidP="000F1524">
      <w:r>
        <w:t xml:space="preserve">Izvērtējumā veiktā analīze rāda, ka </w:t>
      </w:r>
      <w:r w:rsidRPr="00D6615C">
        <w:t>pastāv nozīmīgas atšķirības iedzīvotājiem ar dažādiem ienākumiem</w:t>
      </w:r>
      <w:r>
        <w:t xml:space="preserve"> starpā</w:t>
      </w:r>
      <w:r w:rsidRPr="00D6615C">
        <w:t>, t.i., nevienlīdzību primāri rada ienākumu atšķirības; un izjusto slogu var pastiprināt dažādi papildu faktori – mājsaimniecības kompozīcija un vecuma struktūra (pieaugušo un bērnu skaita attiecība) un mājsaimniecības locekļu individuālās veselības aprūpes vajadzības, kā arī citi sociāli un kultūras faktori, kas veicina sociālo atstumtību un līdz ar to – informācijas pieejamību, attieksmi, motivāciju un spēju risināt savas problēmas, t.sk., saistībā ar veselības aprūpi.</w:t>
      </w:r>
      <w:r>
        <w:t xml:space="preserve"> Aplūkojot konkrētas iedzīvotāju grupas, redzams, ka </w:t>
      </w:r>
      <w:r w:rsidRPr="00D6615C">
        <w:t xml:space="preserve">nevienlīdzības veselības jomā riskam ir pakļautas visas iedzīvotāju grupas, kas atbilst trūcīgas personas statusam, </w:t>
      </w:r>
      <w:r>
        <w:t xml:space="preserve">neatkarīgi no tā, vai šis statuss ir vai nav personai piešķirts, </w:t>
      </w:r>
      <w:r w:rsidRPr="00D6615C">
        <w:t>bērni</w:t>
      </w:r>
      <w:r>
        <w:t xml:space="preserve"> (it sevišķi daudzbērnu ģimenes vai viena </w:t>
      </w:r>
      <w:r w:rsidR="00BA1727">
        <w:t>vecāka mājsaimniecības</w:t>
      </w:r>
      <w:r>
        <w:t>)</w:t>
      </w:r>
      <w:r w:rsidRPr="00D6615C">
        <w:t xml:space="preserve">, personas ar I vai II grupas invaliditāti, patvēruma meklētāji, ieslodzītās personas un personas, kurām ir noteiktas hroniskas saslimšanas, kuru ārstēšanai ir nepieciešamas noteiktas </w:t>
      </w:r>
      <w:r>
        <w:t xml:space="preserve">zāles vai medicīniskās ierīces. Izvērtējumā iegūtā informācija rāda, ka </w:t>
      </w:r>
      <w:r w:rsidRPr="00D6615C">
        <w:t>arī strādājošais noteiktā situācijā var kļ</w:t>
      </w:r>
      <w:r>
        <w:t>ū</w:t>
      </w:r>
      <w:r w:rsidRPr="00D6615C">
        <w:t>t par pak</w:t>
      </w:r>
      <w:r>
        <w:t>ļ</w:t>
      </w:r>
      <w:r w:rsidRPr="00D6615C">
        <w:t>autu nevienlīdzībai veselības aprūpes jomā, piemēram, ja viņam steidzami ir bijusi nepieciešama operācija un gaidīt rindā uz valsts apmaksātu plānveida operāciju nav bijis iespējams.</w:t>
      </w:r>
    </w:p>
    <w:p w:rsidR="000F1524" w:rsidRDefault="000F1524" w:rsidP="000F1524"/>
    <w:p w:rsidR="000F1524" w:rsidRDefault="000F1524" w:rsidP="000F1524">
      <w:r w:rsidRPr="00DB56AC">
        <w:t>Izvērtējot tiesību akt</w:t>
      </w:r>
      <w:r>
        <w:t>us</w:t>
      </w:r>
      <w:r w:rsidRPr="00DB56AC">
        <w:t>, redzams, ka</w:t>
      </w:r>
      <w:r>
        <w:t xml:space="preserve"> galvenie </w:t>
      </w:r>
      <w:r w:rsidRPr="00DB56AC">
        <w:t>kritēriji, uz kuriem tiek balstīta atvieglojumu piešķiršana veselības aprūpes pakalpojumu saņemšanai un zāļu iegādei</w:t>
      </w:r>
      <w:r>
        <w:t xml:space="preserve"> valsts līmenī pieaugušam iedzīvotājam</w:t>
      </w:r>
      <w:r w:rsidRPr="00DB56AC">
        <w:t>, ir personai konstatēta saslimšana, noteikts funkcionālais stāvoklis vai dalība noteiktos profilaktisk</w:t>
      </w:r>
      <w:r>
        <w:t>ajos</w:t>
      </w:r>
      <w:r w:rsidRPr="00DB56AC">
        <w:t xml:space="preserve"> pasākumos. </w:t>
      </w:r>
      <w:r>
        <w:t xml:space="preserve">Pastāv tikai trīs iedzīvotāju grupas, kurām piešķirtie atvieglojumi ir vispārīgi, un šīs grupas ir </w:t>
      </w:r>
      <w:r w:rsidRPr="00DB56AC">
        <w:t>bērni vecumā lī</w:t>
      </w:r>
      <w:r>
        <w:t>dz 18 gadiem, trūcīgās personas, kas ieguvušas atbilstošu statusu, un</w:t>
      </w:r>
      <w:r w:rsidRPr="00DB56AC">
        <w:t xml:space="preserve"> patvēruma meklētāji. </w:t>
      </w:r>
      <w:r>
        <w:t>Plašāku palīdzību veselības aprūpes pakalpojumu saņemšanai sniedz pašvaldības, taču to piedāvātās iespējas valsts līmenī ir atšķirīgas. Kopumā p</w:t>
      </w:r>
      <w:r w:rsidRPr="008A049E">
        <w:t xml:space="preserve">ašvaldību </w:t>
      </w:r>
      <w:r>
        <w:t>sociālie pabalsti</w:t>
      </w:r>
      <w:r w:rsidRPr="008A049E">
        <w:t xml:space="preserve"> veselības aprūpes pakalpojumu </w:t>
      </w:r>
      <w:r>
        <w:t xml:space="preserve">saņemšanai tiek piešķirti gan izvērtējot personas materiālo stāvokli, gan (noteiktu mērķa grupu gadījumos) arī bez materiālā stāvokļa izvērtēšanas. Izvērtējot materiālo stāvokli parasti sociālais pabalsts veselības aprūpes pakalpojumu saņemšanai tiek piešķirts </w:t>
      </w:r>
      <w:r w:rsidRPr="008A049E">
        <w:t>trūcīg</w:t>
      </w:r>
      <w:r>
        <w:t>ām personām, maznodrošinātām personām, pensijas vecuma cilvēkiem (ar vai bez papildu nosacījumu izvirzīšanas), personām ar invaliditāti (ar vai bez papildu nosacījumu izvirzīšanas).</w:t>
      </w:r>
      <w:r w:rsidRPr="008A049E">
        <w:t xml:space="preserve"> </w:t>
      </w:r>
    </w:p>
    <w:p w:rsidR="000F1524" w:rsidRDefault="000F1524" w:rsidP="000F1524"/>
    <w:p w:rsidR="000F1524" w:rsidRPr="006C1143" w:rsidRDefault="000F1524" w:rsidP="000F1524">
      <w:r w:rsidRPr="006C1143">
        <w:t>Balstoties uz veikto analīzi, Izvērtējumā izstrādātas rekomendācijas</w:t>
      </w:r>
      <w:r>
        <w:t>, lai vecinātu bērnu zobārstniecības, fizioterapijas un rehabilitācijas pakalpojumu pieejamības veicināšanai, konstatēta nepieciešamība veikt sistemātiskāku analīzi, kā noteikt zāļu grupas, kuras būtu iekļaujamas kompensējamo zāļu sarakstā, un kā prognozēt sekundāro ambulatoro pakalpojumu pieprasījumu, lai veiksmīgāk novirzītu valsts budžeta līdzekļus veselības aprūpes pieejamības problēmas mazināšanai.</w:t>
      </w:r>
    </w:p>
    <w:p w:rsidR="00FF664D" w:rsidRPr="000B205C" w:rsidRDefault="00FF664D" w:rsidP="00FF664D">
      <w:pPr>
        <w:rPr>
          <w:u w:val="single"/>
        </w:rPr>
      </w:pPr>
    </w:p>
    <w:p w:rsidR="00101B8C" w:rsidRDefault="00101B8C" w:rsidP="00FF664D">
      <w:pPr>
        <w:rPr>
          <w:u w:val="single"/>
        </w:rPr>
      </w:pPr>
    </w:p>
    <w:p w:rsidR="00101B8C" w:rsidRDefault="00101B8C" w:rsidP="00FF664D">
      <w:pPr>
        <w:rPr>
          <w:u w:val="single"/>
        </w:rPr>
      </w:pPr>
    </w:p>
    <w:p w:rsidR="00101B8C" w:rsidRDefault="00101B8C" w:rsidP="00FF664D">
      <w:pPr>
        <w:rPr>
          <w:u w:val="single"/>
        </w:rPr>
      </w:pPr>
    </w:p>
    <w:p w:rsidR="00FF664D" w:rsidRPr="00C33A64" w:rsidRDefault="00FF664D" w:rsidP="00C33A64">
      <w:pPr>
        <w:rPr>
          <w:u w:val="single"/>
        </w:rPr>
      </w:pPr>
      <w:r w:rsidRPr="00C33A64">
        <w:rPr>
          <w:u w:val="single"/>
        </w:rPr>
        <w:lastRenderedPageBreak/>
        <w:t>Nevienlīdzība mājokļa pieejamības jomā</w:t>
      </w:r>
    </w:p>
    <w:p w:rsidR="00FF664D" w:rsidRPr="000B205C" w:rsidRDefault="00FF664D" w:rsidP="00FF664D">
      <w:pPr>
        <w:rPr>
          <w:u w:val="single"/>
        </w:rPr>
      </w:pPr>
    </w:p>
    <w:p w:rsidR="00FF664D" w:rsidRPr="000B205C" w:rsidRDefault="00FF664D" w:rsidP="00FF664D">
      <w:r w:rsidRPr="000B205C">
        <w:t>Nevienlīdzība mājokļu pieejamības jomā Izvērtējumā definēta kā tiesību uz pienācīgu mājokli ierobežošana vai neievērošana. Tiesības uz pienācīgu mājokli aptver šādus pamata jeb primāros elementus - mājokļa fiziska pieejamība, mājokļa izdevumi attiecībā pret personas/ mājsaimniecības ienākumiem, mājokļa kvalitāte un labiekārtotība, mājokļa platība un lielums, kā arī papildu jeb sekundāros elementus - mājokļa telpiskā/ ģeogrāfiskā segregācija, mājokļa atrašanās vietas vides faktori, mājokļa sociālā pieejamība.</w:t>
      </w:r>
    </w:p>
    <w:p w:rsidR="00FF664D" w:rsidRPr="000B205C" w:rsidRDefault="00FF664D" w:rsidP="00FF664D"/>
    <w:p w:rsidR="00FF664D" w:rsidRPr="000B205C" w:rsidRDefault="00FF664D" w:rsidP="00FF664D">
      <w:r w:rsidRPr="000B205C">
        <w:t>Nevienlīdzības mājokļa pieejamības jomā pētīta analizējot politikas plānošanas dokumentus un tiesību aktus, pašvaldību saistošos noteikumus par atbalstu mājokļa jomā, statistikas datus, ekspertu interviju datus, kā arī sekundāros datus par specifiskām mērķa grupām. Izvērtējumā kons</w:t>
      </w:r>
      <w:r w:rsidR="0054685C">
        <w:t>t</w:t>
      </w:r>
      <w:r w:rsidRPr="000B205C">
        <w:t xml:space="preserve">atēts, ka nevienlīdzība mājokļa jomā ir tieši saistīta ar ienākumu nevienlīdzību. Jo mazāki mājsaimniecības ienākumi, jo mazākā mērā tās mājoklis atbilst pienācīga mājokļa kritērijiem. Galvenās mērķa grupas, kurām ir nepieciešams atbalsts mājokļa pieejamībai un kuras atrodas nevienlīdzīgākā situācijā mājokļa pieejamības jomā: ģimenes ar bērniem ar zemiem un vidēji zemiem ienākumiem; personas, t.sk. bērni, ar visa veida funkcionāliem traucējumiem; ārpus ģimenes aprūpes esoši bērni; deinstitucionalizācijas klienti; pensijas vecuma personas. Vairākām mērķa grupām – no ieslodzījuma atbrīvotas personas, vardarbībā cietušas personas, starptautiskās aizsardzības personas – ir nepieciešami pagaidu mājokļa risinājumi uz laiku, kamēr tās atrisina savu sociāli ekonomisko situāciju. </w:t>
      </w:r>
    </w:p>
    <w:p w:rsidR="00FF664D" w:rsidRPr="000B205C" w:rsidRDefault="00FF664D" w:rsidP="00FF664D"/>
    <w:p w:rsidR="00FF664D" w:rsidRPr="000B205C" w:rsidRDefault="00FF664D" w:rsidP="00FF664D">
      <w:r w:rsidRPr="000B205C">
        <w:t>Izvērtējumā identificētas un analizētas šādas galvenās mājokļa jomu un nevienlīdzību mājokļa jomā raksturojošās problēmas:</w:t>
      </w:r>
    </w:p>
    <w:p w:rsidR="00FF664D" w:rsidRPr="000B205C" w:rsidRDefault="00FF664D" w:rsidP="003F469F">
      <w:pPr>
        <w:pStyle w:val="ListParagraph"/>
        <w:numPr>
          <w:ilvl w:val="0"/>
          <w:numId w:val="151"/>
        </w:numPr>
        <w:spacing w:line="276" w:lineRule="auto"/>
        <w:ind w:left="714" w:hanging="357"/>
        <w:jc w:val="both"/>
        <w:rPr>
          <w:rFonts w:eastAsiaTheme="minorHAnsi"/>
          <w:lang w:eastAsia="en-US"/>
        </w:rPr>
      </w:pPr>
      <w:r w:rsidRPr="000B205C">
        <w:rPr>
          <w:rFonts w:eastAsiaTheme="minorHAnsi"/>
          <w:lang w:eastAsia="en-US"/>
        </w:rPr>
        <w:t>politikas plānošanas jumta dokumenta (mājokļu politikas pamatnostādņu) trūkums, kas liedz attīstīt vienotu pieeju mājokļa problēmu risināšanā, t.sk. attiecībā uz īres namu būvniecību;</w:t>
      </w:r>
    </w:p>
    <w:p w:rsidR="00FF664D" w:rsidRPr="000B205C" w:rsidRDefault="00FF664D" w:rsidP="003F469F">
      <w:pPr>
        <w:pStyle w:val="ListParagraph"/>
        <w:numPr>
          <w:ilvl w:val="0"/>
          <w:numId w:val="151"/>
        </w:numPr>
        <w:spacing w:line="276" w:lineRule="auto"/>
        <w:ind w:left="714" w:hanging="357"/>
        <w:jc w:val="both"/>
        <w:rPr>
          <w:rFonts w:eastAsiaTheme="minorHAnsi"/>
          <w:lang w:eastAsia="en-US"/>
        </w:rPr>
      </w:pPr>
      <w:r w:rsidRPr="000B205C">
        <w:rPr>
          <w:rFonts w:eastAsiaTheme="minorHAnsi"/>
          <w:lang w:eastAsia="en-US"/>
        </w:rPr>
        <w:t>tiesiskā regulējuma pilnveidošanas lēnā gaita (likumprojekta “Dzīvojamo telpu īres likums” ilgstošā izstrāde un virzība uz pieņemšanu Saeimā un attiecīgi saistīto normatīvo aktu grozījumu veikšanas kavēšanās);</w:t>
      </w:r>
    </w:p>
    <w:p w:rsidR="00FF664D" w:rsidRPr="000B205C" w:rsidRDefault="00FF664D" w:rsidP="003F469F">
      <w:pPr>
        <w:pStyle w:val="ListParagraph"/>
        <w:numPr>
          <w:ilvl w:val="0"/>
          <w:numId w:val="151"/>
        </w:numPr>
        <w:spacing w:line="276" w:lineRule="auto"/>
        <w:ind w:left="714" w:hanging="357"/>
        <w:jc w:val="both"/>
        <w:rPr>
          <w:rFonts w:eastAsiaTheme="minorHAnsi"/>
          <w:lang w:eastAsia="en-US"/>
        </w:rPr>
      </w:pPr>
      <w:r w:rsidRPr="000B205C">
        <w:rPr>
          <w:rFonts w:eastAsiaTheme="minorHAnsi"/>
          <w:lang w:eastAsia="en-US"/>
        </w:rPr>
        <w:t>nevienlīdzības mājokļu jomā tiešā saikne ar ienākumu nevienlīdzību: jo zemāki mājsaimniecības ienākumi, jo zemākas kvalitātes mājokļos tās dzīvo (neatkarīgi no ienākumu apmēra, 2017. gadā 80% mājsaimniecību ar mājokļa uzturēšanu saistītie izdevumi apgrūtinājuši to finansiālo situāciju);</w:t>
      </w:r>
    </w:p>
    <w:p w:rsidR="00FF664D" w:rsidRPr="000B205C" w:rsidRDefault="00FF664D" w:rsidP="003F469F">
      <w:pPr>
        <w:pStyle w:val="ListParagraph"/>
        <w:numPr>
          <w:ilvl w:val="0"/>
          <w:numId w:val="151"/>
        </w:numPr>
        <w:spacing w:line="276" w:lineRule="auto"/>
        <w:ind w:left="714" w:hanging="357"/>
        <w:jc w:val="both"/>
        <w:rPr>
          <w:rFonts w:eastAsiaTheme="minorHAnsi"/>
          <w:lang w:eastAsia="en-US"/>
        </w:rPr>
      </w:pPr>
      <w:r w:rsidRPr="000B205C">
        <w:rPr>
          <w:rFonts w:eastAsiaTheme="minorHAnsi"/>
          <w:lang w:eastAsia="en-US"/>
        </w:rPr>
        <w:t>ilgstošas rindas uz pašvaldības mājokļiem, sociālajiem mājokļiem (līdz pat 12 gadiem);</w:t>
      </w:r>
    </w:p>
    <w:p w:rsidR="00FF664D" w:rsidRPr="000B205C" w:rsidRDefault="00FF664D" w:rsidP="003F469F">
      <w:pPr>
        <w:pStyle w:val="ListParagraph"/>
        <w:numPr>
          <w:ilvl w:val="0"/>
          <w:numId w:val="151"/>
        </w:numPr>
        <w:spacing w:line="276" w:lineRule="auto"/>
        <w:ind w:left="714" w:hanging="357"/>
        <w:jc w:val="both"/>
        <w:rPr>
          <w:rFonts w:eastAsiaTheme="minorHAnsi"/>
          <w:lang w:eastAsia="en-US"/>
        </w:rPr>
      </w:pPr>
      <w:r w:rsidRPr="000B205C">
        <w:rPr>
          <w:rFonts w:eastAsiaTheme="minorHAnsi"/>
          <w:lang w:eastAsia="en-US"/>
        </w:rPr>
        <w:t>dzīvojamā fonda neapmierinošais tehniskais stāvoklis un neatbilstība iedzīvotāju, t.sk. specifisku mērķa grupu (piemēram, personu ar invaliditāti) pieprasījumam;</w:t>
      </w:r>
    </w:p>
    <w:p w:rsidR="00FF664D" w:rsidRPr="000B205C" w:rsidRDefault="00FF664D" w:rsidP="003F469F">
      <w:pPr>
        <w:pStyle w:val="ListParagraph"/>
        <w:numPr>
          <w:ilvl w:val="0"/>
          <w:numId w:val="151"/>
        </w:numPr>
        <w:spacing w:line="276" w:lineRule="auto"/>
        <w:ind w:left="714" w:hanging="357"/>
        <w:jc w:val="both"/>
        <w:rPr>
          <w:rFonts w:eastAsiaTheme="minorHAnsi"/>
          <w:lang w:eastAsia="en-US"/>
        </w:rPr>
      </w:pPr>
      <w:r w:rsidRPr="000B205C">
        <w:rPr>
          <w:rFonts w:eastAsiaTheme="minorHAnsi"/>
          <w:lang w:eastAsia="en-US"/>
        </w:rPr>
        <w:t xml:space="preserve">risks pieaugt iedzīvotāju īpatsvaram, kuriem ir apgrūtināta mājokļa pieejamība, kas ir saistīts ar dzīvojamā fonda novecošanos; </w:t>
      </w:r>
    </w:p>
    <w:p w:rsidR="00FF664D" w:rsidRPr="000B205C" w:rsidRDefault="00FF664D" w:rsidP="003F469F">
      <w:pPr>
        <w:pStyle w:val="ListParagraph"/>
        <w:numPr>
          <w:ilvl w:val="0"/>
          <w:numId w:val="151"/>
        </w:numPr>
        <w:spacing w:line="276" w:lineRule="auto"/>
        <w:ind w:left="714" w:hanging="357"/>
        <w:jc w:val="both"/>
        <w:rPr>
          <w:rFonts w:eastAsiaTheme="minorHAnsi"/>
          <w:lang w:eastAsia="en-US"/>
        </w:rPr>
      </w:pPr>
      <w:r w:rsidRPr="000B205C">
        <w:rPr>
          <w:rFonts w:eastAsiaTheme="minorHAnsi"/>
          <w:lang w:eastAsia="en-US"/>
        </w:rPr>
        <w:t xml:space="preserve">dzīvojamā fonda atjaunošanas un būvniecības problēmas; </w:t>
      </w:r>
    </w:p>
    <w:p w:rsidR="00FF664D" w:rsidRPr="000B205C" w:rsidRDefault="00FF664D" w:rsidP="003F469F">
      <w:pPr>
        <w:pStyle w:val="ListParagraph"/>
        <w:numPr>
          <w:ilvl w:val="0"/>
          <w:numId w:val="151"/>
        </w:numPr>
        <w:spacing w:line="276" w:lineRule="auto"/>
        <w:ind w:left="714" w:hanging="357"/>
        <w:jc w:val="both"/>
        <w:rPr>
          <w:rFonts w:eastAsiaTheme="minorHAnsi"/>
          <w:lang w:eastAsia="en-US"/>
        </w:rPr>
      </w:pPr>
      <w:r w:rsidRPr="000B205C">
        <w:rPr>
          <w:rFonts w:eastAsiaTheme="minorHAnsi"/>
          <w:lang w:eastAsia="en-US"/>
        </w:rPr>
        <w:t>īres mājokļu būvniecības un īres tirgus nesakārtotība, stagnācija, valsts nodokļu politikas radītie šķēršļi legālā īres tirgus attīstībai un jaunu mājokļu būvniecībai;</w:t>
      </w:r>
    </w:p>
    <w:p w:rsidR="00FF664D" w:rsidRPr="000B205C" w:rsidRDefault="00FF664D" w:rsidP="003F469F">
      <w:pPr>
        <w:pStyle w:val="ListParagraph"/>
        <w:numPr>
          <w:ilvl w:val="0"/>
          <w:numId w:val="151"/>
        </w:numPr>
        <w:spacing w:line="276" w:lineRule="auto"/>
        <w:ind w:left="714" w:hanging="357"/>
        <w:jc w:val="both"/>
        <w:rPr>
          <w:rFonts w:eastAsiaTheme="minorHAnsi"/>
          <w:lang w:eastAsia="en-US"/>
        </w:rPr>
      </w:pPr>
      <w:r w:rsidRPr="000B205C">
        <w:rPr>
          <w:rFonts w:eastAsiaTheme="minorHAnsi"/>
          <w:lang w:eastAsia="en-US"/>
        </w:rPr>
        <w:t>privātā un publiskā sektora attiecības mājokļa jomā: mājokļu brīvā tirgus principu un pašvaldību autonomās funkcijas sniegt palīdzību mājokļa jomā salāgošanas grūtības;</w:t>
      </w:r>
    </w:p>
    <w:p w:rsidR="00FF664D" w:rsidRPr="000B205C" w:rsidRDefault="00FF664D" w:rsidP="003F469F">
      <w:pPr>
        <w:pStyle w:val="ListParagraph"/>
        <w:numPr>
          <w:ilvl w:val="0"/>
          <w:numId w:val="151"/>
        </w:numPr>
        <w:spacing w:line="276" w:lineRule="auto"/>
        <w:ind w:left="714" w:hanging="357"/>
        <w:jc w:val="both"/>
        <w:rPr>
          <w:rFonts w:eastAsiaTheme="minorHAnsi"/>
          <w:lang w:eastAsia="en-US"/>
        </w:rPr>
      </w:pPr>
      <w:r w:rsidRPr="000B205C">
        <w:rPr>
          <w:rFonts w:eastAsiaTheme="minorHAnsi"/>
          <w:lang w:eastAsia="en-US"/>
        </w:rPr>
        <w:lastRenderedPageBreak/>
        <w:t>vienotas pieejas trūkums dzīvokļa pabalsta sniegšanas kārtībā pašvaldībās, radot nevienlīdzīgu pieeju sociālajām grupām atbalsta sniegšanā atkarībā no pašvaldības;</w:t>
      </w:r>
    </w:p>
    <w:p w:rsidR="00FF664D" w:rsidRPr="000B205C" w:rsidRDefault="00FF664D" w:rsidP="003F469F">
      <w:pPr>
        <w:pStyle w:val="ListParagraph"/>
        <w:numPr>
          <w:ilvl w:val="0"/>
          <w:numId w:val="151"/>
        </w:numPr>
        <w:spacing w:line="276" w:lineRule="auto"/>
        <w:ind w:left="714" w:hanging="357"/>
        <w:jc w:val="both"/>
        <w:rPr>
          <w:rFonts w:eastAsiaTheme="minorHAnsi"/>
          <w:lang w:eastAsia="en-US"/>
        </w:rPr>
      </w:pPr>
      <w:r w:rsidRPr="000B205C">
        <w:rPr>
          <w:rFonts w:eastAsiaTheme="minorHAnsi"/>
          <w:lang w:eastAsia="en-US"/>
        </w:rPr>
        <w:t>pagaidu mājokļu pieejamības problēma specifiskām mērķa grupām (no ieslodzījuma vietām atbrīvotas personas, vardarbībā cietušas personas, iedzīvotāji krīzes situācijās u.c.).</w:t>
      </w:r>
    </w:p>
    <w:p w:rsidR="00FF664D" w:rsidRPr="000B205C" w:rsidRDefault="00FF664D" w:rsidP="00FF664D"/>
    <w:p w:rsidR="00FF664D" w:rsidRDefault="00FF664D" w:rsidP="00FF664D">
      <w:r w:rsidRPr="000B205C">
        <w:t xml:space="preserve">Lielākā daļa mājokļa jomas problēmu, kuras ir novēršamas, lai mazinātu nevienlīdzību mājokļa pieejamības jomā, ir saistītas ar dzīvojamā fonda atjaunošanu un attīstību, kā arī īres tirgus attīstības veicināšanas pasākumu īstenošanas nepieciešamību. Problēmu pamatā ir nepilnības politikas plānošanā un tiesiskā regulējuma sakārtošanā, publiskā un privātā sektora sadarbības </w:t>
      </w:r>
      <w:r w:rsidR="000F32E1">
        <w:t>šķēršļi</w:t>
      </w:r>
      <w:r w:rsidRPr="000B205C">
        <w:t xml:space="preserve"> mājokļu jomā, iedzīvotāju zemā kapacitāte risināt mājokļu tehniskā stāvokļa problēmas. Līdzās tehniskajiem un administratīvi tiesiskajiem, kā arī fiskālajiem (nodokļu sloga mazināšanas) risinājumiem nepieciešams pilnvērtīgi izmantot t.s. netiešos risinājumus – iedzīvotāju sociālo prasmju attīstīšanu noteiktās mērķa grupās, līdzdalības līmeņa celšanu savu problēmu risināšanā, esošo palīdzības un pakalpojumu veidu mērķēta izmantošana, ar to saprotot, pēc iespējas izslēgt gadījumus, kad personas ļaunprātīgi izmanto palīdzības veidus, kuri pēc būtības tām nepienākas, maldinot pašvaldību atbildīgo iestāžu darbiniekus par savu faktisko situāciju.</w:t>
      </w:r>
    </w:p>
    <w:p w:rsidR="00B05302" w:rsidRDefault="00B05302" w:rsidP="00B05302">
      <w:pPr>
        <w:pStyle w:val="Navnumercija"/>
        <w:rPr>
          <w:sz w:val="36"/>
        </w:rPr>
      </w:pPr>
      <w:r>
        <w:rPr>
          <w:sz w:val="36"/>
        </w:rPr>
        <w:lastRenderedPageBreak/>
        <w:t>Summary</w:t>
      </w:r>
    </w:p>
    <w:p w:rsidR="00B05302" w:rsidRPr="00F13E5A" w:rsidRDefault="00B05302" w:rsidP="00B05302">
      <w:pPr>
        <w:jc w:val="center"/>
        <w:rPr>
          <w:b/>
          <w:lang w:val="en-GB"/>
        </w:rPr>
      </w:pPr>
    </w:p>
    <w:p w:rsidR="00B05302" w:rsidRPr="00F13E5A" w:rsidRDefault="00B05302" w:rsidP="00B05302">
      <w:pPr>
        <w:rPr>
          <w:bCs/>
          <w:lang w:val="en-GB"/>
        </w:rPr>
      </w:pPr>
      <w:r w:rsidRPr="00F13E5A">
        <w:rPr>
          <w:bCs/>
          <w:lang w:val="en-GB"/>
        </w:rPr>
        <w:t>The purpose of „The annual assessment of policies to reduce poverty and social exclusion (including the assessment of health inequalities and inequality in access to housing)” (hereinafter - Evaluation) is to evaluate the implemented policies and the income the population situation in order to conclude whether the initiated policies provide a targeted impact covering three policy areas: poverty and social exclusion; inequality in access to healthcare; inequality in access to housing.</w:t>
      </w:r>
    </w:p>
    <w:p w:rsidR="00B05302" w:rsidRPr="00F13E5A" w:rsidRDefault="00B05302" w:rsidP="00B05302">
      <w:pPr>
        <w:outlineLvl w:val="0"/>
        <w:rPr>
          <w:u w:val="single"/>
          <w:lang w:val="en-GB"/>
        </w:rPr>
      </w:pPr>
    </w:p>
    <w:p w:rsidR="00B05302" w:rsidRPr="00F13E5A" w:rsidRDefault="00B05302" w:rsidP="00B05302">
      <w:pPr>
        <w:rPr>
          <w:bCs/>
          <w:u w:val="single"/>
          <w:lang w:val="en-GB"/>
        </w:rPr>
      </w:pPr>
      <w:r w:rsidRPr="00F13E5A">
        <w:rPr>
          <w:u w:val="single"/>
          <w:lang w:val="en-GB"/>
        </w:rPr>
        <w:t>Poverty and social exclusion</w:t>
      </w:r>
    </w:p>
    <w:p w:rsidR="00B05302" w:rsidRPr="00F13E5A" w:rsidRDefault="00B05302" w:rsidP="00B05302">
      <w:pPr>
        <w:outlineLvl w:val="0"/>
        <w:rPr>
          <w:u w:val="single"/>
          <w:lang w:val="en-GB"/>
        </w:rPr>
      </w:pPr>
    </w:p>
    <w:p w:rsidR="00B05302" w:rsidRPr="00F13E5A" w:rsidRDefault="00B05302" w:rsidP="00C33A64">
      <w:pPr>
        <w:rPr>
          <w:lang w:val="en-GB"/>
        </w:rPr>
      </w:pPr>
      <w:r w:rsidRPr="00F13E5A">
        <w:rPr>
          <w:lang w:val="en-GB"/>
        </w:rPr>
        <w:t>In 2015 and 2016 several policy measures were implemented with the aim of reducing inequality of income of the population, some of which are to be considered as targeted support for the groups at risk of poverty and social exclusion. During this period, the minimum monthly wage increased by 50 EUR from 320 EUR in 2014 to 370 EUR in 2016. Along with these changes, the minimum amount of the payment of maintenance for the children defined by the state also increased. It is especially important for incomplete families, which, as the analysis of statistical data shows, is still one of the relatively high groups at risk of poverty.</w:t>
      </w:r>
    </w:p>
    <w:p w:rsidR="00B05302" w:rsidRPr="00F13E5A" w:rsidRDefault="00B05302" w:rsidP="00B05302">
      <w:pPr>
        <w:outlineLvl w:val="0"/>
        <w:rPr>
          <w:bCs/>
          <w:lang w:val="en-GB"/>
        </w:rPr>
      </w:pPr>
    </w:p>
    <w:p w:rsidR="00B05302" w:rsidRPr="00C33A64" w:rsidRDefault="00B05302" w:rsidP="00C33A64">
      <w:r w:rsidRPr="00C33A64">
        <w:t>A number of policy measures were focused on improving the situation of families with children, especially large families: the definition of a large family (family with three and more children) was expanded, several tax deductions for families with children were established, the amount of several benefits (family allowance, parental benefit, maternity and paternity benefits) increased, several services were provided with preferential conditions (for example, electricity at reduced prices, changes in the deadline for requesting state social support, increasing vehicle tax deduction). In 2015 a significant positive impact on the population, incl. the families with children, direct income had social benefits - sickness, maternity, paternity and parental benefits, unemployment benefits - abolition of restrictions that existed between 2009 and 2014.</w:t>
      </w:r>
    </w:p>
    <w:p w:rsidR="00B05302" w:rsidRPr="00C33A64" w:rsidRDefault="00B05302" w:rsidP="00C33A64"/>
    <w:p w:rsidR="00B05302" w:rsidRPr="00C33A64" w:rsidRDefault="00B05302" w:rsidP="00C33A64">
      <w:r w:rsidRPr="00C33A64">
        <w:t>The pension indexation carried out in 2016 had a positive impact on pensioners' direct income, which in most cases is low. However, overall, the impact on the direct income of pensioners is rather small, taking into account the data on the increase in the average old-age pension (thus most likely keeping this group of people in the 2nd income quintile group). Although the expected effect is considered to be relatively small, its further implementation is to be welcomed as one of the steps to gradually support the poorest and at the same time the broadest population groups.</w:t>
      </w:r>
    </w:p>
    <w:p w:rsidR="00B05302" w:rsidRPr="00C33A64" w:rsidRDefault="00B05302" w:rsidP="00C33A64"/>
    <w:p w:rsidR="00B05302" w:rsidRPr="00C33A64" w:rsidRDefault="00B05302" w:rsidP="00C33A64">
      <w:r w:rsidRPr="00C33A64">
        <w:t>In 2015 and 2016 a tax policy reform was launched, introducing a solidarity tax and a differentiated non-taxable minimum. The aim of these measures is to reduce income inequality, but the results of their implementation are not clear yet. The effectiveness of tax reforms as well as the impact of increasing minimum wages are different for different socio-demographic groups and household types.</w:t>
      </w:r>
    </w:p>
    <w:p w:rsidR="00B05302" w:rsidRPr="00C33A64" w:rsidRDefault="00B05302" w:rsidP="00C33A64"/>
    <w:p w:rsidR="00B05302" w:rsidRPr="00F13E5A" w:rsidRDefault="00B05302" w:rsidP="00C33A64">
      <w:pPr>
        <w:rPr>
          <w:lang w:val="en-GB"/>
        </w:rPr>
      </w:pPr>
      <w:r w:rsidRPr="00F13E5A">
        <w:rPr>
          <w:lang w:val="en-GB"/>
        </w:rPr>
        <w:lastRenderedPageBreak/>
        <w:t>The results of the analysis of statistical data revealed that between 2014 and 2016 the minimum income level for single-person households has increased from 155 EUR to 177 EUR per month (or 14.2%), while in households with two adults and two children respectively 481 EUR to 549 EUR per month (or 14.2%). Overall, in 2014, 9% of the population of Latvia lived below the minimum income level with these figures declining to 7.8% in 2016. Evaluating the situation in 2015 and 2016, it can be seen that the income per household member is gradually increasing, however it does not occur evenly and equally in all quintile groups. In a smaller amount the income increased in the lower (poorest) quintiles - in the 1st, 2nd quintile groups. If in the 1st quintile the increase was 4.2 EUR (or 2.8%) on average per household member during the year, in the 2nd quintile it was 9.3 EUR (or 3.6%), in the 3rd quintile 19.34 ER (or 5.7%), in the 4th quintile 4 they were 31.02 EUR (or 6.4%), in the 5th quintile 45.97 EUR (or 5.1%). Calculation of the growth percentage shows that the biggest increase in income per household member has been in the 4th quintile. Thus it can be concluded that the situation of the low-income population is improving slower than in the higher income groups.</w:t>
      </w:r>
    </w:p>
    <w:p w:rsidR="00B05302" w:rsidRPr="00F13E5A" w:rsidRDefault="00B05302" w:rsidP="00B05302">
      <w:pPr>
        <w:outlineLvl w:val="0"/>
        <w:rPr>
          <w:bCs/>
          <w:lang w:val="en-GB"/>
        </w:rPr>
      </w:pPr>
    </w:p>
    <w:p w:rsidR="00B05302" w:rsidRPr="00F13E5A" w:rsidRDefault="00B05302" w:rsidP="00B05302">
      <w:pPr>
        <w:rPr>
          <w:bCs/>
          <w:lang w:val="en-GB"/>
        </w:rPr>
      </w:pPr>
      <w:r w:rsidRPr="00F13E5A">
        <w:rPr>
          <w:bCs/>
          <w:lang w:val="en-GB"/>
        </w:rPr>
        <w:t>High income inequalities persisted over the period under review as evidenced by the high values of Gini (34.5%). Analyzing income dynamics one can conclude that the largest monthly increase in income from 2014 has been in households with three or more adults with dependent children (in families with several generations). Between 2014 and 2016 these households experienced an increase in income of 101.2 EUR. The lowest income growth (11.7 EUR) was registered for separately resident man’s households. At the same time the total lowest income level in 2016 was for separately resident pensioners, with an average income of 351.6 EUR per month.</w:t>
      </w:r>
    </w:p>
    <w:p w:rsidR="00B05302" w:rsidRPr="00F13E5A" w:rsidRDefault="00B05302" w:rsidP="00B05302">
      <w:pPr>
        <w:outlineLvl w:val="0"/>
        <w:rPr>
          <w:bCs/>
          <w:lang w:val="en-GB"/>
        </w:rPr>
      </w:pPr>
    </w:p>
    <w:p w:rsidR="00B05302" w:rsidRPr="00F13E5A" w:rsidRDefault="00B05302" w:rsidP="00B05302">
      <w:pPr>
        <w:rPr>
          <w:lang w:val="en-GB"/>
        </w:rPr>
      </w:pPr>
      <w:r w:rsidRPr="00F13E5A">
        <w:rPr>
          <w:lang w:val="en-GB"/>
        </w:rPr>
        <w:t>The main source of personal income, as in the previous period (2014), was wages. The second most popular income group was social transfers (state, municipal pensions and benefits, child support payments, scholarships, social insurance benefits and compensations). In 2016 they accounted for 26% of the total income of the population.</w:t>
      </w:r>
    </w:p>
    <w:p w:rsidR="00B05302" w:rsidRPr="00F13E5A" w:rsidRDefault="00B05302" w:rsidP="00B05302">
      <w:pPr>
        <w:outlineLvl w:val="0"/>
        <w:rPr>
          <w:bCs/>
          <w:lang w:val="en-GB"/>
        </w:rPr>
      </w:pPr>
    </w:p>
    <w:p w:rsidR="00B05302" w:rsidRPr="00F13E5A" w:rsidRDefault="00B05302" w:rsidP="00C33A64">
      <w:pPr>
        <w:rPr>
          <w:lang w:val="en-GB"/>
        </w:rPr>
      </w:pPr>
      <w:r w:rsidRPr="00F13E5A">
        <w:rPr>
          <w:lang w:val="en-GB"/>
        </w:rPr>
        <w:t>The analysis of municipal administrative data highlights several positive trends - in 2014-2016 the absolute number and share of the poor and low-income persons in the country has decreased (respectively from 5.2% in 2014 to 3.5% in 2016 and from 5.1% in 2014 to 4.1% in 2016).  The number of GMI benefit and housing benefit recipients has decreased as well (respectively from 2.3% in 2014 to 1.4% in 2016 and from 6.7% in 2014 to 5.1% in 2016). The amount of funds spent on the support and payment of benefits for these target groups has also decreased. At the same time it has to be taken into account that the level of GMI and the income level of the poor person has not been reviewed for a long period despite the increase of average income in the country as a whole. Changes in the proportion of low-income persons are influenced by the different approach of local governments which set the limits of low income level (in 2016 it ranged from 135 EUR to 400 EUR).</w:t>
      </w:r>
    </w:p>
    <w:p w:rsidR="00B05302" w:rsidRPr="00F13E5A" w:rsidRDefault="00B05302" w:rsidP="00B05302">
      <w:pPr>
        <w:outlineLvl w:val="0"/>
        <w:rPr>
          <w:bCs/>
          <w:lang w:val="en-GB"/>
        </w:rPr>
      </w:pPr>
    </w:p>
    <w:p w:rsidR="00B05302" w:rsidRPr="00F13E5A" w:rsidRDefault="00B05302" w:rsidP="00C33A64">
      <w:pPr>
        <w:rPr>
          <w:lang w:val="en-GB"/>
        </w:rPr>
      </w:pPr>
      <w:r w:rsidRPr="00F13E5A">
        <w:rPr>
          <w:lang w:val="en-GB"/>
        </w:rPr>
        <w:t xml:space="preserve">The at-risk-of-poverty rate for the period 2014-2016 has been variable. In 2016 22.1% of the population were at risk of poverty in Latvia - 0.3 percentage points more than in 2015. In 2016 with increasing disposable income of the population, the poverty risk threshold also increased (according to the OECD modified equivalence scale) - for one person household up to 330 EUR per month (318 </w:t>
      </w:r>
      <w:r w:rsidRPr="00F13E5A">
        <w:rPr>
          <w:lang w:val="en-GB"/>
        </w:rPr>
        <w:lastRenderedPageBreak/>
        <w:t>EUR per month in 2015), 693 EUR for two adults with two children (668 EUR in 2015). The highest at-risk-of-poverty rate (72.8%) in 2016 was for separately resident pensioners (over 65 years of age), with high incidence rates also for adults of working age regardless of gender. With regard to 2014 the risk of poverty has slightly decreased for single-parent families, but attention is drawn to the fact that in 2015 and 2016 the indicator remained almost unchanged (34.4-34.3%). The lowest at-risk-of-poverty rate was for people aged 25-49 (14.6%) and 18-24 years (16.1%). The most significant positive changes - the reduction of the risk of poverty - are observed in the large family group (families with three or more children), which can be explained by the policy measures with an impact on the direct and indirect income of this target group (the indicator changes from 34.5% in 2014 to 19.8% in 2016).</w:t>
      </w:r>
    </w:p>
    <w:p w:rsidR="00B05302" w:rsidRPr="00F13E5A" w:rsidRDefault="00B05302" w:rsidP="00B05302">
      <w:pPr>
        <w:outlineLvl w:val="0"/>
        <w:rPr>
          <w:bCs/>
          <w:lang w:val="en-GB"/>
        </w:rPr>
      </w:pPr>
    </w:p>
    <w:p w:rsidR="00B05302" w:rsidRPr="00F13E5A" w:rsidRDefault="00B05302" w:rsidP="00C33A64">
      <w:pPr>
        <w:rPr>
          <w:lang w:val="en-GB"/>
        </w:rPr>
      </w:pPr>
      <w:r w:rsidRPr="00F13E5A">
        <w:rPr>
          <w:lang w:val="en-GB"/>
        </w:rPr>
        <w:t>Social exclusion indicators, characterized by the material deprivation index and the economic tension index, show a downward trend. Higher material deprivation is among the elderly (over 65 years), large families and single-parent families. Respectively, lower rates of material deprivation are for the population without children or families with one or two children. The overall positive trends show that the difficulty of covering individual costs (such as utilities, repayment of credit) has fallen over time. The material deprivation index does not include the ability to cover health-related expenses. The high share of direct payments in health care for the population of Latvia is an indicator that the inclusion of these expenses would potentially increase the value of the material deprivation index.</w:t>
      </w:r>
    </w:p>
    <w:p w:rsidR="00B05302" w:rsidRPr="00F13E5A" w:rsidRDefault="00B05302" w:rsidP="00B05302">
      <w:pPr>
        <w:outlineLvl w:val="0"/>
        <w:rPr>
          <w:bCs/>
          <w:lang w:val="en-GB"/>
        </w:rPr>
      </w:pPr>
    </w:p>
    <w:p w:rsidR="00B05302" w:rsidRPr="00615C75" w:rsidRDefault="00B05302" w:rsidP="00C33A64">
      <w:pPr>
        <w:rPr>
          <w:u w:val="single"/>
          <w:lang w:val="en-GB"/>
        </w:rPr>
      </w:pPr>
      <w:r w:rsidRPr="00615C75">
        <w:rPr>
          <w:u w:val="single"/>
          <w:lang w:val="en-GB"/>
        </w:rPr>
        <w:t>Inequality in access to healthcare</w:t>
      </w:r>
    </w:p>
    <w:p w:rsidR="00B05302" w:rsidRPr="00F13E5A" w:rsidRDefault="00B05302" w:rsidP="00B05302">
      <w:pPr>
        <w:rPr>
          <w:lang w:val="en-GB"/>
        </w:rPr>
      </w:pPr>
    </w:p>
    <w:p w:rsidR="00B05302" w:rsidRPr="00F13E5A" w:rsidRDefault="00B05302" w:rsidP="00B05302">
      <w:pPr>
        <w:rPr>
          <w:lang w:val="en-GB"/>
        </w:rPr>
      </w:pPr>
      <w:r w:rsidRPr="00F13E5A">
        <w:rPr>
          <w:lang w:val="en-GB"/>
        </w:rPr>
        <w:t>Health inequalities at current state of art in policy planning (e.g. in the information reports on the progress of the health care system reform) are explained as follows mainly from insufficient public funding to health care, leading to a high level of household out-of-pocket payments to health care. In 2016, it reached 44.6%. The proportions of out-of-pocket payments for various health-related expenditures vary depending on the type of household. For families with children, the burden is higher for dentistry and then in equal parts – for treatment and medications purchase costs, while for single person households with a person aged 65 and more years, the highest burden is the purchase of medications, then general treatment costs and the least burden – dentistry (mainly, because members of these households recognize that they have not had such expenses in the last year).</w:t>
      </w:r>
    </w:p>
    <w:p w:rsidR="00B05302" w:rsidRPr="00F13E5A" w:rsidRDefault="00B05302" w:rsidP="00B05302">
      <w:pPr>
        <w:rPr>
          <w:lang w:val="en-GB"/>
        </w:rPr>
      </w:pPr>
    </w:p>
    <w:p w:rsidR="00B05302" w:rsidRPr="00F13E5A" w:rsidRDefault="00B05302" w:rsidP="00B05302">
      <w:pPr>
        <w:rPr>
          <w:lang w:val="en-GB"/>
        </w:rPr>
      </w:pPr>
      <w:r w:rsidRPr="00F13E5A">
        <w:rPr>
          <w:lang w:val="en-GB"/>
        </w:rPr>
        <w:t>Responding to the World Bank and OECD evaluation recommendations, since 2016, the Ministry of Health has been pursuing a more active policy of attracting public funding aimed at facilitating access to secondary outpatient health services (decreasing waiting lists to access to services), improving the availability of dentistry for children, increasing the availability of reimbursable medicines for certain patient groups, etc. measures.</w:t>
      </w:r>
    </w:p>
    <w:p w:rsidR="00B05302" w:rsidRPr="00F13E5A" w:rsidRDefault="00B05302" w:rsidP="00B05302">
      <w:pPr>
        <w:rPr>
          <w:lang w:val="en-GB"/>
        </w:rPr>
      </w:pPr>
    </w:p>
    <w:p w:rsidR="00B05302" w:rsidRPr="00F13E5A" w:rsidRDefault="00B05302" w:rsidP="00B05302">
      <w:pPr>
        <w:rPr>
          <w:lang w:val="en-GB"/>
        </w:rPr>
      </w:pPr>
      <w:r w:rsidRPr="00F13E5A">
        <w:rPr>
          <w:lang w:val="en-GB"/>
        </w:rPr>
        <w:t>At the same time, it should be noted that the Ministry of Health implements its policy in general and the policy documents do not include reports on differences in the availability of health care services in the regions, rather limited policy planning includes an in-depth analysis of the situation and needs of groups at risk of poverty and social exclusion.</w:t>
      </w:r>
    </w:p>
    <w:p w:rsidR="00B05302" w:rsidRPr="00F13E5A" w:rsidRDefault="00B05302" w:rsidP="00B05302">
      <w:pPr>
        <w:rPr>
          <w:lang w:val="en-GB"/>
        </w:rPr>
      </w:pPr>
    </w:p>
    <w:p w:rsidR="00B05302" w:rsidRPr="00F13E5A" w:rsidRDefault="00B05302" w:rsidP="00B05302">
      <w:pPr>
        <w:rPr>
          <w:lang w:val="en-GB"/>
        </w:rPr>
      </w:pPr>
      <w:r w:rsidRPr="00F13E5A">
        <w:rPr>
          <w:lang w:val="en-GB"/>
        </w:rPr>
        <w:lastRenderedPageBreak/>
        <w:t>The analysis carried out in the evaluation shows that there are significant differences between people with different incomes, i.e. income inequality is the primary cause of inequality in healthcare; and the additional burden can be exacerbated by various additional factors – household composition and age structure (ratio of adults and children) and individual health care needs of household members, as well as other social and cultural factors contributing to social exclusion and thus access to information, motivation and ability to solve their problems, including health care. Looking at specific population groups, health inequalities are exposed to all groups of the population in need, regardless of whether the status is granted to a person or not, children (especially large families or families of one adult with a child/children), persons with disabilities of I or II group, asylum seekers, prisoners and persons with certain chronic illnesses for which certain medications or medical devices are required. The information gathered from the evaluation shows that the worker may also be exposed to health inequalities in a particular situation, for example if he or she urgently needed an operation and was not in a waiting list for a state-funded planned operation.</w:t>
      </w:r>
    </w:p>
    <w:p w:rsidR="00B05302" w:rsidRPr="00F13E5A" w:rsidRDefault="00B05302" w:rsidP="00B05302">
      <w:pPr>
        <w:rPr>
          <w:lang w:val="en-GB"/>
        </w:rPr>
      </w:pPr>
    </w:p>
    <w:p w:rsidR="00B05302" w:rsidRPr="00F13E5A" w:rsidRDefault="00B05302" w:rsidP="00B05302">
      <w:pPr>
        <w:rPr>
          <w:lang w:val="en-GB"/>
        </w:rPr>
      </w:pPr>
      <w:r w:rsidRPr="00F13E5A">
        <w:rPr>
          <w:lang w:val="en-GB"/>
        </w:rPr>
        <w:t>Assessing the legislation, it can be seen that the main criteria on which the granting of allowances for the receipt of health care services and the purchase of medical products at the state level for an adult population are based are the person’s established illness, functional status or participation in certain preventive measures. There are only three groups of people with generalized preferences and these are children under the age of 18, persons which have approved their ‘poor’ person’s status, and asylum seekers. Municipalities provide more assistance in obtaining health care services, but the opportunities they offer vary across the country. In general, municipal social benefits for receiving health care services are granted both when assessing a person’s material condition and (in the case of certain target groups) also without assessing the material situation. When evaluating the material situation, the social benefit for receiving health care services is usually granted to poor persons, low-income persons, retired people (with or without additional conditions), and persons with disabilities (with or without additional conditions).</w:t>
      </w:r>
    </w:p>
    <w:p w:rsidR="00B05302" w:rsidRPr="00F13E5A" w:rsidRDefault="00B05302" w:rsidP="00B05302">
      <w:pPr>
        <w:rPr>
          <w:lang w:val="en-GB"/>
        </w:rPr>
      </w:pPr>
    </w:p>
    <w:p w:rsidR="00B05302" w:rsidRPr="00F13E5A" w:rsidRDefault="00B05302" w:rsidP="00B05302">
      <w:pPr>
        <w:rPr>
          <w:lang w:val="en-GB"/>
        </w:rPr>
      </w:pPr>
      <w:r w:rsidRPr="00F13E5A">
        <w:rPr>
          <w:lang w:val="en-GB"/>
        </w:rPr>
        <w:t>Based on the analysis of the results, developed recommendations are aimed to promote the availability of child dentistry, physiotherapy and rehabilitation services, identified the need for a more systematic analysis of how to identify groups of medications to be included in the list of reimbursable medicines and how to predict the demand for secondary outpatient services to better target public funding for reducing access to health care.</w:t>
      </w:r>
    </w:p>
    <w:p w:rsidR="00B05302" w:rsidRPr="00F13E5A" w:rsidRDefault="00B05302" w:rsidP="00B05302">
      <w:pPr>
        <w:rPr>
          <w:lang w:val="en-GB"/>
        </w:rPr>
      </w:pPr>
    </w:p>
    <w:p w:rsidR="00B05302" w:rsidRPr="00F13E5A" w:rsidRDefault="00B05302" w:rsidP="00B05302">
      <w:pPr>
        <w:rPr>
          <w:u w:val="single"/>
          <w:lang w:val="en-GB"/>
        </w:rPr>
      </w:pPr>
      <w:r w:rsidRPr="00F13E5A">
        <w:rPr>
          <w:u w:val="single"/>
          <w:lang w:val="en-GB"/>
        </w:rPr>
        <w:t>Inequality in access to housing</w:t>
      </w:r>
    </w:p>
    <w:p w:rsidR="00B05302" w:rsidRPr="00F13E5A" w:rsidRDefault="00B05302" w:rsidP="00B05302">
      <w:pPr>
        <w:rPr>
          <w:lang w:val="en-GB"/>
        </w:rPr>
      </w:pPr>
    </w:p>
    <w:p w:rsidR="00B05302" w:rsidRPr="00F13E5A" w:rsidRDefault="00B05302" w:rsidP="00B05302">
      <w:pPr>
        <w:rPr>
          <w:lang w:val="en-GB"/>
        </w:rPr>
      </w:pPr>
      <w:r w:rsidRPr="00F13E5A">
        <w:rPr>
          <w:lang w:val="en-GB"/>
        </w:rPr>
        <w:t>In the frame of this report inequality in access to housing is defined as the restriction or disregard of the right to decent housing. The right to decent housing includes the following basic or primary elements: physical availability of the dwelling, housing costs in relation to personal / household income, quality and comfort of the dwelling, area and size of the dwelling; and secondary elements: geographic segregation of the dwelling, environmental factors, social access to housing.</w:t>
      </w:r>
    </w:p>
    <w:p w:rsidR="00B05302" w:rsidRPr="00F13E5A" w:rsidRDefault="00B05302" w:rsidP="00B05302">
      <w:pPr>
        <w:rPr>
          <w:lang w:val="en-GB"/>
        </w:rPr>
      </w:pPr>
    </w:p>
    <w:p w:rsidR="00B05302" w:rsidRPr="00F13E5A" w:rsidRDefault="00B05302" w:rsidP="00B05302">
      <w:pPr>
        <w:rPr>
          <w:lang w:val="en-GB"/>
        </w:rPr>
      </w:pPr>
      <w:r w:rsidRPr="00F13E5A">
        <w:rPr>
          <w:lang w:val="en-GB"/>
        </w:rPr>
        <w:t xml:space="preserve">Housing inequalities have been studied by analyzing policy planning documents and legislation, local government regulations on housing support, statistics, expert interview data and secondary data on specific target groups. It is concluded that inequality in housing is directly related to income </w:t>
      </w:r>
      <w:r w:rsidRPr="00F13E5A">
        <w:rPr>
          <w:lang w:val="en-GB"/>
        </w:rPr>
        <w:lastRenderedPageBreak/>
        <w:t>inequality. The lower the household income, the less its housing meets the criteria of decent housing. The main target groups who need support for access to housing and who are in a more unequal position in terms of access to housing are low and middle income families with children; persons, incl. children, with all kinds of functional disorders; children out of family care; de-institutionalization clients; retired persons. Several target groups - persons released from imprisonment, victims of violence, refugees, asylum seekers and persons with alternative status - need temporary housing solutions for as long as they resolve their socio-economic situation.</w:t>
      </w:r>
    </w:p>
    <w:p w:rsidR="00B05302" w:rsidRDefault="00B05302" w:rsidP="00B05302">
      <w:pPr>
        <w:rPr>
          <w:lang w:val="en-GB"/>
        </w:rPr>
      </w:pPr>
    </w:p>
    <w:p w:rsidR="00B05302" w:rsidRPr="00F13E5A" w:rsidRDefault="00B05302" w:rsidP="00B05302">
      <w:pPr>
        <w:rPr>
          <w:lang w:val="en-GB"/>
        </w:rPr>
      </w:pPr>
      <w:r w:rsidRPr="00F13E5A">
        <w:rPr>
          <w:lang w:val="en-GB"/>
        </w:rPr>
        <w:t>The following key problems in the area of housing and inequality in housing have been identified and analyzed:</w:t>
      </w:r>
    </w:p>
    <w:p w:rsidR="00B05302" w:rsidRPr="00F13E5A" w:rsidRDefault="00B05302" w:rsidP="00B05302">
      <w:pPr>
        <w:pStyle w:val="ListParagraph"/>
        <w:numPr>
          <w:ilvl w:val="0"/>
          <w:numId w:val="177"/>
        </w:numPr>
        <w:spacing w:after="160" w:line="259" w:lineRule="auto"/>
        <w:jc w:val="both"/>
        <w:rPr>
          <w:lang w:val="en-GB"/>
        </w:rPr>
      </w:pPr>
      <w:r w:rsidRPr="00F13E5A">
        <w:rPr>
          <w:lang w:val="en-GB"/>
        </w:rPr>
        <w:t>the lack of a policy planning document (housing policy guidelines) that prevents the development of a common approach to solving housing problems, incl. the construction of rental houses;</w:t>
      </w:r>
    </w:p>
    <w:p w:rsidR="00B05302" w:rsidRPr="00F13E5A" w:rsidRDefault="00B05302" w:rsidP="00B05302">
      <w:pPr>
        <w:pStyle w:val="ListParagraph"/>
        <w:numPr>
          <w:ilvl w:val="0"/>
          <w:numId w:val="177"/>
        </w:numPr>
        <w:spacing w:after="160" w:line="259" w:lineRule="auto"/>
        <w:jc w:val="both"/>
        <w:rPr>
          <w:lang w:val="en-GB"/>
        </w:rPr>
      </w:pPr>
      <w:r w:rsidRPr="00F13E5A">
        <w:rPr>
          <w:lang w:val="en-GB"/>
        </w:rPr>
        <w:t>slow pace of improvement of the legal framework (long-term development of the draft law “Residential Lease Law” and progress towards adoption by the Saeima and delay of the related amendments to the regulatory enactments);</w:t>
      </w:r>
    </w:p>
    <w:p w:rsidR="00B05302" w:rsidRPr="00F13E5A" w:rsidRDefault="00B05302" w:rsidP="00B05302">
      <w:pPr>
        <w:pStyle w:val="ListParagraph"/>
        <w:numPr>
          <w:ilvl w:val="0"/>
          <w:numId w:val="177"/>
        </w:numPr>
        <w:spacing w:after="160" w:line="259" w:lineRule="auto"/>
        <w:jc w:val="both"/>
        <w:rPr>
          <w:lang w:val="en-GB"/>
        </w:rPr>
      </w:pPr>
      <w:r w:rsidRPr="00F13E5A">
        <w:rPr>
          <w:lang w:val="en-GB"/>
        </w:rPr>
        <w:t>the direct link between housing inequality and income inequality: the lower the household income, the lower the quality of their housing;</w:t>
      </w:r>
    </w:p>
    <w:p w:rsidR="00B05302" w:rsidRPr="00F13E5A" w:rsidRDefault="00B05302" w:rsidP="00B05302">
      <w:pPr>
        <w:pStyle w:val="ListParagraph"/>
        <w:numPr>
          <w:ilvl w:val="0"/>
          <w:numId w:val="177"/>
        </w:numPr>
        <w:spacing w:after="160" w:line="259" w:lineRule="auto"/>
        <w:jc w:val="both"/>
        <w:rPr>
          <w:lang w:val="en-GB"/>
        </w:rPr>
      </w:pPr>
      <w:r w:rsidRPr="00F13E5A">
        <w:rPr>
          <w:lang w:val="en-GB"/>
        </w:rPr>
        <w:t>long queues for municipal housing, social housing (up to 12 years);</w:t>
      </w:r>
    </w:p>
    <w:p w:rsidR="00B05302" w:rsidRPr="00F13E5A" w:rsidRDefault="00B05302" w:rsidP="00B05302">
      <w:pPr>
        <w:pStyle w:val="ListParagraph"/>
        <w:numPr>
          <w:ilvl w:val="0"/>
          <w:numId w:val="177"/>
        </w:numPr>
        <w:spacing w:after="160" w:line="259" w:lineRule="auto"/>
        <w:jc w:val="both"/>
        <w:rPr>
          <w:lang w:val="en-GB"/>
        </w:rPr>
      </w:pPr>
      <w:r w:rsidRPr="00F13E5A">
        <w:rPr>
          <w:lang w:val="en-GB"/>
        </w:rPr>
        <w:t>unsatisfactory technical condition of the housing fund and non-compliance with the population, incl. specific target groups (such as people with disabilities);</w:t>
      </w:r>
    </w:p>
    <w:p w:rsidR="00B05302" w:rsidRPr="00F13E5A" w:rsidRDefault="00B05302" w:rsidP="00B05302">
      <w:pPr>
        <w:pStyle w:val="ListParagraph"/>
        <w:numPr>
          <w:ilvl w:val="0"/>
          <w:numId w:val="177"/>
        </w:numPr>
        <w:spacing w:after="160" w:line="259" w:lineRule="auto"/>
        <w:jc w:val="both"/>
        <w:rPr>
          <w:lang w:val="en-GB"/>
        </w:rPr>
      </w:pPr>
      <w:r w:rsidRPr="00F13E5A">
        <w:rPr>
          <w:lang w:val="en-GB"/>
        </w:rPr>
        <w:t>the risk of an increase in the proportion of people who have difficulty accessing housing, linked to the aging of the housing fund;</w:t>
      </w:r>
    </w:p>
    <w:p w:rsidR="00B05302" w:rsidRPr="00F13E5A" w:rsidRDefault="00B05302" w:rsidP="00B05302">
      <w:pPr>
        <w:pStyle w:val="ListParagraph"/>
        <w:numPr>
          <w:ilvl w:val="0"/>
          <w:numId w:val="177"/>
        </w:numPr>
        <w:spacing w:after="160" w:line="259" w:lineRule="auto"/>
        <w:jc w:val="both"/>
        <w:rPr>
          <w:lang w:val="en-GB"/>
        </w:rPr>
      </w:pPr>
      <w:r w:rsidRPr="00F13E5A">
        <w:rPr>
          <w:lang w:val="en-GB"/>
        </w:rPr>
        <w:t>housing renovation and construction problems;</w:t>
      </w:r>
    </w:p>
    <w:p w:rsidR="00B05302" w:rsidRPr="00F13E5A" w:rsidRDefault="00B05302" w:rsidP="00B05302">
      <w:pPr>
        <w:pStyle w:val="ListParagraph"/>
        <w:numPr>
          <w:ilvl w:val="0"/>
          <w:numId w:val="177"/>
        </w:numPr>
        <w:spacing w:after="160" w:line="259" w:lineRule="auto"/>
        <w:jc w:val="both"/>
        <w:rPr>
          <w:lang w:val="en-GB"/>
        </w:rPr>
      </w:pPr>
      <w:r w:rsidRPr="00F13E5A">
        <w:rPr>
          <w:lang w:val="en-GB"/>
        </w:rPr>
        <w:t>the stagnation of the rental housing construction and rental market, obstacles created by the fiscal policy for the development of the legal rental market and construction of new housing;;</w:t>
      </w:r>
    </w:p>
    <w:p w:rsidR="00B05302" w:rsidRPr="00F13E5A" w:rsidRDefault="00B05302" w:rsidP="00B05302">
      <w:pPr>
        <w:pStyle w:val="ListParagraph"/>
        <w:numPr>
          <w:ilvl w:val="0"/>
          <w:numId w:val="177"/>
        </w:numPr>
        <w:spacing w:after="160" w:line="259" w:lineRule="auto"/>
        <w:jc w:val="both"/>
        <w:rPr>
          <w:lang w:val="en-GB"/>
        </w:rPr>
      </w:pPr>
      <w:r w:rsidRPr="00F13E5A">
        <w:rPr>
          <w:lang w:val="en-GB"/>
        </w:rPr>
        <w:t>private-public housing relations: difficulties in aligning housing free market principles and autonomous functions of municipalities in providing housing assistance;</w:t>
      </w:r>
    </w:p>
    <w:p w:rsidR="00B05302" w:rsidRPr="00F13E5A" w:rsidRDefault="00B05302" w:rsidP="00B05302">
      <w:pPr>
        <w:pStyle w:val="ListParagraph"/>
        <w:numPr>
          <w:ilvl w:val="0"/>
          <w:numId w:val="177"/>
        </w:numPr>
        <w:spacing w:after="160" w:line="259" w:lineRule="auto"/>
        <w:jc w:val="both"/>
        <w:rPr>
          <w:lang w:val="en-GB"/>
        </w:rPr>
      </w:pPr>
      <w:r w:rsidRPr="00F13E5A">
        <w:rPr>
          <w:lang w:val="en-GB"/>
        </w:rPr>
        <w:t>lack of a unified approach to the provision of housing benefit in municipalities, creating unequal access for social groups in providing support depending on the municipality;</w:t>
      </w:r>
    </w:p>
    <w:p w:rsidR="00B05302" w:rsidRPr="00F13E5A" w:rsidRDefault="00B05302" w:rsidP="00B05302">
      <w:pPr>
        <w:pStyle w:val="ListParagraph"/>
        <w:numPr>
          <w:ilvl w:val="0"/>
          <w:numId w:val="177"/>
        </w:numPr>
        <w:spacing w:line="276" w:lineRule="auto"/>
        <w:jc w:val="both"/>
        <w:rPr>
          <w:lang w:val="en-GB"/>
        </w:rPr>
      </w:pPr>
      <w:r w:rsidRPr="00F13E5A">
        <w:rPr>
          <w:lang w:val="en-GB"/>
        </w:rPr>
        <w:t>the problem of access to temporary housing for specific target groups (persons released from prisons, victims of violence, people in crisis situations, etc.).</w:t>
      </w:r>
    </w:p>
    <w:p w:rsidR="00B05302" w:rsidRDefault="00B05302" w:rsidP="00B05302">
      <w:pPr>
        <w:rPr>
          <w:lang w:val="en-GB"/>
        </w:rPr>
      </w:pPr>
    </w:p>
    <w:p w:rsidR="00B05302" w:rsidRPr="00F13E5A" w:rsidRDefault="00B05302" w:rsidP="00B05302">
      <w:pPr>
        <w:rPr>
          <w:lang w:val="en-GB"/>
        </w:rPr>
      </w:pPr>
      <w:r w:rsidRPr="00F13E5A">
        <w:rPr>
          <w:lang w:val="en-GB"/>
        </w:rPr>
        <w:t>Most of the housing problems that can be resolved in reducing housing inequalities are related to the renovation and development of the housing fund and the need to implement measures to promote the housing rental market. Problems are based on the weaknesses in policy planning and unimplemented improvements of the legal framework, obstacles for public-private cooperation in the housing sector, low capacity of the population to solve the problems of technical condition of housing. In addition to the technical, legal and fiscal (tax burden reduction) solutions, it is necessary to make full use of the indirect solutions - developing social skills of the specific target groups, raising their level of participation in solving their problems, targeted use of existing assistance and types of services, i.e., as far as possible to exclude cases of misuse of aid which by their very nature does not mislead the municipality responsible authorities for their actual situation.</w:t>
      </w:r>
    </w:p>
    <w:p w:rsidR="00DE1C08" w:rsidRPr="00B87378" w:rsidRDefault="00DE1C08" w:rsidP="003945E0">
      <w:pPr>
        <w:pStyle w:val="Navnumercija"/>
      </w:pPr>
      <w:bookmarkStart w:id="794" w:name="_Toc6841685"/>
      <w:r w:rsidRPr="00B87378">
        <w:lastRenderedPageBreak/>
        <w:t>Anotācija</w:t>
      </w:r>
      <w:bookmarkEnd w:id="792"/>
      <w:bookmarkEnd w:id="794"/>
    </w:p>
    <w:p w:rsidR="00DE1C08" w:rsidRDefault="00DE1C08" w:rsidP="00DE1C08"/>
    <w:p w:rsidR="00DE1C08" w:rsidRPr="009C6978" w:rsidRDefault="00DE1C08" w:rsidP="00DE1C08">
      <w:pPr>
        <w:jc w:val="center"/>
        <w:rPr>
          <w:b/>
        </w:rPr>
      </w:pPr>
      <w:r w:rsidRPr="009C6978">
        <w:rPr>
          <w:b/>
        </w:rPr>
        <w:t>pētījumam “</w:t>
      </w:r>
      <w:r w:rsidRPr="00DE1C08">
        <w:rPr>
          <w:b/>
        </w:rPr>
        <w:t>Ikgadējs nabadzības un sociālās atstumtības mazināšanas rīcībpolitikas izvērtējums (t.sk. izvērtējums par nevienlīdzību veselības aprūpē un nevienlīdzību mājokļa pieejamības jomā)</w:t>
      </w:r>
      <w:r w:rsidRPr="009C6978">
        <w:rPr>
          <w:b/>
        </w:rPr>
        <w:t>”</w:t>
      </w:r>
    </w:p>
    <w:p w:rsidR="00DE1C08" w:rsidRPr="00A25218" w:rsidRDefault="00DE1C08" w:rsidP="00DE1C08"/>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30" w:type="dxa"/>
          <w:left w:w="30" w:type="dxa"/>
          <w:bottom w:w="30" w:type="dxa"/>
          <w:right w:w="30" w:type="dxa"/>
        </w:tblCellMar>
        <w:tblLook w:val="04A0"/>
      </w:tblPr>
      <w:tblGrid>
        <w:gridCol w:w="585"/>
        <w:gridCol w:w="4121"/>
        <w:gridCol w:w="5046"/>
      </w:tblGrid>
      <w:tr w:rsidR="00DE1C08" w:rsidRPr="00A25218" w:rsidTr="00931F0D">
        <w:trPr>
          <w:trHeight w:val="1373"/>
        </w:trPr>
        <w:tc>
          <w:tcPr>
            <w:tcW w:w="2413"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DE1C08" w:rsidRDefault="00DE1C08" w:rsidP="003E5F80">
            <w:pPr>
              <w:ind w:right="110"/>
              <w:rPr>
                <w:b/>
                <w:bCs/>
                <w:bdr w:val="none" w:sz="0" w:space="0" w:color="auto" w:frame="1"/>
              </w:rPr>
            </w:pPr>
            <w:r w:rsidRPr="00A25218">
              <w:rPr>
                <w:b/>
                <w:bCs/>
                <w:bdr w:val="none" w:sz="0" w:space="0" w:color="auto" w:frame="1"/>
              </w:rPr>
              <w:t xml:space="preserve">Pētījuma mērķis, uzdevumi un galvenie rezultāti </w:t>
            </w:r>
          </w:p>
          <w:p w:rsidR="00C26C31" w:rsidRDefault="00C26C31" w:rsidP="003E5F80">
            <w:pPr>
              <w:ind w:right="110"/>
            </w:pPr>
            <w:r>
              <w:t xml:space="preserve">Pētījuma mērķis ir </w:t>
            </w:r>
            <w:r w:rsidRPr="00FD1CAB">
              <w:t>veikt rīcībpolitikas pasākumu ietekmes un iedzīvotāju ienākumu situāciju raksturojošo datu izvērtējumu, lai secinātu, vai iniciētās un ieviestās politikas sniedz mērķētu ieguldījumu nabadzības un sociālās atstumtības mazināšan</w:t>
            </w:r>
            <w:r w:rsidR="004525AC">
              <w:t>ā un</w:t>
            </w:r>
            <w:r>
              <w:t xml:space="preserve"> </w:t>
            </w:r>
            <w:r w:rsidRPr="00FD1CAB">
              <w:t xml:space="preserve">veselības aprūpes </w:t>
            </w:r>
            <w:r w:rsidR="004525AC">
              <w:t xml:space="preserve">un mājokļa pieejamībā. </w:t>
            </w:r>
          </w:p>
          <w:p w:rsidR="003A7BE1" w:rsidRPr="009A14E3" w:rsidRDefault="003A7BE1" w:rsidP="003A7BE1">
            <w:r>
              <w:t>N</w:t>
            </w:r>
            <w:r w:rsidR="00C26C31">
              <w:t>eraugoties uz vairāku nabadzības un sociālās ats</w:t>
            </w:r>
            <w:r>
              <w:t>t</w:t>
            </w:r>
            <w:r w:rsidR="00C26C31">
              <w:t>u</w:t>
            </w:r>
            <w:r>
              <w:t>mt</w:t>
            </w:r>
            <w:r w:rsidR="00C26C31">
              <w:t>ības rādītāju pozitīvām izmaiņām un veiktajiem rīcībpolitikas pasākumiem</w:t>
            </w:r>
            <w:r w:rsidR="004525AC">
              <w:t xml:space="preserve"> 2015. un 2016. gadā</w:t>
            </w:r>
            <w:r w:rsidR="00C26C31">
              <w:t>, saglabā</w:t>
            </w:r>
            <w:r>
              <w:t>ja</w:t>
            </w:r>
            <w:r w:rsidR="00C26C31">
              <w:t xml:space="preserve">s </w:t>
            </w:r>
            <w:r>
              <w:t>augsta iedzīvotāju ienākumu nevienlīdzība. Galvenās nabadzības riskam pakļautās grupas ir s</w:t>
            </w:r>
            <w:r w:rsidRPr="009A14E3">
              <w:t>eniori, īpaši pensionāri, vecumā virs 65 gadiem, īpaši sievietes;</w:t>
            </w:r>
            <w:r>
              <w:t xml:space="preserve"> pirmspensijas vecuma cilvēki; b</w:t>
            </w:r>
            <w:r w:rsidRPr="009A14E3">
              <w:t>ezdarbnieki;</w:t>
            </w:r>
            <w:r>
              <w:t xml:space="preserve"> ģ</w:t>
            </w:r>
            <w:r w:rsidRPr="009A14E3">
              <w:t xml:space="preserve">imenes ar bērniem, īpaši </w:t>
            </w:r>
            <w:r w:rsidR="00BA1727">
              <w:t>vecāka mājsaimniecības</w:t>
            </w:r>
            <w:r w:rsidRPr="009A14E3">
              <w:t>;</w:t>
            </w:r>
            <w:r>
              <w:t xml:space="preserve"> p</w:t>
            </w:r>
            <w:r w:rsidRPr="009A14E3">
              <w:t>ersonas ar invaliditāti;</w:t>
            </w:r>
            <w:r>
              <w:t xml:space="preserve"> i</w:t>
            </w:r>
            <w:r w:rsidRPr="009A14E3">
              <w:t>edzīvotāji ar pamata izglītību;</w:t>
            </w:r>
            <w:r>
              <w:t xml:space="preserve"> a</w:t>
            </w:r>
            <w:r w:rsidRPr="009A14E3">
              <w:t>tsevišķi dzīvojošas personas, īpaši vecumā no 50 līdz 64 gadiem un vīrieši;</w:t>
            </w:r>
            <w:r>
              <w:t xml:space="preserve"> </w:t>
            </w:r>
            <w:r w:rsidRPr="009A14E3">
              <w:t>Latgales reģiona iedzīvotāji</w:t>
            </w:r>
            <w:r>
              <w:t>.</w:t>
            </w:r>
          </w:p>
          <w:p w:rsidR="00C26C31" w:rsidRPr="00D6244A" w:rsidRDefault="003A7BE1" w:rsidP="003E5F80">
            <w:pPr>
              <w:ind w:right="110"/>
            </w:pPr>
            <w:r w:rsidRPr="00D6244A">
              <w:t>Veselības</w:t>
            </w:r>
            <w:r w:rsidR="00C26C31" w:rsidRPr="00D6244A">
              <w:t xml:space="preserve"> aprūpes jomā</w:t>
            </w:r>
            <w:r w:rsidRPr="00D6244A">
              <w:t xml:space="preserve"> </w:t>
            </w:r>
            <w:r w:rsidR="00D6244A" w:rsidRPr="00D6244A">
              <w:t>nevienlīdzību pr</w:t>
            </w:r>
            <w:r w:rsidR="00931F0D">
              <w:t>imāri rada ienākumu atšķirības. I</w:t>
            </w:r>
            <w:r w:rsidR="00D6244A" w:rsidRPr="00D6244A">
              <w:t>zjusto slogu var pastiprināt dažādi papildu faktori – mājsaimniecības kompozīcija un vecuma struktūra (pieaugušo un bērnu skaita attiecība)</w:t>
            </w:r>
            <w:r w:rsidR="00931F0D">
              <w:t xml:space="preserve">, </w:t>
            </w:r>
            <w:r w:rsidR="00D6244A" w:rsidRPr="00D6244A">
              <w:t xml:space="preserve"> mājsaimniecības locekļu individuālās veselības aprūpes vajadzības (saslimšanas vai noteikti fiziski stāvokļi), kā arī citi sociāli un kultūras faktori, kas veicina sociālo atstumtību.</w:t>
            </w:r>
          </w:p>
          <w:p w:rsidR="00DE1C08" w:rsidRPr="003A7BE1" w:rsidRDefault="00C26C31" w:rsidP="003E5F80">
            <w:pPr>
              <w:ind w:right="110"/>
              <w:rPr>
                <w:b/>
                <w:bCs/>
                <w:bdr w:val="none" w:sz="0" w:space="0" w:color="auto" w:frame="1"/>
              </w:rPr>
            </w:pPr>
            <w:r>
              <w:t xml:space="preserve">Mājokļa </w:t>
            </w:r>
            <w:r w:rsidR="003A7BE1">
              <w:t xml:space="preserve">pieejamības </w:t>
            </w:r>
            <w:r>
              <w:t xml:space="preserve">jomā galvenās problēmas ir saistītas ar dzīvojamā fonda attīstības ierobežojumiem, mājokļu tirgus stagnāciju, pašvaldību ierobežotajiem resursiem </w:t>
            </w:r>
            <w:r>
              <w:lastRenderedPageBreak/>
              <w:t xml:space="preserve">nodrošināt iedzīvotāju vajadzībām atbilstošu palīdzību mājokļu jomā, kā arī pašvaldību būtiski atšķirīgā pieeja palīdzības mājokļa jomā sniegšanai. </w:t>
            </w:r>
          </w:p>
        </w:tc>
        <w:tc>
          <w:tcPr>
            <w:tcW w:w="2587" w:type="pct"/>
            <w:tcBorders>
              <w:top w:val="outset" w:sz="6" w:space="0" w:color="414142"/>
              <w:left w:val="outset" w:sz="6" w:space="0" w:color="414142"/>
              <w:bottom w:val="outset" w:sz="6" w:space="0" w:color="414142"/>
              <w:right w:val="outset" w:sz="6" w:space="0" w:color="414142"/>
            </w:tcBorders>
            <w:shd w:val="clear" w:color="auto" w:fill="FFFFFF"/>
            <w:hideMark/>
          </w:tcPr>
          <w:p w:rsidR="00DE1C08" w:rsidRPr="007366BA" w:rsidRDefault="00DE1C08" w:rsidP="003E5F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2"/>
              <w:jc w:val="left"/>
              <w:rPr>
                <w:rFonts w:eastAsia="Times New Roman"/>
                <w:b/>
                <w:color w:val="212121"/>
              </w:rPr>
            </w:pPr>
            <w:r>
              <w:rPr>
                <w:rFonts w:eastAsia="Times New Roman"/>
                <w:b/>
                <w:color w:val="212121"/>
              </w:rPr>
              <w:lastRenderedPageBreak/>
              <w:t xml:space="preserve">The main aim, tasks </w:t>
            </w:r>
            <w:r w:rsidRPr="007366BA">
              <w:rPr>
                <w:rFonts w:eastAsia="Times New Roman"/>
                <w:b/>
                <w:color w:val="212121"/>
              </w:rPr>
              <w:t>and results of the study</w:t>
            </w:r>
          </w:p>
          <w:p w:rsidR="00DE1C08" w:rsidRPr="007366BA" w:rsidRDefault="00DE1C08" w:rsidP="003E5F80">
            <w:pPr>
              <w:pStyle w:val="HTMLPreformatted"/>
              <w:shd w:val="clear" w:color="auto" w:fill="FFFFFF"/>
              <w:ind w:left="112"/>
              <w:jc w:val="both"/>
              <w:rPr>
                <w:rFonts w:ascii="Times New Roman" w:hAnsi="Times New Roman" w:cs="Times New Roman"/>
                <w:b/>
                <w:bCs/>
                <w:sz w:val="24"/>
                <w:szCs w:val="24"/>
                <w:bdr w:val="none" w:sz="0" w:space="0" w:color="auto" w:frame="1"/>
              </w:rPr>
            </w:pPr>
          </w:p>
          <w:p w:rsidR="00F271F7" w:rsidRPr="004525AC" w:rsidRDefault="00F271F7" w:rsidP="00F271F7">
            <w:pPr>
              <w:pStyle w:val="HTMLPreformatted"/>
              <w:shd w:val="clear" w:color="auto" w:fill="FFFFFF"/>
              <w:ind w:left="113" w:right="56"/>
              <w:jc w:val="both"/>
              <w:rPr>
                <w:rFonts w:ascii="Times New Roman" w:hAnsi="Times New Roman" w:cs="Times New Roman"/>
                <w:color w:val="212121"/>
                <w:sz w:val="24"/>
                <w:szCs w:val="24"/>
                <w:lang w:val="en-GB"/>
              </w:rPr>
            </w:pPr>
            <w:r w:rsidRPr="004525AC">
              <w:rPr>
                <w:rFonts w:ascii="Times New Roman" w:hAnsi="Times New Roman" w:cs="Times New Roman"/>
                <w:color w:val="212121"/>
                <w:sz w:val="24"/>
                <w:szCs w:val="24"/>
                <w:lang w:val="en-GB"/>
              </w:rPr>
              <w:t xml:space="preserve">The aim of the study is to evaluate the impact of policies and the data on the situation of income of the population in order to conclude whether the initiated and implemented policies provide targeted impact on the reduction </w:t>
            </w:r>
            <w:r w:rsidR="004525AC" w:rsidRPr="004525AC">
              <w:rPr>
                <w:rFonts w:ascii="Times New Roman" w:hAnsi="Times New Roman" w:cs="Times New Roman"/>
                <w:color w:val="212121"/>
                <w:sz w:val="24"/>
                <w:szCs w:val="24"/>
                <w:lang w:val="en-GB"/>
              </w:rPr>
              <w:t>of poverty and social exclusion, and on the</w:t>
            </w:r>
            <w:r w:rsidRPr="004525AC">
              <w:rPr>
                <w:rFonts w:ascii="Times New Roman" w:hAnsi="Times New Roman" w:cs="Times New Roman"/>
                <w:color w:val="212121"/>
                <w:sz w:val="24"/>
                <w:szCs w:val="24"/>
                <w:lang w:val="en-GB"/>
              </w:rPr>
              <w:t xml:space="preserve"> access to healthcare</w:t>
            </w:r>
            <w:r w:rsidR="004525AC" w:rsidRPr="004525AC">
              <w:rPr>
                <w:rFonts w:ascii="Times New Roman" w:hAnsi="Times New Roman" w:cs="Times New Roman"/>
                <w:color w:val="212121"/>
                <w:sz w:val="24"/>
                <w:szCs w:val="24"/>
                <w:lang w:val="en-GB"/>
              </w:rPr>
              <w:t xml:space="preserve"> and</w:t>
            </w:r>
            <w:r w:rsidRPr="004525AC">
              <w:rPr>
                <w:rFonts w:ascii="Times New Roman" w:hAnsi="Times New Roman" w:cs="Times New Roman"/>
                <w:color w:val="212121"/>
                <w:sz w:val="24"/>
                <w:szCs w:val="24"/>
                <w:lang w:val="en-GB"/>
              </w:rPr>
              <w:t xml:space="preserve"> housing.</w:t>
            </w:r>
          </w:p>
          <w:p w:rsidR="00DE1C08" w:rsidRPr="004525AC" w:rsidRDefault="00F271F7" w:rsidP="00F271F7">
            <w:pPr>
              <w:pStyle w:val="HTMLPreformatted"/>
              <w:shd w:val="clear" w:color="auto" w:fill="FFFFFF"/>
              <w:ind w:left="113" w:right="56"/>
              <w:jc w:val="both"/>
              <w:rPr>
                <w:rFonts w:ascii="Times New Roman" w:hAnsi="Times New Roman" w:cs="Times New Roman"/>
                <w:color w:val="212121"/>
                <w:sz w:val="24"/>
                <w:szCs w:val="24"/>
                <w:lang w:val="en-GB"/>
              </w:rPr>
            </w:pPr>
            <w:r w:rsidRPr="004525AC">
              <w:rPr>
                <w:rFonts w:ascii="Times New Roman" w:hAnsi="Times New Roman" w:cs="Times New Roman"/>
                <w:color w:val="212121"/>
                <w:sz w:val="24"/>
                <w:szCs w:val="24"/>
                <w:lang w:val="en-GB"/>
              </w:rPr>
              <w:t>Despite several positive changes in the indicators of poverty and social exclusion and the policy measures taken</w:t>
            </w:r>
            <w:r w:rsidR="004525AC" w:rsidRPr="004525AC">
              <w:rPr>
                <w:rFonts w:ascii="Times New Roman" w:hAnsi="Times New Roman" w:cs="Times New Roman"/>
                <w:color w:val="212121"/>
                <w:sz w:val="24"/>
                <w:szCs w:val="24"/>
                <w:lang w:val="en-GB"/>
              </w:rPr>
              <w:t xml:space="preserve"> in 2015 and 2016</w:t>
            </w:r>
            <w:r w:rsidRPr="004525AC">
              <w:rPr>
                <w:rFonts w:ascii="Times New Roman" w:hAnsi="Times New Roman" w:cs="Times New Roman"/>
                <w:color w:val="212121"/>
                <w:sz w:val="24"/>
                <w:szCs w:val="24"/>
                <w:lang w:val="en-GB"/>
              </w:rPr>
              <w:t>, the inequality of income of the population remains high. The main groups at risk of poverty identified in the study are seniors, especially pensioners, over the age of 65, especially women; people of pre-retirement age; unemployed persons; families with children, especially one-parent families; persons with disabilities; persons with basic education; persons living separately, especially between the ages of 50 and 64 and men; population of Latgale region.</w:t>
            </w:r>
          </w:p>
          <w:p w:rsidR="004525AC" w:rsidRPr="004525AC" w:rsidRDefault="00D6244A" w:rsidP="00F271F7">
            <w:pPr>
              <w:pStyle w:val="HTMLPreformatted"/>
              <w:shd w:val="clear" w:color="auto" w:fill="FFFFFF"/>
              <w:ind w:left="113" w:right="56"/>
              <w:jc w:val="both"/>
              <w:rPr>
                <w:rFonts w:ascii="Times New Roman" w:hAnsi="Times New Roman" w:cs="Times New Roman"/>
                <w:color w:val="212121"/>
                <w:sz w:val="24"/>
                <w:szCs w:val="24"/>
                <w:lang w:val="en-GB"/>
              </w:rPr>
            </w:pPr>
            <w:r>
              <w:rPr>
                <w:rFonts w:ascii="Times New Roman" w:hAnsi="Times New Roman" w:cs="Times New Roman"/>
                <w:color w:val="212121"/>
                <w:sz w:val="24"/>
                <w:szCs w:val="24"/>
                <w:lang w:val="en-GB"/>
              </w:rPr>
              <w:t>In health</w:t>
            </w:r>
            <w:r w:rsidRPr="00D6244A">
              <w:rPr>
                <w:rFonts w:ascii="Times New Roman" w:hAnsi="Times New Roman" w:cs="Times New Roman"/>
                <w:color w:val="212121"/>
                <w:sz w:val="24"/>
                <w:szCs w:val="24"/>
                <w:lang w:val="en-GB"/>
              </w:rPr>
              <w:t>care, inequalities are primarily caused by income inequalities</w:t>
            </w:r>
            <w:r w:rsidR="00931F0D">
              <w:rPr>
                <w:rFonts w:ascii="Times New Roman" w:hAnsi="Times New Roman" w:cs="Times New Roman"/>
                <w:color w:val="212121"/>
                <w:sz w:val="24"/>
                <w:szCs w:val="24"/>
                <w:lang w:val="en-GB"/>
              </w:rPr>
              <w:t>. T</w:t>
            </w:r>
            <w:r w:rsidRPr="00D6244A">
              <w:rPr>
                <w:rFonts w:ascii="Times New Roman" w:hAnsi="Times New Roman" w:cs="Times New Roman"/>
                <w:color w:val="212121"/>
                <w:sz w:val="24"/>
                <w:szCs w:val="24"/>
                <w:lang w:val="en-GB"/>
              </w:rPr>
              <w:t xml:space="preserve">he additional burden can be exacerbated by various additional factors </w:t>
            </w:r>
            <w:r>
              <w:rPr>
                <w:rFonts w:ascii="Times New Roman" w:hAnsi="Times New Roman" w:cs="Times New Roman"/>
                <w:color w:val="212121"/>
                <w:sz w:val="24"/>
                <w:szCs w:val="24"/>
                <w:lang w:val="en-GB"/>
              </w:rPr>
              <w:t>–</w:t>
            </w:r>
            <w:r w:rsidRPr="00D6244A">
              <w:rPr>
                <w:rFonts w:ascii="Times New Roman" w:hAnsi="Times New Roman" w:cs="Times New Roman"/>
                <w:color w:val="212121"/>
                <w:sz w:val="24"/>
                <w:szCs w:val="24"/>
                <w:lang w:val="en-GB"/>
              </w:rPr>
              <w:t xml:space="preserve"> household composition and age structure (ratio of adults and </w:t>
            </w:r>
            <w:r w:rsidR="00931F0D">
              <w:rPr>
                <w:rFonts w:ascii="Times New Roman" w:hAnsi="Times New Roman" w:cs="Times New Roman"/>
                <w:color w:val="212121"/>
                <w:sz w:val="24"/>
                <w:szCs w:val="24"/>
                <w:lang w:val="en-GB"/>
              </w:rPr>
              <w:t xml:space="preserve">children), </w:t>
            </w:r>
            <w:r>
              <w:rPr>
                <w:rFonts w:ascii="Times New Roman" w:hAnsi="Times New Roman" w:cs="Times New Roman"/>
                <w:color w:val="212121"/>
                <w:sz w:val="24"/>
                <w:szCs w:val="24"/>
                <w:lang w:val="en-GB"/>
              </w:rPr>
              <w:t>individual health</w:t>
            </w:r>
            <w:r w:rsidRPr="00D6244A">
              <w:rPr>
                <w:rFonts w:ascii="Times New Roman" w:hAnsi="Times New Roman" w:cs="Times New Roman"/>
                <w:color w:val="212121"/>
                <w:sz w:val="24"/>
                <w:szCs w:val="24"/>
                <w:lang w:val="en-GB"/>
              </w:rPr>
              <w:t>care needs (illnesses</w:t>
            </w:r>
            <w:r>
              <w:rPr>
                <w:rFonts w:ascii="Times New Roman" w:hAnsi="Times New Roman" w:cs="Times New Roman"/>
                <w:color w:val="212121"/>
                <w:sz w:val="24"/>
                <w:szCs w:val="24"/>
                <w:lang w:val="en-GB"/>
              </w:rPr>
              <w:t xml:space="preserve"> or conditions</w:t>
            </w:r>
            <w:r w:rsidRPr="00D6244A">
              <w:rPr>
                <w:rFonts w:ascii="Times New Roman" w:hAnsi="Times New Roman" w:cs="Times New Roman"/>
                <w:color w:val="212121"/>
                <w:sz w:val="24"/>
                <w:szCs w:val="24"/>
                <w:lang w:val="en-GB"/>
              </w:rPr>
              <w:t>) of household members as well as other social and cultural factors contributing to social exclusion.</w:t>
            </w:r>
          </w:p>
          <w:p w:rsidR="004525AC" w:rsidRPr="007D3508" w:rsidRDefault="004525AC" w:rsidP="00F271F7">
            <w:pPr>
              <w:pStyle w:val="HTMLPreformatted"/>
              <w:shd w:val="clear" w:color="auto" w:fill="FFFFFF"/>
              <w:ind w:left="113" w:right="56"/>
              <w:jc w:val="both"/>
              <w:rPr>
                <w:rFonts w:ascii="Times New Roman" w:hAnsi="Times New Roman" w:cs="Times New Roman"/>
                <w:color w:val="212121"/>
                <w:sz w:val="24"/>
                <w:szCs w:val="24"/>
              </w:rPr>
            </w:pPr>
            <w:r w:rsidRPr="004525AC">
              <w:rPr>
                <w:rFonts w:ascii="Times New Roman" w:eastAsia="Calibri" w:hAnsi="Times New Roman" w:cs="Times New Roman"/>
                <w:sz w:val="24"/>
                <w:szCs w:val="24"/>
                <w:lang w:val="en-GB"/>
              </w:rPr>
              <w:t xml:space="preserve">In the area of </w:t>
            </w:r>
            <w:r w:rsidRPr="004525AC">
              <w:rPr>
                <w:rFonts w:ascii="Times New Roman" w:eastAsia="Calibri" w:hAnsi="Cambria Math" w:cs="Times New Roman"/>
                <w:sz w:val="24"/>
                <w:szCs w:val="24"/>
                <w:lang w:val="en-GB"/>
              </w:rPr>
              <w:t>​​</w:t>
            </w:r>
            <w:r w:rsidRPr="004525AC">
              <w:rPr>
                <w:rFonts w:ascii="Times New Roman" w:eastAsia="Calibri" w:hAnsi="Times New Roman" w:cs="Times New Roman"/>
                <w:sz w:val="24"/>
                <w:szCs w:val="24"/>
                <w:lang w:val="en-GB"/>
              </w:rPr>
              <w:t xml:space="preserve">access to housing, the main problems are related to the housing fund constraints and technical condition, stagnation in the housing market, limited resources of municipalities to provide housing assistance corresponding to the needs of different social </w:t>
            </w:r>
            <w:r w:rsidRPr="004525AC">
              <w:rPr>
                <w:rFonts w:ascii="Times New Roman" w:eastAsia="Calibri" w:hAnsi="Times New Roman" w:cs="Times New Roman"/>
                <w:sz w:val="24"/>
                <w:szCs w:val="24"/>
                <w:lang w:val="en-GB"/>
              </w:rPr>
              <w:lastRenderedPageBreak/>
              <w:t>groups, and a significantly different approach among municipalities to providing social assistance for housing problems.</w:t>
            </w:r>
          </w:p>
        </w:tc>
      </w:tr>
      <w:tr w:rsidR="00DE1C08" w:rsidRPr="00A25218" w:rsidTr="003E5F80">
        <w:tc>
          <w:tcPr>
            <w:tcW w:w="2413"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DE1C08" w:rsidRPr="00812658" w:rsidRDefault="00DE1C08" w:rsidP="003E5F80">
            <w:pPr>
              <w:jc w:val="left"/>
              <w:rPr>
                <w:b/>
                <w:bCs/>
              </w:rPr>
            </w:pPr>
            <w:r w:rsidRPr="00812658">
              <w:rPr>
                <w:b/>
                <w:bCs/>
              </w:rPr>
              <w:lastRenderedPageBreak/>
              <w:t>Galvenās pētījumā aplūkotās tēmas</w:t>
            </w:r>
          </w:p>
        </w:tc>
        <w:tc>
          <w:tcPr>
            <w:tcW w:w="2587" w:type="pct"/>
            <w:tcBorders>
              <w:top w:val="outset" w:sz="6" w:space="0" w:color="414142"/>
              <w:left w:val="outset" w:sz="6" w:space="0" w:color="414142"/>
              <w:bottom w:val="outset" w:sz="6" w:space="0" w:color="414142"/>
              <w:right w:val="outset" w:sz="6" w:space="0" w:color="414142"/>
            </w:tcBorders>
            <w:shd w:val="clear" w:color="auto" w:fill="FFFFFF"/>
            <w:hideMark/>
          </w:tcPr>
          <w:p w:rsidR="00DE1C08" w:rsidRDefault="0067470E" w:rsidP="003F469F">
            <w:pPr>
              <w:pStyle w:val="ListParagraph"/>
              <w:numPr>
                <w:ilvl w:val="0"/>
                <w:numId w:val="160"/>
              </w:numPr>
              <w:ind w:left="397" w:hanging="397"/>
              <w:rPr>
                <w:bCs/>
              </w:rPr>
            </w:pPr>
            <w:r>
              <w:rPr>
                <w:bCs/>
              </w:rPr>
              <w:t>nabadzība, ienākumu nevienlīdzība, sociālā atstumtība;</w:t>
            </w:r>
          </w:p>
          <w:p w:rsidR="0067470E" w:rsidRDefault="0067470E" w:rsidP="003F469F">
            <w:pPr>
              <w:pStyle w:val="ListParagraph"/>
              <w:numPr>
                <w:ilvl w:val="0"/>
                <w:numId w:val="160"/>
              </w:numPr>
              <w:ind w:left="397" w:hanging="397"/>
              <w:rPr>
                <w:bCs/>
              </w:rPr>
            </w:pPr>
            <w:r>
              <w:rPr>
                <w:bCs/>
              </w:rPr>
              <w:t>nevienlīdzība mājokļu pieejamības jomā;</w:t>
            </w:r>
          </w:p>
          <w:p w:rsidR="00DE1C08" w:rsidRPr="0067470E" w:rsidRDefault="0067470E" w:rsidP="003F469F">
            <w:pPr>
              <w:pStyle w:val="ListParagraph"/>
              <w:numPr>
                <w:ilvl w:val="0"/>
                <w:numId w:val="160"/>
              </w:numPr>
              <w:ind w:left="397" w:hanging="397"/>
              <w:rPr>
                <w:bCs/>
              </w:rPr>
            </w:pPr>
            <w:r>
              <w:rPr>
                <w:bCs/>
              </w:rPr>
              <w:t xml:space="preserve">nevienlīdzība veselības aprūpes pieejamības jomā. </w:t>
            </w:r>
          </w:p>
        </w:tc>
      </w:tr>
      <w:tr w:rsidR="00DE1C08" w:rsidRPr="00A25218" w:rsidTr="003E5F80">
        <w:tc>
          <w:tcPr>
            <w:tcW w:w="2413"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DE1C08" w:rsidRPr="00A25218" w:rsidRDefault="00DE1C08" w:rsidP="003E5F80">
            <w:pPr>
              <w:jc w:val="left"/>
              <w:rPr>
                <w:b/>
                <w:bCs/>
              </w:rPr>
            </w:pPr>
            <w:r w:rsidRPr="00A25218">
              <w:rPr>
                <w:b/>
                <w:bCs/>
              </w:rPr>
              <w:t>Pētījuma pasūtītājs</w:t>
            </w:r>
          </w:p>
        </w:tc>
        <w:tc>
          <w:tcPr>
            <w:tcW w:w="2587" w:type="pct"/>
            <w:tcBorders>
              <w:top w:val="outset" w:sz="6" w:space="0" w:color="414142"/>
              <w:left w:val="outset" w:sz="6" w:space="0" w:color="414142"/>
              <w:bottom w:val="outset" w:sz="6" w:space="0" w:color="414142"/>
              <w:right w:val="outset" w:sz="6" w:space="0" w:color="414142"/>
            </w:tcBorders>
            <w:shd w:val="clear" w:color="auto" w:fill="FFFFFF"/>
            <w:hideMark/>
          </w:tcPr>
          <w:p w:rsidR="00DE1C08" w:rsidRPr="00963095" w:rsidRDefault="00DE1C08" w:rsidP="00DE1C08">
            <w:pPr>
              <w:rPr>
                <w:bCs/>
              </w:rPr>
            </w:pPr>
            <w:r w:rsidRPr="00963095">
              <w:rPr>
                <w:bCs/>
              </w:rPr>
              <w:t xml:space="preserve">LR </w:t>
            </w:r>
            <w:r>
              <w:rPr>
                <w:bCs/>
              </w:rPr>
              <w:t>Labklājības</w:t>
            </w:r>
            <w:r w:rsidRPr="00963095">
              <w:rPr>
                <w:bCs/>
              </w:rPr>
              <w:t xml:space="preserve"> ministrija</w:t>
            </w:r>
          </w:p>
        </w:tc>
      </w:tr>
      <w:tr w:rsidR="00DE1C08" w:rsidRPr="00A25218" w:rsidTr="003E5F80">
        <w:tc>
          <w:tcPr>
            <w:tcW w:w="2413"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DE1C08" w:rsidRPr="00A25218" w:rsidRDefault="00DE1C08" w:rsidP="003E5F80">
            <w:pPr>
              <w:jc w:val="left"/>
              <w:rPr>
                <w:b/>
                <w:bCs/>
              </w:rPr>
            </w:pPr>
            <w:r w:rsidRPr="00A25218">
              <w:rPr>
                <w:b/>
                <w:bCs/>
              </w:rPr>
              <w:t>Pētījuma īstenotājs</w:t>
            </w:r>
          </w:p>
        </w:tc>
        <w:tc>
          <w:tcPr>
            <w:tcW w:w="2587" w:type="pct"/>
            <w:tcBorders>
              <w:top w:val="outset" w:sz="6" w:space="0" w:color="414142"/>
              <w:left w:val="outset" w:sz="6" w:space="0" w:color="414142"/>
              <w:bottom w:val="outset" w:sz="6" w:space="0" w:color="414142"/>
              <w:right w:val="outset" w:sz="6" w:space="0" w:color="414142"/>
            </w:tcBorders>
            <w:shd w:val="clear" w:color="auto" w:fill="FFFFFF"/>
            <w:hideMark/>
          </w:tcPr>
          <w:p w:rsidR="00DE1C08" w:rsidRPr="00963095" w:rsidRDefault="00DE1C08" w:rsidP="003E5F80">
            <w:pPr>
              <w:jc w:val="left"/>
              <w:rPr>
                <w:bCs/>
              </w:rPr>
            </w:pPr>
            <w:r w:rsidRPr="00963095">
              <w:rPr>
                <w:bCs/>
              </w:rPr>
              <w:t>Nodibinājums “Baltic Institute of Social Sciences”</w:t>
            </w:r>
          </w:p>
        </w:tc>
      </w:tr>
      <w:tr w:rsidR="00DE1C08" w:rsidRPr="00A25218" w:rsidTr="003E5F80">
        <w:tc>
          <w:tcPr>
            <w:tcW w:w="2413"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DE1C08" w:rsidRPr="00A25218" w:rsidRDefault="00DE1C08" w:rsidP="003E5F80">
            <w:pPr>
              <w:jc w:val="left"/>
              <w:rPr>
                <w:b/>
                <w:bCs/>
              </w:rPr>
            </w:pPr>
            <w:r w:rsidRPr="00A25218">
              <w:rPr>
                <w:b/>
                <w:bCs/>
              </w:rPr>
              <w:t>Pētījuma īstenošanas gads</w:t>
            </w:r>
          </w:p>
        </w:tc>
        <w:tc>
          <w:tcPr>
            <w:tcW w:w="2587" w:type="pct"/>
            <w:tcBorders>
              <w:top w:val="outset" w:sz="6" w:space="0" w:color="414142"/>
              <w:left w:val="outset" w:sz="6" w:space="0" w:color="414142"/>
              <w:bottom w:val="outset" w:sz="6" w:space="0" w:color="414142"/>
              <w:right w:val="outset" w:sz="6" w:space="0" w:color="414142"/>
            </w:tcBorders>
            <w:shd w:val="clear" w:color="auto" w:fill="FFFFFF"/>
            <w:hideMark/>
          </w:tcPr>
          <w:p w:rsidR="00DE1C08" w:rsidRPr="00963095" w:rsidRDefault="00DE1C08" w:rsidP="00DE1C08">
            <w:pPr>
              <w:rPr>
                <w:bCs/>
              </w:rPr>
            </w:pPr>
            <w:r w:rsidRPr="00963095">
              <w:rPr>
                <w:bCs/>
              </w:rPr>
              <w:t>2</w:t>
            </w:r>
            <w:r>
              <w:rPr>
                <w:bCs/>
              </w:rPr>
              <w:t>2</w:t>
            </w:r>
            <w:r w:rsidRPr="00963095">
              <w:rPr>
                <w:bCs/>
              </w:rPr>
              <w:t>.08.2018.-</w:t>
            </w:r>
            <w:r>
              <w:rPr>
                <w:bCs/>
              </w:rPr>
              <w:t>21</w:t>
            </w:r>
            <w:r w:rsidRPr="00963095">
              <w:rPr>
                <w:bCs/>
              </w:rPr>
              <w:t>.0</w:t>
            </w:r>
            <w:r>
              <w:rPr>
                <w:bCs/>
              </w:rPr>
              <w:t>4</w:t>
            </w:r>
            <w:r w:rsidRPr="00963095">
              <w:rPr>
                <w:bCs/>
              </w:rPr>
              <w:t>.2019.</w:t>
            </w:r>
          </w:p>
        </w:tc>
      </w:tr>
      <w:tr w:rsidR="00DE1C08" w:rsidRPr="00A25218" w:rsidTr="003E5F80">
        <w:tc>
          <w:tcPr>
            <w:tcW w:w="2413"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DE1C08" w:rsidRPr="00A25218" w:rsidRDefault="00DE1C08" w:rsidP="003E5F80">
            <w:pPr>
              <w:jc w:val="left"/>
              <w:rPr>
                <w:b/>
                <w:bCs/>
              </w:rPr>
            </w:pPr>
            <w:r w:rsidRPr="00A25218">
              <w:rPr>
                <w:b/>
                <w:bCs/>
              </w:rPr>
              <w:t>Pētījuma finansēšanas summa un finansēšanas avots</w:t>
            </w:r>
          </w:p>
        </w:tc>
        <w:tc>
          <w:tcPr>
            <w:tcW w:w="2587" w:type="pct"/>
            <w:tcBorders>
              <w:top w:val="outset" w:sz="6" w:space="0" w:color="414142"/>
              <w:left w:val="outset" w:sz="6" w:space="0" w:color="414142"/>
              <w:bottom w:val="outset" w:sz="6" w:space="0" w:color="414142"/>
              <w:right w:val="outset" w:sz="6" w:space="0" w:color="414142"/>
            </w:tcBorders>
            <w:shd w:val="clear" w:color="auto" w:fill="FFFFFF"/>
            <w:hideMark/>
          </w:tcPr>
          <w:p w:rsidR="00DE1C08" w:rsidRDefault="00402874" w:rsidP="003E5F80">
            <w:r w:rsidRPr="00402874">
              <w:t xml:space="preserve">70 906,00 </w:t>
            </w:r>
            <w:r w:rsidR="00DE1C08" w:rsidRPr="00402874">
              <w:t>EUR</w:t>
            </w:r>
            <w:r w:rsidRPr="00402874">
              <w:t xml:space="preserve"> (ar PVN)</w:t>
            </w:r>
          </w:p>
          <w:p w:rsidR="00DE1C08" w:rsidRPr="00A25218" w:rsidRDefault="00402874" w:rsidP="003E5F80">
            <w:r>
              <w:t>ESF projekta Nr. 9.2.1.2./15/I/001 „Iekļaujoša darba tirgus un nabadzības risku pētījumi un monitorings</w:t>
            </w:r>
            <w:r w:rsidR="00BD391B">
              <w:t>” finansējums</w:t>
            </w:r>
          </w:p>
        </w:tc>
      </w:tr>
      <w:tr w:rsidR="00DE1C08" w:rsidRPr="00A25218" w:rsidTr="003E5F80">
        <w:tc>
          <w:tcPr>
            <w:tcW w:w="2413"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DE1C08" w:rsidRPr="00A25218" w:rsidRDefault="00DE1C08" w:rsidP="003E5F80">
            <w:pPr>
              <w:jc w:val="left"/>
              <w:rPr>
                <w:b/>
                <w:bCs/>
              </w:rPr>
            </w:pPr>
            <w:r w:rsidRPr="00A25218">
              <w:rPr>
                <w:b/>
                <w:bCs/>
              </w:rPr>
              <w:t>Pētījuma klasifikācija*</w:t>
            </w:r>
          </w:p>
        </w:tc>
        <w:tc>
          <w:tcPr>
            <w:tcW w:w="2587" w:type="pct"/>
            <w:tcBorders>
              <w:top w:val="outset" w:sz="6" w:space="0" w:color="414142"/>
              <w:left w:val="outset" w:sz="6" w:space="0" w:color="414142"/>
              <w:bottom w:val="outset" w:sz="6" w:space="0" w:color="414142"/>
              <w:right w:val="outset" w:sz="6" w:space="0" w:color="414142"/>
            </w:tcBorders>
            <w:shd w:val="clear" w:color="auto" w:fill="FFFFFF"/>
            <w:hideMark/>
          </w:tcPr>
          <w:p w:rsidR="00DE1C08" w:rsidRPr="00A25218" w:rsidRDefault="00DE1C08" w:rsidP="003E5F80">
            <w:pPr>
              <w:jc w:val="left"/>
              <w:rPr>
                <w:b/>
                <w:bCs/>
              </w:rPr>
            </w:pPr>
            <w:r w:rsidRPr="00A25218">
              <w:rPr>
                <w:shd w:val="clear" w:color="auto" w:fill="FFFFFF"/>
              </w:rPr>
              <w:t>Padziļinātas ekspertīzes pētījums ietekmes novērtēšanai, lai novērtētu esošās politikas īstenošanu un sasniegtos rezultātus</w:t>
            </w:r>
          </w:p>
        </w:tc>
      </w:tr>
      <w:tr w:rsidR="00DE1C08" w:rsidRPr="00A25218" w:rsidTr="003E5F80">
        <w:tc>
          <w:tcPr>
            <w:tcW w:w="2413"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DE1C08" w:rsidRPr="00A25218" w:rsidRDefault="00DE1C08" w:rsidP="003E5F80">
            <w:pPr>
              <w:jc w:val="left"/>
              <w:rPr>
                <w:b/>
                <w:bCs/>
              </w:rPr>
            </w:pPr>
            <w:r w:rsidRPr="00A25218">
              <w:rPr>
                <w:b/>
                <w:bCs/>
              </w:rPr>
              <w:t>Politikas joma, nozare**</w:t>
            </w:r>
          </w:p>
        </w:tc>
        <w:tc>
          <w:tcPr>
            <w:tcW w:w="2587" w:type="pct"/>
            <w:tcBorders>
              <w:top w:val="outset" w:sz="6" w:space="0" w:color="414142"/>
              <w:left w:val="outset" w:sz="6" w:space="0" w:color="414142"/>
              <w:bottom w:val="outset" w:sz="6" w:space="0" w:color="414142"/>
              <w:right w:val="outset" w:sz="6" w:space="0" w:color="414142"/>
            </w:tcBorders>
            <w:shd w:val="clear" w:color="auto" w:fill="FFFFFF"/>
            <w:hideMark/>
          </w:tcPr>
          <w:p w:rsidR="00DE1C08" w:rsidRDefault="0067470E" w:rsidP="0067470E">
            <w:pPr>
              <w:jc w:val="left"/>
              <w:rPr>
                <w:shd w:val="clear" w:color="auto" w:fill="FFFFFF"/>
              </w:rPr>
            </w:pPr>
            <w:r>
              <w:rPr>
                <w:shd w:val="clear" w:color="auto" w:fill="FFFFFF"/>
              </w:rPr>
              <w:t>5. Industrijas un pakalpojumu politika</w:t>
            </w:r>
          </w:p>
          <w:p w:rsidR="0067470E" w:rsidRDefault="0067470E" w:rsidP="0067470E">
            <w:pPr>
              <w:jc w:val="left"/>
              <w:rPr>
                <w:shd w:val="clear" w:color="auto" w:fill="FFFFFF"/>
              </w:rPr>
            </w:pPr>
            <w:r>
              <w:rPr>
                <w:shd w:val="clear" w:color="auto" w:fill="FFFFFF"/>
              </w:rPr>
              <w:t>5.6. Mājokļu politika</w:t>
            </w:r>
          </w:p>
          <w:p w:rsidR="00DE1C08" w:rsidRPr="00A25218" w:rsidRDefault="00DE1C08" w:rsidP="003E5F80">
            <w:pPr>
              <w:jc w:val="left"/>
              <w:rPr>
                <w:shd w:val="clear" w:color="auto" w:fill="FFFFFF"/>
              </w:rPr>
            </w:pPr>
            <w:r w:rsidRPr="00A25218">
              <w:rPr>
                <w:shd w:val="clear" w:color="auto" w:fill="FFFFFF"/>
              </w:rPr>
              <w:t>8. Nodarbinātības un sociālā politika</w:t>
            </w:r>
          </w:p>
          <w:p w:rsidR="0067470E" w:rsidRDefault="0067470E" w:rsidP="003E5F80">
            <w:pPr>
              <w:jc w:val="left"/>
              <w:rPr>
                <w:shd w:val="clear" w:color="auto" w:fill="FFFFFF"/>
              </w:rPr>
            </w:pPr>
            <w:r>
              <w:rPr>
                <w:shd w:val="clear" w:color="auto" w:fill="FFFFFF"/>
              </w:rPr>
              <w:t>8.2. Sociālā aizsardzība</w:t>
            </w:r>
          </w:p>
          <w:p w:rsidR="00DE1C08" w:rsidRDefault="00DE1C08" w:rsidP="003E5F80">
            <w:pPr>
              <w:jc w:val="left"/>
              <w:rPr>
                <w:shd w:val="clear" w:color="auto" w:fill="FFFFFF"/>
              </w:rPr>
            </w:pPr>
            <w:r w:rsidRPr="00A25218">
              <w:rPr>
                <w:shd w:val="clear" w:color="auto" w:fill="FFFFFF"/>
              </w:rPr>
              <w:t>8.4. Sociālā iekļaušana</w:t>
            </w:r>
          </w:p>
          <w:p w:rsidR="0067470E" w:rsidRDefault="0067470E" w:rsidP="003E5F80">
            <w:pPr>
              <w:jc w:val="left"/>
              <w:rPr>
                <w:shd w:val="clear" w:color="auto" w:fill="FFFFFF"/>
              </w:rPr>
            </w:pPr>
            <w:r>
              <w:rPr>
                <w:shd w:val="clear" w:color="auto" w:fill="FFFFFF"/>
              </w:rPr>
              <w:t>17. Veselības politika</w:t>
            </w:r>
          </w:p>
          <w:p w:rsidR="0067470E" w:rsidRDefault="0067470E" w:rsidP="003E5F80">
            <w:pPr>
              <w:jc w:val="left"/>
              <w:rPr>
                <w:shd w:val="clear" w:color="auto" w:fill="FFFFFF"/>
              </w:rPr>
            </w:pPr>
            <w:r>
              <w:rPr>
                <w:shd w:val="clear" w:color="auto" w:fill="FFFFFF"/>
              </w:rPr>
              <w:t xml:space="preserve">17.2. Sabiedrības veselība </w:t>
            </w:r>
          </w:p>
          <w:p w:rsidR="0067470E" w:rsidRPr="00A25218" w:rsidRDefault="0067470E" w:rsidP="003E5F80">
            <w:pPr>
              <w:jc w:val="left"/>
              <w:rPr>
                <w:shd w:val="clear" w:color="auto" w:fill="FFFFFF"/>
              </w:rPr>
            </w:pPr>
            <w:r>
              <w:rPr>
                <w:shd w:val="clear" w:color="auto" w:fill="FFFFFF"/>
              </w:rPr>
              <w:t>17.3. Veselības aprūpe</w:t>
            </w:r>
          </w:p>
        </w:tc>
      </w:tr>
      <w:tr w:rsidR="00DE1C08" w:rsidRPr="00A25218" w:rsidTr="003E5F80">
        <w:tc>
          <w:tcPr>
            <w:tcW w:w="2413"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DE1C08" w:rsidRPr="00A25218" w:rsidRDefault="00DE1C08" w:rsidP="003E5F80">
            <w:pPr>
              <w:jc w:val="left"/>
            </w:pPr>
            <w:r w:rsidRPr="00A25218">
              <w:rPr>
                <w:b/>
                <w:bCs/>
                <w:bdr w:val="none" w:sz="0" w:space="0" w:color="auto" w:frame="1"/>
              </w:rPr>
              <w:t>Pētījuma ģeogrāfiskais aptvērums</w:t>
            </w:r>
            <w:r w:rsidRPr="00A25218">
              <w:rPr>
                <w:b/>
                <w:bCs/>
                <w:bdr w:val="none" w:sz="0" w:space="0" w:color="auto" w:frame="1"/>
              </w:rPr>
              <w:br/>
            </w:r>
            <w:r w:rsidRPr="00A25218">
              <w:t>(visa Latvija vai noteikts reģions/novads)</w:t>
            </w:r>
          </w:p>
        </w:tc>
        <w:tc>
          <w:tcPr>
            <w:tcW w:w="2587" w:type="pct"/>
            <w:tcBorders>
              <w:top w:val="outset" w:sz="6" w:space="0" w:color="414142"/>
              <w:left w:val="outset" w:sz="6" w:space="0" w:color="414142"/>
              <w:bottom w:val="outset" w:sz="6" w:space="0" w:color="414142"/>
              <w:right w:val="outset" w:sz="6" w:space="0" w:color="414142"/>
            </w:tcBorders>
            <w:shd w:val="clear" w:color="auto" w:fill="FFFFFF"/>
            <w:hideMark/>
          </w:tcPr>
          <w:p w:rsidR="00DE1C08" w:rsidRPr="00A25218" w:rsidRDefault="00DE1C08" w:rsidP="003E5F80">
            <w:r w:rsidRPr="00A25218">
              <w:t>Visa Latvija</w:t>
            </w:r>
          </w:p>
        </w:tc>
      </w:tr>
      <w:tr w:rsidR="00DE1C08" w:rsidRPr="00A25218" w:rsidTr="003E5F80">
        <w:tc>
          <w:tcPr>
            <w:tcW w:w="2413"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DE1C08" w:rsidRPr="00A25218" w:rsidRDefault="00DE1C08" w:rsidP="003E5F80">
            <w:pPr>
              <w:jc w:val="left"/>
            </w:pPr>
            <w:r w:rsidRPr="00A25218">
              <w:rPr>
                <w:b/>
                <w:bCs/>
                <w:bdr w:val="none" w:sz="0" w:space="0" w:color="auto" w:frame="1"/>
              </w:rPr>
              <w:t>Pētījuma mērķa grupa/-as</w:t>
            </w:r>
            <w:r w:rsidRPr="00A25218">
              <w:rPr>
                <w:b/>
                <w:bCs/>
                <w:bdr w:val="none" w:sz="0" w:space="0" w:color="auto" w:frame="1"/>
              </w:rPr>
              <w:br/>
            </w:r>
            <w:r w:rsidRPr="00A25218">
              <w:t>(piemēram, Latvijas iedzīvotāji darbspējas vecumā)</w:t>
            </w:r>
          </w:p>
        </w:tc>
        <w:tc>
          <w:tcPr>
            <w:tcW w:w="2587" w:type="pct"/>
            <w:tcBorders>
              <w:top w:val="outset" w:sz="6" w:space="0" w:color="414142"/>
              <w:left w:val="outset" w:sz="6" w:space="0" w:color="414142"/>
              <w:bottom w:val="outset" w:sz="6" w:space="0" w:color="414142"/>
              <w:right w:val="outset" w:sz="6" w:space="0" w:color="414142"/>
            </w:tcBorders>
            <w:shd w:val="clear" w:color="auto" w:fill="FFFFFF"/>
            <w:hideMark/>
          </w:tcPr>
          <w:p w:rsidR="00DE1C08" w:rsidRDefault="00DE1C08" w:rsidP="003E5F80">
            <w:pPr>
              <w:jc w:val="left"/>
            </w:pPr>
            <w:r>
              <w:t xml:space="preserve">Tiešā mērķa grupa: </w:t>
            </w:r>
            <w:r w:rsidR="0067470E">
              <w:t>Latvijas iedzīvotāji, t.sk. nabadzības un sociālās atstumtības riskam pakļautās grupas:</w:t>
            </w:r>
          </w:p>
          <w:p w:rsidR="0067470E" w:rsidRPr="00E80A1D" w:rsidRDefault="0067470E" w:rsidP="003F469F">
            <w:pPr>
              <w:pStyle w:val="ListParagraph"/>
              <w:numPr>
                <w:ilvl w:val="0"/>
                <w:numId w:val="159"/>
              </w:numPr>
              <w:suppressAutoHyphens/>
              <w:autoSpaceDE w:val="0"/>
              <w:spacing w:line="276" w:lineRule="auto"/>
            </w:pPr>
            <w:r w:rsidRPr="00E80A1D">
              <w:t>pirmspensijas un pensijas vecuma cilvēki;</w:t>
            </w:r>
          </w:p>
          <w:p w:rsidR="0067470E" w:rsidRPr="00E80A1D" w:rsidRDefault="0067470E" w:rsidP="003F469F">
            <w:pPr>
              <w:pStyle w:val="ListParagraph"/>
              <w:numPr>
                <w:ilvl w:val="0"/>
                <w:numId w:val="159"/>
              </w:numPr>
              <w:suppressAutoHyphens/>
              <w:autoSpaceDE w:val="0"/>
              <w:spacing w:line="276" w:lineRule="auto"/>
            </w:pPr>
            <w:r w:rsidRPr="00E80A1D">
              <w:t xml:space="preserve">ģimenes ar bērniem, īpaši daudzbērnu un </w:t>
            </w:r>
            <w:r w:rsidR="001E77B5">
              <w:t>nepilnās</w:t>
            </w:r>
            <w:r w:rsidRPr="00E80A1D">
              <w:t xml:space="preserve"> ģimenes (t.sk. ģimenes ar bērniem, kuriem ir funkcionēšanas ierobežojumi vai invaliditāte);</w:t>
            </w:r>
          </w:p>
          <w:p w:rsidR="0067470E" w:rsidRPr="00E80A1D" w:rsidRDefault="0067470E" w:rsidP="003F469F">
            <w:pPr>
              <w:pStyle w:val="ListParagraph"/>
              <w:numPr>
                <w:ilvl w:val="0"/>
                <w:numId w:val="159"/>
              </w:numPr>
              <w:suppressAutoHyphens/>
              <w:autoSpaceDE w:val="0"/>
              <w:spacing w:line="276" w:lineRule="auto"/>
            </w:pPr>
            <w:r w:rsidRPr="00E80A1D">
              <w:t>trūcīgās un maznodrošinātās personas;</w:t>
            </w:r>
          </w:p>
          <w:p w:rsidR="0067470E" w:rsidRPr="00E80A1D" w:rsidRDefault="0067470E" w:rsidP="003F469F">
            <w:pPr>
              <w:pStyle w:val="ListParagraph"/>
              <w:numPr>
                <w:ilvl w:val="0"/>
                <w:numId w:val="159"/>
              </w:numPr>
              <w:suppressAutoHyphens/>
              <w:autoSpaceDE w:val="0"/>
              <w:spacing w:line="276" w:lineRule="auto"/>
            </w:pPr>
            <w:r w:rsidRPr="00E80A1D">
              <w:t xml:space="preserve">personas ar funkcionēšanas ierobežojumiem, </w:t>
            </w:r>
            <w:r>
              <w:t>t.sk.</w:t>
            </w:r>
            <w:r w:rsidRPr="00E80A1D">
              <w:t xml:space="preserve"> personas ar invaliditāti;</w:t>
            </w:r>
          </w:p>
          <w:p w:rsidR="0067470E" w:rsidRPr="006A431A" w:rsidRDefault="0067470E" w:rsidP="003F469F">
            <w:pPr>
              <w:pStyle w:val="ListParagraph"/>
              <w:numPr>
                <w:ilvl w:val="0"/>
                <w:numId w:val="159"/>
              </w:numPr>
              <w:suppressAutoHyphens/>
              <w:autoSpaceDE w:val="0"/>
              <w:spacing w:line="276" w:lineRule="auto"/>
              <w:rPr>
                <w:color w:val="000000"/>
              </w:rPr>
            </w:pPr>
            <w:r w:rsidRPr="006A431A">
              <w:rPr>
                <w:color w:val="000000"/>
              </w:rPr>
              <w:lastRenderedPageBreak/>
              <w:t>internātskolu absolventi;</w:t>
            </w:r>
          </w:p>
          <w:p w:rsidR="0067470E" w:rsidRPr="006A431A" w:rsidRDefault="0067470E" w:rsidP="003F469F">
            <w:pPr>
              <w:pStyle w:val="ListParagraph"/>
              <w:numPr>
                <w:ilvl w:val="0"/>
                <w:numId w:val="159"/>
              </w:numPr>
              <w:suppressAutoHyphens/>
              <w:autoSpaceDE w:val="0"/>
              <w:spacing w:line="276" w:lineRule="auto"/>
              <w:rPr>
                <w:color w:val="000000"/>
              </w:rPr>
            </w:pPr>
            <w:r w:rsidRPr="006A431A">
              <w:rPr>
                <w:color w:val="000000"/>
              </w:rPr>
              <w:t>vardarbībā cietušās personas, t.sk. cilvēktirdzniecības upuri;</w:t>
            </w:r>
          </w:p>
          <w:p w:rsidR="0067470E" w:rsidRPr="006A431A" w:rsidRDefault="0067470E" w:rsidP="003F469F">
            <w:pPr>
              <w:pStyle w:val="ListParagraph"/>
              <w:numPr>
                <w:ilvl w:val="0"/>
                <w:numId w:val="159"/>
              </w:numPr>
              <w:suppressAutoHyphens/>
              <w:autoSpaceDE w:val="0"/>
              <w:spacing w:line="276" w:lineRule="auto"/>
              <w:rPr>
                <w:color w:val="000000"/>
              </w:rPr>
            </w:pPr>
            <w:r w:rsidRPr="006A431A">
              <w:rPr>
                <w:color w:val="000000"/>
              </w:rPr>
              <w:t>no ieslodzījuma vietām atbrīvotās personas;</w:t>
            </w:r>
          </w:p>
          <w:p w:rsidR="0067470E" w:rsidRPr="006A431A" w:rsidRDefault="0067470E" w:rsidP="003F469F">
            <w:pPr>
              <w:pStyle w:val="ListParagraph"/>
              <w:numPr>
                <w:ilvl w:val="0"/>
                <w:numId w:val="159"/>
              </w:numPr>
              <w:suppressAutoHyphens/>
              <w:autoSpaceDE w:val="0"/>
              <w:spacing w:line="276" w:lineRule="auto"/>
              <w:rPr>
                <w:color w:val="000000"/>
              </w:rPr>
            </w:pPr>
            <w:r w:rsidRPr="006A431A">
              <w:rPr>
                <w:color w:val="000000"/>
              </w:rPr>
              <w:t>romi;</w:t>
            </w:r>
          </w:p>
          <w:p w:rsidR="0067470E" w:rsidRPr="00BB4AB7" w:rsidRDefault="0067470E" w:rsidP="003F469F">
            <w:pPr>
              <w:pStyle w:val="ListParagraph"/>
              <w:numPr>
                <w:ilvl w:val="0"/>
                <w:numId w:val="159"/>
              </w:numPr>
              <w:suppressAutoHyphens/>
              <w:autoSpaceDE w:val="0"/>
              <w:spacing w:line="276" w:lineRule="auto"/>
              <w:rPr>
                <w:color w:val="000000"/>
              </w:rPr>
            </w:pPr>
            <w:r w:rsidRPr="006A431A">
              <w:t xml:space="preserve">patvēruma meklētāji, bēgļi un </w:t>
            </w:r>
            <w:r>
              <w:t>personas ar alternatīvo statusu;</w:t>
            </w:r>
          </w:p>
          <w:p w:rsidR="0067470E" w:rsidRDefault="0067470E" w:rsidP="003F469F">
            <w:pPr>
              <w:pStyle w:val="ListParagraph"/>
              <w:numPr>
                <w:ilvl w:val="0"/>
                <w:numId w:val="159"/>
              </w:numPr>
              <w:suppressAutoHyphens/>
              <w:autoSpaceDE w:val="0"/>
              <w:spacing w:line="276" w:lineRule="auto"/>
              <w:rPr>
                <w:color w:val="000000"/>
              </w:rPr>
            </w:pPr>
            <w:r w:rsidRPr="006A431A">
              <w:rPr>
                <w:color w:val="000000"/>
              </w:rPr>
              <w:t>bezdarbnieki, īpaši ilgstošie bezdarbnieki;</w:t>
            </w:r>
          </w:p>
          <w:p w:rsidR="0067470E" w:rsidRPr="0067470E" w:rsidRDefault="0067470E" w:rsidP="003F469F">
            <w:pPr>
              <w:pStyle w:val="ListParagraph"/>
              <w:numPr>
                <w:ilvl w:val="0"/>
                <w:numId w:val="159"/>
              </w:numPr>
              <w:suppressAutoHyphens/>
              <w:autoSpaceDE w:val="0"/>
              <w:spacing w:line="276" w:lineRule="auto"/>
            </w:pPr>
            <w:r w:rsidRPr="0067470E">
              <w:rPr>
                <w:color w:val="000000"/>
              </w:rPr>
              <w:t>bezpajumtnieki</w:t>
            </w:r>
            <w:r>
              <w:rPr>
                <w:color w:val="000000"/>
              </w:rPr>
              <w:t>.</w:t>
            </w:r>
          </w:p>
          <w:p w:rsidR="0067470E" w:rsidRDefault="0067470E" w:rsidP="0067470E">
            <w:pPr>
              <w:pStyle w:val="ListParagraph"/>
              <w:suppressAutoHyphens/>
              <w:autoSpaceDE w:val="0"/>
              <w:spacing w:line="276" w:lineRule="auto"/>
            </w:pPr>
          </w:p>
          <w:p w:rsidR="00DE1C08" w:rsidRPr="00A25218" w:rsidRDefault="00DE1C08" w:rsidP="00DE1C08">
            <w:pPr>
              <w:jc w:val="left"/>
            </w:pPr>
            <w:r>
              <w:t>Netiešā</w:t>
            </w:r>
            <w:r w:rsidR="0067470E">
              <w:t>s</w:t>
            </w:r>
            <w:r>
              <w:t xml:space="preserve"> mērķa grupa</w:t>
            </w:r>
            <w:r w:rsidR="0067470E">
              <w:t>s</w:t>
            </w:r>
            <w:r>
              <w:t xml:space="preserve">: </w:t>
            </w:r>
            <w:r w:rsidR="0067470E">
              <w:t>valsts pārvaldes darbinieki, pašvaldību darbinieki, NVO pārstāvji, sociālo partneru pārstāvji</w:t>
            </w:r>
          </w:p>
        </w:tc>
      </w:tr>
      <w:tr w:rsidR="00DE1C08" w:rsidRPr="00A25218" w:rsidTr="003E5F80">
        <w:tc>
          <w:tcPr>
            <w:tcW w:w="2413"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DE1C08" w:rsidRPr="00A25218" w:rsidRDefault="00DE1C08" w:rsidP="003E5F80">
            <w:pPr>
              <w:jc w:val="left"/>
              <w:rPr>
                <w:b/>
                <w:bCs/>
              </w:rPr>
            </w:pPr>
            <w:r w:rsidRPr="00A25218">
              <w:rPr>
                <w:b/>
                <w:bCs/>
              </w:rPr>
              <w:lastRenderedPageBreak/>
              <w:t>Pētījumā izmantotās metodes pēc informācijas ieguves veida:</w:t>
            </w:r>
          </w:p>
        </w:tc>
        <w:tc>
          <w:tcPr>
            <w:tcW w:w="2587" w:type="pct"/>
            <w:tcBorders>
              <w:top w:val="outset" w:sz="6" w:space="0" w:color="414142"/>
              <w:left w:val="outset" w:sz="6" w:space="0" w:color="414142"/>
              <w:bottom w:val="outset" w:sz="6" w:space="0" w:color="414142"/>
              <w:right w:val="outset" w:sz="6" w:space="0" w:color="414142"/>
            </w:tcBorders>
            <w:shd w:val="clear" w:color="auto" w:fill="FFFFFF"/>
            <w:hideMark/>
          </w:tcPr>
          <w:p w:rsidR="00DE1C08" w:rsidRPr="00A25218" w:rsidRDefault="00DE1C08" w:rsidP="003E5F80">
            <w:pPr>
              <w:rPr>
                <w:b/>
                <w:bCs/>
              </w:rPr>
            </w:pPr>
          </w:p>
        </w:tc>
      </w:tr>
      <w:tr w:rsidR="00DE1C08" w:rsidRPr="00A25218" w:rsidTr="003E5F80">
        <w:tc>
          <w:tcPr>
            <w:tcW w:w="300" w:type="pct"/>
            <w:tcBorders>
              <w:top w:val="outset" w:sz="6" w:space="0" w:color="414142"/>
              <w:left w:val="outset" w:sz="6" w:space="0" w:color="414142"/>
              <w:bottom w:val="outset" w:sz="6" w:space="0" w:color="414142"/>
              <w:right w:val="nil"/>
            </w:tcBorders>
            <w:shd w:val="clear" w:color="auto" w:fill="FFFFFF"/>
            <w:hideMark/>
          </w:tcPr>
          <w:p w:rsidR="00DE1C08" w:rsidRPr="00A25218" w:rsidRDefault="00DE1C08" w:rsidP="003E5F80">
            <w:pPr>
              <w:jc w:val="left"/>
            </w:pPr>
          </w:p>
        </w:tc>
        <w:tc>
          <w:tcPr>
            <w:tcW w:w="2113" w:type="pct"/>
            <w:tcBorders>
              <w:top w:val="outset" w:sz="6" w:space="0" w:color="414142"/>
              <w:left w:val="nil"/>
              <w:bottom w:val="outset" w:sz="6" w:space="0" w:color="414142"/>
              <w:right w:val="outset" w:sz="6" w:space="0" w:color="414142"/>
            </w:tcBorders>
            <w:shd w:val="clear" w:color="auto" w:fill="FFFFFF"/>
            <w:hideMark/>
          </w:tcPr>
          <w:p w:rsidR="00DE1C08" w:rsidRPr="00A25218" w:rsidRDefault="00DE1C08" w:rsidP="003E5F80">
            <w:pPr>
              <w:jc w:val="left"/>
            </w:pPr>
            <w:r w:rsidRPr="00A25218">
              <w:t>1) tiesību aktu vai politikas plānošanas dokumentu analīze</w:t>
            </w:r>
          </w:p>
        </w:tc>
        <w:tc>
          <w:tcPr>
            <w:tcW w:w="2587" w:type="pct"/>
            <w:tcBorders>
              <w:top w:val="outset" w:sz="6" w:space="0" w:color="414142"/>
              <w:left w:val="outset" w:sz="6" w:space="0" w:color="414142"/>
              <w:bottom w:val="outset" w:sz="6" w:space="0" w:color="414142"/>
              <w:right w:val="outset" w:sz="6" w:space="0" w:color="414142"/>
            </w:tcBorders>
            <w:shd w:val="clear" w:color="auto" w:fill="FFFFFF"/>
            <w:hideMark/>
          </w:tcPr>
          <w:p w:rsidR="00DE1C08" w:rsidRPr="009E4993" w:rsidRDefault="00DE1C08" w:rsidP="003E5F80">
            <w:r>
              <w:t xml:space="preserve">Izmantota </w:t>
            </w:r>
          </w:p>
        </w:tc>
      </w:tr>
      <w:tr w:rsidR="00DE1C08" w:rsidRPr="00A25218" w:rsidTr="003E5F80">
        <w:tc>
          <w:tcPr>
            <w:tcW w:w="300" w:type="pct"/>
            <w:tcBorders>
              <w:top w:val="outset" w:sz="6" w:space="0" w:color="414142"/>
              <w:left w:val="outset" w:sz="6" w:space="0" w:color="414142"/>
              <w:bottom w:val="outset" w:sz="6" w:space="0" w:color="414142"/>
              <w:right w:val="nil"/>
            </w:tcBorders>
            <w:shd w:val="clear" w:color="auto" w:fill="FFFFFF"/>
            <w:hideMark/>
          </w:tcPr>
          <w:p w:rsidR="00DE1C08" w:rsidRPr="00A25218" w:rsidRDefault="00DE1C08" w:rsidP="003E5F80">
            <w:pPr>
              <w:jc w:val="left"/>
            </w:pPr>
          </w:p>
        </w:tc>
        <w:tc>
          <w:tcPr>
            <w:tcW w:w="2113" w:type="pct"/>
            <w:tcBorders>
              <w:top w:val="outset" w:sz="6" w:space="0" w:color="414142"/>
              <w:left w:val="nil"/>
              <w:bottom w:val="outset" w:sz="6" w:space="0" w:color="414142"/>
              <w:right w:val="outset" w:sz="6" w:space="0" w:color="414142"/>
            </w:tcBorders>
            <w:shd w:val="clear" w:color="auto" w:fill="FFFFFF"/>
            <w:hideMark/>
          </w:tcPr>
          <w:p w:rsidR="00DE1C08" w:rsidRPr="00A25218" w:rsidRDefault="00DE1C08" w:rsidP="003E5F80">
            <w:pPr>
              <w:jc w:val="left"/>
            </w:pPr>
            <w:r w:rsidRPr="00A25218">
              <w:t>2) statistikas datu analīze</w:t>
            </w:r>
          </w:p>
        </w:tc>
        <w:tc>
          <w:tcPr>
            <w:tcW w:w="2587" w:type="pct"/>
            <w:tcBorders>
              <w:top w:val="outset" w:sz="6" w:space="0" w:color="414142"/>
              <w:left w:val="outset" w:sz="6" w:space="0" w:color="414142"/>
              <w:bottom w:val="outset" w:sz="6" w:space="0" w:color="414142"/>
              <w:right w:val="outset" w:sz="6" w:space="0" w:color="414142"/>
            </w:tcBorders>
            <w:shd w:val="clear" w:color="auto" w:fill="FFFFFF"/>
            <w:hideMark/>
          </w:tcPr>
          <w:p w:rsidR="00DE1C08" w:rsidRPr="009E4993" w:rsidRDefault="00DE1C08" w:rsidP="003E5F80">
            <w:r>
              <w:t>Izmantota</w:t>
            </w:r>
          </w:p>
        </w:tc>
      </w:tr>
      <w:tr w:rsidR="00DE1C08" w:rsidRPr="00A25218" w:rsidTr="003E5F80">
        <w:tc>
          <w:tcPr>
            <w:tcW w:w="300" w:type="pct"/>
            <w:tcBorders>
              <w:top w:val="outset" w:sz="6" w:space="0" w:color="414142"/>
              <w:left w:val="outset" w:sz="6" w:space="0" w:color="414142"/>
              <w:bottom w:val="outset" w:sz="6" w:space="0" w:color="414142"/>
              <w:right w:val="nil"/>
            </w:tcBorders>
            <w:shd w:val="clear" w:color="auto" w:fill="FFFFFF"/>
            <w:hideMark/>
          </w:tcPr>
          <w:p w:rsidR="00DE1C08" w:rsidRPr="00A25218" w:rsidRDefault="00DE1C08" w:rsidP="003E5F80">
            <w:pPr>
              <w:jc w:val="left"/>
            </w:pPr>
          </w:p>
        </w:tc>
        <w:tc>
          <w:tcPr>
            <w:tcW w:w="2113" w:type="pct"/>
            <w:tcBorders>
              <w:top w:val="outset" w:sz="6" w:space="0" w:color="414142"/>
              <w:left w:val="nil"/>
              <w:bottom w:val="outset" w:sz="6" w:space="0" w:color="414142"/>
              <w:right w:val="outset" w:sz="6" w:space="0" w:color="414142"/>
            </w:tcBorders>
            <w:shd w:val="clear" w:color="auto" w:fill="FFFFFF"/>
            <w:hideMark/>
          </w:tcPr>
          <w:p w:rsidR="00DE1C08" w:rsidRPr="00A25218" w:rsidRDefault="00DE1C08" w:rsidP="003E5F80">
            <w:pPr>
              <w:jc w:val="left"/>
            </w:pPr>
            <w:r w:rsidRPr="00A25218">
              <w:t>3) esošo pētījumu datu sekundārā analīze</w:t>
            </w:r>
          </w:p>
        </w:tc>
        <w:tc>
          <w:tcPr>
            <w:tcW w:w="2587" w:type="pct"/>
            <w:tcBorders>
              <w:top w:val="outset" w:sz="6" w:space="0" w:color="414142"/>
              <w:left w:val="outset" w:sz="6" w:space="0" w:color="414142"/>
              <w:bottom w:val="outset" w:sz="6" w:space="0" w:color="414142"/>
              <w:right w:val="outset" w:sz="6" w:space="0" w:color="414142"/>
            </w:tcBorders>
            <w:shd w:val="clear" w:color="auto" w:fill="FFFFFF"/>
            <w:hideMark/>
          </w:tcPr>
          <w:p w:rsidR="00DE1C08" w:rsidRPr="009E4993" w:rsidRDefault="00DE1C08" w:rsidP="003E5F80">
            <w:r>
              <w:t>Izmantota</w:t>
            </w:r>
            <w:r w:rsidRPr="009E4993">
              <w:t xml:space="preserve"> </w:t>
            </w:r>
          </w:p>
        </w:tc>
      </w:tr>
      <w:tr w:rsidR="00DE1C08" w:rsidRPr="00A25218" w:rsidTr="003E5F80">
        <w:tc>
          <w:tcPr>
            <w:tcW w:w="300" w:type="pct"/>
            <w:tcBorders>
              <w:top w:val="outset" w:sz="6" w:space="0" w:color="414142"/>
              <w:left w:val="outset" w:sz="6" w:space="0" w:color="414142"/>
              <w:bottom w:val="outset" w:sz="6" w:space="0" w:color="414142"/>
              <w:right w:val="nil"/>
            </w:tcBorders>
            <w:shd w:val="clear" w:color="auto" w:fill="FFFFFF"/>
            <w:hideMark/>
          </w:tcPr>
          <w:p w:rsidR="00DE1C08" w:rsidRPr="00A25218" w:rsidRDefault="00DE1C08" w:rsidP="003E5F80">
            <w:pPr>
              <w:jc w:val="left"/>
            </w:pPr>
          </w:p>
        </w:tc>
        <w:tc>
          <w:tcPr>
            <w:tcW w:w="2113" w:type="pct"/>
            <w:tcBorders>
              <w:top w:val="outset" w:sz="6" w:space="0" w:color="414142"/>
              <w:left w:val="nil"/>
              <w:bottom w:val="outset" w:sz="6" w:space="0" w:color="414142"/>
              <w:right w:val="outset" w:sz="6" w:space="0" w:color="414142"/>
            </w:tcBorders>
            <w:shd w:val="clear" w:color="auto" w:fill="FFFFFF"/>
            <w:hideMark/>
          </w:tcPr>
          <w:p w:rsidR="00DE1C08" w:rsidRPr="00A25218" w:rsidRDefault="00DE1C08" w:rsidP="003E5F80">
            <w:pPr>
              <w:jc w:val="left"/>
            </w:pPr>
            <w:r w:rsidRPr="00A25218">
              <w:t>4) padziļināto/ekspertu interviju veikšana un analīze</w:t>
            </w:r>
          </w:p>
        </w:tc>
        <w:tc>
          <w:tcPr>
            <w:tcW w:w="2587" w:type="pct"/>
            <w:tcBorders>
              <w:top w:val="outset" w:sz="6" w:space="0" w:color="414142"/>
              <w:left w:val="outset" w:sz="6" w:space="0" w:color="414142"/>
              <w:bottom w:val="outset" w:sz="6" w:space="0" w:color="414142"/>
              <w:right w:val="outset" w:sz="6" w:space="0" w:color="414142"/>
            </w:tcBorders>
            <w:shd w:val="clear" w:color="auto" w:fill="FFFFFF"/>
            <w:hideMark/>
          </w:tcPr>
          <w:p w:rsidR="00DE1C08" w:rsidRPr="009E4993" w:rsidRDefault="00DE1C08" w:rsidP="003E5F80">
            <w:r>
              <w:t>Izmantota</w:t>
            </w:r>
          </w:p>
        </w:tc>
      </w:tr>
      <w:tr w:rsidR="00DE1C08" w:rsidRPr="00A25218" w:rsidTr="003E5F80">
        <w:tc>
          <w:tcPr>
            <w:tcW w:w="300" w:type="pct"/>
            <w:tcBorders>
              <w:top w:val="outset" w:sz="6" w:space="0" w:color="414142"/>
              <w:left w:val="outset" w:sz="6" w:space="0" w:color="414142"/>
              <w:bottom w:val="outset" w:sz="6" w:space="0" w:color="414142"/>
              <w:right w:val="nil"/>
            </w:tcBorders>
            <w:shd w:val="clear" w:color="auto" w:fill="FFFFFF"/>
            <w:hideMark/>
          </w:tcPr>
          <w:p w:rsidR="00DE1C08" w:rsidRPr="00A25218" w:rsidRDefault="00DE1C08" w:rsidP="003E5F80">
            <w:pPr>
              <w:jc w:val="left"/>
            </w:pPr>
          </w:p>
        </w:tc>
        <w:tc>
          <w:tcPr>
            <w:tcW w:w="2113" w:type="pct"/>
            <w:tcBorders>
              <w:top w:val="outset" w:sz="6" w:space="0" w:color="414142"/>
              <w:left w:val="nil"/>
              <w:bottom w:val="outset" w:sz="6" w:space="0" w:color="414142"/>
              <w:right w:val="outset" w:sz="6" w:space="0" w:color="414142"/>
            </w:tcBorders>
            <w:shd w:val="clear" w:color="auto" w:fill="FFFFFF"/>
            <w:hideMark/>
          </w:tcPr>
          <w:p w:rsidR="00DE1C08" w:rsidRPr="00A25218" w:rsidRDefault="00DE1C08" w:rsidP="003E5F80">
            <w:pPr>
              <w:jc w:val="left"/>
            </w:pPr>
            <w:r w:rsidRPr="00A25218">
              <w:t>5) fokusa grupu diskusiju veikšana un analīze</w:t>
            </w:r>
          </w:p>
        </w:tc>
        <w:tc>
          <w:tcPr>
            <w:tcW w:w="2587" w:type="pct"/>
            <w:tcBorders>
              <w:top w:val="outset" w:sz="6" w:space="0" w:color="414142"/>
              <w:left w:val="outset" w:sz="6" w:space="0" w:color="414142"/>
              <w:bottom w:val="outset" w:sz="6" w:space="0" w:color="414142"/>
              <w:right w:val="outset" w:sz="6" w:space="0" w:color="414142"/>
            </w:tcBorders>
            <w:shd w:val="clear" w:color="auto" w:fill="FFFFFF"/>
            <w:hideMark/>
          </w:tcPr>
          <w:p w:rsidR="00DE1C08" w:rsidRPr="009E4993" w:rsidRDefault="00DE1C08" w:rsidP="003E5F80">
            <w:r>
              <w:t xml:space="preserve">Izmantota </w:t>
            </w:r>
          </w:p>
        </w:tc>
      </w:tr>
      <w:tr w:rsidR="00DE1C08" w:rsidRPr="00A25218" w:rsidTr="003E5F80">
        <w:tc>
          <w:tcPr>
            <w:tcW w:w="300" w:type="pct"/>
            <w:tcBorders>
              <w:top w:val="outset" w:sz="6" w:space="0" w:color="414142"/>
              <w:left w:val="outset" w:sz="6" w:space="0" w:color="414142"/>
              <w:bottom w:val="outset" w:sz="6" w:space="0" w:color="414142"/>
              <w:right w:val="nil"/>
            </w:tcBorders>
            <w:shd w:val="clear" w:color="auto" w:fill="FFFFFF"/>
            <w:hideMark/>
          </w:tcPr>
          <w:p w:rsidR="00DE1C08" w:rsidRPr="00A25218" w:rsidRDefault="00DE1C08" w:rsidP="003E5F80">
            <w:pPr>
              <w:jc w:val="left"/>
            </w:pPr>
          </w:p>
        </w:tc>
        <w:tc>
          <w:tcPr>
            <w:tcW w:w="2113" w:type="pct"/>
            <w:tcBorders>
              <w:top w:val="outset" w:sz="6" w:space="0" w:color="414142"/>
              <w:left w:val="nil"/>
              <w:bottom w:val="outset" w:sz="6" w:space="0" w:color="414142"/>
              <w:right w:val="outset" w:sz="6" w:space="0" w:color="414142"/>
            </w:tcBorders>
            <w:shd w:val="clear" w:color="auto" w:fill="FFFFFF"/>
            <w:hideMark/>
          </w:tcPr>
          <w:p w:rsidR="00DE1C08" w:rsidRPr="00A25218" w:rsidRDefault="00DE1C08" w:rsidP="003E5F80">
            <w:pPr>
              <w:jc w:val="left"/>
            </w:pPr>
            <w:r w:rsidRPr="00A25218">
              <w:t>6) gadījumu izpēte</w:t>
            </w:r>
          </w:p>
        </w:tc>
        <w:tc>
          <w:tcPr>
            <w:tcW w:w="2587" w:type="pct"/>
            <w:tcBorders>
              <w:top w:val="outset" w:sz="6" w:space="0" w:color="414142"/>
              <w:left w:val="outset" w:sz="6" w:space="0" w:color="414142"/>
              <w:bottom w:val="outset" w:sz="6" w:space="0" w:color="414142"/>
              <w:right w:val="outset" w:sz="6" w:space="0" w:color="414142"/>
            </w:tcBorders>
            <w:shd w:val="clear" w:color="auto" w:fill="FFFFFF"/>
            <w:hideMark/>
          </w:tcPr>
          <w:p w:rsidR="00DE1C08" w:rsidRPr="009E4993" w:rsidRDefault="00DE1C08" w:rsidP="003E5F80">
            <w:r>
              <w:t>Nav izmantota</w:t>
            </w:r>
          </w:p>
        </w:tc>
      </w:tr>
      <w:tr w:rsidR="00DE1C08" w:rsidRPr="00A25218" w:rsidTr="003E5F80">
        <w:tc>
          <w:tcPr>
            <w:tcW w:w="300" w:type="pct"/>
            <w:tcBorders>
              <w:top w:val="outset" w:sz="6" w:space="0" w:color="414142"/>
              <w:left w:val="outset" w:sz="6" w:space="0" w:color="414142"/>
              <w:bottom w:val="outset" w:sz="6" w:space="0" w:color="414142"/>
              <w:right w:val="nil"/>
            </w:tcBorders>
            <w:shd w:val="clear" w:color="auto" w:fill="FFFFFF"/>
            <w:hideMark/>
          </w:tcPr>
          <w:p w:rsidR="00DE1C08" w:rsidRPr="00A25218" w:rsidRDefault="00DE1C08" w:rsidP="003E5F80">
            <w:pPr>
              <w:jc w:val="left"/>
            </w:pPr>
          </w:p>
        </w:tc>
        <w:tc>
          <w:tcPr>
            <w:tcW w:w="2113" w:type="pct"/>
            <w:tcBorders>
              <w:top w:val="outset" w:sz="6" w:space="0" w:color="414142"/>
              <w:left w:val="nil"/>
              <w:bottom w:val="outset" w:sz="6" w:space="0" w:color="414142"/>
              <w:right w:val="outset" w:sz="6" w:space="0" w:color="414142"/>
            </w:tcBorders>
            <w:shd w:val="clear" w:color="auto" w:fill="FFFFFF"/>
            <w:hideMark/>
          </w:tcPr>
          <w:p w:rsidR="00DE1C08" w:rsidRPr="00A25218" w:rsidRDefault="00DE1C08" w:rsidP="003E5F80">
            <w:pPr>
              <w:jc w:val="left"/>
            </w:pPr>
            <w:r w:rsidRPr="00A25218">
              <w:t>7) kvantitatīvās aptaujas veikšana un datu analīze</w:t>
            </w:r>
          </w:p>
        </w:tc>
        <w:tc>
          <w:tcPr>
            <w:tcW w:w="2587" w:type="pct"/>
            <w:tcBorders>
              <w:top w:val="outset" w:sz="6" w:space="0" w:color="414142"/>
              <w:left w:val="outset" w:sz="6" w:space="0" w:color="414142"/>
              <w:bottom w:val="outset" w:sz="6" w:space="0" w:color="414142"/>
              <w:right w:val="outset" w:sz="6" w:space="0" w:color="414142"/>
            </w:tcBorders>
            <w:shd w:val="clear" w:color="auto" w:fill="FFFFFF"/>
            <w:hideMark/>
          </w:tcPr>
          <w:p w:rsidR="00DE1C08" w:rsidRPr="009E4993" w:rsidRDefault="00DE1C08" w:rsidP="003E5F80">
            <w:r>
              <w:t>Nav izmantota</w:t>
            </w:r>
          </w:p>
        </w:tc>
      </w:tr>
      <w:tr w:rsidR="00DE1C08" w:rsidRPr="00A25218" w:rsidTr="003E5F80">
        <w:tc>
          <w:tcPr>
            <w:tcW w:w="300" w:type="pct"/>
            <w:tcBorders>
              <w:top w:val="outset" w:sz="6" w:space="0" w:color="414142"/>
              <w:left w:val="outset" w:sz="6" w:space="0" w:color="414142"/>
              <w:bottom w:val="outset" w:sz="6" w:space="0" w:color="414142"/>
              <w:right w:val="nil"/>
            </w:tcBorders>
            <w:shd w:val="clear" w:color="auto" w:fill="FFFFFF"/>
            <w:hideMark/>
          </w:tcPr>
          <w:p w:rsidR="00DE1C08" w:rsidRPr="00A25218" w:rsidRDefault="00DE1C08" w:rsidP="003E5F80">
            <w:pPr>
              <w:jc w:val="left"/>
            </w:pPr>
          </w:p>
        </w:tc>
        <w:tc>
          <w:tcPr>
            <w:tcW w:w="2113" w:type="pct"/>
            <w:tcBorders>
              <w:top w:val="outset" w:sz="6" w:space="0" w:color="414142"/>
              <w:left w:val="nil"/>
              <w:bottom w:val="outset" w:sz="6" w:space="0" w:color="414142"/>
              <w:right w:val="outset" w:sz="6" w:space="0" w:color="414142"/>
            </w:tcBorders>
            <w:shd w:val="clear" w:color="auto" w:fill="FFFFFF"/>
            <w:hideMark/>
          </w:tcPr>
          <w:p w:rsidR="00DE1C08" w:rsidRPr="00A25218" w:rsidRDefault="00DE1C08" w:rsidP="003E5F80">
            <w:pPr>
              <w:jc w:val="left"/>
            </w:pPr>
            <w:r w:rsidRPr="00A25218">
              <w:t>8) citas metodes (norādīt, kādas)</w:t>
            </w:r>
          </w:p>
        </w:tc>
        <w:tc>
          <w:tcPr>
            <w:tcW w:w="2587" w:type="pct"/>
            <w:tcBorders>
              <w:top w:val="outset" w:sz="6" w:space="0" w:color="414142"/>
              <w:left w:val="outset" w:sz="6" w:space="0" w:color="414142"/>
              <w:bottom w:val="outset" w:sz="6" w:space="0" w:color="414142"/>
              <w:right w:val="outset" w:sz="6" w:space="0" w:color="414142"/>
            </w:tcBorders>
            <w:shd w:val="clear" w:color="auto" w:fill="FFFFFF"/>
            <w:hideMark/>
          </w:tcPr>
          <w:p w:rsidR="00DE1C08" w:rsidRPr="00A25218" w:rsidRDefault="00DE1C08" w:rsidP="003E5F80">
            <w:r>
              <w:t xml:space="preserve">- </w:t>
            </w:r>
          </w:p>
        </w:tc>
      </w:tr>
      <w:tr w:rsidR="00DE1C08" w:rsidRPr="00A25218" w:rsidTr="003E5F80">
        <w:tc>
          <w:tcPr>
            <w:tcW w:w="2413"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DE1C08" w:rsidRPr="00A25218" w:rsidRDefault="00DE1C08" w:rsidP="003E5F80">
            <w:pPr>
              <w:jc w:val="left"/>
            </w:pPr>
            <w:r w:rsidRPr="00A25218">
              <w:rPr>
                <w:b/>
                <w:bCs/>
                <w:bdr w:val="none" w:sz="0" w:space="0" w:color="auto" w:frame="1"/>
              </w:rPr>
              <w:t>Kvantitatīvās pētījuma metodes</w:t>
            </w:r>
            <w:r w:rsidRPr="00A25218">
              <w:rPr>
                <w:b/>
                <w:bCs/>
                <w:bdr w:val="none" w:sz="0" w:space="0" w:color="auto" w:frame="1"/>
              </w:rPr>
              <w:br/>
            </w:r>
            <w:r w:rsidRPr="00A25218">
              <w:t>(ja attiecināms):</w:t>
            </w:r>
          </w:p>
        </w:tc>
        <w:tc>
          <w:tcPr>
            <w:tcW w:w="2587" w:type="pct"/>
            <w:tcBorders>
              <w:top w:val="outset" w:sz="6" w:space="0" w:color="414142"/>
              <w:left w:val="outset" w:sz="6" w:space="0" w:color="414142"/>
              <w:bottom w:val="outset" w:sz="6" w:space="0" w:color="414142"/>
              <w:right w:val="outset" w:sz="6" w:space="0" w:color="414142"/>
            </w:tcBorders>
            <w:shd w:val="clear" w:color="auto" w:fill="FFFFFF"/>
            <w:hideMark/>
          </w:tcPr>
          <w:p w:rsidR="00DE1C08" w:rsidRPr="00A25218" w:rsidRDefault="00DE1C08" w:rsidP="003E5F80">
            <w:r>
              <w:t>Nav attiecināms</w:t>
            </w:r>
          </w:p>
        </w:tc>
      </w:tr>
      <w:tr w:rsidR="00DE1C08" w:rsidRPr="00A25218" w:rsidTr="003E5F80">
        <w:tc>
          <w:tcPr>
            <w:tcW w:w="300" w:type="pct"/>
            <w:tcBorders>
              <w:top w:val="outset" w:sz="6" w:space="0" w:color="414142"/>
              <w:left w:val="outset" w:sz="6" w:space="0" w:color="414142"/>
              <w:bottom w:val="outset" w:sz="6" w:space="0" w:color="414142"/>
              <w:right w:val="nil"/>
            </w:tcBorders>
            <w:shd w:val="clear" w:color="auto" w:fill="FFFFFF"/>
            <w:hideMark/>
          </w:tcPr>
          <w:p w:rsidR="00DE1C08" w:rsidRPr="00A25218" w:rsidRDefault="00DE1C08" w:rsidP="003E5F80">
            <w:pPr>
              <w:jc w:val="left"/>
            </w:pPr>
          </w:p>
        </w:tc>
        <w:tc>
          <w:tcPr>
            <w:tcW w:w="2113" w:type="pct"/>
            <w:tcBorders>
              <w:top w:val="outset" w:sz="6" w:space="0" w:color="414142"/>
              <w:left w:val="nil"/>
              <w:bottom w:val="outset" w:sz="6" w:space="0" w:color="414142"/>
              <w:right w:val="outset" w:sz="6" w:space="0" w:color="414142"/>
            </w:tcBorders>
            <w:shd w:val="clear" w:color="auto" w:fill="FFFFFF"/>
            <w:hideMark/>
          </w:tcPr>
          <w:p w:rsidR="00DE1C08" w:rsidRPr="00A25218" w:rsidRDefault="00DE1C08" w:rsidP="003E5F80">
            <w:pPr>
              <w:jc w:val="left"/>
            </w:pPr>
            <w:r w:rsidRPr="00A25218">
              <w:t>1) aptaujas izlases metode</w:t>
            </w:r>
          </w:p>
        </w:tc>
        <w:tc>
          <w:tcPr>
            <w:tcW w:w="2587" w:type="pct"/>
            <w:tcBorders>
              <w:top w:val="outset" w:sz="6" w:space="0" w:color="414142"/>
              <w:left w:val="outset" w:sz="6" w:space="0" w:color="414142"/>
              <w:bottom w:val="outset" w:sz="6" w:space="0" w:color="414142"/>
              <w:right w:val="outset" w:sz="6" w:space="0" w:color="414142"/>
            </w:tcBorders>
            <w:shd w:val="clear" w:color="auto" w:fill="FFFFFF"/>
            <w:hideMark/>
          </w:tcPr>
          <w:p w:rsidR="00DE1C08" w:rsidRPr="00A25218" w:rsidRDefault="00DE1C08" w:rsidP="003E5F80">
            <w:r>
              <w:t>-</w:t>
            </w:r>
          </w:p>
        </w:tc>
      </w:tr>
      <w:tr w:rsidR="00DE1C08" w:rsidRPr="00A25218" w:rsidTr="003E5F80">
        <w:tc>
          <w:tcPr>
            <w:tcW w:w="300" w:type="pct"/>
            <w:tcBorders>
              <w:top w:val="outset" w:sz="6" w:space="0" w:color="414142"/>
              <w:left w:val="outset" w:sz="6" w:space="0" w:color="414142"/>
              <w:bottom w:val="outset" w:sz="6" w:space="0" w:color="414142"/>
              <w:right w:val="nil"/>
            </w:tcBorders>
            <w:shd w:val="clear" w:color="auto" w:fill="FFFFFF"/>
            <w:hideMark/>
          </w:tcPr>
          <w:p w:rsidR="00DE1C08" w:rsidRPr="00A25218" w:rsidRDefault="00DE1C08" w:rsidP="003E5F80">
            <w:pPr>
              <w:jc w:val="left"/>
            </w:pPr>
          </w:p>
        </w:tc>
        <w:tc>
          <w:tcPr>
            <w:tcW w:w="2113" w:type="pct"/>
            <w:tcBorders>
              <w:top w:val="outset" w:sz="6" w:space="0" w:color="414142"/>
              <w:left w:val="nil"/>
              <w:bottom w:val="outset" w:sz="6" w:space="0" w:color="414142"/>
              <w:right w:val="outset" w:sz="6" w:space="0" w:color="414142"/>
            </w:tcBorders>
            <w:shd w:val="clear" w:color="auto" w:fill="FFFFFF"/>
            <w:hideMark/>
          </w:tcPr>
          <w:p w:rsidR="00DE1C08" w:rsidRPr="00A25218" w:rsidRDefault="00DE1C08" w:rsidP="003E5F80">
            <w:pPr>
              <w:jc w:val="left"/>
            </w:pPr>
            <w:r w:rsidRPr="00A25218">
              <w:t>2) aptaujāto/anketēto respondentu/vienību skaits</w:t>
            </w:r>
          </w:p>
        </w:tc>
        <w:tc>
          <w:tcPr>
            <w:tcW w:w="2587" w:type="pct"/>
            <w:tcBorders>
              <w:top w:val="outset" w:sz="6" w:space="0" w:color="414142"/>
              <w:left w:val="outset" w:sz="6" w:space="0" w:color="414142"/>
              <w:bottom w:val="outset" w:sz="6" w:space="0" w:color="414142"/>
              <w:right w:val="outset" w:sz="6" w:space="0" w:color="414142"/>
            </w:tcBorders>
            <w:shd w:val="clear" w:color="auto" w:fill="FFFFFF"/>
            <w:hideMark/>
          </w:tcPr>
          <w:p w:rsidR="00DE1C08" w:rsidRPr="00A25218" w:rsidRDefault="00DE1C08" w:rsidP="003E5F80">
            <w:r>
              <w:t>-</w:t>
            </w:r>
          </w:p>
        </w:tc>
      </w:tr>
      <w:tr w:rsidR="00DE1C08" w:rsidRPr="00A25218" w:rsidTr="003E5F80">
        <w:tc>
          <w:tcPr>
            <w:tcW w:w="2413"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DE1C08" w:rsidRPr="00A25218" w:rsidRDefault="00DE1C08" w:rsidP="003E5F80">
            <w:pPr>
              <w:jc w:val="left"/>
            </w:pPr>
            <w:r w:rsidRPr="00A25218">
              <w:rPr>
                <w:b/>
                <w:bCs/>
                <w:bdr w:val="none" w:sz="0" w:space="0" w:color="auto" w:frame="1"/>
              </w:rPr>
              <w:t>Kvalitatīvās pētījuma metodes</w:t>
            </w:r>
            <w:r w:rsidRPr="00A25218">
              <w:rPr>
                <w:b/>
                <w:bCs/>
                <w:bdr w:val="none" w:sz="0" w:space="0" w:color="auto" w:frame="1"/>
              </w:rPr>
              <w:br/>
            </w:r>
            <w:r w:rsidRPr="00A25218">
              <w:t>(ja attiecināms):</w:t>
            </w:r>
          </w:p>
        </w:tc>
        <w:tc>
          <w:tcPr>
            <w:tcW w:w="2587" w:type="pct"/>
            <w:tcBorders>
              <w:top w:val="outset" w:sz="6" w:space="0" w:color="414142"/>
              <w:left w:val="outset" w:sz="6" w:space="0" w:color="414142"/>
              <w:bottom w:val="outset" w:sz="6" w:space="0" w:color="414142"/>
              <w:right w:val="outset" w:sz="6" w:space="0" w:color="414142"/>
            </w:tcBorders>
            <w:shd w:val="clear" w:color="auto" w:fill="FFFFFF"/>
            <w:hideMark/>
          </w:tcPr>
          <w:p w:rsidR="00DE1C08" w:rsidRPr="00A25218" w:rsidRDefault="00DE1C08" w:rsidP="003E5F80"/>
        </w:tc>
      </w:tr>
      <w:tr w:rsidR="00DE1C08" w:rsidRPr="00A25218" w:rsidTr="003E5F80">
        <w:tc>
          <w:tcPr>
            <w:tcW w:w="300" w:type="pct"/>
            <w:tcBorders>
              <w:top w:val="outset" w:sz="6" w:space="0" w:color="414142"/>
              <w:left w:val="outset" w:sz="6" w:space="0" w:color="414142"/>
              <w:bottom w:val="outset" w:sz="6" w:space="0" w:color="414142"/>
              <w:right w:val="nil"/>
            </w:tcBorders>
            <w:shd w:val="clear" w:color="auto" w:fill="FFFFFF"/>
            <w:hideMark/>
          </w:tcPr>
          <w:p w:rsidR="00DE1C08" w:rsidRPr="00A25218" w:rsidRDefault="00DE1C08" w:rsidP="003E5F80">
            <w:pPr>
              <w:jc w:val="left"/>
            </w:pPr>
          </w:p>
        </w:tc>
        <w:tc>
          <w:tcPr>
            <w:tcW w:w="2113" w:type="pct"/>
            <w:tcBorders>
              <w:top w:val="outset" w:sz="6" w:space="0" w:color="414142"/>
              <w:left w:val="nil"/>
              <w:bottom w:val="outset" w:sz="6" w:space="0" w:color="414142"/>
              <w:right w:val="outset" w:sz="6" w:space="0" w:color="414142"/>
            </w:tcBorders>
            <w:shd w:val="clear" w:color="auto" w:fill="FFFFFF"/>
            <w:hideMark/>
          </w:tcPr>
          <w:p w:rsidR="00DE1C08" w:rsidRPr="00A25218" w:rsidRDefault="00DE1C08" w:rsidP="003E5F80">
            <w:pPr>
              <w:jc w:val="left"/>
            </w:pPr>
            <w:r w:rsidRPr="00A25218">
              <w:t>1) padziļināto/ekspertu interviju skaits (ja attiecināms)</w:t>
            </w:r>
          </w:p>
        </w:tc>
        <w:tc>
          <w:tcPr>
            <w:tcW w:w="2587" w:type="pct"/>
            <w:tcBorders>
              <w:top w:val="outset" w:sz="6" w:space="0" w:color="414142"/>
              <w:left w:val="outset" w:sz="6" w:space="0" w:color="414142"/>
              <w:bottom w:val="outset" w:sz="6" w:space="0" w:color="414142"/>
              <w:right w:val="outset" w:sz="6" w:space="0" w:color="414142"/>
            </w:tcBorders>
            <w:shd w:val="clear" w:color="auto" w:fill="FFFFFF"/>
            <w:hideMark/>
          </w:tcPr>
          <w:p w:rsidR="00DE1C08" w:rsidRPr="00A25218" w:rsidRDefault="0067470E" w:rsidP="0067470E">
            <w:r>
              <w:t>26</w:t>
            </w:r>
            <w:r w:rsidR="00DE1C08" w:rsidRPr="00A25218">
              <w:t xml:space="preserve"> ekspertu intervijas ar </w:t>
            </w:r>
            <w:r>
              <w:t>29</w:t>
            </w:r>
            <w:r w:rsidR="00DE1C08" w:rsidRPr="00A25218">
              <w:t xml:space="preserve"> ekspertiem</w:t>
            </w:r>
          </w:p>
        </w:tc>
      </w:tr>
      <w:tr w:rsidR="00DE1C08" w:rsidRPr="00A25218" w:rsidTr="003E5F80">
        <w:tc>
          <w:tcPr>
            <w:tcW w:w="300" w:type="pct"/>
            <w:tcBorders>
              <w:top w:val="outset" w:sz="6" w:space="0" w:color="414142"/>
              <w:left w:val="outset" w:sz="6" w:space="0" w:color="414142"/>
              <w:bottom w:val="outset" w:sz="6" w:space="0" w:color="414142"/>
              <w:right w:val="nil"/>
            </w:tcBorders>
            <w:shd w:val="clear" w:color="auto" w:fill="FFFFFF"/>
            <w:hideMark/>
          </w:tcPr>
          <w:p w:rsidR="00DE1C08" w:rsidRPr="00A25218" w:rsidRDefault="00DE1C08" w:rsidP="003E5F80">
            <w:pPr>
              <w:jc w:val="left"/>
            </w:pPr>
          </w:p>
        </w:tc>
        <w:tc>
          <w:tcPr>
            <w:tcW w:w="2113" w:type="pct"/>
            <w:tcBorders>
              <w:top w:val="outset" w:sz="6" w:space="0" w:color="414142"/>
              <w:left w:val="nil"/>
              <w:bottom w:val="outset" w:sz="6" w:space="0" w:color="414142"/>
              <w:right w:val="outset" w:sz="6" w:space="0" w:color="414142"/>
            </w:tcBorders>
            <w:shd w:val="clear" w:color="auto" w:fill="FFFFFF"/>
            <w:hideMark/>
          </w:tcPr>
          <w:p w:rsidR="00DE1C08" w:rsidRPr="00A25218" w:rsidRDefault="00DE1C08" w:rsidP="003E5F80">
            <w:pPr>
              <w:jc w:val="left"/>
            </w:pPr>
            <w:r w:rsidRPr="00A25218">
              <w:t>2) fokusa grupu diskusiju skaits (ja attiecināms)</w:t>
            </w:r>
          </w:p>
        </w:tc>
        <w:tc>
          <w:tcPr>
            <w:tcW w:w="2587" w:type="pct"/>
            <w:tcBorders>
              <w:top w:val="outset" w:sz="6" w:space="0" w:color="414142"/>
              <w:left w:val="outset" w:sz="6" w:space="0" w:color="414142"/>
              <w:bottom w:val="outset" w:sz="6" w:space="0" w:color="414142"/>
              <w:right w:val="outset" w:sz="6" w:space="0" w:color="414142"/>
            </w:tcBorders>
            <w:shd w:val="clear" w:color="auto" w:fill="FFFFFF"/>
            <w:hideMark/>
          </w:tcPr>
          <w:p w:rsidR="00DE1C08" w:rsidRPr="00A25218" w:rsidRDefault="0067470E" w:rsidP="003E5F80">
            <w:r>
              <w:t>2 fokusa grupu diskusijas ar 16 dalībniekiem</w:t>
            </w:r>
          </w:p>
        </w:tc>
      </w:tr>
      <w:tr w:rsidR="00DE1C08" w:rsidRPr="00A25218" w:rsidTr="003E5F80">
        <w:tc>
          <w:tcPr>
            <w:tcW w:w="2413"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DE1C08" w:rsidRPr="00A25218" w:rsidRDefault="00DE1C08" w:rsidP="003E5F80">
            <w:pPr>
              <w:jc w:val="left"/>
              <w:rPr>
                <w:b/>
                <w:bCs/>
              </w:rPr>
            </w:pPr>
            <w:r w:rsidRPr="00A25218">
              <w:rPr>
                <w:b/>
                <w:bCs/>
              </w:rPr>
              <w:t>Izmantotās analīzes grupas (griezumi)</w:t>
            </w:r>
          </w:p>
        </w:tc>
        <w:tc>
          <w:tcPr>
            <w:tcW w:w="2587" w:type="pct"/>
            <w:tcBorders>
              <w:top w:val="outset" w:sz="6" w:space="0" w:color="414142"/>
              <w:left w:val="outset" w:sz="6" w:space="0" w:color="414142"/>
              <w:bottom w:val="outset" w:sz="6" w:space="0" w:color="414142"/>
              <w:right w:val="outset" w:sz="6" w:space="0" w:color="414142"/>
            </w:tcBorders>
            <w:shd w:val="clear" w:color="auto" w:fill="FFFFFF"/>
            <w:hideMark/>
          </w:tcPr>
          <w:p w:rsidR="00DE1C08" w:rsidRPr="002B217C" w:rsidRDefault="0067470E" w:rsidP="0067470E">
            <w:pPr>
              <w:rPr>
                <w:bCs/>
              </w:rPr>
            </w:pPr>
            <w:r>
              <w:rPr>
                <w:bCs/>
              </w:rPr>
              <w:t xml:space="preserve">Statistikas dati par tiešo mērķa grupu situāciju </w:t>
            </w:r>
            <w:r>
              <w:rPr>
                <w:bCs/>
              </w:rPr>
              <w:lastRenderedPageBreak/>
              <w:t xml:space="preserve">ienākumu nevienlīdzības, sociālās atstumtības, mājokļa un veselības aprūpes jomās analīzēti daudzveidīgos sociāli demogrāfiskajos griezumos: vecums, dzimums, izglītības līmenis, ienākumu līmenis, dzīves vieta, reģions, nodarbošanās, mājsaimniecības tips, invaliditātes veids u.c. </w:t>
            </w:r>
          </w:p>
        </w:tc>
      </w:tr>
      <w:tr w:rsidR="00DE1C08" w:rsidRPr="00A25218" w:rsidTr="003E5F80">
        <w:tc>
          <w:tcPr>
            <w:tcW w:w="2413"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DE1C08" w:rsidRPr="00963095" w:rsidRDefault="00DE1C08" w:rsidP="003E5F80">
            <w:pPr>
              <w:jc w:val="left"/>
              <w:rPr>
                <w:b/>
                <w:bCs/>
                <w:highlight w:val="yellow"/>
              </w:rPr>
            </w:pPr>
            <w:r w:rsidRPr="003801CD">
              <w:rPr>
                <w:b/>
                <w:bCs/>
              </w:rPr>
              <w:lastRenderedPageBreak/>
              <w:t>Pētījuma pasūtītāja kontaktinformācija</w:t>
            </w:r>
          </w:p>
        </w:tc>
        <w:tc>
          <w:tcPr>
            <w:tcW w:w="2587" w:type="pct"/>
            <w:tcBorders>
              <w:top w:val="outset" w:sz="6" w:space="0" w:color="414142"/>
              <w:left w:val="outset" w:sz="6" w:space="0" w:color="414142"/>
              <w:bottom w:val="outset" w:sz="6" w:space="0" w:color="414142"/>
              <w:right w:val="outset" w:sz="6" w:space="0" w:color="414142"/>
            </w:tcBorders>
            <w:shd w:val="clear" w:color="auto" w:fill="FFFFFF"/>
            <w:hideMark/>
          </w:tcPr>
          <w:p w:rsidR="00DE1C08" w:rsidRPr="002B217C" w:rsidRDefault="0067470E" w:rsidP="0067470E">
            <w:pPr>
              <w:rPr>
                <w:bCs/>
              </w:rPr>
            </w:pPr>
            <w:r>
              <w:rPr>
                <w:bCs/>
              </w:rPr>
              <w:t>Rita Strode</w:t>
            </w:r>
            <w:r w:rsidR="00DE1C08">
              <w:rPr>
                <w:bCs/>
              </w:rPr>
              <w:t xml:space="preserve">, tālr. 67083674, e-pasts: </w:t>
            </w:r>
            <w:hyperlink r:id="rId354" w:history="1">
              <w:r w:rsidRPr="00575DDD">
                <w:rPr>
                  <w:rStyle w:val="Hyperlink"/>
                  <w:bCs/>
                </w:rPr>
                <w:t>Rita.Strode@lm.gov.lv</w:t>
              </w:r>
            </w:hyperlink>
            <w:r w:rsidR="00DE1C08">
              <w:rPr>
                <w:bCs/>
              </w:rPr>
              <w:t xml:space="preserve"> </w:t>
            </w:r>
          </w:p>
        </w:tc>
      </w:tr>
      <w:tr w:rsidR="00DE1C08" w:rsidRPr="00A25218" w:rsidTr="003E5F80">
        <w:trPr>
          <w:trHeight w:val="390"/>
        </w:trPr>
        <w:tc>
          <w:tcPr>
            <w:tcW w:w="2413"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DE1C08" w:rsidRPr="00A25218" w:rsidRDefault="00DE1C08" w:rsidP="003E5F80">
            <w:pPr>
              <w:jc w:val="left"/>
              <w:rPr>
                <w:b/>
                <w:bCs/>
              </w:rPr>
            </w:pPr>
            <w:r w:rsidRPr="00A25218">
              <w:rPr>
                <w:b/>
                <w:bCs/>
              </w:rPr>
              <w:t>Pētījuma autori*** (autortiesību subjekti)</w:t>
            </w:r>
          </w:p>
        </w:tc>
        <w:tc>
          <w:tcPr>
            <w:tcW w:w="2587" w:type="pct"/>
            <w:shd w:val="clear" w:color="auto" w:fill="FFFFFF"/>
            <w:vAlign w:val="center"/>
            <w:hideMark/>
          </w:tcPr>
          <w:p w:rsidR="00DE1C08" w:rsidRPr="002B217C" w:rsidRDefault="00DE1C08" w:rsidP="003E5F80">
            <w:r>
              <w:t>Nodibinājums “Baltic Institute of Social Sciences”</w:t>
            </w:r>
          </w:p>
        </w:tc>
      </w:tr>
    </w:tbl>
    <w:p w:rsidR="00DE1C08" w:rsidRDefault="00DE1C08">
      <w:pPr>
        <w:spacing w:line="240" w:lineRule="auto"/>
        <w:jc w:val="left"/>
        <w:rPr>
          <w:rFonts w:asciiTheme="majorHAnsi" w:eastAsiaTheme="majorEastAsia" w:hAnsiTheme="majorHAnsi" w:cstheme="majorBidi"/>
          <w:b/>
          <w:bCs/>
          <w:color w:val="FFFFFF" w:themeColor="background1"/>
          <w:kern w:val="32"/>
          <w:sz w:val="32"/>
          <w:szCs w:val="32"/>
        </w:rPr>
      </w:pPr>
    </w:p>
    <w:p w:rsidR="002075BB" w:rsidRPr="00B87378" w:rsidRDefault="00545A97" w:rsidP="003945E0">
      <w:pPr>
        <w:pStyle w:val="Navnumercija"/>
        <w:rPr>
          <w:sz w:val="36"/>
        </w:rPr>
      </w:pPr>
      <w:bookmarkStart w:id="795" w:name="_Toc6841686"/>
      <w:r w:rsidRPr="00B87378">
        <w:rPr>
          <w:sz w:val="36"/>
        </w:rPr>
        <w:lastRenderedPageBreak/>
        <w:t>Pielikumi</w:t>
      </w:r>
      <w:bookmarkEnd w:id="795"/>
    </w:p>
    <w:p w:rsidR="00F177EE" w:rsidRPr="00B87378" w:rsidRDefault="00F177EE" w:rsidP="004C1ABB">
      <w:pPr>
        <w:pStyle w:val="pielikumiem"/>
      </w:pPr>
      <w:bookmarkStart w:id="796" w:name="_Toc6841687"/>
      <w:r w:rsidRPr="00B87378">
        <w:t>pielikums. Izvērtējuma metodoloģija</w:t>
      </w:r>
      <w:bookmarkEnd w:id="796"/>
    </w:p>
    <w:p w:rsidR="003733C9" w:rsidRPr="004C2E87" w:rsidRDefault="001832A9" w:rsidP="005A207F">
      <w:bookmarkStart w:id="797" w:name="_Toc868874"/>
      <w:bookmarkStart w:id="798" w:name="_Toc788696"/>
      <w:r w:rsidRPr="001832A9">
        <w:t>Katras jomas metodoloģijas izklāsts sastāv no definēto uzdevumu apkopojuma tabulas formātā, norādot katra uzdevuma izpildē plānotās metodes un instrumentārijus, kam seko katras datu ieguves un analīzes metodes pielietojuma detalizēts apraksts, norādot un skaidrojot datu ieguves (atlases) un analīzes kritērijus, datu ieguves un analīzes pielietojuma secīgus soļus un, kur, iespējams, arī datu interpretācijas veidus un principus, ņemot vērā, ka tie lielā mērā ir atkarīgi no iegūstamajiem datiem. Katrai metodei ir norādīta saikne ar konkrētiem Izvērtējuma uzdevumiem.</w:t>
      </w:r>
      <w:bookmarkEnd w:id="797"/>
    </w:p>
    <w:p w:rsidR="00F177EE" w:rsidRPr="007D6307" w:rsidRDefault="00F177EE" w:rsidP="00C33A64">
      <w:pPr>
        <w:pStyle w:val="avotiemft10"/>
      </w:pPr>
      <w:bookmarkStart w:id="799" w:name="_Toc868875"/>
      <w:bookmarkStart w:id="800" w:name="_Toc2761148"/>
      <w:bookmarkStart w:id="801" w:name="_Toc2848255"/>
      <w:bookmarkStart w:id="802" w:name="_Toc6219316"/>
      <w:bookmarkStart w:id="803" w:name="_Toc6220259"/>
      <w:bookmarkStart w:id="804" w:name="_Toc6841688"/>
      <w:r w:rsidRPr="00B87378">
        <w:t>Sociālās</w:t>
      </w:r>
      <w:r w:rsidRPr="007D6307">
        <w:t xml:space="preserve"> atstumtības un nabadzības </w:t>
      </w:r>
      <w:r w:rsidRPr="00DA49DB">
        <w:t>mazināšanas</w:t>
      </w:r>
      <w:r w:rsidRPr="007D6307">
        <w:t xml:space="preserve"> jomas analīzes metodika</w:t>
      </w:r>
      <w:bookmarkEnd w:id="798"/>
      <w:bookmarkEnd w:id="799"/>
      <w:bookmarkEnd w:id="800"/>
      <w:bookmarkEnd w:id="801"/>
      <w:bookmarkEnd w:id="802"/>
      <w:bookmarkEnd w:id="803"/>
      <w:bookmarkEnd w:id="804"/>
    </w:p>
    <w:p w:rsidR="00F177EE" w:rsidRPr="00144CD8" w:rsidRDefault="0057729E" w:rsidP="00F177EE">
      <w:pPr>
        <w:rPr>
          <w:color w:val="000000" w:themeColor="text1"/>
        </w:rPr>
      </w:pPr>
      <w:r>
        <w:rPr>
          <w:color w:val="000000" w:themeColor="text1"/>
        </w:rPr>
        <w:t>4.1</w:t>
      </w:r>
      <w:r w:rsidR="00F177EE">
        <w:rPr>
          <w:color w:val="000000" w:themeColor="text1"/>
        </w:rPr>
        <w:t xml:space="preserve">. tabulā ir apkopoti visi sociālās atstumtības un nabadzības mazināšanas jomā </w:t>
      </w:r>
      <w:r w:rsidR="008D050E">
        <w:rPr>
          <w:color w:val="000000" w:themeColor="text1"/>
        </w:rPr>
        <w:t>veiktie</w:t>
      </w:r>
      <w:r w:rsidR="00F177EE">
        <w:rPr>
          <w:color w:val="000000" w:themeColor="text1"/>
        </w:rPr>
        <w:t xml:space="preserve"> uzdevumi, katram uzdevumam norādot tā izpildē pielieto</w:t>
      </w:r>
      <w:r w:rsidR="00492FE9">
        <w:rPr>
          <w:color w:val="000000" w:themeColor="text1"/>
        </w:rPr>
        <w:t>t</w:t>
      </w:r>
      <w:r w:rsidR="00F177EE">
        <w:rPr>
          <w:color w:val="000000" w:themeColor="text1"/>
        </w:rPr>
        <w:t>ās metodes un izmanto</w:t>
      </w:r>
      <w:r w:rsidR="00492FE9">
        <w:rPr>
          <w:color w:val="000000" w:themeColor="text1"/>
        </w:rPr>
        <w:t>t</w:t>
      </w:r>
      <w:r w:rsidR="00F177EE">
        <w:rPr>
          <w:color w:val="000000" w:themeColor="text1"/>
        </w:rPr>
        <w:t xml:space="preserve">os instrumentārijus. </w:t>
      </w:r>
    </w:p>
    <w:p w:rsidR="00F177EE" w:rsidRPr="007D6307" w:rsidRDefault="0057729E" w:rsidP="007D6307">
      <w:pPr>
        <w:pStyle w:val="Caption"/>
      </w:pPr>
      <w:r w:rsidRPr="007D6307">
        <w:t>4.1</w:t>
      </w:r>
      <w:r w:rsidR="00F177EE" w:rsidRPr="007D6307">
        <w:t>. tabula. Izvērtējuma uzdevumi un to īstenošanas metodikas kopsavilkums sociālās atstumtības un nabadzības mazināšanas jomā</w:t>
      </w:r>
    </w:p>
    <w:tbl>
      <w:tblPr>
        <w:tblStyle w:val="TableGrid"/>
        <w:tblW w:w="0" w:type="auto"/>
        <w:tblLook w:val="04A0"/>
      </w:tblPr>
      <w:tblGrid>
        <w:gridCol w:w="673"/>
        <w:gridCol w:w="4083"/>
        <w:gridCol w:w="2259"/>
        <w:gridCol w:w="2893"/>
      </w:tblGrid>
      <w:tr w:rsidR="00F177EE" w:rsidRPr="00615C75" w:rsidTr="00A835E5">
        <w:tc>
          <w:tcPr>
            <w:tcW w:w="673" w:type="dxa"/>
            <w:shd w:val="clear" w:color="auto" w:fill="B8CCE4" w:themeFill="accent1" w:themeFillTint="66"/>
          </w:tcPr>
          <w:p w:rsidR="00F177EE" w:rsidRPr="00615C75" w:rsidRDefault="00F177EE" w:rsidP="00F177EE">
            <w:pPr>
              <w:spacing w:before="80" w:after="80"/>
              <w:jc w:val="center"/>
              <w:rPr>
                <w:b/>
                <w:color w:val="002060"/>
                <w:sz w:val="22"/>
                <w:szCs w:val="22"/>
              </w:rPr>
            </w:pPr>
            <w:r w:rsidRPr="00615C75">
              <w:rPr>
                <w:b/>
                <w:color w:val="002060"/>
                <w:sz w:val="22"/>
                <w:szCs w:val="22"/>
              </w:rPr>
              <w:t>Nr.</w:t>
            </w:r>
          </w:p>
        </w:tc>
        <w:tc>
          <w:tcPr>
            <w:tcW w:w="4083" w:type="dxa"/>
            <w:shd w:val="clear" w:color="auto" w:fill="B8CCE4" w:themeFill="accent1" w:themeFillTint="66"/>
          </w:tcPr>
          <w:p w:rsidR="00F177EE" w:rsidRPr="00615C75" w:rsidRDefault="00F177EE" w:rsidP="00F177EE">
            <w:pPr>
              <w:spacing w:before="80" w:after="80"/>
              <w:jc w:val="center"/>
              <w:rPr>
                <w:b/>
                <w:color w:val="002060"/>
                <w:sz w:val="22"/>
                <w:szCs w:val="22"/>
              </w:rPr>
            </w:pPr>
            <w:r w:rsidRPr="00615C75">
              <w:rPr>
                <w:b/>
                <w:color w:val="002060"/>
                <w:sz w:val="22"/>
                <w:szCs w:val="22"/>
              </w:rPr>
              <w:t>Uzdevums</w:t>
            </w:r>
          </w:p>
        </w:tc>
        <w:tc>
          <w:tcPr>
            <w:tcW w:w="2259" w:type="dxa"/>
            <w:shd w:val="clear" w:color="auto" w:fill="B8CCE4" w:themeFill="accent1" w:themeFillTint="66"/>
          </w:tcPr>
          <w:p w:rsidR="00F177EE" w:rsidRPr="00615C75" w:rsidRDefault="00F177EE" w:rsidP="00F177EE">
            <w:pPr>
              <w:spacing w:before="80" w:after="80"/>
              <w:jc w:val="center"/>
              <w:rPr>
                <w:b/>
                <w:color w:val="002060"/>
                <w:sz w:val="22"/>
                <w:szCs w:val="22"/>
              </w:rPr>
            </w:pPr>
            <w:r w:rsidRPr="00615C75">
              <w:rPr>
                <w:b/>
                <w:color w:val="002060"/>
                <w:sz w:val="22"/>
                <w:szCs w:val="22"/>
              </w:rPr>
              <w:t>Metodes</w:t>
            </w:r>
          </w:p>
        </w:tc>
        <w:tc>
          <w:tcPr>
            <w:tcW w:w="2893" w:type="dxa"/>
            <w:shd w:val="clear" w:color="auto" w:fill="B8CCE4" w:themeFill="accent1" w:themeFillTint="66"/>
          </w:tcPr>
          <w:p w:rsidR="00F177EE" w:rsidRPr="00615C75" w:rsidRDefault="00F177EE" w:rsidP="00F177EE">
            <w:pPr>
              <w:spacing w:before="80" w:after="80"/>
              <w:jc w:val="center"/>
              <w:rPr>
                <w:b/>
                <w:color w:val="002060"/>
                <w:sz w:val="22"/>
                <w:szCs w:val="22"/>
              </w:rPr>
            </w:pPr>
            <w:r w:rsidRPr="00615C75">
              <w:rPr>
                <w:b/>
                <w:color w:val="002060"/>
                <w:sz w:val="22"/>
                <w:szCs w:val="22"/>
              </w:rPr>
              <w:t xml:space="preserve">Instrumentārijs </w:t>
            </w:r>
          </w:p>
        </w:tc>
      </w:tr>
      <w:tr w:rsidR="00F177EE" w:rsidRPr="003F41D2" w:rsidTr="00F177EE">
        <w:trPr>
          <w:trHeight w:val="1331"/>
        </w:trPr>
        <w:tc>
          <w:tcPr>
            <w:tcW w:w="673" w:type="dxa"/>
            <w:shd w:val="clear" w:color="auto" w:fill="auto"/>
          </w:tcPr>
          <w:p w:rsidR="00F177EE" w:rsidRPr="003F41D2" w:rsidRDefault="00F177EE" w:rsidP="00F177EE">
            <w:pPr>
              <w:rPr>
                <w:color w:val="000000"/>
                <w:sz w:val="22"/>
                <w:szCs w:val="22"/>
              </w:rPr>
            </w:pPr>
            <w:r>
              <w:rPr>
                <w:color w:val="000000"/>
                <w:sz w:val="22"/>
                <w:szCs w:val="22"/>
              </w:rPr>
              <w:t>1</w:t>
            </w:r>
            <w:r w:rsidRPr="003F41D2">
              <w:rPr>
                <w:color w:val="000000"/>
                <w:sz w:val="22"/>
                <w:szCs w:val="22"/>
              </w:rPr>
              <w:t>.1.</w:t>
            </w:r>
          </w:p>
        </w:tc>
        <w:tc>
          <w:tcPr>
            <w:tcW w:w="4083" w:type="dxa"/>
            <w:shd w:val="clear" w:color="auto" w:fill="auto"/>
          </w:tcPr>
          <w:p w:rsidR="00F177EE" w:rsidRDefault="00F177EE" w:rsidP="00F177EE">
            <w:pPr>
              <w:rPr>
                <w:color w:val="000000"/>
                <w:sz w:val="22"/>
                <w:szCs w:val="22"/>
              </w:rPr>
            </w:pPr>
            <w:r>
              <w:rPr>
                <w:sz w:val="22"/>
                <w:szCs w:val="22"/>
              </w:rPr>
              <w:t>I</w:t>
            </w:r>
            <w:r w:rsidRPr="003F41D2">
              <w:rPr>
                <w:sz w:val="22"/>
                <w:szCs w:val="22"/>
              </w:rPr>
              <w:t xml:space="preserve">dentificēt un izvērtēt izmaiņas spēkā stājušos tiesību aktos </w:t>
            </w:r>
            <w:r w:rsidRPr="00A8264C">
              <w:rPr>
                <w:sz w:val="22"/>
                <w:szCs w:val="22"/>
              </w:rPr>
              <w:t>2015. un 2016. gadā</w:t>
            </w:r>
            <w:r w:rsidRPr="007A4681">
              <w:rPr>
                <w:sz w:val="22"/>
                <w:szCs w:val="22"/>
              </w:rPr>
              <w:t>, kuras vērstas uz nabadzības, sociālās atstumtības un/vai ienākumu nevienlīdzības samazināšanu, palielinot iedzīvotāju rīcībā esošos tiešos un/vai netiešos ienākumus</w:t>
            </w:r>
            <w:r w:rsidRPr="003F41D2">
              <w:rPr>
                <w:color w:val="000000"/>
                <w:sz w:val="22"/>
                <w:szCs w:val="22"/>
              </w:rPr>
              <w:t xml:space="preserve"> (TS 3.1.</w:t>
            </w:r>
            <w:r>
              <w:rPr>
                <w:color w:val="000000"/>
                <w:sz w:val="22"/>
                <w:szCs w:val="22"/>
              </w:rPr>
              <w:t>, 3.4.</w:t>
            </w:r>
            <w:r w:rsidRPr="003F41D2">
              <w:rPr>
                <w:color w:val="000000"/>
                <w:sz w:val="22"/>
                <w:szCs w:val="22"/>
              </w:rPr>
              <w:t xml:space="preserve"> punkt</w:t>
            </w:r>
            <w:r>
              <w:rPr>
                <w:color w:val="000000"/>
                <w:sz w:val="22"/>
                <w:szCs w:val="22"/>
              </w:rPr>
              <w:t>i</w:t>
            </w:r>
            <w:r w:rsidRPr="003F41D2">
              <w:rPr>
                <w:color w:val="000000"/>
                <w:sz w:val="22"/>
                <w:szCs w:val="22"/>
              </w:rPr>
              <w:t xml:space="preserve">) </w:t>
            </w:r>
          </w:p>
          <w:p w:rsidR="00F177EE" w:rsidRPr="00F177EE" w:rsidRDefault="00F177EE" w:rsidP="00F177EE">
            <w:pPr>
              <w:suppressAutoHyphens/>
              <w:autoSpaceDE w:val="0"/>
              <w:rPr>
                <w:color w:val="0070C0"/>
                <w:sz w:val="22"/>
                <w:szCs w:val="22"/>
              </w:rPr>
            </w:pPr>
          </w:p>
        </w:tc>
        <w:tc>
          <w:tcPr>
            <w:tcW w:w="2259" w:type="dxa"/>
            <w:shd w:val="clear" w:color="auto" w:fill="auto"/>
          </w:tcPr>
          <w:p w:rsidR="00F177EE" w:rsidRPr="00275358" w:rsidRDefault="00F177EE" w:rsidP="005C07F3">
            <w:pPr>
              <w:pStyle w:val="ListParagraph"/>
              <w:numPr>
                <w:ilvl w:val="0"/>
                <w:numId w:val="15"/>
              </w:numPr>
              <w:spacing w:line="276" w:lineRule="auto"/>
              <w:ind w:left="312" w:hanging="312"/>
              <w:rPr>
                <w:sz w:val="22"/>
                <w:szCs w:val="22"/>
              </w:rPr>
            </w:pPr>
            <w:r w:rsidRPr="00275358">
              <w:rPr>
                <w:sz w:val="22"/>
                <w:szCs w:val="22"/>
              </w:rPr>
              <w:t>Dokumentu analīze</w:t>
            </w:r>
          </w:p>
          <w:p w:rsidR="00F177EE" w:rsidRPr="00275358" w:rsidRDefault="00F177EE" w:rsidP="005C07F3">
            <w:pPr>
              <w:pStyle w:val="ListParagraph"/>
              <w:numPr>
                <w:ilvl w:val="0"/>
                <w:numId w:val="15"/>
              </w:numPr>
              <w:spacing w:line="276" w:lineRule="auto"/>
              <w:ind w:left="312" w:hanging="312"/>
              <w:rPr>
                <w:sz w:val="22"/>
                <w:szCs w:val="22"/>
              </w:rPr>
            </w:pPr>
            <w:r w:rsidRPr="00275358">
              <w:rPr>
                <w:sz w:val="22"/>
                <w:szCs w:val="22"/>
              </w:rPr>
              <w:t>Ekspertu intervijas</w:t>
            </w:r>
          </w:p>
          <w:p w:rsidR="00F177EE" w:rsidRPr="00076D8B" w:rsidRDefault="00F177EE" w:rsidP="00F177EE">
            <w:pPr>
              <w:pStyle w:val="ListParagraph"/>
              <w:spacing w:line="276" w:lineRule="auto"/>
              <w:ind w:left="462"/>
              <w:rPr>
                <w:sz w:val="22"/>
                <w:szCs w:val="22"/>
              </w:rPr>
            </w:pPr>
          </w:p>
          <w:p w:rsidR="00F177EE" w:rsidRPr="00076D8B" w:rsidRDefault="00F177EE" w:rsidP="00F177EE">
            <w:pPr>
              <w:jc w:val="left"/>
              <w:rPr>
                <w:sz w:val="22"/>
                <w:szCs w:val="22"/>
              </w:rPr>
            </w:pPr>
          </w:p>
          <w:p w:rsidR="00F177EE" w:rsidRPr="00076D8B" w:rsidRDefault="00F177EE" w:rsidP="00F177EE">
            <w:pPr>
              <w:jc w:val="left"/>
              <w:rPr>
                <w:color w:val="FF0000"/>
                <w:sz w:val="22"/>
                <w:szCs w:val="22"/>
              </w:rPr>
            </w:pPr>
          </w:p>
          <w:p w:rsidR="00F177EE" w:rsidRPr="00076D8B" w:rsidRDefault="00F177EE" w:rsidP="00F177EE">
            <w:pPr>
              <w:jc w:val="left"/>
              <w:rPr>
                <w:color w:val="FF0000"/>
                <w:sz w:val="22"/>
                <w:szCs w:val="22"/>
              </w:rPr>
            </w:pPr>
          </w:p>
        </w:tc>
        <w:tc>
          <w:tcPr>
            <w:tcW w:w="2893" w:type="dxa"/>
            <w:shd w:val="clear" w:color="auto" w:fill="auto"/>
          </w:tcPr>
          <w:p w:rsidR="00F177EE" w:rsidRDefault="00F177EE" w:rsidP="005C07F3">
            <w:pPr>
              <w:pStyle w:val="ListParagraph"/>
              <w:numPr>
                <w:ilvl w:val="1"/>
                <w:numId w:val="5"/>
              </w:numPr>
              <w:tabs>
                <w:tab w:val="left" w:pos="459"/>
              </w:tabs>
              <w:spacing w:line="276" w:lineRule="auto"/>
              <w:ind w:left="34" w:hanging="34"/>
              <w:rPr>
                <w:sz w:val="22"/>
                <w:szCs w:val="22"/>
              </w:rPr>
            </w:pPr>
            <w:r>
              <w:rPr>
                <w:sz w:val="22"/>
                <w:szCs w:val="22"/>
              </w:rPr>
              <w:t>Tiesību aktu atlases un analīzes kritēriji sociālās atstumtības un nabadzības mazināšanas jomā</w:t>
            </w:r>
          </w:p>
          <w:p w:rsidR="00F177EE" w:rsidRDefault="00F177EE" w:rsidP="00F177EE">
            <w:pPr>
              <w:jc w:val="left"/>
              <w:rPr>
                <w:sz w:val="22"/>
                <w:szCs w:val="22"/>
              </w:rPr>
            </w:pPr>
            <w:r>
              <w:rPr>
                <w:sz w:val="22"/>
                <w:szCs w:val="22"/>
              </w:rPr>
              <w:t>3.1. Ekspertu interviju vadlīnijas</w:t>
            </w:r>
          </w:p>
          <w:p w:rsidR="00F177EE" w:rsidRPr="00986E81" w:rsidRDefault="00F177EE" w:rsidP="00F177EE">
            <w:pPr>
              <w:jc w:val="left"/>
              <w:rPr>
                <w:sz w:val="22"/>
                <w:szCs w:val="22"/>
              </w:rPr>
            </w:pPr>
            <w:r>
              <w:rPr>
                <w:sz w:val="22"/>
                <w:szCs w:val="22"/>
              </w:rPr>
              <w:t>3.3. Ekspertu interviju un FGD dalībnieku saraksti</w:t>
            </w:r>
          </w:p>
        </w:tc>
      </w:tr>
      <w:tr w:rsidR="00F177EE" w:rsidRPr="003F41D2" w:rsidTr="00F177EE">
        <w:tc>
          <w:tcPr>
            <w:tcW w:w="673" w:type="dxa"/>
            <w:shd w:val="clear" w:color="auto" w:fill="auto"/>
          </w:tcPr>
          <w:p w:rsidR="00F177EE" w:rsidRPr="003F41D2" w:rsidRDefault="00F177EE" w:rsidP="00F177EE">
            <w:pPr>
              <w:rPr>
                <w:color w:val="000000"/>
                <w:sz w:val="22"/>
                <w:szCs w:val="22"/>
              </w:rPr>
            </w:pPr>
            <w:r>
              <w:rPr>
                <w:color w:val="000000"/>
                <w:sz w:val="22"/>
                <w:szCs w:val="22"/>
              </w:rPr>
              <w:t>1</w:t>
            </w:r>
            <w:r w:rsidRPr="003F41D2">
              <w:rPr>
                <w:color w:val="000000"/>
                <w:sz w:val="22"/>
                <w:szCs w:val="22"/>
              </w:rPr>
              <w:t>.</w:t>
            </w:r>
            <w:r>
              <w:rPr>
                <w:color w:val="000000"/>
                <w:sz w:val="22"/>
                <w:szCs w:val="22"/>
              </w:rPr>
              <w:t>2</w:t>
            </w:r>
            <w:r w:rsidRPr="003F41D2">
              <w:rPr>
                <w:color w:val="000000"/>
                <w:sz w:val="22"/>
                <w:szCs w:val="22"/>
              </w:rPr>
              <w:t>.</w:t>
            </w:r>
          </w:p>
        </w:tc>
        <w:tc>
          <w:tcPr>
            <w:tcW w:w="4083" w:type="dxa"/>
            <w:shd w:val="clear" w:color="auto" w:fill="auto"/>
          </w:tcPr>
          <w:p w:rsidR="00F177EE" w:rsidRDefault="00F177EE" w:rsidP="00F177EE">
            <w:pPr>
              <w:rPr>
                <w:sz w:val="22"/>
                <w:szCs w:val="22"/>
              </w:rPr>
            </w:pPr>
            <w:r>
              <w:rPr>
                <w:sz w:val="22"/>
                <w:szCs w:val="22"/>
              </w:rPr>
              <w:t>V</w:t>
            </w:r>
            <w:r w:rsidRPr="00FC01DD">
              <w:rPr>
                <w:sz w:val="22"/>
                <w:szCs w:val="22"/>
              </w:rPr>
              <w:t>eikt padziļinātu administratīvo, apsekojumu un citu statistikas datu analīzi ienākumu palielināšanas, nabadzības, sociālās atstumtības un ienākumu nevienlīdzības jomā par 2015. gadu (salīdzinot ar 2014. gadu)</w:t>
            </w:r>
            <w:r>
              <w:rPr>
                <w:sz w:val="22"/>
                <w:szCs w:val="22"/>
              </w:rPr>
              <w:t xml:space="preserve"> (TS 3.2. punkts) un </w:t>
            </w:r>
            <w:r w:rsidRPr="00FC01DD">
              <w:rPr>
                <w:sz w:val="22"/>
                <w:szCs w:val="22"/>
              </w:rPr>
              <w:t>par 201</w:t>
            </w:r>
            <w:r>
              <w:rPr>
                <w:sz w:val="22"/>
                <w:szCs w:val="22"/>
              </w:rPr>
              <w:t>6</w:t>
            </w:r>
            <w:r w:rsidRPr="00FC01DD">
              <w:rPr>
                <w:sz w:val="22"/>
                <w:szCs w:val="22"/>
              </w:rPr>
              <w:t>. gadu (salīdzinot ar 201</w:t>
            </w:r>
            <w:r>
              <w:rPr>
                <w:sz w:val="22"/>
                <w:szCs w:val="22"/>
              </w:rPr>
              <w:t>5</w:t>
            </w:r>
            <w:r w:rsidRPr="00FC01DD">
              <w:rPr>
                <w:sz w:val="22"/>
                <w:szCs w:val="22"/>
              </w:rPr>
              <w:t>. gadu)</w:t>
            </w:r>
            <w:r>
              <w:rPr>
                <w:sz w:val="22"/>
                <w:szCs w:val="22"/>
              </w:rPr>
              <w:t xml:space="preserve"> (TS 3.5. punkts)</w:t>
            </w:r>
          </w:p>
          <w:p w:rsidR="00F177EE" w:rsidRPr="005C4B96" w:rsidRDefault="00F177EE" w:rsidP="00F177EE">
            <w:pPr>
              <w:jc w:val="left"/>
              <w:rPr>
                <w:sz w:val="22"/>
                <w:szCs w:val="22"/>
              </w:rPr>
            </w:pPr>
            <w:r w:rsidRPr="005C4B96">
              <w:rPr>
                <w:sz w:val="22"/>
                <w:szCs w:val="22"/>
              </w:rPr>
              <w:t>Statistikas datu analīzes rezultātā:</w:t>
            </w:r>
          </w:p>
          <w:p w:rsidR="00F177EE" w:rsidRPr="00E04360" w:rsidRDefault="00F177EE" w:rsidP="005C07F3">
            <w:pPr>
              <w:pStyle w:val="ListParagraph"/>
              <w:numPr>
                <w:ilvl w:val="0"/>
                <w:numId w:val="6"/>
              </w:numPr>
              <w:spacing w:line="276" w:lineRule="auto"/>
              <w:ind w:left="317" w:hanging="317"/>
              <w:rPr>
                <w:sz w:val="22"/>
                <w:szCs w:val="22"/>
              </w:rPr>
            </w:pPr>
            <w:r w:rsidRPr="00E04360">
              <w:rPr>
                <w:sz w:val="22"/>
                <w:szCs w:val="22"/>
              </w:rPr>
              <w:t>izveidot sociālo grupu portretus (TS 3.2.2. punkts);</w:t>
            </w:r>
          </w:p>
          <w:p w:rsidR="00F177EE" w:rsidRDefault="00F177EE" w:rsidP="005C07F3">
            <w:pPr>
              <w:pStyle w:val="ListParagraph"/>
              <w:numPr>
                <w:ilvl w:val="0"/>
                <w:numId w:val="6"/>
              </w:numPr>
              <w:spacing w:line="276" w:lineRule="auto"/>
              <w:ind w:left="317" w:hanging="317"/>
              <w:rPr>
                <w:sz w:val="22"/>
                <w:szCs w:val="22"/>
              </w:rPr>
            </w:pPr>
            <w:r w:rsidRPr="00E04360">
              <w:rPr>
                <w:sz w:val="22"/>
                <w:szCs w:val="22"/>
              </w:rPr>
              <w:t>identificēt dažādu rādītāju tiešu vai netiešu savstarpējo ietekmi un sakarības (TS 3.2.3. punkts);</w:t>
            </w:r>
          </w:p>
          <w:p w:rsidR="00F177EE" w:rsidRPr="00986E81" w:rsidRDefault="00F177EE" w:rsidP="005C07F3">
            <w:pPr>
              <w:pStyle w:val="ListParagraph"/>
              <w:numPr>
                <w:ilvl w:val="0"/>
                <w:numId w:val="6"/>
              </w:numPr>
              <w:spacing w:line="276" w:lineRule="auto"/>
              <w:ind w:left="317" w:hanging="317"/>
              <w:rPr>
                <w:sz w:val="22"/>
                <w:szCs w:val="22"/>
              </w:rPr>
            </w:pPr>
            <w:r w:rsidRPr="00E04360">
              <w:rPr>
                <w:sz w:val="22"/>
                <w:szCs w:val="22"/>
              </w:rPr>
              <w:t>veikt cēloņsakarību analīzi un skaidrot dažādu procesu cēloņus un sekas (TS 3.2.4. punkts).</w:t>
            </w:r>
          </w:p>
        </w:tc>
        <w:tc>
          <w:tcPr>
            <w:tcW w:w="2259" w:type="dxa"/>
            <w:shd w:val="clear" w:color="auto" w:fill="auto"/>
          </w:tcPr>
          <w:p w:rsidR="00F177EE" w:rsidRPr="00AF09F0" w:rsidRDefault="00F177EE" w:rsidP="00F177EE">
            <w:pPr>
              <w:rPr>
                <w:sz w:val="22"/>
                <w:szCs w:val="22"/>
              </w:rPr>
            </w:pPr>
            <w:r w:rsidRPr="00AF09F0">
              <w:rPr>
                <w:sz w:val="22"/>
                <w:szCs w:val="22"/>
              </w:rPr>
              <w:t>Statistikas datu analīze</w:t>
            </w:r>
          </w:p>
          <w:p w:rsidR="00F177EE" w:rsidRPr="00227DE1" w:rsidRDefault="00F177EE" w:rsidP="00F177EE">
            <w:pPr>
              <w:rPr>
                <w:b/>
                <w:sz w:val="22"/>
                <w:szCs w:val="22"/>
              </w:rPr>
            </w:pPr>
          </w:p>
          <w:p w:rsidR="00F177EE" w:rsidRPr="00AF09F0" w:rsidRDefault="00F177EE" w:rsidP="00F177EE">
            <w:pPr>
              <w:rPr>
                <w:sz w:val="22"/>
                <w:szCs w:val="22"/>
              </w:rPr>
            </w:pPr>
          </w:p>
          <w:p w:rsidR="00F177EE" w:rsidRPr="00AF09F0" w:rsidRDefault="00F177EE" w:rsidP="00F177EE">
            <w:pPr>
              <w:rPr>
                <w:sz w:val="22"/>
                <w:szCs w:val="22"/>
              </w:rPr>
            </w:pPr>
          </w:p>
        </w:tc>
        <w:tc>
          <w:tcPr>
            <w:tcW w:w="2893" w:type="dxa"/>
            <w:shd w:val="clear" w:color="auto" w:fill="auto"/>
          </w:tcPr>
          <w:p w:rsidR="00F177EE" w:rsidRPr="003F41D2" w:rsidRDefault="00F177EE" w:rsidP="00F177EE">
            <w:pPr>
              <w:rPr>
                <w:color w:val="0070C0"/>
                <w:sz w:val="22"/>
                <w:szCs w:val="22"/>
              </w:rPr>
            </w:pPr>
            <w:bookmarkStart w:id="805" w:name="_Hlk525216981"/>
            <w:r>
              <w:rPr>
                <w:sz w:val="22"/>
                <w:szCs w:val="22"/>
              </w:rPr>
              <w:t>2.1. Statistikas datu un apsekojumu datu atlases un kvalitātes kritēriji sociālās atstumtības un nabadzības mazināšanas jomā</w:t>
            </w:r>
            <w:bookmarkEnd w:id="805"/>
          </w:p>
        </w:tc>
      </w:tr>
      <w:tr w:rsidR="00F177EE" w:rsidRPr="003F41D2" w:rsidTr="00F177EE">
        <w:tc>
          <w:tcPr>
            <w:tcW w:w="673" w:type="dxa"/>
            <w:shd w:val="clear" w:color="auto" w:fill="auto"/>
          </w:tcPr>
          <w:p w:rsidR="00F177EE" w:rsidRPr="003F41D2" w:rsidRDefault="00F177EE" w:rsidP="00F177EE">
            <w:pPr>
              <w:rPr>
                <w:color w:val="000000"/>
                <w:sz w:val="22"/>
                <w:szCs w:val="22"/>
              </w:rPr>
            </w:pPr>
            <w:r>
              <w:rPr>
                <w:color w:val="000000"/>
                <w:sz w:val="22"/>
                <w:szCs w:val="22"/>
              </w:rPr>
              <w:t>1</w:t>
            </w:r>
            <w:r w:rsidRPr="003F41D2">
              <w:rPr>
                <w:color w:val="000000"/>
                <w:sz w:val="22"/>
                <w:szCs w:val="22"/>
              </w:rPr>
              <w:t>.</w:t>
            </w:r>
            <w:r>
              <w:rPr>
                <w:color w:val="000000"/>
                <w:sz w:val="22"/>
                <w:szCs w:val="22"/>
              </w:rPr>
              <w:t>3</w:t>
            </w:r>
            <w:r w:rsidRPr="003F41D2">
              <w:rPr>
                <w:color w:val="000000"/>
                <w:sz w:val="22"/>
                <w:szCs w:val="22"/>
              </w:rPr>
              <w:t>.</w:t>
            </w:r>
          </w:p>
        </w:tc>
        <w:tc>
          <w:tcPr>
            <w:tcW w:w="4083" w:type="dxa"/>
            <w:shd w:val="clear" w:color="auto" w:fill="auto"/>
          </w:tcPr>
          <w:p w:rsidR="00F177EE" w:rsidRDefault="00F177EE" w:rsidP="00F177EE">
            <w:pPr>
              <w:rPr>
                <w:sz w:val="22"/>
                <w:szCs w:val="22"/>
              </w:rPr>
            </w:pPr>
            <w:r>
              <w:rPr>
                <w:sz w:val="22"/>
                <w:szCs w:val="22"/>
              </w:rPr>
              <w:t>V</w:t>
            </w:r>
            <w:r w:rsidRPr="00E04360">
              <w:rPr>
                <w:sz w:val="22"/>
                <w:szCs w:val="22"/>
              </w:rPr>
              <w:t>eikt datu kvalitātes analīzi</w:t>
            </w:r>
            <w:r>
              <w:rPr>
                <w:sz w:val="22"/>
                <w:szCs w:val="22"/>
              </w:rPr>
              <w:t xml:space="preserve"> </w:t>
            </w:r>
            <w:r w:rsidRPr="00FC01DD">
              <w:rPr>
                <w:sz w:val="22"/>
                <w:szCs w:val="22"/>
              </w:rPr>
              <w:t xml:space="preserve">ienākumu palielināšanas, nabadzības, sociālās atstumtības un ienākumu nevienlīdzības </w:t>
            </w:r>
            <w:r w:rsidRPr="00FC01DD">
              <w:rPr>
                <w:sz w:val="22"/>
                <w:szCs w:val="22"/>
              </w:rPr>
              <w:lastRenderedPageBreak/>
              <w:t>jomā</w:t>
            </w:r>
            <w:r>
              <w:rPr>
                <w:sz w:val="22"/>
                <w:szCs w:val="22"/>
              </w:rPr>
              <w:t xml:space="preserve"> (par 2015., 2016. gadu), ietverot šādus aspektus:</w:t>
            </w:r>
          </w:p>
          <w:p w:rsidR="00F177EE" w:rsidRPr="00E04360" w:rsidRDefault="00F177EE" w:rsidP="005C07F3">
            <w:pPr>
              <w:pStyle w:val="ListParagraph"/>
              <w:numPr>
                <w:ilvl w:val="0"/>
                <w:numId w:val="7"/>
              </w:numPr>
              <w:spacing w:line="276" w:lineRule="auto"/>
              <w:ind w:left="317" w:hanging="317"/>
              <w:rPr>
                <w:sz w:val="22"/>
                <w:szCs w:val="22"/>
              </w:rPr>
            </w:pPr>
            <w:r w:rsidRPr="00E04360">
              <w:rPr>
                <w:sz w:val="22"/>
                <w:szCs w:val="22"/>
              </w:rPr>
              <w:t>datu pieejamība</w:t>
            </w:r>
            <w:r>
              <w:rPr>
                <w:sz w:val="22"/>
                <w:szCs w:val="22"/>
              </w:rPr>
              <w:t xml:space="preserve"> (t.sk. trūkstošie dati)</w:t>
            </w:r>
            <w:r w:rsidRPr="00E04360">
              <w:rPr>
                <w:sz w:val="22"/>
                <w:szCs w:val="22"/>
              </w:rPr>
              <w:t xml:space="preserve">, </w:t>
            </w:r>
          </w:p>
          <w:p w:rsidR="00F177EE" w:rsidRPr="00E04360" w:rsidRDefault="00F177EE" w:rsidP="005C07F3">
            <w:pPr>
              <w:pStyle w:val="ListParagraph"/>
              <w:numPr>
                <w:ilvl w:val="0"/>
                <w:numId w:val="7"/>
              </w:numPr>
              <w:spacing w:line="276" w:lineRule="auto"/>
              <w:ind w:left="317" w:hanging="317"/>
              <w:rPr>
                <w:sz w:val="22"/>
                <w:szCs w:val="22"/>
              </w:rPr>
            </w:pPr>
            <w:r w:rsidRPr="00E04360">
              <w:rPr>
                <w:sz w:val="22"/>
                <w:szCs w:val="22"/>
              </w:rPr>
              <w:t>pieejamības veids un formāts (kādos griezumos, kam un uz kādiem nosacījumiem dati ir vai nav pieejami),</w:t>
            </w:r>
          </w:p>
          <w:p w:rsidR="00F177EE" w:rsidRPr="00E04360" w:rsidRDefault="00F177EE" w:rsidP="005C07F3">
            <w:pPr>
              <w:pStyle w:val="ListParagraph"/>
              <w:numPr>
                <w:ilvl w:val="0"/>
                <w:numId w:val="7"/>
              </w:numPr>
              <w:spacing w:line="276" w:lineRule="auto"/>
              <w:ind w:left="317" w:hanging="317"/>
              <w:rPr>
                <w:sz w:val="22"/>
                <w:szCs w:val="22"/>
              </w:rPr>
            </w:pPr>
            <w:r w:rsidRPr="00E04360">
              <w:rPr>
                <w:sz w:val="22"/>
                <w:szCs w:val="22"/>
              </w:rPr>
              <w:t xml:space="preserve">publicēšanas regularitāte un veids, </w:t>
            </w:r>
          </w:p>
          <w:p w:rsidR="00F177EE" w:rsidRPr="00E04360" w:rsidRDefault="00F177EE" w:rsidP="005C07F3">
            <w:pPr>
              <w:pStyle w:val="ListParagraph"/>
              <w:numPr>
                <w:ilvl w:val="0"/>
                <w:numId w:val="7"/>
              </w:numPr>
              <w:spacing w:line="276" w:lineRule="auto"/>
              <w:ind w:left="317" w:hanging="317"/>
              <w:rPr>
                <w:sz w:val="22"/>
                <w:szCs w:val="22"/>
              </w:rPr>
            </w:pPr>
            <w:r w:rsidRPr="00E04360">
              <w:rPr>
                <w:sz w:val="22"/>
                <w:szCs w:val="22"/>
              </w:rPr>
              <w:t xml:space="preserve">datu iegūšanas/vākšanas metodes un avoti, </w:t>
            </w:r>
          </w:p>
          <w:p w:rsidR="00F177EE" w:rsidRPr="00E04360" w:rsidRDefault="00F177EE" w:rsidP="005C07F3">
            <w:pPr>
              <w:pStyle w:val="ListParagraph"/>
              <w:numPr>
                <w:ilvl w:val="0"/>
                <w:numId w:val="7"/>
              </w:numPr>
              <w:spacing w:line="276" w:lineRule="auto"/>
              <w:ind w:left="317" w:hanging="317"/>
              <w:rPr>
                <w:sz w:val="22"/>
                <w:szCs w:val="22"/>
              </w:rPr>
            </w:pPr>
            <w:r w:rsidRPr="00E04360">
              <w:rPr>
                <w:sz w:val="22"/>
                <w:szCs w:val="22"/>
              </w:rPr>
              <w:t xml:space="preserve">mērķa populācija un izlašu, kur attiecināms, apjoms, </w:t>
            </w:r>
          </w:p>
          <w:p w:rsidR="00F177EE" w:rsidRPr="00E04360" w:rsidRDefault="00F177EE" w:rsidP="005C07F3">
            <w:pPr>
              <w:pStyle w:val="ListParagraph"/>
              <w:numPr>
                <w:ilvl w:val="0"/>
                <w:numId w:val="7"/>
              </w:numPr>
              <w:spacing w:line="276" w:lineRule="auto"/>
              <w:ind w:left="317" w:hanging="317"/>
              <w:rPr>
                <w:sz w:val="22"/>
                <w:szCs w:val="22"/>
              </w:rPr>
            </w:pPr>
            <w:r w:rsidRPr="00E04360">
              <w:rPr>
                <w:sz w:val="22"/>
                <w:szCs w:val="22"/>
              </w:rPr>
              <w:t xml:space="preserve">datu definīcijas, </w:t>
            </w:r>
          </w:p>
          <w:p w:rsidR="00F177EE" w:rsidRPr="00E04360" w:rsidRDefault="00F177EE" w:rsidP="005C07F3">
            <w:pPr>
              <w:pStyle w:val="ListParagraph"/>
              <w:numPr>
                <w:ilvl w:val="0"/>
                <w:numId w:val="7"/>
              </w:numPr>
              <w:spacing w:line="276" w:lineRule="auto"/>
              <w:ind w:left="317" w:hanging="317"/>
              <w:rPr>
                <w:sz w:val="22"/>
                <w:szCs w:val="22"/>
              </w:rPr>
            </w:pPr>
            <w:r w:rsidRPr="00E04360">
              <w:rPr>
                <w:sz w:val="22"/>
                <w:szCs w:val="22"/>
              </w:rPr>
              <w:t>datu aprēķināšanas metodes,</w:t>
            </w:r>
          </w:p>
          <w:p w:rsidR="00F177EE" w:rsidRPr="00E04360" w:rsidRDefault="00F177EE" w:rsidP="005C07F3">
            <w:pPr>
              <w:pStyle w:val="ListParagraph"/>
              <w:numPr>
                <w:ilvl w:val="0"/>
                <w:numId w:val="7"/>
              </w:numPr>
              <w:spacing w:line="276" w:lineRule="auto"/>
              <w:ind w:left="317" w:hanging="317"/>
              <w:rPr>
                <w:sz w:val="22"/>
                <w:szCs w:val="22"/>
              </w:rPr>
            </w:pPr>
            <w:r w:rsidRPr="00E04360">
              <w:rPr>
                <w:sz w:val="22"/>
                <w:szCs w:val="22"/>
              </w:rPr>
              <w:t xml:space="preserve">datu salīdzināmība, </w:t>
            </w:r>
          </w:p>
          <w:p w:rsidR="00F177EE" w:rsidRPr="00986E81" w:rsidRDefault="00F177EE" w:rsidP="005C07F3">
            <w:pPr>
              <w:pStyle w:val="ListParagraph"/>
              <w:numPr>
                <w:ilvl w:val="0"/>
                <w:numId w:val="7"/>
              </w:numPr>
              <w:spacing w:line="276" w:lineRule="auto"/>
              <w:ind w:left="317" w:hanging="317"/>
              <w:rPr>
                <w:sz w:val="22"/>
                <w:szCs w:val="22"/>
              </w:rPr>
            </w:pPr>
            <w:r w:rsidRPr="00E04360">
              <w:rPr>
                <w:sz w:val="22"/>
                <w:szCs w:val="22"/>
              </w:rPr>
              <w:t>datu kvalitāte</w:t>
            </w:r>
            <w:r w:rsidRPr="00B9470B">
              <w:rPr>
                <w:sz w:val="22"/>
                <w:szCs w:val="22"/>
              </w:rPr>
              <w:t xml:space="preserve"> (TS 3.2.5.</w:t>
            </w:r>
            <w:r>
              <w:rPr>
                <w:sz w:val="22"/>
                <w:szCs w:val="22"/>
              </w:rPr>
              <w:t>, 3.5. punkti</w:t>
            </w:r>
            <w:r w:rsidRPr="00B9470B">
              <w:rPr>
                <w:sz w:val="22"/>
                <w:szCs w:val="22"/>
              </w:rPr>
              <w:t>).</w:t>
            </w:r>
          </w:p>
        </w:tc>
        <w:tc>
          <w:tcPr>
            <w:tcW w:w="2259" w:type="dxa"/>
            <w:shd w:val="clear" w:color="auto" w:fill="auto"/>
          </w:tcPr>
          <w:p w:rsidR="00F177EE" w:rsidRPr="00240BC6" w:rsidRDefault="00F177EE" w:rsidP="00F177EE">
            <w:pPr>
              <w:rPr>
                <w:sz w:val="22"/>
                <w:szCs w:val="22"/>
              </w:rPr>
            </w:pPr>
            <w:r w:rsidRPr="00240BC6">
              <w:rPr>
                <w:sz w:val="22"/>
                <w:szCs w:val="22"/>
              </w:rPr>
              <w:lastRenderedPageBreak/>
              <w:t>Statistikas datu analīze</w:t>
            </w:r>
          </w:p>
        </w:tc>
        <w:tc>
          <w:tcPr>
            <w:tcW w:w="2893" w:type="dxa"/>
            <w:shd w:val="clear" w:color="auto" w:fill="auto"/>
          </w:tcPr>
          <w:p w:rsidR="00F177EE" w:rsidRPr="003F41D2" w:rsidRDefault="00F177EE" w:rsidP="00F177EE">
            <w:pPr>
              <w:jc w:val="left"/>
              <w:rPr>
                <w:sz w:val="22"/>
                <w:szCs w:val="22"/>
              </w:rPr>
            </w:pPr>
            <w:r>
              <w:rPr>
                <w:sz w:val="22"/>
                <w:szCs w:val="22"/>
              </w:rPr>
              <w:t xml:space="preserve">2.1. Statistikas datu un apsekojumu datu atlases un kvalitātes kritēriji sociālās </w:t>
            </w:r>
            <w:r>
              <w:rPr>
                <w:sz w:val="22"/>
                <w:szCs w:val="22"/>
              </w:rPr>
              <w:lastRenderedPageBreak/>
              <w:t>atstumtības un nabadzības mazināšanas jomā</w:t>
            </w:r>
          </w:p>
        </w:tc>
      </w:tr>
      <w:tr w:rsidR="00F177EE" w:rsidRPr="003F41D2" w:rsidTr="00F177EE">
        <w:tc>
          <w:tcPr>
            <w:tcW w:w="673" w:type="dxa"/>
            <w:shd w:val="clear" w:color="auto" w:fill="auto"/>
          </w:tcPr>
          <w:p w:rsidR="00F177EE" w:rsidRPr="003F41D2" w:rsidRDefault="00F177EE" w:rsidP="00F177EE">
            <w:pPr>
              <w:rPr>
                <w:color w:val="000000"/>
                <w:sz w:val="22"/>
                <w:szCs w:val="22"/>
              </w:rPr>
            </w:pPr>
            <w:r>
              <w:rPr>
                <w:color w:val="000000"/>
                <w:sz w:val="22"/>
                <w:szCs w:val="22"/>
              </w:rPr>
              <w:lastRenderedPageBreak/>
              <w:t>1</w:t>
            </w:r>
            <w:r w:rsidRPr="003F41D2">
              <w:rPr>
                <w:color w:val="000000"/>
                <w:sz w:val="22"/>
                <w:szCs w:val="22"/>
              </w:rPr>
              <w:t>.</w:t>
            </w:r>
            <w:r>
              <w:rPr>
                <w:color w:val="000000"/>
                <w:sz w:val="22"/>
                <w:szCs w:val="22"/>
              </w:rPr>
              <w:t>4</w:t>
            </w:r>
            <w:r w:rsidRPr="003F41D2">
              <w:rPr>
                <w:color w:val="000000"/>
                <w:sz w:val="22"/>
                <w:szCs w:val="22"/>
              </w:rPr>
              <w:t>.</w:t>
            </w:r>
          </w:p>
        </w:tc>
        <w:tc>
          <w:tcPr>
            <w:tcW w:w="4083" w:type="dxa"/>
            <w:shd w:val="clear" w:color="auto" w:fill="auto"/>
          </w:tcPr>
          <w:p w:rsidR="00F177EE" w:rsidRPr="00AB614A" w:rsidRDefault="00F177EE" w:rsidP="00F177EE">
            <w:pPr>
              <w:rPr>
                <w:sz w:val="22"/>
                <w:szCs w:val="22"/>
              </w:rPr>
            </w:pPr>
            <w:r>
              <w:rPr>
                <w:sz w:val="22"/>
                <w:szCs w:val="22"/>
              </w:rPr>
              <w:t>I</w:t>
            </w:r>
            <w:r w:rsidRPr="00082E4A">
              <w:rPr>
                <w:sz w:val="22"/>
                <w:szCs w:val="22"/>
              </w:rPr>
              <w:t>dentificēt, kuri no datiem turpmāk būtu izmantojami nabadzības, sociālās atstumtības un/vai ienākumu nevienlīdzības samazināšanas izvērtēšanai un kāda papildus datu vākšana šim nolūkam būtu nepieciešama</w:t>
            </w:r>
            <w:r>
              <w:rPr>
                <w:sz w:val="22"/>
                <w:szCs w:val="22"/>
              </w:rPr>
              <w:t xml:space="preserve"> (TS 3.3.2., 3.6.2. punkti)</w:t>
            </w:r>
          </w:p>
        </w:tc>
        <w:tc>
          <w:tcPr>
            <w:tcW w:w="2259" w:type="dxa"/>
            <w:shd w:val="clear" w:color="auto" w:fill="auto"/>
          </w:tcPr>
          <w:p w:rsidR="00F177EE" w:rsidRPr="00240BC6" w:rsidRDefault="00F177EE" w:rsidP="00F177EE">
            <w:pPr>
              <w:rPr>
                <w:sz w:val="22"/>
                <w:szCs w:val="22"/>
              </w:rPr>
            </w:pPr>
            <w:r w:rsidRPr="00240BC6">
              <w:rPr>
                <w:sz w:val="22"/>
                <w:szCs w:val="22"/>
              </w:rPr>
              <w:t xml:space="preserve">Statistikas datu analīze </w:t>
            </w:r>
          </w:p>
        </w:tc>
        <w:tc>
          <w:tcPr>
            <w:tcW w:w="2893" w:type="dxa"/>
            <w:shd w:val="clear" w:color="auto" w:fill="auto"/>
          </w:tcPr>
          <w:p w:rsidR="00F177EE" w:rsidRPr="00AB614A" w:rsidRDefault="00F177EE" w:rsidP="00F177EE">
            <w:pPr>
              <w:jc w:val="left"/>
              <w:rPr>
                <w:sz w:val="22"/>
                <w:szCs w:val="22"/>
              </w:rPr>
            </w:pPr>
            <w:r>
              <w:rPr>
                <w:sz w:val="22"/>
                <w:szCs w:val="22"/>
              </w:rPr>
              <w:t>2.1. Statistikas datu un apsekojumu datu atlases un kvalitātes kritēriji sociālās atstumtības un nabadzības mazināšanas jomā</w:t>
            </w:r>
          </w:p>
        </w:tc>
      </w:tr>
      <w:tr w:rsidR="00F177EE" w:rsidRPr="003F41D2" w:rsidTr="00F177EE">
        <w:tc>
          <w:tcPr>
            <w:tcW w:w="673" w:type="dxa"/>
            <w:shd w:val="clear" w:color="auto" w:fill="auto"/>
          </w:tcPr>
          <w:p w:rsidR="00F177EE" w:rsidRPr="003F41D2" w:rsidRDefault="00F177EE" w:rsidP="00F177EE">
            <w:pPr>
              <w:rPr>
                <w:color w:val="000000"/>
                <w:sz w:val="22"/>
                <w:szCs w:val="22"/>
              </w:rPr>
            </w:pPr>
            <w:r>
              <w:rPr>
                <w:color w:val="000000"/>
                <w:sz w:val="22"/>
                <w:szCs w:val="22"/>
              </w:rPr>
              <w:t>1</w:t>
            </w:r>
            <w:r w:rsidRPr="003F41D2">
              <w:rPr>
                <w:color w:val="000000"/>
                <w:sz w:val="22"/>
                <w:szCs w:val="22"/>
              </w:rPr>
              <w:t>.</w:t>
            </w:r>
            <w:r>
              <w:rPr>
                <w:color w:val="000000"/>
                <w:sz w:val="22"/>
                <w:szCs w:val="22"/>
              </w:rPr>
              <w:t>5</w:t>
            </w:r>
            <w:r w:rsidRPr="003F41D2">
              <w:rPr>
                <w:color w:val="000000"/>
                <w:sz w:val="22"/>
                <w:szCs w:val="22"/>
              </w:rPr>
              <w:t>.</w:t>
            </w:r>
          </w:p>
        </w:tc>
        <w:tc>
          <w:tcPr>
            <w:tcW w:w="4083" w:type="dxa"/>
            <w:shd w:val="clear" w:color="auto" w:fill="auto"/>
          </w:tcPr>
          <w:p w:rsidR="00F177EE" w:rsidRDefault="00F177EE" w:rsidP="00F177EE">
            <w:pPr>
              <w:rPr>
                <w:sz w:val="22"/>
                <w:szCs w:val="22"/>
              </w:rPr>
            </w:pPr>
            <w:r>
              <w:rPr>
                <w:sz w:val="22"/>
                <w:szCs w:val="22"/>
              </w:rPr>
              <w:t>S</w:t>
            </w:r>
            <w:r w:rsidRPr="00082E4A">
              <w:rPr>
                <w:sz w:val="22"/>
                <w:szCs w:val="22"/>
              </w:rPr>
              <w:t>agatavot secinājumus par tiesību aktiem, kas stājušies spēkā 2015. </w:t>
            </w:r>
            <w:r>
              <w:rPr>
                <w:sz w:val="22"/>
                <w:szCs w:val="22"/>
              </w:rPr>
              <w:t>un 2016. gadā, ietverot:</w:t>
            </w:r>
          </w:p>
          <w:p w:rsidR="00F177EE" w:rsidRPr="00B9470B" w:rsidRDefault="00F177EE" w:rsidP="005C07F3">
            <w:pPr>
              <w:pStyle w:val="ListParagraph"/>
              <w:numPr>
                <w:ilvl w:val="0"/>
                <w:numId w:val="4"/>
              </w:numPr>
              <w:suppressAutoHyphens/>
              <w:autoSpaceDE w:val="0"/>
              <w:spacing w:line="276" w:lineRule="auto"/>
              <w:ind w:left="318" w:hanging="284"/>
              <w:rPr>
                <w:sz w:val="22"/>
                <w:szCs w:val="22"/>
              </w:rPr>
            </w:pPr>
            <w:r w:rsidRPr="00B9470B">
              <w:rPr>
                <w:sz w:val="22"/>
                <w:szCs w:val="22"/>
              </w:rPr>
              <w:t>vai tiesību akti rada vai var radīt tiešu vai netiešu ietekmi uz nabadzības, sociālās atstumtības un / vai ienākumu nevienlīdzības situāciju (TS 3.1.6.</w:t>
            </w:r>
            <w:r>
              <w:rPr>
                <w:sz w:val="22"/>
                <w:szCs w:val="22"/>
              </w:rPr>
              <w:t xml:space="preserve">, 3.1.1.1., 3.4., 3.6.1.1. </w:t>
            </w:r>
            <w:r w:rsidRPr="00B9470B">
              <w:rPr>
                <w:sz w:val="22"/>
                <w:szCs w:val="22"/>
              </w:rPr>
              <w:t xml:space="preserve"> punkt</w:t>
            </w:r>
            <w:r>
              <w:rPr>
                <w:sz w:val="22"/>
                <w:szCs w:val="22"/>
              </w:rPr>
              <w:t>i</w:t>
            </w:r>
            <w:r w:rsidRPr="00B9470B">
              <w:rPr>
                <w:sz w:val="22"/>
                <w:szCs w:val="22"/>
              </w:rPr>
              <w:t>);</w:t>
            </w:r>
          </w:p>
          <w:p w:rsidR="00F177EE" w:rsidRDefault="00F177EE" w:rsidP="005C07F3">
            <w:pPr>
              <w:pStyle w:val="ListParagraph"/>
              <w:numPr>
                <w:ilvl w:val="0"/>
                <w:numId w:val="4"/>
              </w:numPr>
              <w:suppressAutoHyphens/>
              <w:autoSpaceDE w:val="0"/>
              <w:spacing w:line="276" w:lineRule="auto"/>
              <w:ind w:left="318" w:hanging="284"/>
              <w:rPr>
                <w:sz w:val="22"/>
                <w:szCs w:val="22"/>
              </w:rPr>
            </w:pPr>
            <w:r w:rsidRPr="00B9470B">
              <w:rPr>
                <w:sz w:val="22"/>
                <w:szCs w:val="22"/>
              </w:rPr>
              <w:t>vai ieviestie tiesību akti kopumā ir sekmējuši nabadzības un sociālās atstumtības riskam pakļauto iedzīvotāju ienākumu palielināšanos 2015. gadā</w:t>
            </w:r>
            <w:r>
              <w:rPr>
                <w:sz w:val="22"/>
                <w:szCs w:val="22"/>
              </w:rPr>
              <w:t xml:space="preserve"> un 2016. gadā</w:t>
            </w:r>
            <w:r w:rsidRPr="00B9470B">
              <w:rPr>
                <w:sz w:val="22"/>
                <w:szCs w:val="22"/>
              </w:rPr>
              <w:t xml:space="preserve"> (TS 3.1.7.</w:t>
            </w:r>
            <w:r>
              <w:rPr>
                <w:sz w:val="22"/>
                <w:szCs w:val="22"/>
              </w:rPr>
              <w:t>, 3.4.</w:t>
            </w:r>
            <w:r w:rsidRPr="00B9470B">
              <w:rPr>
                <w:sz w:val="22"/>
                <w:szCs w:val="22"/>
              </w:rPr>
              <w:t xml:space="preserve"> punkt</w:t>
            </w:r>
            <w:r>
              <w:rPr>
                <w:sz w:val="22"/>
                <w:szCs w:val="22"/>
              </w:rPr>
              <w:t>i</w:t>
            </w:r>
            <w:r w:rsidRPr="00B9470B">
              <w:rPr>
                <w:sz w:val="22"/>
                <w:szCs w:val="22"/>
              </w:rPr>
              <w:t>)</w:t>
            </w:r>
          </w:p>
          <w:p w:rsidR="00F177EE" w:rsidRPr="00986E81" w:rsidRDefault="00F177EE" w:rsidP="005C07F3">
            <w:pPr>
              <w:pStyle w:val="ListParagraph"/>
              <w:numPr>
                <w:ilvl w:val="0"/>
                <w:numId w:val="4"/>
              </w:numPr>
              <w:suppressAutoHyphens/>
              <w:autoSpaceDE w:val="0"/>
              <w:spacing w:line="276" w:lineRule="auto"/>
              <w:ind w:left="318" w:hanging="284"/>
              <w:rPr>
                <w:sz w:val="22"/>
                <w:szCs w:val="22"/>
              </w:rPr>
            </w:pPr>
            <w:r w:rsidRPr="00082E4A">
              <w:rPr>
                <w:sz w:val="22"/>
                <w:szCs w:val="22"/>
              </w:rPr>
              <w:t>trūkum</w:t>
            </w:r>
            <w:r>
              <w:rPr>
                <w:sz w:val="22"/>
                <w:szCs w:val="22"/>
              </w:rPr>
              <w:t>us</w:t>
            </w:r>
            <w:r w:rsidRPr="00082E4A">
              <w:rPr>
                <w:sz w:val="22"/>
                <w:szCs w:val="22"/>
              </w:rPr>
              <w:t xml:space="preserve"> un šķēršļ</w:t>
            </w:r>
            <w:r>
              <w:rPr>
                <w:sz w:val="22"/>
                <w:szCs w:val="22"/>
              </w:rPr>
              <w:t>us</w:t>
            </w:r>
            <w:r w:rsidRPr="00082E4A">
              <w:rPr>
                <w:sz w:val="22"/>
                <w:szCs w:val="22"/>
              </w:rPr>
              <w:t xml:space="preserve"> tiesību aktu ietekmes izvērtēšanas procesā</w:t>
            </w:r>
            <w:r>
              <w:rPr>
                <w:sz w:val="22"/>
                <w:szCs w:val="22"/>
              </w:rPr>
              <w:t xml:space="preserve"> (TS 3.2.1.2., 3.6.1.2. punkti) </w:t>
            </w:r>
          </w:p>
        </w:tc>
        <w:tc>
          <w:tcPr>
            <w:tcW w:w="2259" w:type="dxa"/>
            <w:shd w:val="clear" w:color="auto" w:fill="auto"/>
          </w:tcPr>
          <w:p w:rsidR="00F177EE" w:rsidRPr="0078416F" w:rsidRDefault="00F177EE" w:rsidP="00F177EE">
            <w:pPr>
              <w:jc w:val="left"/>
              <w:rPr>
                <w:sz w:val="22"/>
                <w:szCs w:val="22"/>
              </w:rPr>
            </w:pPr>
            <w:r w:rsidRPr="0078416F">
              <w:rPr>
                <w:sz w:val="22"/>
                <w:szCs w:val="22"/>
              </w:rPr>
              <w:t>Integrēta analīze</w:t>
            </w:r>
            <w:r>
              <w:rPr>
                <w:sz w:val="22"/>
                <w:szCs w:val="22"/>
              </w:rPr>
              <w:t xml:space="preserve"> (dokumentu analīzes, statistikas datu analīzes, ekspertu interviju rezultātu integrēts novērtējums)</w:t>
            </w:r>
          </w:p>
          <w:p w:rsidR="00F177EE" w:rsidRPr="00076D8B" w:rsidRDefault="00F177EE" w:rsidP="00F177EE">
            <w:pPr>
              <w:pStyle w:val="ListParagraph"/>
              <w:spacing w:line="276" w:lineRule="auto"/>
              <w:ind w:left="462"/>
              <w:rPr>
                <w:sz w:val="22"/>
                <w:szCs w:val="22"/>
              </w:rPr>
            </w:pPr>
          </w:p>
          <w:p w:rsidR="00F177EE" w:rsidRPr="00076D8B" w:rsidRDefault="00F177EE" w:rsidP="00F177EE">
            <w:pPr>
              <w:jc w:val="left"/>
              <w:rPr>
                <w:sz w:val="22"/>
                <w:szCs w:val="22"/>
              </w:rPr>
            </w:pPr>
          </w:p>
          <w:p w:rsidR="00F177EE" w:rsidRPr="00076D8B" w:rsidRDefault="00F177EE" w:rsidP="00F177EE">
            <w:pPr>
              <w:jc w:val="left"/>
              <w:rPr>
                <w:color w:val="FF0000"/>
                <w:sz w:val="22"/>
                <w:szCs w:val="22"/>
              </w:rPr>
            </w:pPr>
          </w:p>
          <w:p w:rsidR="004D78B6" w:rsidRDefault="004D78B6" w:rsidP="00F177EE">
            <w:pPr>
              <w:jc w:val="left"/>
              <w:rPr>
                <w:color w:val="FF0000"/>
                <w:sz w:val="22"/>
                <w:szCs w:val="22"/>
              </w:rPr>
            </w:pPr>
          </w:p>
          <w:p w:rsidR="004D78B6" w:rsidRPr="004D78B6" w:rsidRDefault="004D78B6" w:rsidP="004D78B6">
            <w:pPr>
              <w:rPr>
                <w:sz w:val="22"/>
                <w:szCs w:val="22"/>
              </w:rPr>
            </w:pPr>
          </w:p>
          <w:p w:rsidR="004D78B6" w:rsidRPr="004D78B6" w:rsidRDefault="004D78B6" w:rsidP="004D78B6">
            <w:pPr>
              <w:rPr>
                <w:sz w:val="22"/>
                <w:szCs w:val="22"/>
              </w:rPr>
            </w:pPr>
          </w:p>
          <w:p w:rsidR="004D78B6" w:rsidRPr="004D78B6" w:rsidRDefault="004D78B6" w:rsidP="004D78B6">
            <w:pPr>
              <w:rPr>
                <w:sz w:val="22"/>
                <w:szCs w:val="22"/>
              </w:rPr>
            </w:pPr>
          </w:p>
          <w:p w:rsidR="004D78B6" w:rsidRDefault="004D78B6" w:rsidP="004D78B6">
            <w:pPr>
              <w:rPr>
                <w:sz w:val="22"/>
                <w:szCs w:val="22"/>
              </w:rPr>
            </w:pPr>
          </w:p>
          <w:p w:rsidR="00F177EE" w:rsidRPr="004D78B6" w:rsidRDefault="00F177EE" w:rsidP="004D78B6">
            <w:pPr>
              <w:ind w:firstLine="720"/>
              <w:rPr>
                <w:sz w:val="22"/>
                <w:szCs w:val="22"/>
              </w:rPr>
            </w:pPr>
          </w:p>
        </w:tc>
        <w:tc>
          <w:tcPr>
            <w:tcW w:w="2893" w:type="dxa"/>
            <w:shd w:val="clear" w:color="auto" w:fill="auto"/>
          </w:tcPr>
          <w:p w:rsidR="00F177EE" w:rsidRPr="00427491" w:rsidRDefault="00F177EE" w:rsidP="00F177EE">
            <w:pPr>
              <w:jc w:val="left"/>
              <w:rPr>
                <w:sz w:val="22"/>
                <w:szCs w:val="22"/>
              </w:rPr>
            </w:pPr>
            <w:r>
              <w:rPr>
                <w:sz w:val="22"/>
                <w:szCs w:val="22"/>
              </w:rPr>
              <w:t>Nav attiecināms</w:t>
            </w:r>
          </w:p>
        </w:tc>
      </w:tr>
      <w:tr w:rsidR="00F177EE" w:rsidRPr="00240BC6" w:rsidTr="00F177EE">
        <w:tc>
          <w:tcPr>
            <w:tcW w:w="673" w:type="dxa"/>
            <w:shd w:val="clear" w:color="auto" w:fill="auto"/>
          </w:tcPr>
          <w:p w:rsidR="00F177EE" w:rsidRPr="00240BC6" w:rsidRDefault="00F177EE" w:rsidP="00F177EE">
            <w:pPr>
              <w:rPr>
                <w:sz w:val="22"/>
                <w:szCs w:val="22"/>
              </w:rPr>
            </w:pPr>
            <w:r w:rsidRPr="00240BC6">
              <w:rPr>
                <w:sz w:val="22"/>
                <w:szCs w:val="22"/>
              </w:rPr>
              <w:t>1.</w:t>
            </w:r>
            <w:r>
              <w:rPr>
                <w:sz w:val="22"/>
                <w:szCs w:val="22"/>
              </w:rPr>
              <w:t>6</w:t>
            </w:r>
            <w:r w:rsidRPr="00240BC6">
              <w:rPr>
                <w:sz w:val="22"/>
                <w:szCs w:val="22"/>
              </w:rPr>
              <w:t>.</w:t>
            </w:r>
          </w:p>
        </w:tc>
        <w:tc>
          <w:tcPr>
            <w:tcW w:w="4083" w:type="dxa"/>
            <w:shd w:val="clear" w:color="auto" w:fill="auto"/>
          </w:tcPr>
          <w:p w:rsidR="00F177EE" w:rsidRPr="007F06EC" w:rsidRDefault="00F177EE" w:rsidP="00F177EE">
            <w:pPr>
              <w:rPr>
                <w:sz w:val="22"/>
                <w:szCs w:val="22"/>
              </w:rPr>
            </w:pPr>
            <w:r>
              <w:rPr>
                <w:sz w:val="22"/>
                <w:szCs w:val="22"/>
              </w:rPr>
              <w:t>S</w:t>
            </w:r>
            <w:r w:rsidRPr="00240BC6">
              <w:rPr>
                <w:sz w:val="22"/>
                <w:szCs w:val="22"/>
              </w:rPr>
              <w:t>agatavot rekomendācijas par nepieciešamajiem uzlabojumiem rīcībpolitik</w:t>
            </w:r>
            <w:r w:rsidRPr="00082E4A">
              <w:rPr>
                <w:sz w:val="22"/>
                <w:szCs w:val="22"/>
              </w:rPr>
              <w:t>ā</w:t>
            </w:r>
            <w:r w:rsidRPr="00240BC6">
              <w:rPr>
                <w:sz w:val="22"/>
                <w:szCs w:val="22"/>
              </w:rPr>
              <w:t xml:space="preserve"> (t.sk. normatīvo aktu pilnveidi) nabadzības un sociālās atstumtības mazināšanai</w:t>
            </w:r>
            <w:r>
              <w:rPr>
                <w:sz w:val="22"/>
                <w:szCs w:val="22"/>
              </w:rPr>
              <w:t xml:space="preserve"> (TS 3.3.3., 3.6.3. punkti)</w:t>
            </w:r>
          </w:p>
        </w:tc>
        <w:tc>
          <w:tcPr>
            <w:tcW w:w="2259" w:type="dxa"/>
            <w:shd w:val="clear" w:color="auto" w:fill="auto"/>
          </w:tcPr>
          <w:p w:rsidR="00F177EE" w:rsidRPr="00240BC6" w:rsidRDefault="00F177EE" w:rsidP="00F177EE">
            <w:pPr>
              <w:rPr>
                <w:sz w:val="22"/>
                <w:szCs w:val="22"/>
              </w:rPr>
            </w:pPr>
            <w:r w:rsidRPr="00240BC6">
              <w:rPr>
                <w:sz w:val="22"/>
                <w:szCs w:val="22"/>
              </w:rPr>
              <w:t>Integrēta analīze</w:t>
            </w:r>
            <w:r>
              <w:rPr>
                <w:sz w:val="22"/>
                <w:szCs w:val="22"/>
              </w:rPr>
              <w:t xml:space="preserve"> (dokumentu analīzes, statistikas datu analīzes, ekspertu interviju rezultātu integrēts novērtējums)</w:t>
            </w:r>
          </w:p>
        </w:tc>
        <w:tc>
          <w:tcPr>
            <w:tcW w:w="2893" w:type="dxa"/>
            <w:shd w:val="clear" w:color="auto" w:fill="auto"/>
          </w:tcPr>
          <w:p w:rsidR="00F177EE" w:rsidRPr="00AB614A" w:rsidRDefault="00F177EE" w:rsidP="00F177EE">
            <w:pPr>
              <w:rPr>
                <w:sz w:val="22"/>
                <w:szCs w:val="22"/>
              </w:rPr>
            </w:pPr>
            <w:r>
              <w:rPr>
                <w:sz w:val="22"/>
                <w:szCs w:val="22"/>
              </w:rPr>
              <w:t>Nav attiecināms</w:t>
            </w:r>
          </w:p>
        </w:tc>
      </w:tr>
    </w:tbl>
    <w:p w:rsidR="00F177EE" w:rsidRPr="00453215" w:rsidRDefault="00F177EE" w:rsidP="005A207F">
      <w:pPr>
        <w:pStyle w:val="virsrakstslvl3"/>
      </w:pPr>
      <w:bookmarkStart w:id="806" w:name="_Toc528761664"/>
      <w:bookmarkStart w:id="807" w:name="_Toc528762827"/>
      <w:bookmarkStart w:id="808" w:name="_Toc528768885"/>
      <w:bookmarkStart w:id="809" w:name="_Toc528847612"/>
      <w:bookmarkStart w:id="810" w:name="_Toc528930596"/>
      <w:bookmarkStart w:id="811" w:name="_Toc529170544"/>
      <w:bookmarkStart w:id="812" w:name="_Toc529176267"/>
      <w:bookmarkStart w:id="813" w:name="_Toc529180095"/>
      <w:bookmarkStart w:id="814" w:name="_Toc529180340"/>
      <w:bookmarkStart w:id="815" w:name="_Toc531694115"/>
      <w:bookmarkStart w:id="816" w:name="_Toc531856220"/>
      <w:bookmarkStart w:id="817" w:name="_Toc531860009"/>
      <w:bookmarkStart w:id="818" w:name="_Toc535738795"/>
      <w:bookmarkStart w:id="819" w:name="_Toc535741793"/>
      <w:bookmarkStart w:id="820" w:name="_Toc535742146"/>
      <w:bookmarkStart w:id="821" w:name="_Toc535916129"/>
      <w:bookmarkStart w:id="822" w:name="_Toc535922781"/>
      <w:bookmarkStart w:id="823" w:name="_Toc535935084"/>
      <w:bookmarkStart w:id="824" w:name="_Toc788697"/>
      <w:bookmarkStart w:id="825" w:name="_Toc868876"/>
      <w:r w:rsidRPr="00A742EB">
        <w:lastRenderedPageBreak/>
        <w:t>Tiesību aktu atlases un analīzes kritēriji sociālās atstumtības un nabadzības mazināšanas jomā</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rsidR="00F177EE" w:rsidRPr="00B87378" w:rsidRDefault="00F177EE" w:rsidP="00C33A64">
      <w:pPr>
        <w:pStyle w:val="under"/>
      </w:pPr>
      <w:bookmarkStart w:id="826" w:name="_Toc2761149"/>
      <w:bookmarkStart w:id="827" w:name="_Toc2848256"/>
      <w:bookmarkStart w:id="828" w:name="_Toc6219317"/>
      <w:bookmarkStart w:id="829" w:name="_Toc6220260"/>
      <w:bookmarkStart w:id="830" w:name="_Toc6841689"/>
      <w:r w:rsidRPr="00B87378">
        <w:t>Uzdevumi:</w:t>
      </w:r>
      <w:bookmarkEnd w:id="826"/>
      <w:bookmarkEnd w:id="827"/>
      <w:bookmarkEnd w:id="828"/>
      <w:bookmarkEnd w:id="829"/>
      <w:bookmarkEnd w:id="830"/>
    </w:p>
    <w:p w:rsidR="00F177EE" w:rsidRPr="00496284" w:rsidRDefault="00F177EE" w:rsidP="004C2E87">
      <w:pPr>
        <w:suppressAutoHyphens/>
        <w:autoSpaceDE w:val="0"/>
        <w:ind w:left="720"/>
        <w:rPr>
          <w:color w:val="000000"/>
        </w:rPr>
      </w:pPr>
      <w:r w:rsidRPr="00496284">
        <w:rPr>
          <w:color w:val="000000"/>
        </w:rPr>
        <w:t xml:space="preserve">1.1.  </w:t>
      </w:r>
      <w:r w:rsidRPr="0054539D">
        <w:t>Identificēt un izvērtēt izmaiņas spēkā stājušos tiesību aktos 2015. un 2016. gadā, kuras vērstas uz nabadzības, sociālās atstumtības un/vai ienākumu nevienlīdzības samazināšanu, palielinot iedzīvotāju rīcībā esošos tiešos un/vai netiešos ienākumus</w:t>
      </w:r>
      <w:r w:rsidR="00856095">
        <w:t>.</w:t>
      </w:r>
    </w:p>
    <w:p w:rsidR="00F177EE" w:rsidRPr="00496284" w:rsidRDefault="00F177EE" w:rsidP="004C2E87">
      <w:pPr>
        <w:suppressAutoHyphens/>
        <w:autoSpaceDE w:val="0"/>
        <w:ind w:left="720"/>
        <w:rPr>
          <w:color w:val="000000"/>
        </w:rPr>
      </w:pPr>
      <w:r w:rsidRPr="0054539D">
        <w:t xml:space="preserve">1.5. Sagatavot secinājumus par tiesību aktiem, kas stājušies spēkā 2015. un 2016. </w:t>
      </w:r>
      <w:r w:rsidR="00D54545">
        <w:t>g</w:t>
      </w:r>
      <w:r w:rsidRPr="0054539D">
        <w:t>adā</w:t>
      </w:r>
      <w:r w:rsidR="00856095">
        <w:t>.</w:t>
      </w:r>
    </w:p>
    <w:p w:rsidR="00F177EE" w:rsidRPr="00496284" w:rsidRDefault="00F177EE" w:rsidP="004C2E87">
      <w:pPr>
        <w:suppressAutoHyphens/>
        <w:autoSpaceDE w:val="0"/>
        <w:ind w:left="720"/>
        <w:rPr>
          <w:color w:val="000000"/>
        </w:rPr>
      </w:pPr>
      <w:r>
        <w:t xml:space="preserve">1.6. </w:t>
      </w:r>
      <w:r w:rsidRPr="0054539D">
        <w:t>Sagatavot rekomendācijas par nepieciešamajiem uzlabojumiem rīcībpolitikā (t.sk. normatīvo aktu pilnveidi) nabadzības un sociālās atstumtības mazināšanai</w:t>
      </w:r>
      <w:r w:rsidR="00856095">
        <w:t>.</w:t>
      </w:r>
    </w:p>
    <w:p w:rsidR="00856095" w:rsidRDefault="00856095" w:rsidP="004C2E87"/>
    <w:p w:rsidR="00F177EE" w:rsidRPr="00AF381F" w:rsidRDefault="00F177EE" w:rsidP="004C2E87">
      <w:r w:rsidRPr="00AF381F">
        <w:t xml:space="preserve">Šo uzdevumu izpilde </w:t>
      </w:r>
      <w:r w:rsidR="00856095">
        <w:t>ir</w:t>
      </w:r>
      <w:r w:rsidRPr="00AF381F">
        <w:t xml:space="preserve"> veikta, izmantojot dokumentu analīzes metodi, ņemot vērā tiesību aktu projektu anotācijās iekļauto informāciju, novērtējot šādus aspektus:</w:t>
      </w:r>
    </w:p>
    <w:p w:rsidR="00F177EE" w:rsidRPr="00AF381F" w:rsidRDefault="00F177EE" w:rsidP="00E10DA4">
      <w:pPr>
        <w:pStyle w:val="ListParagraph"/>
        <w:numPr>
          <w:ilvl w:val="0"/>
          <w:numId w:val="178"/>
        </w:numPr>
      </w:pPr>
      <w:r w:rsidRPr="00AF381F">
        <w:t>kādi tiesību akti ietver mērķi iedzīvotāju ienākumu atbalsta palielināšanai;</w:t>
      </w:r>
    </w:p>
    <w:p w:rsidR="00F177EE" w:rsidRPr="00AF381F" w:rsidRDefault="00F177EE" w:rsidP="005C07F3">
      <w:pPr>
        <w:numPr>
          <w:ilvl w:val="2"/>
          <w:numId w:val="28"/>
        </w:numPr>
        <w:suppressAutoHyphens/>
        <w:autoSpaceDE w:val="0"/>
        <w:ind w:left="831" w:hanging="471"/>
      </w:pPr>
      <w:r w:rsidRPr="00AF381F">
        <w:t>kā tiesību akti definē mērķi iedzīvotāju ienākumu palielināšanai;</w:t>
      </w:r>
    </w:p>
    <w:p w:rsidR="00F177EE" w:rsidRPr="00AF381F" w:rsidRDefault="00F177EE" w:rsidP="005C07F3">
      <w:pPr>
        <w:numPr>
          <w:ilvl w:val="2"/>
          <w:numId w:val="28"/>
        </w:numPr>
        <w:suppressAutoHyphens/>
        <w:autoSpaceDE w:val="0"/>
        <w:ind w:left="831" w:hanging="471"/>
      </w:pPr>
      <w:r w:rsidRPr="00AF381F">
        <w:t>kādus pasākumu veidus tiesību akti paredz iedzīvotāju ienākumu atbalsta palielināšanai;</w:t>
      </w:r>
    </w:p>
    <w:p w:rsidR="00F177EE" w:rsidRPr="00AF381F" w:rsidRDefault="00F177EE" w:rsidP="005C07F3">
      <w:pPr>
        <w:numPr>
          <w:ilvl w:val="2"/>
          <w:numId w:val="28"/>
        </w:numPr>
        <w:suppressAutoHyphens/>
        <w:autoSpaceDE w:val="0"/>
        <w:ind w:left="831" w:hanging="471"/>
      </w:pPr>
      <w:r w:rsidRPr="00AF381F">
        <w:t>vai un kurām iedzīvotāju grupām esošās tiesību aktu normas paredz atbalstu ienākumu palielināšanai;</w:t>
      </w:r>
    </w:p>
    <w:p w:rsidR="00F177EE" w:rsidRPr="00AF381F" w:rsidRDefault="00F177EE" w:rsidP="005C07F3">
      <w:pPr>
        <w:numPr>
          <w:ilvl w:val="2"/>
          <w:numId w:val="28"/>
        </w:numPr>
        <w:suppressAutoHyphens/>
        <w:autoSpaceDE w:val="0"/>
        <w:ind w:left="831" w:hanging="471"/>
      </w:pPr>
      <w:r w:rsidRPr="00AF381F">
        <w:t>vai tiesību aktu normas paredz mērķētu atbalstu iedzīvotāju grupām a</w:t>
      </w:r>
      <w:r>
        <w:t>r augstākiem nabadzības riskiem.</w:t>
      </w:r>
    </w:p>
    <w:p w:rsidR="00F177EE" w:rsidRPr="00AF381F" w:rsidRDefault="00F177EE" w:rsidP="004C2E87"/>
    <w:p w:rsidR="00F177EE" w:rsidRDefault="00F177EE" w:rsidP="004C2E87">
      <w:r w:rsidRPr="00AD3170">
        <w:t>Tiesību aktu atlase</w:t>
      </w:r>
      <w:r>
        <w:t xml:space="preserve"> un analīze</w:t>
      </w:r>
      <w:r w:rsidRPr="00AD3170">
        <w:t xml:space="preserve"> sociālās atstumtības un nabadzības mazināšanas jomā</w:t>
      </w:r>
      <w:r w:rsidRPr="0054539D">
        <w:t xml:space="preserve"> </w:t>
      </w:r>
      <w:r>
        <w:t>tik</w:t>
      </w:r>
      <w:r w:rsidR="00856095">
        <w:t>a</w:t>
      </w:r>
      <w:r>
        <w:t xml:space="preserve"> īstenota secīgos soļos:</w:t>
      </w:r>
    </w:p>
    <w:p w:rsidR="00F177EE" w:rsidRDefault="00F177EE" w:rsidP="005C07F3">
      <w:pPr>
        <w:pStyle w:val="ListParagraph"/>
        <w:numPr>
          <w:ilvl w:val="0"/>
          <w:numId w:val="29"/>
        </w:numPr>
        <w:suppressAutoHyphens/>
        <w:autoSpaceDE w:val="0"/>
        <w:spacing w:line="276" w:lineRule="auto"/>
        <w:ind w:left="0" w:firstLine="360"/>
        <w:jc w:val="both"/>
      </w:pPr>
      <w:r>
        <w:t>T</w:t>
      </w:r>
      <w:r w:rsidRPr="0054539D">
        <w:t>ik</w:t>
      </w:r>
      <w:r w:rsidR="00856095">
        <w:t>a</w:t>
      </w:r>
      <w:r w:rsidRPr="0054539D">
        <w:t xml:space="preserve"> veikta</w:t>
      </w:r>
      <w:r>
        <w:t xml:space="preserve"> </w:t>
      </w:r>
      <w:r w:rsidRPr="00B1163E">
        <w:t>primārā tiesību aktu atlase</w:t>
      </w:r>
      <w:r>
        <w:t xml:space="preserve"> - </w:t>
      </w:r>
      <w:r w:rsidRPr="0054539D">
        <w:t>identificēti tiesību akti, kas attiecas uz nabadzības, sociālās atstumtības un/vai ienākumu nevienlīdzības samazināšanu</w:t>
      </w:r>
      <w:r>
        <w:t xml:space="preserve"> (pamatā tie ir </w:t>
      </w:r>
      <w:r w:rsidRPr="003D3671">
        <w:t xml:space="preserve">Labklājības ministrijas </w:t>
      </w:r>
      <w:r>
        <w:t xml:space="preserve">(sociālā politika) un Finanšu ministrijas (nodokļu politika) </w:t>
      </w:r>
      <w:r w:rsidRPr="003D3671">
        <w:t>kompetencē esošie tiesību akti</w:t>
      </w:r>
      <w:r>
        <w:t xml:space="preserve">. </w:t>
      </w:r>
      <w:r w:rsidR="00856095" w:rsidRPr="003D3671">
        <w:t>Ņemot vērā, ka sociālās iekļaušanas politika ir starpnozaru jautājums, tad tik</w:t>
      </w:r>
      <w:r w:rsidR="00856095">
        <w:t>a</w:t>
      </w:r>
      <w:r w:rsidR="00856095" w:rsidRPr="003D3671">
        <w:t xml:space="preserve"> identificēti arī citu ministriju (t.sk., Ekonomikas ministrijas, VARAM, Veselības ministrijas, Izglītības </w:t>
      </w:r>
      <w:r w:rsidR="00856095">
        <w:t xml:space="preserve">un zinātnes </w:t>
      </w:r>
      <w:r w:rsidR="00856095" w:rsidRPr="003D3671">
        <w:t>ministrijas, Kultūras ministrijas, Satiksmes ministrijas) atbildībā esošie normatīvie akti, kas attiecas uz konkrēto Izvērtējuma uzdevumu (jomu un/vai mērķa grupām).</w:t>
      </w:r>
      <w:r>
        <w:t xml:space="preserve"> </w:t>
      </w:r>
    </w:p>
    <w:p w:rsidR="00F177EE" w:rsidRDefault="00F177EE" w:rsidP="005C07F3">
      <w:pPr>
        <w:pStyle w:val="ListParagraph"/>
        <w:numPr>
          <w:ilvl w:val="0"/>
          <w:numId w:val="29"/>
        </w:numPr>
        <w:suppressAutoHyphens/>
        <w:autoSpaceDE w:val="0"/>
        <w:spacing w:line="276" w:lineRule="auto"/>
        <w:ind w:left="0" w:firstLine="360"/>
        <w:jc w:val="both"/>
      </w:pPr>
      <w:r>
        <w:t>Tiesību aktu primārai atlasei tik</w:t>
      </w:r>
      <w:r w:rsidR="002B425C">
        <w:t>a</w:t>
      </w:r>
      <w:r>
        <w:t xml:space="preserve"> izmantoti arī šādi informācijas avoti: Nacionālā Reformu programma, kas atrodama EM mājas lapā</w:t>
      </w:r>
      <w:r>
        <w:rPr>
          <w:rStyle w:val="FootnoteReference"/>
        </w:rPr>
        <w:footnoteReference w:id="371"/>
      </w:r>
      <w:r>
        <w:t>, un Valdības rīcības plān</w:t>
      </w:r>
      <w:r w:rsidR="00B36349">
        <w:t>s</w:t>
      </w:r>
      <w:r>
        <w:t xml:space="preserve">, kas atrodams vortālā </w:t>
      </w:r>
      <w:hyperlink r:id="rId355" w:history="1">
        <w:r w:rsidRPr="00CF7905">
          <w:rPr>
            <w:rStyle w:val="Hyperlink"/>
          </w:rPr>
          <w:t>www.likumi.lv</w:t>
        </w:r>
      </w:hyperlink>
      <w:r>
        <w:t>.</w:t>
      </w:r>
    </w:p>
    <w:p w:rsidR="00F177EE" w:rsidRDefault="00F177EE" w:rsidP="005C07F3">
      <w:pPr>
        <w:pStyle w:val="ListParagraph"/>
        <w:numPr>
          <w:ilvl w:val="0"/>
          <w:numId w:val="29"/>
        </w:numPr>
        <w:suppressAutoHyphens/>
        <w:autoSpaceDE w:val="0"/>
        <w:spacing w:line="276" w:lineRule="auto"/>
        <w:ind w:left="0" w:firstLine="360"/>
        <w:jc w:val="both"/>
      </w:pPr>
      <w:r>
        <w:t>Tik</w:t>
      </w:r>
      <w:r w:rsidR="00E25801">
        <w:t>a</w:t>
      </w:r>
      <w:r>
        <w:t xml:space="preserve"> identificēti tie tiesību akti, kuros ir notikušas izmaiņas Izvērtējuma uzdevumā noteiktajā laika periodā (</w:t>
      </w:r>
      <w:r w:rsidRPr="00B1163E">
        <w:t>attiecīgi no 01.01.2015.-31.12.2016.</w:t>
      </w:r>
      <w:r>
        <w:t>), kā arī tiesību akti, kuri ir izstrādāti un stājušies spēkā minētajā laika periodā. Izmaiņu identificēšanai tik</w:t>
      </w:r>
      <w:r w:rsidR="00E25801">
        <w:t>a</w:t>
      </w:r>
      <w:r>
        <w:t xml:space="preserve"> izmantots vortāls </w:t>
      </w:r>
      <w:hyperlink r:id="rId356" w:history="1">
        <w:r w:rsidRPr="004D62A5">
          <w:rPr>
            <w:rStyle w:val="Hyperlink"/>
          </w:rPr>
          <w:t>www.likumi.lv</w:t>
        </w:r>
      </w:hyperlink>
      <w:r>
        <w:t xml:space="preserve">, kurā ir pieejama pārskatāma informācija par visām izmaiņām, kas notikušas konkrētajā tiesību aktā.  </w:t>
      </w:r>
    </w:p>
    <w:p w:rsidR="00F177EE" w:rsidRDefault="00F177EE" w:rsidP="005C07F3">
      <w:pPr>
        <w:pStyle w:val="ListParagraph"/>
        <w:numPr>
          <w:ilvl w:val="0"/>
          <w:numId w:val="29"/>
        </w:numPr>
        <w:suppressAutoHyphens/>
        <w:autoSpaceDE w:val="0"/>
        <w:spacing w:line="276" w:lineRule="auto"/>
        <w:ind w:left="0" w:firstLine="360"/>
        <w:jc w:val="both"/>
      </w:pPr>
      <w:r>
        <w:t>Tik</w:t>
      </w:r>
      <w:r w:rsidR="00E25801">
        <w:t>a</w:t>
      </w:r>
      <w:r>
        <w:t xml:space="preserve"> veikta sekundārā tiesību aktu atlase – </w:t>
      </w:r>
      <w:r w:rsidRPr="002B425C">
        <w:rPr>
          <w:u w:val="single"/>
        </w:rPr>
        <w:t>tik</w:t>
      </w:r>
      <w:r w:rsidR="00E25801" w:rsidRPr="002B425C">
        <w:rPr>
          <w:u w:val="single"/>
        </w:rPr>
        <w:t>a</w:t>
      </w:r>
      <w:r w:rsidRPr="002B425C">
        <w:rPr>
          <w:u w:val="single"/>
        </w:rPr>
        <w:t xml:space="preserve"> atlasīti tie tiesību akti, kuri ietver mērķi iedzīvotāju </w:t>
      </w:r>
      <w:r w:rsidR="00E25801" w:rsidRPr="002B425C">
        <w:rPr>
          <w:u w:val="single"/>
        </w:rPr>
        <w:t xml:space="preserve">tiešo vai netiešo </w:t>
      </w:r>
      <w:r w:rsidRPr="002B425C">
        <w:rPr>
          <w:u w:val="single"/>
        </w:rPr>
        <w:t>ienākumu atbalsta palielināšanai</w:t>
      </w:r>
      <w:r w:rsidR="00E25801">
        <w:t>. Mērķa izvērtējums tika</w:t>
      </w:r>
      <w:r>
        <w:t xml:space="preserve"> īstenots, </w:t>
      </w:r>
      <w:r>
        <w:lastRenderedPageBreak/>
        <w:t>veicot kvalitatīvu tiesību akta anotācijas I. sadaļas „Tiesību akta projekta izstrādes nepieciešamība” analīzi. Balstoties uz šo analīzi, tik</w:t>
      </w:r>
      <w:r w:rsidR="00E25801">
        <w:t>a</w:t>
      </w:r>
      <w:r>
        <w:t xml:space="preserve"> noteikts, kā </w:t>
      </w:r>
      <w:r w:rsidRPr="00AF381F">
        <w:t>tiesību akti definē mērķi iedzīvotāju ienākumu palielināšanai</w:t>
      </w:r>
      <w:r>
        <w:t xml:space="preserve">. </w:t>
      </w:r>
    </w:p>
    <w:p w:rsidR="00F177EE" w:rsidRDefault="00F177EE" w:rsidP="005C07F3">
      <w:pPr>
        <w:pStyle w:val="ListParagraph"/>
        <w:numPr>
          <w:ilvl w:val="0"/>
          <w:numId w:val="29"/>
        </w:numPr>
        <w:suppressAutoHyphens/>
        <w:autoSpaceDE w:val="0"/>
        <w:spacing w:line="276" w:lineRule="auto"/>
        <w:ind w:left="0" w:firstLine="360"/>
        <w:jc w:val="both"/>
      </w:pPr>
      <w:r>
        <w:t>T</w:t>
      </w:r>
      <w:r w:rsidRPr="0054539D">
        <w:t>ik</w:t>
      </w:r>
      <w:r w:rsidR="00E25801">
        <w:t>a</w:t>
      </w:r>
      <w:r w:rsidRPr="0054539D">
        <w:t xml:space="preserve"> veikta atlasīto tiesību aktu </w:t>
      </w:r>
      <w:r>
        <w:t xml:space="preserve">(t.sk. tiesību aktu projektu anotāciju) analīze </w:t>
      </w:r>
      <w:r w:rsidRPr="0054539D">
        <w:t xml:space="preserve">pēc </w:t>
      </w:r>
      <w:r>
        <w:t xml:space="preserve">šādiem </w:t>
      </w:r>
      <w:r w:rsidRPr="00B3140E">
        <w:rPr>
          <w:b/>
        </w:rPr>
        <w:t>galvenajiem rādītājiem/ kritērijiem</w:t>
      </w:r>
      <w:r>
        <w:t xml:space="preserve">:  </w:t>
      </w:r>
    </w:p>
    <w:p w:rsidR="00F177EE" w:rsidRDefault="00F177EE" w:rsidP="005C07F3">
      <w:pPr>
        <w:pStyle w:val="ListParagraph"/>
        <w:numPr>
          <w:ilvl w:val="0"/>
          <w:numId w:val="30"/>
        </w:numPr>
        <w:suppressAutoHyphens/>
        <w:autoSpaceDE w:val="0"/>
        <w:spacing w:line="276" w:lineRule="auto"/>
        <w:jc w:val="both"/>
      </w:pPr>
      <w:r>
        <w:t xml:space="preserve">tiesību akta anotācijā identificētās </w:t>
      </w:r>
      <w:r w:rsidRPr="00F679C7">
        <w:rPr>
          <w:u w:val="single"/>
        </w:rPr>
        <w:t>problēmas</w:t>
      </w:r>
      <w:r>
        <w:t>, kuru risināšanai tiesību akts vai tā izmaiņas sagatavots (anotācijas I. sadaļas „Tiesību akta projekta izstrādes nepi</w:t>
      </w:r>
      <w:r w:rsidR="00E25801">
        <w:t>eciešamība” kvalitatīva analīze</w:t>
      </w:r>
      <w:r>
        <w:t>);</w:t>
      </w:r>
    </w:p>
    <w:p w:rsidR="00F177EE" w:rsidRDefault="00F177EE" w:rsidP="005C07F3">
      <w:pPr>
        <w:pStyle w:val="ListParagraph"/>
        <w:numPr>
          <w:ilvl w:val="0"/>
          <w:numId w:val="30"/>
        </w:numPr>
        <w:suppressAutoHyphens/>
        <w:autoSpaceDE w:val="0"/>
        <w:spacing w:line="276" w:lineRule="auto"/>
        <w:jc w:val="both"/>
      </w:pPr>
      <w:r w:rsidRPr="00F679C7">
        <w:rPr>
          <w:u w:val="single"/>
        </w:rPr>
        <w:t>pasākumu veidi</w:t>
      </w:r>
      <w:r>
        <w:t xml:space="preserve"> tiešo un netiešo ienākumu atbalsta palielināšanai (gan anotācija, gan tiesību akts);</w:t>
      </w:r>
    </w:p>
    <w:p w:rsidR="00F177EE" w:rsidRDefault="00F177EE" w:rsidP="005C07F3">
      <w:pPr>
        <w:pStyle w:val="ListParagraph"/>
        <w:numPr>
          <w:ilvl w:val="0"/>
          <w:numId w:val="30"/>
        </w:numPr>
        <w:suppressAutoHyphens/>
        <w:autoSpaceDE w:val="0"/>
        <w:spacing w:line="276" w:lineRule="auto"/>
        <w:jc w:val="both"/>
      </w:pPr>
      <w:r w:rsidRPr="00F679C7">
        <w:rPr>
          <w:u w:val="single"/>
        </w:rPr>
        <w:t>mērķa grupas</w:t>
      </w:r>
      <w:r>
        <w:t xml:space="preserve"> – iedzīvotāju grupas, kurām </w:t>
      </w:r>
      <w:r w:rsidRPr="00AF381F">
        <w:t>tiesību aktu normas paredz a</w:t>
      </w:r>
      <w:r>
        <w:t>tbalstu tiešo un netiešo ienākumu palielināšanai (anotācijas II. sadaļas „Tiesību akta projekta ietekme uz sabiedrību, tautsaimniecības attīstību un administratīvo slogu”, kuras 1.punktā tiek norādītas visas „(s)abiedrības mērķa grupas, uz kurām attiecināms projekta tiesiskais regulējums tiešā un netiešā veidā, t.i., kuru tiesības, pienākumus, finanses vai iespējas projekts ietekmē vai varētu ietekmēt”</w:t>
      </w:r>
      <w:r>
        <w:rPr>
          <w:rStyle w:val="FootnoteReference"/>
        </w:rPr>
        <w:footnoteReference w:id="372"/>
      </w:r>
      <w:r>
        <w:t>);</w:t>
      </w:r>
    </w:p>
    <w:p w:rsidR="00F177EE" w:rsidRDefault="00F177EE" w:rsidP="005C07F3">
      <w:pPr>
        <w:pStyle w:val="ListParagraph"/>
        <w:numPr>
          <w:ilvl w:val="0"/>
          <w:numId w:val="30"/>
        </w:numPr>
        <w:suppressAutoHyphens/>
        <w:autoSpaceDE w:val="0"/>
        <w:spacing w:line="276" w:lineRule="auto"/>
        <w:jc w:val="both"/>
      </w:pPr>
      <w:r>
        <w:t xml:space="preserve">ir/nav </w:t>
      </w:r>
      <w:r w:rsidRPr="0078416F">
        <w:rPr>
          <w:u w:val="single"/>
        </w:rPr>
        <w:t>mērķēts atbalsts</w:t>
      </w:r>
      <w:r>
        <w:t xml:space="preserve"> </w:t>
      </w:r>
      <w:r w:rsidRPr="00AF381F">
        <w:t>iedzīvotāju grupām ar augstākiem nabadzības riskiem</w:t>
      </w:r>
      <w:r>
        <w:t xml:space="preserve"> (gan anotācija, gan tiesību akts)</w:t>
      </w:r>
      <w:r w:rsidRPr="00AF381F">
        <w:t>;</w:t>
      </w:r>
    </w:p>
    <w:p w:rsidR="00F177EE" w:rsidRPr="001C3F4B" w:rsidRDefault="00F177EE" w:rsidP="005C07F3">
      <w:pPr>
        <w:pStyle w:val="ListParagraph"/>
        <w:numPr>
          <w:ilvl w:val="0"/>
          <w:numId w:val="30"/>
        </w:numPr>
        <w:suppressAutoHyphens/>
        <w:autoSpaceDE w:val="0"/>
        <w:spacing w:line="276" w:lineRule="auto"/>
        <w:jc w:val="both"/>
        <w:rPr>
          <w:u w:val="single"/>
        </w:rPr>
      </w:pPr>
      <w:r w:rsidRPr="00E25801">
        <w:rPr>
          <w:u w:val="single"/>
        </w:rPr>
        <w:t xml:space="preserve">mērķētā atbalsta veids </w:t>
      </w:r>
      <w:r w:rsidRPr="00AF381F">
        <w:t>iedzīvotāju grupām ar augstākiem nabadzības riskiem</w:t>
      </w:r>
      <w:r>
        <w:t xml:space="preserve"> (gan anotācija, gan tiesību akts).</w:t>
      </w:r>
    </w:p>
    <w:p w:rsidR="00F177EE" w:rsidRPr="001C3F4B" w:rsidRDefault="00F177EE" w:rsidP="00F177EE">
      <w:pPr>
        <w:suppressAutoHyphens/>
        <w:autoSpaceDE w:val="0"/>
      </w:pPr>
      <w:r w:rsidRPr="001C3F4B">
        <w:t xml:space="preserve">Svarīgi </w:t>
      </w:r>
      <w:r w:rsidR="00E25801">
        <w:t>bija</w:t>
      </w:r>
      <w:r w:rsidRPr="001C3F4B">
        <w:t xml:space="preserve"> identificēt</w:t>
      </w:r>
      <w:r>
        <w:t xml:space="preserve"> visus minētos rādītājus gan tiesību akta projekta anotācijā, gan pašā tiesību aktā, jo anotācijā sniegtā informācija nereti ir plašāka, turklāt ne viss, kas iekļauts anotācijā pēcāk ir ticis iekļauts pašā tiesību aktā. Anotācijas ir būtisks tiesību aktu izstrādes un pieņemšanas konteksta analīzes avots, kas ļauj padziļināti izprast tā mērķi un paredzamo ietekmi uz identificētajām problēmām. Savukārt, tiesību akts nosaka konkrētu kārtību, kādā sniedzams konkrēts atbalsts, īstenojami pasākumi u.c. darbības. </w:t>
      </w:r>
    </w:p>
    <w:p w:rsidR="00F177EE" w:rsidRDefault="00F177EE" w:rsidP="005C07F3">
      <w:pPr>
        <w:pStyle w:val="ListParagraph"/>
        <w:numPr>
          <w:ilvl w:val="0"/>
          <w:numId w:val="29"/>
        </w:numPr>
        <w:suppressAutoHyphens/>
        <w:autoSpaceDE w:val="0"/>
        <w:spacing w:line="276" w:lineRule="auto"/>
        <w:ind w:left="0" w:firstLine="360"/>
        <w:jc w:val="both"/>
      </w:pPr>
      <w:r>
        <w:t xml:space="preserve">Tiesību aktu un anotāciju analīze </w:t>
      </w:r>
      <w:r w:rsidR="00E25801">
        <w:t>ir</w:t>
      </w:r>
      <w:r>
        <w:t xml:space="preserve"> strukturēta </w:t>
      </w:r>
      <w:r w:rsidRPr="00A742EB">
        <w:rPr>
          <w:i/>
        </w:rPr>
        <w:t>Excel</w:t>
      </w:r>
      <w:r>
        <w:t xml:space="preserve"> formātā, kas </w:t>
      </w:r>
      <w:r w:rsidR="00E25801">
        <w:t xml:space="preserve">pēc vajadzības ļauj kodēt apkopoto informāciju un </w:t>
      </w:r>
      <w:r>
        <w:t xml:space="preserve">izdarīt arī kvantificējamus secinājumus (piemēram, cik liela daļa no tiesību aktiem paredz atbalstu noteiktām mērķa grupām, kurām mērķa grupām ir paredzēti atbalsta veidi u.tml.). </w:t>
      </w:r>
    </w:p>
    <w:p w:rsidR="00F177EE" w:rsidRPr="001C3F4B" w:rsidRDefault="00F177EE" w:rsidP="005C07F3">
      <w:pPr>
        <w:pStyle w:val="ListParagraph"/>
        <w:numPr>
          <w:ilvl w:val="0"/>
          <w:numId w:val="29"/>
        </w:numPr>
        <w:suppressAutoHyphens/>
        <w:autoSpaceDE w:val="0"/>
        <w:spacing w:line="276" w:lineRule="auto"/>
        <w:ind w:left="0" w:firstLine="360"/>
        <w:jc w:val="both"/>
      </w:pPr>
      <w:r w:rsidRPr="001C3F4B">
        <w:t>Tik</w:t>
      </w:r>
      <w:r w:rsidR="00E25801">
        <w:t>a</w:t>
      </w:r>
      <w:r w:rsidRPr="001C3F4B">
        <w:t xml:space="preserve"> fiksētas visas grūtības un šķēršļi katra tiesību akta analīzes gaitā ar mērķi sagatavot secinājumus par trūkumiem un šķēršļiem tiesību aktu ietekmes izvērtēšanas procesā</w:t>
      </w:r>
      <w:r>
        <w:t xml:space="preserve"> (1.5. uzdevuma apakšpunkts). </w:t>
      </w:r>
    </w:p>
    <w:p w:rsidR="00F177EE" w:rsidRDefault="00F177EE" w:rsidP="00F177EE">
      <w:pPr>
        <w:suppressAutoHyphens/>
        <w:autoSpaceDE w:val="0"/>
      </w:pPr>
    </w:p>
    <w:p w:rsidR="00F177EE" w:rsidRPr="0054539D" w:rsidRDefault="00F177EE" w:rsidP="00F177EE">
      <w:pPr>
        <w:suppressAutoHyphens/>
        <w:autoSpaceDE w:val="0"/>
      </w:pPr>
      <w:r w:rsidRPr="00645457">
        <w:t>Dokumentu analīzes rezultātā, kas tik</w:t>
      </w:r>
      <w:r w:rsidR="00E25801" w:rsidRPr="00645457">
        <w:t>a</w:t>
      </w:r>
      <w:r w:rsidRPr="00645457">
        <w:t xml:space="preserve"> papildināta ar ekspertu interviju datiem, tik</w:t>
      </w:r>
      <w:r w:rsidR="00E25801" w:rsidRPr="00645457">
        <w:t>a</w:t>
      </w:r>
      <w:r w:rsidRPr="00645457">
        <w:t xml:space="preserve"> sagatavot</w:t>
      </w:r>
      <w:r w:rsidR="00545D0C" w:rsidRPr="00645457">
        <w:t>a</w:t>
      </w:r>
      <w:r w:rsidRPr="00645457">
        <w:t xml:space="preserve"> Izvērtējuma </w:t>
      </w:r>
      <w:r w:rsidR="00545D0C" w:rsidRPr="00645457">
        <w:t>ziņojuma nodaļa</w:t>
      </w:r>
      <w:r w:rsidRPr="00645457">
        <w:t xml:space="preserve"> par tiesību aktu izmaiņām 2015.-2016. gadā, kuras vērstas uz nabadzības, sociālās atstumtības un/ vai ienākumu samazināšanu, kurā tik</w:t>
      </w:r>
      <w:r w:rsidR="00E25801" w:rsidRPr="00645457">
        <w:t>a</w:t>
      </w:r>
      <w:r w:rsidRPr="00645457">
        <w:t xml:space="preserve"> ietverti secinājumi par tiesību aktiem, kas stājušies spēkā 2015. un 2016. gadā, un rekomendācijas par nepieciešamajiem uzlabojumiem rīcībpolitikā (t.sk. normatīvo aktu pilnveidi) nabadzības un sociālās atstumtības mazināšanai</w:t>
      </w:r>
      <w:r w:rsidR="00E25801" w:rsidRPr="00645457">
        <w:t xml:space="preserve"> (iekļauts Gala ziņojuma 1.1. nodaļā)</w:t>
      </w:r>
      <w:r w:rsidRPr="00645457">
        <w:t>.</w:t>
      </w:r>
      <w:r>
        <w:t xml:space="preserve"> </w:t>
      </w:r>
    </w:p>
    <w:p w:rsidR="00F177EE" w:rsidRDefault="00F177EE" w:rsidP="005A207F">
      <w:pPr>
        <w:pStyle w:val="virsrakstslvl3"/>
      </w:pPr>
      <w:bookmarkStart w:id="831" w:name="_Toc528761665"/>
      <w:bookmarkStart w:id="832" w:name="_Toc528762828"/>
      <w:bookmarkStart w:id="833" w:name="_Toc528768886"/>
      <w:bookmarkStart w:id="834" w:name="_Toc528847613"/>
      <w:bookmarkStart w:id="835" w:name="_Toc528930597"/>
      <w:bookmarkStart w:id="836" w:name="_Toc529170545"/>
      <w:bookmarkStart w:id="837" w:name="_Toc529176268"/>
      <w:bookmarkStart w:id="838" w:name="_Toc529180096"/>
      <w:bookmarkStart w:id="839" w:name="_Toc529180341"/>
      <w:bookmarkStart w:id="840" w:name="_Toc531694116"/>
      <w:bookmarkStart w:id="841" w:name="_Toc531856221"/>
      <w:bookmarkStart w:id="842" w:name="_Toc531860010"/>
      <w:bookmarkStart w:id="843" w:name="_Toc535738796"/>
      <w:bookmarkStart w:id="844" w:name="_Toc535741794"/>
      <w:bookmarkStart w:id="845" w:name="_Toc535742147"/>
      <w:bookmarkStart w:id="846" w:name="_Toc535916130"/>
      <w:bookmarkStart w:id="847" w:name="_Toc535922782"/>
      <w:bookmarkStart w:id="848" w:name="_Toc535935085"/>
      <w:bookmarkStart w:id="849" w:name="_Toc788698"/>
      <w:bookmarkStart w:id="850" w:name="_Toc868877"/>
      <w:r w:rsidRPr="001A3907">
        <w:lastRenderedPageBreak/>
        <w:t>Statistikas datu un apsekojumu datu atlases un kvalitātes kritēriji sociālās atstumtības un nabadzības mazināšanas jomā</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rsidR="00F177EE" w:rsidRPr="00B87378" w:rsidRDefault="00F177EE" w:rsidP="00C33A64">
      <w:pPr>
        <w:pStyle w:val="under"/>
      </w:pPr>
      <w:bookmarkStart w:id="851" w:name="_Toc2761150"/>
      <w:bookmarkStart w:id="852" w:name="_Toc2848257"/>
      <w:bookmarkStart w:id="853" w:name="_Toc6219318"/>
      <w:bookmarkStart w:id="854" w:name="_Toc6220261"/>
      <w:bookmarkStart w:id="855" w:name="_Toc6841690"/>
      <w:r w:rsidRPr="00B87378">
        <w:t>Uzdevumi:</w:t>
      </w:r>
      <w:bookmarkEnd w:id="851"/>
      <w:bookmarkEnd w:id="852"/>
      <w:bookmarkEnd w:id="853"/>
      <w:bookmarkEnd w:id="854"/>
      <w:bookmarkEnd w:id="855"/>
    </w:p>
    <w:p w:rsidR="00F177EE" w:rsidRPr="003D3671" w:rsidRDefault="00F177EE" w:rsidP="00496284">
      <w:pPr>
        <w:pStyle w:val="ListParagraph"/>
        <w:suppressAutoHyphens/>
        <w:autoSpaceDE w:val="0"/>
        <w:spacing w:line="276" w:lineRule="auto"/>
        <w:jc w:val="both"/>
        <w:rPr>
          <w:color w:val="000000"/>
        </w:rPr>
      </w:pPr>
      <w:r w:rsidRPr="003D3671">
        <w:rPr>
          <w:color w:val="000000"/>
        </w:rPr>
        <w:t xml:space="preserve">1.2.  </w:t>
      </w:r>
      <w:r w:rsidRPr="003D3671">
        <w:t>Veikt padziļinātu administratīvo, apsekojumu un citu statistikas datu analīzi ienākumu palielināšanas, nabadzības, sociālās atstumtības un ienākumu nevienlīdzības jomā par 2015. gadu (salīdzinot ar 2014. gadu) (TS 3.2. punkts) un par 2016. gadu (salīdzinot ar 2015. gadu)</w:t>
      </w:r>
      <w:r w:rsidR="00E25801">
        <w:t>.</w:t>
      </w:r>
    </w:p>
    <w:p w:rsidR="00F177EE" w:rsidRPr="003D3671" w:rsidRDefault="00F177EE" w:rsidP="00496284">
      <w:pPr>
        <w:pStyle w:val="ListParagraph"/>
        <w:suppressAutoHyphens/>
        <w:autoSpaceDE w:val="0"/>
        <w:spacing w:line="276" w:lineRule="auto"/>
        <w:jc w:val="both"/>
        <w:rPr>
          <w:color w:val="000000"/>
        </w:rPr>
      </w:pPr>
      <w:r w:rsidRPr="003D3671">
        <w:t>1.3. Veikt datu kvalitātes analīzi ienākumu palielināšanas, nabadzības, sociālās atstumtības un ienākumu nevienlīdzības jomā (par 2015., 2016. gadu)</w:t>
      </w:r>
      <w:r w:rsidR="00E25801">
        <w:t>.</w:t>
      </w:r>
    </w:p>
    <w:p w:rsidR="00F177EE" w:rsidRPr="003D3671" w:rsidRDefault="00F177EE" w:rsidP="00496284">
      <w:pPr>
        <w:pStyle w:val="ListParagraph"/>
        <w:suppressAutoHyphens/>
        <w:autoSpaceDE w:val="0"/>
        <w:spacing w:line="276" w:lineRule="auto"/>
        <w:jc w:val="both"/>
        <w:rPr>
          <w:color w:val="000000"/>
        </w:rPr>
      </w:pPr>
      <w:r w:rsidRPr="003D3671">
        <w:t>1.4. Identificēt, kuri no datiem turpmāk būtu izmantojami nabadzības, sociālās atstumtības un/vai ienākumu nevienlīdzības samazināšanas izvērtēšanai un kāda papildus datu vākšana šim nolūkam būtu nepieciešama</w:t>
      </w:r>
      <w:r w:rsidR="00E25801">
        <w:t>.</w:t>
      </w:r>
    </w:p>
    <w:p w:rsidR="00F177EE" w:rsidRPr="00324B63" w:rsidRDefault="00F177EE" w:rsidP="00F177EE"/>
    <w:p w:rsidR="00F177EE" w:rsidRDefault="00F177EE" w:rsidP="00E25801">
      <w:r>
        <w:t xml:space="preserve">TS </w:t>
      </w:r>
      <w:r w:rsidR="00E25801">
        <w:t>tik</w:t>
      </w:r>
      <w:r w:rsidR="00492FE9">
        <w:t>a</w:t>
      </w:r>
      <w:r w:rsidR="00E25801">
        <w:t xml:space="preserve"> noteikti</w:t>
      </w:r>
      <w:r>
        <w:t xml:space="preserve"> </w:t>
      </w:r>
      <w:r w:rsidR="00E25801">
        <w:t>galvenie</w:t>
      </w:r>
      <w:r>
        <w:t xml:space="preserve"> Izvērtējumā izmantojam</w:t>
      </w:r>
      <w:r w:rsidR="00E25801">
        <w:t>ie</w:t>
      </w:r>
      <w:r>
        <w:t xml:space="preserve"> statistikas datu, apsekojumu un administratīvo datu avot</w:t>
      </w:r>
      <w:r w:rsidR="00E25801">
        <w:t>i</w:t>
      </w:r>
      <w:r>
        <w:t>. Tie ir:</w:t>
      </w:r>
      <w:r w:rsidR="00E25801">
        <w:t xml:space="preserve"> pirmkārt, </w:t>
      </w:r>
      <w:r>
        <w:t>CSP</w:t>
      </w:r>
      <w:r w:rsidRPr="000D0146">
        <w:t xml:space="preserve"> </w:t>
      </w:r>
      <w:r>
        <w:t xml:space="preserve">apsekojums </w:t>
      </w:r>
      <w:r w:rsidRPr="000D0146">
        <w:t>E</w:t>
      </w:r>
      <w:r>
        <w:t>U</w:t>
      </w:r>
      <w:r w:rsidRPr="000D0146">
        <w:t xml:space="preserve">-SILC par ienākumiem un dzīves apstākļiem par 2015. un 2016. </w:t>
      </w:r>
      <w:r>
        <w:t>g</w:t>
      </w:r>
      <w:r w:rsidRPr="000D0146">
        <w:t>adu</w:t>
      </w:r>
      <w:r>
        <w:t xml:space="preserve">, no kuriem tiek aprēķināti </w:t>
      </w:r>
      <w:r w:rsidRPr="004478F6">
        <w:t>monetāro nabadzību un ienākumu nevienlīdzību</w:t>
      </w:r>
      <w:r>
        <w:t xml:space="preserve"> raksturojošie rādītāji</w:t>
      </w:r>
      <w:r>
        <w:rPr>
          <w:rStyle w:val="FootnoteReference"/>
        </w:rPr>
        <w:footnoteReference w:id="373"/>
      </w:r>
      <w:r>
        <w:t>,</w:t>
      </w:r>
      <w:r w:rsidR="00E25801">
        <w:t xml:space="preserve"> otrkārt, </w:t>
      </w:r>
      <w:r w:rsidRPr="000D0146">
        <w:t xml:space="preserve">pašvaldību administratīvie dati sociālās palīdzības jomā par 2015. un 2016. </w:t>
      </w:r>
      <w:r>
        <w:t>g</w:t>
      </w:r>
      <w:r w:rsidRPr="000D0146">
        <w:t>adu</w:t>
      </w:r>
      <w:r>
        <w:t>.</w:t>
      </w:r>
    </w:p>
    <w:p w:rsidR="00AC31D1" w:rsidRDefault="00AC31D1" w:rsidP="00E25801"/>
    <w:p w:rsidR="00830823" w:rsidRDefault="00830823" w:rsidP="00830823">
      <w:r>
        <w:t>Viens no EU-SILC apsekojuma galvenajiem izpētes objektiem ir mājsaimniecību gada ienākumi – to sastāvs un līmenis. Informācijas iegūšanai ir izstrādātas četras anketas. Trīs no tām ir nemainīgas: mājsaimniecību reģistrs, mājsaimniecības anketa un individuālā anketa. Katrai anketai ir savs uzdevums, un to informācija nepārklājas. Ceturtā anketa ir moduļa anketa, kuras tēma katru gadu mainās. Mājsaimniecības reģistrs ir anketa, kurā tiek ierakstītas galvenās ziņas par katru mājsaimniecības locekli. Tā ir galvenokārt demogrāfiska informācija par mājsaimniecībā dzīvojošajām personām, kā arī par tām personām, kas mājsaimniecību ir pametušas. Mājsaimniecības anketā ir iekļauti jautājumi, kas skar visu mājsaimniecību kopumā. Anketā ir iekļauti šādi jautājumi: mājoklis un mājokļa apstākļi, mājokļa izmaksas, mājsaimniecības ekonomiskais stāvoklis, mājsaimniecības kopējie ienākumi, mājsaimniecību savstarpējā palīdzība un lauksaimnieciskā ražošana mājsaimniecībā. Individuālā anketa tiek aizpildīta par katru mājsaimniecības locekli, kuram ir 16 gadi un vairāk. Tajā tiek uzdoti jautājumi par nodarbinātību, ienākumiem, izglītību un veselību. Apsekojumā tiek izmantoti arī Valsts ieņēmuma dienesta dati par fiziskām personām/nodokļu maksātājiem un Valsts sociālās apdrošināšanas aģentūras dati par valsts pensijām un pabalstiem.”</w:t>
      </w:r>
      <w:r>
        <w:rPr>
          <w:rStyle w:val="FootnoteReference"/>
        </w:rPr>
        <w:footnoteReference w:id="374"/>
      </w:r>
    </w:p>
    <w:p w:rsidR="00830823" w:rsidRDefault="00830823" w:rsidP="00830823"/>
    <w:p w:rsidR="00830823" w:rsidRDefault="00830823" w:rsidP="00830823">
      <w:r>
        <w:t xml:space="preserve">Skatoties dažādu mājsaimniecības tipu griezumu, ir iespējams secināt, ka dažāda veida mājsaimniecībām nozīmīgākās problēmas laika posmā kopš 2009. gada atšķiras. Kopumā jāsecina, ka problēmām nav vienotas tendences un rādītāji, kas tās raksturo, jo vienā gadā tie var strauji kristies un jau nākamajā gadā - pieaugt. Iespējams, ka šādas rezultātu izmaiņas rodas nepietiekama </w:t>
      </w:r>
      <w:r>
        <w:lastRenderedPageBreak/>
        <w:t>mājsaimniecību skaita apakšizlasē dēļ, kā rezultātā atsevišķu mājsaimniecību atbilžu izmaiņu dēļ notiek ievērojamas izmaiņas kopējos datos. Parasti gan šādos gadījumos, ja dati nav uzticami, CSP prakse ir tos nepublicēt.</w:t>
      </w:r>
    </w:p>
    <w:p w:rsidR="00492FE9" w:rsidRDefault="00492FE9" w:rsidP="00F177EE"/>
    <w:p w:rsidR="00F177EE" w:rsidRPr="00117612" w:rsidRDefault="00F177EE" w:rsidP="00F177EE">
      <w:r w:rsidRPr="00117612">
        <w:t>E</w:t>
      </w:r>
      <w:r>
        <w:t>U</w:t>
      </w:r>
      <w:r w:rsidRPr="00117612">
        <w:t>-SILC sniedz plašu nabadzību raksturojošo rādītāju spektru</w:t>
      </w:r>
      <w:r w:rsidRPr="00117612">
        <w:rPr>
          <w:rStyle w:val="FootnoteReference"/>
          <w:rFonts w:eastAsiaTheme="majorEastAsia"/>
        </w:rPr>
        <w:footnoteReference w:id="375"/>
      </w:r>
      <w:r w:rsidRPr="00117612">
        <w:t>, no kuriem nozīmīga daļa ir pieejama sagatavotu t</w:t>
      </w:r>
      <w:r w:rsidR="008D6552">
        <w:t>abulu veidā CSP mājas lapā. Šī I</w:t>
      </w:r>
      <w:r w:rsidRPr="00117612">
        <w:t>zvērtējuma ietvaros svarīgākie no tiem ir:</w:t>
      </w:r>
    </w:p>
    <w:p w:rsidR="00F177EE" w:rsidRPr="00117612" w:rsidRDefault="00662352" w:rsidP="00D03DA0">
      <w:pPr>
        <w:pStyle w:val="ListParagraph"/>
        <w:numPr>
          <w:ilvl w:val="0"/>
          <w:numId w:val="33"/>
        </w:numPr>
        <w:suppressAutoHyphens/>
        <w:autoSpaceDE w:val="0"/>
        <w:spacing w:line="276" w:lineRule="auto"/>
      </w:pPr>
      <w:r>
        <w:t>m</w:t>
      </w:r>
      <w:r w:rsidR="00F177EE" w:rsidRPr="00117612">
        <w:t>ājsaimniecību rīcībā esošie ienākumi;</w:t>
      </w:r>
    </w:p>
    <w:p w:rsidR="00F177EE" w:rsidRPr="00671941" w:rsidRDefault="00662352" w:rsidP="00D03DA0">
      <w:pPr>
        <w:pStyle w:val="ListParagraph"/>
        <w:numPr>
          <w:ilvl w:val="0"/>
          <w:numId w:val="33"/>
        </w:numPr>
        <w:suppressAutoHyphens/>
        <w:autoSpaceDE w:val="0"/>
        <w:spacing w:line="276" w:lineRule="auto"/>
      </w:pPr>
      <w:r>
        <w:t>k</w:t>
      </w:r>
      <w:r w:rsidR="00F177EE" w:rsidRPr="00671941">
        <w:t>vintiļu attiecību indekss (S80/S20);</w:t>
      </w:r>
    </w:p>
    <w:p w:rsidR="00F177EE" w:rsidRPr="00671941" w:rsidRDefault="00662352" w:rsidP="00D03DA0">
      <w:pPr>
        <w:pStyle w:val="ListParagraph"/>
        <w:numPr>
          <w:ilvl w:val="0"/>
          <w:numId w:val="33"/>
        </w:numPr>
        <w:suppressAutoHyphens/>
        <w:autoSpaceDE w:val="0"/>
        <w:spacing w:line="276" w:lineRule="auto"/>
      </w:pPr>
      <w:r>
        <w:t>n</w:t>
      </w:r>
      <w:r w:rsidR="00F177EE" w:rsidRPr="00671941">
        <w:t>abadzības risks;</w:t>
      </w:r>
    </w:p>
    <w:p w:rsidR="00F177EE" w:rsidRPr="00671941" w:rsidRDefault="00662352" w:rsidP="00D03DA0">
      <w:pPr>
        <w:pStyle w:val="ListParagraph"/>
        <w:numPr>
          <w:ilvl w:val="0"/>
          <w:numId w:val="33"/>
        </w:numPr>
        <w:suppressAutoHyphens/>
        <w:autoSpaceDE w:val="0"/>
        <w:spacing w:line="276" w:lineRule="auto"/>
      </w:pPr>
      <w:r>
        <w:t>n</w:t>
      </w:r>
      <w:r w:rsidR="00F177EE" w:rsidRPr="00671941">
        <w:t>abadzības risks vai sociālā atstumtība;</w:t>
      </w:r>
    </w:p>
    <w:p w:rsidR="00F177EE" w:rsidRPr="00671941" w:rsidRDefault="00662352" w:rsidP="00D03DA0">
      <w:pPr>
        <w:pStyle w:val="ListParagraph"/>
        <w:numPr>
          <w:ilvl w:val="0"/>
          <w:numId w:val="33"/>
        </w:numPr>
        <w:suppressAutoHyphens/>
        <w:autoSpaceDE w:val="0"/>
        <w:spacing w:line="276" w:lineRule="auto"/>
      </w:pPr>
      <w:r>
        <w:t>d</w:t>
      </w:r>
      <w:r w:rsidR="00F177EE" w:rsidRPr="00671941">
        <w:t>ziļa materiālā nenodrošinātība;</w:t>
      </w:r>
    </w:p>
    <w:p w:rsidR="00F177EE" w:rsidRPr="00671941" w:rsidRDefault="00662352" w:rsidP="00D03DA0">
      <w:pPr>
        <w:pStyle w:val="ListParagraph"/>
        <w:numPr>
          <w:ilvl w:val="0"/>
          <w:numId w:val="33"/>
        </w:numPr>
        <w:suppressAutoHyphens/>
        <w:autoSpaceDE w:val="0"/>
        <w:spacing w:line="276" w:lineRule="auto"/>
      </w:pPr>
      <w:r>
        <w:t>m</w:t>
      </w:r>
      <w:r w:rsidR="00F177EE" w:rsidRPr="00671941">
        <w:t>inimālā ienākuma līmenis.</w:t>
      </w:r>
    </w:p>
    <w:p w:rsidR="00733F58" w:rsidRDefault="00733F58" w:rsidP="00F177EE"/>
    <w:p w:rsidR="00F177EE" w:rsidRPr="00A3514B" w:rsidRDefault="00F177EE" w:rsidP="00F177EE">
      <w:r w:rsidRPr="00A3514B">
        <w:t>Dažādi sagrupēti, EU-SILC aplūkotie mainīgie lielumi palīdz noteikt vairākus atšķirīgus nabadzības un nevienlīdzības rādītājus, piemēram, ekonomisko spriedzi (pieci mainīgie lielumi), materiālās nenodrošinātības indekss (deviņi mainīgie lielumi, no kuriem ar iepriekšējo rādītāju pārklājas pieci mainīgie lielumi).</w:t>
      </w:r>
      <w:r>
        <w:t xml:space="preserve"> </w:t>
      </w:r>
      <w:r w:rsidRPr="00733F58">
        <w:t xml:space="preserve">Tādējādi, veicot dažādu rādītāju analīzi, </w:t>
      </w:r>
      <w:r w:rsidR="00E25801" w:rsidRPr="00733F58">
        <w:t>ir</w:t>
      </w:r>
      <w:r w:rsidRPr="00733F58">
        <w:t xml:space="preserve"> veikts salīdzinājums, kuri no šiem rādītājiem attiecīgajā laika posmā bija jūtīgāki pret īstenoto rīcībpolitiku (t.i., parādīja statistiski nozīmīgas izmaiņas).</w:t>
      </w:r>
      <w:r w:rsidR="00E25801">
        <w:t xml:space="preserve"> </w:t>
      </w:r>
    </w:p>
    <w:p w:rsidR="00F177EE" w:rsidRPr="00A3514B" w:rsidRDefault="00F177EE" w:rsidP="00F177EE"/>
    <w:p w:rsidR="00F177EE" w:rsidRPr="002A16BF" w:rsidRDefault="00F177EE" w:rsidP="00F177EE">
      <w:r w:rsidRPr="002A16BF">
        <w:t>Pa</w:t>
      </w:r>
      <w:r w:rsidR="009E3FBF">
        <w:t>pildus EU-SILC 2016. gadā veiktais modulis</w:t>
      </w:r>
      <w:r w:rsidRPr="002A16BF">
        <w:t xml:space="preserve"> ļauj raksturot šādus sociālo atstumtību raksturojošos vai ietekmējošos rādītājus</w:t>
      </w:r>
      <w:r>
        <w:t xml:space="preserve"> (iekavās norādītas atsauces uz indikatoriem EU-SILC attiecīgā gada datnēs)</w:t>
      </w:r>
      <w:r w:rsidRPr="002A16BF">
        <w:t>:</w:t>
      </w:r>
    </w:p>
    <w:p w:rsidR="00F177EE" w:rsidRPr="002A16BF" w:rsidRDefault="00F177EE" w:rsidP="00D03DA0">
      <w:pPr>
        <w:pStyle w:val="ListParagraph"/>
        <w:numPr>
          <w:ilvl w:val="0"/>
          <w:numId w:val="34"/>
        </w:numPr>
        <w:spacing w:line="276" w:lineRule="auto"/>
      </w:pPr>
      <w:r w:rsidRPr="002A16BF">
        <w:t>Brīvā laika pavadīšana un sociālie pasākumi (PD050, PD060, PD070);</w:t>
      </w:r>
    </w:p>
    <w:p w:rsidR="00F177EE" w:rsidRPr="002A16BF" w:rsidRDefault="00F177EE" w:rsidP="00D03DA0">
      <w:pPr>
        <w:pStyle w:val="ListParagraph"/>
        <w:numPr>
          <w:ilvl w:val="0"/>
          <w:numId w:val="34"/>
        </w:numPr>
        <w:spacing w:line="276" w:lineRule="auto"/>
      </w:pPr>
      <w:r w:rsidRPr="002A16BF">
        <w:t>Bērnu aprūpe, kas ļauj noteikt bērnu aprūpes pakalpojumu slogu mājsaimniecībai (RC020, RC030, HC040, HC050, HC060);</w:t>
      </w:r>
    </w:p>
    <w:p w:rsidR="00F177EE" w:rsidRPr="002A16BF" w:rsidRDefault="00F177EE" w:rsidP="00D03DA0">
      <w:pPr>
        <w:pStyle w:val="ListParagraph"/>
        <w:numPr>
          <w:ilvl w:val="0"/>
          <w:numId w:val="34"/>
        </w:numPr>
        <w:spacing w:line="276" w:lineRule="auto"/>
      </w:pPr>
      <w:r w:rsidRPr="002A16BF">
        <w:t>Mājas aprūpes pieejamība un finansiālais slogs, ja mājsaimniecībā ir personas, kuriem nepieciešama palīdzība ilgstošas fiziskas vai garīgas kaites, invaliditātes vai vecuma dēļ (HC190, HC200, HC210, HC220, HC230, HC240, HC250, PC260, PC270).</w:t>
      </w:r>
    </w:p>
    <w:p w:rsidR="00F177EE" w:rsidRDefault="00F177EE" w:rsidP="00F177EE"/>
    <w:p w:rsidR="00F177EE" w:rsidRPr="00B907BC" w:rsidRDefault="00F177EE" w:rsidP="00F177EE">
      <w:r w:rsidRPr="00733F58">
        <w:t xml:space="preserve">Veicot EU-SILC datu analīzi, </w:t>
      </w:r>
      <w:r w:rsidR="00E25801" w:rsidRPr="00733F58">
        <w:t>tika</w:t>
      </w:r>
      <w:r w:rsidRPr="00733F58">
        <w:t xml:space="preserve"> izmantotas vienkāršas aprakstošās statistikas metodes (piemēram, biežuma rādītāji) un attēlota radītāju dinamika, lai raksturotu kurās grupās un cik lielā apmērā nabadzības, nevienlīdzības un sociālās atstumtības rādītāji ir augstāki.</w:t>
      </w:r>
    </w:p>
    <w:p w:rsidR="00F177EE" w:rsidRDefault="00F177EE" w:rsidP="00F177EE"/>
    <w:p w:rsidR="00F177EE" w:rsidRPr="002A16BF" w:rsidRDefault="00F177EE" w:rsidP="00F177EE">
      <w:r w:rsidRPr="002A16BF">
        <w:t>Veicot nabadzības un nevienlīdzības indikatoru izmaiņu analīzi, tik</w:t>
      </w:r>
      <w:r w:rsidR="00E25801">
        <w:t>a</w:t>
      </w:r>
      <w:r w:rsidRPr="002A16BF">
        <w:t xml:space="preserve"> aplūkotas šādas mērķa grupas un ņemti vērā šādi sociāli demogrāfiskie faktori (TS 3.2.1.-3.2.8., 3.5. punkts):</w:t>
      </w:r>
    </w:p>
    <w:p w:rsidR="00F177EE" w:rsidRPr="002A16BF" w:rsidRDefault="00F177EE" w:rsidP="003F469F">
      <w:pPr>
        <w:pStyle w:val="ListParagraph"/>
        <w:numPr>
          <w:ilvl w:val="0"/>
          <w:numId w:val="137"/>
        </w:numPr>
        <w:suppressAutoHyphens/>
        <w:autoSpaceDE w:val="0"/>
        <w:spacing w:line="276" w:lineRule="auto"/>
        <w:contextualSpacing w:val="0"/>
      </w:pPr>
      <w:r w:rsidRPr="002A16BF">
        <w:t>ienākumu veids, apmērs, struktūras u.tml.;</w:t>
      </w:r>
    </w:p>
    <w:p w:rsidR="00F177EE" w:rsidRPr="002A16BF" w:rsidRDefault="00F177EE" w:rsidP="003F469F">
      <w:pPr>
        <w:pStyle w:val="ListParagraph"/>
        <w:numPr>
          <w:ilvl w:val="0"/>
          <w:numId w:val="137"/>
        </w:numPr>
        <w:suppressAutoHyphens/>
        <w:autoSpaceDE w:val="0"/>
        <w:spacing w:line="276" w:lineRule="auto"/>
        <w:contextualSpacing w:val="0"/>
      </w:pPr>
      <w:r w:rsidRPr="002A16BF">
        <w:t>vecums (bērni, darbspējas vecuma cilvēki, pirmspensijas vecuma cilvēki, pensijas vecuma cilvēki u.tml.);</w:t>
      </w:r>
    </w:p>
    <w:p w:rsidR="00F177EE" w:rsidRPr="002A16BF" w:rsidRDefault="00F177EE" w:rsidP="003F469F">
      <w:pPr>
        <w:pStyle w:val="ListParagraph"/>
        <w:numPr>
          <w:ilvl w:val="0"/>
          <w:numId w:val="137"/>
        </w:numPr>
        <w:suppressAutoHyphens/>
        <w:autoSpaceDE w:val="0"/>
        <w:spacing w:line="276" w:lineRule="auto"/>
        <w:contextualSpacing w:val="0"/>
      </w:pPr>
      <w:r w:rsidRPr="002A16BF">
        <w:lastRenderedPageBreak/>
        <w:t>dzimums;</w:t>
      </w:r>
    </w:p>
    <w:p w:rsidR="00F177EE" w:rsidRPr="002A16BF" w:rsidRDefault="00F177EE" w:rsidP="003F469F">
      <w:pPr>
        <w:pStyle w:val="ListParagraph"/>
        <w:numPr>
          <w:ilvl w:val="0"/>
          <w:numId w:val="137"/>
        </w:numPr>
        <w:suppressAutoHyphens/>
        <w:autoSpaceDE w:val="0"/>
        <w:spacing w:line="276" w:lineRule="auto"/>
        <w:contextualSpacing w:val="0"/>
      </w:pPr>
      <w:r w:rsidRPr="002A16BF">
        <w:t>mājsaimniecības tips;</w:t>
      </w:r>
    </w:p>
    <w:p w:rsidR="00F177EE" w:rsidRPr="002A16BF" w:rsidRDefault="00F177EE" w:rsidP="003F469F">
      <w:pPr>
        <w:pStyle w:val="ListParagraph"/>
        <w:numPr>
          <w:ilvl w:val="0"/>
          <w:numId w:val="137"/>
        </w:numPr>
        <w:suppressAutoHyphens/>
        <w:autoSpaceDE w:val="0"/>
        <w:spacing w:line="276" w:lineRule="auto"/>
        <w:contextualSpacing w:val="0"/>
      </w:pPr>
      <w:r w:rsidRPr="002A16BF">
        <w:t>pamatnodarbošanās statuss (strādājošs, bezdarbnieks u.c.);</w:t>
      </w:r>
    </w:p>
    <w:p w:rsidR="00F177EE" w:rsidRPr="002A16BF" w:rsidRDefault="00F177EE" w:rsidP="003F469F">
      <w:pPr>
        <w:pStyle w:val="ListParagraph"/>
        <w:numPr>
          <w:ilvl w:val="0"/>
          <w:numId w:val="137"/>
        </w:numPr>
        <w:suppressAutoHyphens/>
        <w:autoSpaceDE w:val="0"/>
        <w:spacing w:line="276" w:lineRule="auto"/>
        <w:contextualSpacing w:val="0"/>
        <w:rPr>
          <w:b/>
        </w:rPr>
      </w:pPr>
      <w:r w:rsidRPr="002A16BF">
        <w:t>teritoriālais iedalījums (statistiskie reģioni).</w:t>
      </w:r>
    </w:p>
    <w:p w:rsidR="00F177EE" w:rsidRDefault="00F177EE" w:rsidP="00F177EE"/>
    <w:p w:rsidR="00F177EE" w:rsidRDefault="00F177EE" w:rsidP="00F177EE">
      <w:r>
        <w:t xml:space="preserve">EU-SILC dati neļauj raksturot nabadzības un nevienlīdzības indikatorus un to izmaiņas šādās mērķa grupās, tādēļ šo cilvēku situācijas raksturošanai </w:t>
      </w:r>
      <w:r w:rsidR="00E25801">
        <w:t>tika</w:t>
      </w:r>
      <w:r>
        <w:t xml:space="preserve"> izmantoti dati no citiem avotiem, ciktāl tādi </w:t>
      </w:r>
      <w:r w:rsidR="00E25801">
        <w:t>bija</w:t>
      </w:r>
      <w:r>
        <w:t xml:space="preserve"> publiski pieejami Latvijā:</w:t>
      </w:r>
    </w:p>
    <w:p w:rsidR="00F177EE" w:rsidRPr="00895C0D" w:rsidRDefault="00F177EE" w:rsidP="00D03DA0">
      <w:pPr>
        <w:pStyle w:val="ListParagraph"/>
        <w:numPr>
          <w:ilvl w:val="0"/>
          <w:numId w:val="35"/>
        </w:numPr>
        <w:spacing w:line="276" w:lineRule="auto"/>
      </w:pPr>
      <w:r w:rsidRPr="00895C0D">
        <w:t>personu ar funkcionēšanas ierobežojumiem traucējuma veids (redzes, dzirdes, kustību un garīga rakstura traucējumi) un invaliditātes dalījums (I, II un III invaliditātes grupa);</w:t>
      </w:r>
    </w:p>
    <w:p w:rsidR="00F177EE" w:rsidRPr="00895C0D" w:rsidRDefault="00F177EE" w:rsidP="00D03DA0">
      <w:pPr>
        <w:pStyle w:val="ListParagraph"/>
        <w:numPr>
          <w:ilvl w:val="0"/>
          <w:numId w:val="35"/>
        </w:numPr>
        <w:spacing w:line="276" w:lineRule="auto"/>
      </w:pPr>
      <w:r w:rsidRPr="00895C0D">
        <w:t>piederība noteiktai etniskai/ sociālai grupai (romi, no ieslodzījuma vietām atbrīvotās personas, p</w:t>
      </w:r>
      <w:r>
        <w:t>atvēruma meklētāji, bēgļi u.c.).</w:t>
      </w:r>
    </w:p>
    <w:p w:rsidR="007D6307" w:rsidRPr="00324B63" w:rsidRDefault="007D6307" w:rsidP="007D6307">
      <w:bookmarkStart w:id="856" w:name="_Toc2761151"/>
      <w:bookmarkStart w:id="857" w:name="_Toc2848258"/>
    </w:p>
    <w:p w:rsidR="00733F58" w:rsidRPr="00324B63" w:rsidRDefault="00733F58" w:rsidP="007D6307">
      <w:r w:rsidRPr="00324B63">
        <w:t>Personu ar funkcionēšanas ierobežojumiem dalījumā pēc traucējuma veida (redzes, dzirdes, kustību un garīga rakstura traucējumi) un invaliditātes (I, II un III invaliditāte</w:t>
      </w:r>
      <w:r w:rsidR="00615C75">
        <w:t>s grupa) ienākumu analīzei tika</w:t>
      </w:r>
      <w:r w:rsidRPr="00324B63">
        <w:t xml:space="preserve"> iegūti valsts administratīvie dati – anonimizēti VSAA mikrodati par personu ar invaliditāti ienākumiem par 2014., 2015., 2016. un 2017. gadu, kas ļauj raksturot viņu ienākumu struktūru un ienākumu līmeņus, salīdzinot ar vispārējo situāciju valstī, kas savukārt noteikta, balstoties uz CSP datiem.</w:t>
      </w:r>
    </w:p>
    <w:p w:rsidR="00733F58" w:rsidRPr="00324B63" w:rsidRDefault="00733F58" w:rsidP="007D6307">
      <w:pPr>
        <w:rPr>
          <w:b/>
        </w:rPr>
      </w:pPr>
    </w:p>
    <w:bookmarkEnd w:id="856"/>
    <w:bookmarkEnd w:id="857"/>
    <w:p w:rsidR="00F177EE" w:rsidRDefault="003B289C" w:rsidP="00F177EE">
      <w:r w:rsidRPr="00324B63">
        <w:t>Ņemot vērā datu trūkumu par noteiktām iedzīvotāju mērķa grupām</w:t>
      </w:r>
      <w:r w:rsidR="00F177EE" w:rsidRPr="00324B63">
        <w:t>, veicot intervijas ar ekspertiem, tik</w:t>
      </w:r>
      <w:r w:rsidR="00E25801" w:rsidRPr="00324B63">
        <w:t>a</w:t>
      </w:r>
      <w:r w:rsidR="00F177EE" w:rsidRPr="00324B63">
        <w:t xml:space="preserve"> apzināti ekspertiem zināmi</w:t>
      </w:r>
      <w:r w:rsidR="00F177EE" w:rsidRPr="002229C6">
        <w:t xml:space="preserve"> papildu datu avoti</w:t>
      </w:r>
      <w:r w:rsidR="003A1270">
        <w:t xml:space="preserve"> par šīm grupām. V</w:t>
      </w:r>
      <w:r w:rsidR="00F177EE" w:rsidRPr="002229C6">
        <w:t xml:space="preserve">ienlaikus </w:t>
      </w:r>
      <w:r w:rsidR="003A1270">
        <w:t>bija</w:t>
      </w:r>
      <w:r w:rsidR="00F177EE" w:rsidRPr="002229C6">
        <w:t xml:space="preserve"> būtiski, lai iegūtie dati attiektos uz </w:t>
      </w:r>
      <w:r w:rsidR="003A1270">
        <w:t>Izvērtējumam atbilstošo</w:t>
      </w:r>
      <w:r w:rsidR="00F177EE" w:rsidRPr="002229C6">
        <w:t xml:space="preserve"> laika posmu.</w:t>
      </w:r>
      <w:r w:rsidR="00F177EE">
        <w:t xml:space="preserve"> Aplūkojot pieejamos informācijas avotus, </w:t>
      </w:r>
      <w:r w:rsidR="003A1270">
        <w:t>tika secināts</w:t>
      </w:r>
      <w:r w:rsidR="00F177EE">
        <w:t xml:space="preserve">, ka tie </w:t>
      </w:r>
      <w:r w:rsidR="003A1270">
        <w:t>mēdz būt</w:t>
      </w:r>
      <w:r w:rsidR="00F177EE">
        <w:t xml:space="preserve"> attiecināmi uz citu laika posmu, piemēram, pirms vai pēc </w:t>
      </w:r>
      <w:r w:rsidR="003A1270">
        <w:t>I</w:t>
      </w:r>
      <w:r w:rsidR="00F177EE">
        <w:t>zvērtējuma laiku. Piemēram, Tiesībsarga birojs ir sagatavojis vairākus izvērtējumus attiecībā uz personu ar invaliditāti tiesībām 2014. gadā, kas atbilst iepriekšējam izvērtējuma posmam, savukārt par esošo posmu (2015. – 2016. gads) līdzvērtīgi izvērtējumi nav veikti. Lai apzinātie dati tiktu iekļauti izvērtējumā, tie tik</w:t>
      </w:r>
      <w:r w:rsidR="003A1270">
        <w:t>a</w:t>
      </w:r>
      <w:r w:rsidR="00F177EE">
        <w:t xml:space="preserve"> izvērtēti atbilstoši zemāk minētajiem kvalitātes kritērijiem (sk. nākamā darba uzdevuma aprakstu). </w:t>
      </w:r>
    </w:p>
    <w:p w:rsidR="00F177EE" w:rsidRDefault="00F177EE" w:rsidP="00F177EE"/>
    <w:p w:rsidR="00F177EE" w:rsidRDefault="00F177EE" w:rsidP="004C2E87">
      <w:r w:rsidRPr="00043E0F">
        <w:t xml:space="preserve">Lai veiktu </w:t>
      </w:r>
      <w:r>
        <w:t>1.3.</w:t>
      </w:r>
      <w:r w:rsidRPr="00043E0F">
        <w:t xml:space="preserve"> uzdevumu, t.i., sagatavotu datu kvalitātes analīzi ienākumu palielināšanas, nabadzības, sociālās atstumtības un ienākumu nevienlīdzības jomā (par 2015., 2016. gadu), tik</w:t>
      </w:r>
      <w:r w:rsidR="003A1270">
        <w:t>a</w:t>
      </w:r>
      <w:r w:rsidRPr="00043E0F">
        <w:t xml:space="preserve"> veikts </w:t>
      </w:r>
      <w:r w:rsidR="003A1270">
        <w:t>datu no</w:t>
      </w:r>
      <w:r w:rsidRPr="00043E0F">
        <w:t xml:space="preserve">vērtējums, balstoties uz zemāk minētajiem </w:t>
      </w:r>
      <w:r w:rsidR="005A1668">
        <w:t>kritērijiem</w:t>
      </w:r>
      <w:r w:rsidRPr="00043E0F">
        <w:t xml:space="preserve">. Šie </w:t>
      </w:r>
      <w:r w:rsidR="005A1668">
        <w:t>kritēriji</w:t>
      </w:r>
      <w:r w:rsidRPr="00043E0F">
        <w:t xml:space="preserve"> </w:t>
      </w:r>
      <w:r w:rsidR="005A1668">
        <w:t>raksturo</w:t>
      </w:r>
      <w:r w:rsidRPr="00043E0F">
        <w:t xml:space="preserve"> faktor</w:t>
      </w:r>
      <w:r w:rsidR="005A1668">
        <w:t>us, kas</w:t>
      </w:r>
      <w:r w:rsidRPr="00043E0F">
        <w:t xml:space="preserve"> nosaka statistikas un apsekojumu datu kvalitāti, un kādi aspekti jāņem vērā, izmantojot vienu vai otru avotu par novērtējuma indikatoru.</w:t>
      </w:r>
      <w:r>
        <w:t xml:space="preserve"> </w:t>
      </w:r>
      <w:r w:rsidR="005A1668">
        <w:t>Datu kvalitātes novērtējuma</w:t>
      </w:r>
      <w:r>
        <w:t xml:space="preserve"> </w:t>
      </w:r>
      <w:r w:rsidR="005A1668">
        <w:t>kritēriji</w:t>
      </w:r>
      <w:r>
        <w:t xml:space="preserve"> ir:</w:t>
      </w:r>
    </w:p>
    <w:p w:rsidR="00F177EE" w:rsidRDefault="00F177EE" w:rsidP="00586F05">
      <w:pPr>
        <w:pStyle w:val="ListParagraph"/>
        <w:numPr>
          <w:ilvl w:val="0"/>
          <w:numId w:val="36"/>
        </w:numPr>
        <w:spacing w:line="276" w:lineRule="auto"/>
        <w:jc w:val="both"/>
      </w:pPr>
      <w:r w:rsidRPr="00043E0F">
        <w:t>Datu avota uzticamība un datu iegūšanu raksturojošās informācijas pārskatāmība:</w:t>
      </w:r>
    </w:p>
    <w:p w:rsidR="00F177EE" w:rsidRDefault="005A1668" w:rsidP="00586F05">
      <w:pPr>
        <w:pStyle w:val="ListParagraph"/>
        <w:numPr>
          <w:ilvl w:val="1"/>
          <w:numId w:val="36"/>
        </w:numPr>
        <w:spacing w:line="276" w:lineRule="auto"/>
        <w:jc w:val="both"/>
      </w:pPr>
      <w:r>
        <w:t>i</w:t>
      </w:r>
      <w:r w:rsidR="00F177EE">
        <w:t>estādes, kas veikusi datu vākšanu, profesionalitāte (likumā vai līgumā noteikts deleģējums vākt konkrētos datus, specializācija);</w:t>
      </w:r>
    </w:p>
    <w:p w:rsidR="00F177EE" w:rsidRDefault="005A1668" w:rsidP="00586F05">
      <w:pPr>
        <w:pStyle w:val="ListParagraph"/>
        <w:numPr>
          <w:ilvl w:val="1"/>
          <w:numId w:val="36"/>
        </w:numPr>
        <w:spacing w:line="276" w:lineRule="auto"/>
        <w:jc w:val="both"/>
      </w:pPr>
      <w:r>
        <w:t>p</w:t>
      </w:r>
      <w:r w:rsidR="00F177EE">
        <w:t>akāpe, kādā iestādei vai organizācijai ir pieejami visi dati par mērāmo jomu;</w:t>
      </w:r>
    </w:p>
    <w:p w:rsidR="00F177EE" w:rsidRDefault="005A1668" w:rsidP="00586F05">
      <w:pPr>
        <w:pStyle w:val="ListParagraph"/>
        <w:numPr>
          <w:ilvl w:val="1"/>
          <w:numId w:val="36"/>
        </w:numPr>
        <w:spacing w:line="276" w:lineRule="auto"/>
        <w:jc w:val="both"/>
      </w:pPr>
      <w:r>
        <w:t>d</w:t>
      </w:r>
      <w:r w:rsidR="00F177EE">
        <w:t>atu vākšanas sākotnējais mērķis vai nolūks;</w:t>
      </w:r>
    </w:p>
    <w:p w:rsidR="00F177EE" w:rsidRDefault="00F177EE" w:rsidP="00586F05">
      <w:pPr>
        <w:pStyle w:val="ListParagraph"/>
        <w:numPr>
          <w:ilvl w:val="0"/>
          <w:numId w:val="36"/>
        </w:numPr>
        <w:spacing w:line="276" w:lineRule="auto"/>
        <w:jc w:val="both"/>
      </w:pPr>
      <w:r>
        <w:t>Iegūto datu kvalitāte:</w:t>
      </w:r>
    </w:p>
    <w:p w:rsidR="00F177EE" w:rsidRDefault="005A1668" w:rsidP="00586F05">
      <w:pPr>
        <w:pStyle w:val="ListParagraph"/>
        <w:numPr>
          <w:ilvl w:val="1"/>
          <w:numId w:val="36"/>
        </w:numPr>
        <w:spacing w:line="276" w:lineRule="auto"/>
        <w:jc w:val="both"/>
      </w:pPr>
      <w:r>
        <w:t>m</w:t>
      </w:r>
      <w:r w:rsidR="00F177EE">
        <w:t xml:space="preserve">etodes, kādas ir pielietotas datu ieguvē, šo metožu priekšrocību un trūkumu izvērtējums (aptauju gadījumā: ģenerālā kopuma definīcija, izlases vienības </w:t>
      </w:r>
      <w:r w:rsidR="00F177EE">
        <w:lastRenderedPageBreak/>
        <w:t>definīcija, pielietotā izlases metode, aptaujas metode, sasniegto respondentu skaits un nerespondences rādītāji);</w:t>
      </w:r>
    </w:p>
    <w:p w:rsidR="00F177EE" w:rsidRDefault="005A1668" w:rsidP="00586F05">
      <w:pPr>
        <w:pStyle w:val="ListParagraph"/>
        <w:numPr>
          <w:ilvl w:val="1"/>
          <w:numId w:val="36"/>
        </w:numPr>
        <w:spacing w:line="276" w:lineRule="auto"/>
        <w:jc w:val="both"/>
      </w:pPr>
      <w:r>
        <w:t>m</w:t>
      </w:r>
      <w:r w:rsidR="00F177EE">
        <w:t>ērījuma precizitāte;</w:t>
      </w:r>
    </w:p>
    <w:p w:rsidR="00F177EE" w:rsidRDefault="005A1668" w:rsidP="00586F05">
      <w:pPr>
        <w:pStyle w:val="ListParagraph"/>
        <w:numPr>
          <w:ilvl w:val="1"/>
          <w:numId w:val="36"/>
        </w:numPr>
        <w:spacing w:line="276" w:lineRule="auto"/>
        <w:jc w:val="both"/>
      </w:pPr>
      <w:r>
        <w:t>m</w:t>
      </w:r>
      <w:r w:rsidR="00F177EE">
        <w:t>ērījuma atbilstība izvērtējuma mērķim (t.sk. aptvertajam laika posmam);</w:t>
      </w:r>
    </w:p>
    <w:p w:rsidR="00F177EE" w:rsidRDefault="005A1668" w:rsidP="00586F05">
      <w:pPr>
        <w:pStyle w:val="ListParagraph"/>
        <w:numPr>
          <w:ilvl w:val="1"/>
          <w:numId w:val="36"/>
        </w:numPr>
        <w:spacing w:line="276" w:lineRule="auto"/>
        <w:jc w:val="both"/>
      </w:pPr>
      <w:r>
        <w:t>d</w:t>
      </w:r>
      <w:r w:rsidR="00F177EE">
        <w:t>atu (atkārtotas/ regulāras) iegūšanas procesa sarežģītība (komplicētība);</w:t>
      </w:r>
    </w:p>
    <w:p w:rsidR="00F177EE" w:rsidRDefault="00F177EE" w:rsidP="00586F05">
      <w:pPr>
        <w:pStyle w:val="ListParagraph"/>
        <w:numPr>
          <w:ilvl w:val="0"/>
          <w:numId w:val="36"/>
        </w:numPr>
        <w:spacing w:line="276" w:lineRule="auto"/>
        <w:jc w:val="both"/>
      </w:pPr>
      <w:r>
        <w:t>Datu savietojamība:</w:t>
      </w:r>
    </w:p>
    <w:p w:rsidR="00F177EE" w:rsidRDefault="005A1668" w:rsidP="00586F05">
      <w:pPr>
        <w:pStyle w:val="ListParagraph"/>
        <w:numPr>
          <w:ilvl w:val="1"/>
          <w:numId w:val="36"/>
        </w:numPr>
        <w:spacing w:line="276" w:lineRule="auto"/>
        <w:jc w:val="both"/>
      </w:pPr>
      <w:r>
        <w:t>d</w:t>
      </w:r>
      <w:r w:rsidR="00F177EE">
        <w:t>atu salīdzināmības iespējas laikā un telpā;</w:t>
      </w:r>
    </w:p>
    <w:p w:rsidR="00F177EE" w:rsidRDefault="005A1668" w:rsidP="00586F05">
      <w:pPr>
        <w:pStyle w:val="ListParagraph"/>
        <w:numPr>
          <w:ilvl w:val="1"/>
          <w:numId w:val="36"/>
        </w:numPr>
        <w:spacing w:line="276" w:lineRule="auto"/>
        <w:jc w:val="both"/>
      </w:pPr>
      <w:r>
        <w:t>m</w:t>
      </w:r>
      <w:r w:rsidR="00F177EE">
        <w:t>ērīto indikatoru stabilitāte (mērīšanas tehnoloģijas nemainīgums);</w:t>
      </w:r>
    </w:p>
    <w:p w:rsidR="00F177EE" w:rsidRDefault="005A1668" w:rsidP="00586F05">
      <w:pPr>
        <w:pStyle w:val="ListParagraph"/>
        <w:numPr>
          <w:ilvl w:val="1"/>
          <w:numId w:val="36"/>
        </w:numPr>
        <w:spacing w:line="276" w:lineRule="auto"/>
        <w:jc w:val="both"/>
      </w:pPr>
      <w:r>
        <w:t>m</w:t>
      </w:r>
      <w:r w:rsidR="00F177EE">
        <w:t>ērīto indikatoru jūtīgums pret sociālās situācijas (realitātes) izmaiņām;</w:t>
      </w:r>
    </w:p>
    <w:p w:rsidR="00F177EE" w:rsidRPr="00043E0F" w:rsidRDefault="005A1668" w:rsidP="00586F05">
      <w:pPr>
        <w:pStyle w:val="ListParagraph"/>
        <w:numPr>
          <w:ilvl w:val="1"/>
          <w:numId w:val="36"/>
        </w:numPr>
        <w:spacing w:line="276" w:lineRule="auto"/>
        <w:jc w:val="both"/>
      </w:pPr>
      <w:r>
        <w:t>d</w:t>
      </w:r>
      <w:r w:rsidR="00F177EE">
        <w:t>ažādu datu avotu un indikatoru savietojamība kompleksas analīzes vajadzībām.</w:t>
      </w:r>
    </w:p>
    <w:p w:rsidR="00F177EE" w:rsidRDefault="00F177EE" w:rsidP="004C2E87">
      <w:pPr>
        <w:rPr>
          <w:highlight w:val="red"/>
        </w:rPr>
      </w:pPr>
    </w:p>
    <w:p w:rsidR="00F177EE" w:rsidRDefault="00F177EE" w:rsidP="004C2E87">
      <w:r>
        <w:t>Balstoties uz šiem kritērijiem, tik</w:t>
      </w:r>
      <w:r w:rsidR="005A1668">
        <w:t>a</w:t>
      </w:r>
      <w:r>
        <w:t xml:space="preserve"> veikta gan </w:t>
      </w:r>
      <w:r w:rsidR="005A1668">
        <w:t xml:space="preserve">datu </w:t>
      </w:r>
      <w:r>
        <w:t>avotu atlase, lai papildinātu nabadzības, nevienlīdzības un sociālās atstumtības rādītāju analīzi, it sevišķi grupās, kur EU-SILC dati ir nepietiekami, gan lai veiktu attiecīgo uzdevumu, t.i., izvērtētu visu datu, kas pieejami par attiecīgo jomu</w:t>
      </w:r>
      <w:r w:rsidR="005A1668">
        <w:t>,</w:t>
      </w:r>
      <w:r>
        <w:t xml:space="preserve"> kvalitātes analīzi.</w:t>
      </w:r>
    </w:p>
    <w:p w:rsidR="00F177EE" w:rsidRDefault="00F177EE" w:rsidP="004C2E87">
      <w:pPr>
        <w:rPr>
          <w:color w:val="FF0000"/>
        </w:rPr>
      </w:pPr>
    </w:p>
    <w:p w:rsidR="00F177EE" w:rsidRPr="00A8047E" w:rsidRDefault="00F177EE" w:rsidP="00B87378">
      <w:pPr>
        <w:rPr>
          <w:color w:val="000000"/>
        </w:rPr>
      </w:pPr>
      <w:bookmarkStart w:id="858" w:name="_Toc2761152"/>
      <w:bookmarkStart w:id="859" w:name="_Toc2848259"/>
      <w:bookmarkStart w:id="860" w:name="_Toc6219319"/>
      <w:bookmarkStart w:id="861" w:name="_Toc6220262"/>
      <w:r>
        <w:t>1.4.</w:t>
      </w:r>
      <w:r w:rsidRPr="006E4AC4">
        <w:t xml:space="preserve"> uzdevuma izpilde, t.i., identificēšana, kuri no datiem turpmāk būtu izmantojami nabadzības, sociālās atstumtības un/vai ienākumu nevienlīdzības samazināšanas izvērtēšanai un kāda papildu </w:t>
      </w:r>
      <w:r w:rsidRPr="00733F58">
        <w:t xml:space="preserve">datu vākšana šim nolūkam būtu nepieciešama, </w:t>
      </w:r>
      <w:r w:rsidR="005A1668" w:rsidRPr="00733F58">
        <w:t>ir</w:t>
      </w:r>
      <w:r w:rsidRPr="00733F58">
        <w:t xml:space="preserve"> balstīt</w:t>
      </w:r>
      <w:r w:rsidR="005A1668" w:rsidRPr="00733F58">
        <w:t>a</w:t>
      </w:r>
      <w:r w:rsidRPr="00733F58">
        <w:t xml:space="preserve"> uz iepriekš veikto analīzi.</w:t>
      </w:r>
      <w:bookmarkEnd w:id="858"/>
      <w:bookmarkEnd w:id="859"/>
      <w:bookmarkEnd w:id="860"/>
      <w:bookmarkEnd w:id="861"/>
    </w:p>
    <w:p w:rsidR="00F177EE" w:rsidRPr="007D6307" w:rsidRDefault="00F177EE" w:rsidP="00C33A64">
      <w:pPr>
        <w:pStyle w:val="virsrakstslvl4"/>
      </w:pPr>
      <w:bookmarkStart w:id="862" w:name="_Toc528761666"/>
      <w:bookmarkStart w:id="863" w:name="_Toc528762829"/>
      <w:bookmarkStart w:id="864" w:name="_Toc528768887"/>
      <w:bookmarkStart w:id="865" w:name="_Toc528847614"/>
      <w:bookmarkStart w:id="866" w:name="_Toc528930598"/>
      <w:bookmarkStart w:id="867" w:name="_Toc529170546"/>
      <w:bookmarkStart w:id="868" w:name="_Toc529176269"/>
      <w:bookmarkStart w:id="869" w:name="_Toc529180097"/>
      <w:bookmarkStart w:id="870" w:name="_Toc529180342"/>
      <w:bookmarkStart w:id="871" w:name="_Toc531694117"/>
      <w:bookmarkStart w:id="872" w:name="_Toc531856222"/>
      <w:bookmarkStart w:id="873" w:name="_Toc531860011"/>
      <w:bookmarkStart w:id="874" w:name="_Toc535738797"/>
      <w:bookmarkStart w:id="875" w:name="_Toc535741795"/>
      <w:bookmarkStart w:id="876" w:name="_Toc535742148"/>
      <w:bookmarkStart w:id="877" w:name="_Toc535916131"/>
      <w:bookmarkStart w:id="878" w:name="_Toc535922783"/>
      <w:bookmarkStart w:id="879" w:name="_Toc535935086"/>
      <w:bookmarkStart w:id="880" w:name="_Toc788699"/>
      <w:bookmarkStart w:id="881" w:name="_Toc868878"/>
      <w:bookmarkStart w:id="882" w:name="_Toc2761153"/>
      <w:bookmarkStart w:id="883" w:name="_Toc2848260"/>
      <w:bookmarkStart w:id="884" w:name="_Toc6219320"/>
      <w:bookmarkStart w:id="885" w:name="_Toc6220263"/>
      <w:bookmarkStart w:id="886" w:name="_Toc6841691"/>
      <w:r w:rsidRPr="007D6307">
        <w:t xml:space="preserve">Ekspertu </w:t>
      </w:r>
      <w:r w:rsidRPr="00B87378">
        <w:t>intervijas</w:t>
      </w:r>
      <w:r w:rsidRPr="007D6307">
        <w:t xml:space="preserve"> par sociālās atstumtības un nabadzības mazināšanas jautājumiem</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rsidR="00F177EE" w:rsidRPr="007432E7" w:rsidRDefault="00F177EE" w:rsidP="00E10DA4">
      <w:pPr>
        <w:pStyle w:val="under"/>
      </w:pPr>
      <w:bookmarkStart w:id="887" w:name="_Toc2761154"/>
      <w:bookmarkStart w:id="888" w:name="_Toc2848261"/>
      <w:bookmarkStart w:id="889" w:name="_Toc6219321"/>
      <w:bookmarkStart w:id="890" w:name="_Toc6220264"/>
      <w:bookmarkStart w:id="891" w:name="_Toc6841692"/>
      <w:r w:rsidRPr="007432E7">
        <w:t>Uzdevumi:</w:t>
      </w:r>
      <w:bookmarkEnd w:id="887"/>
      <w:bookmarkEnd w:id="888"/>
      <w:bookmarkEnd w:id="889"/>
      <w:bookmarkEnd w:id="890"/>
      <w:bookmarkEnd w:id="891"/>
    </w:p>
    <w:p w:rsidR="00F177EE" w:rsidRPr="00C45309" w:rsidRDefault="00F177EE" w:rsidP="00496284">
      <w:pPr>
        <w:pStyle w:val="ListParagraph"/>
        <w:suppressAutoHyphens/>
        <w:autoSpaceDE w:val="0"/>
        <w:spacing w:line="276" w:lineRule="auto"/>
        <w:jc w:val="both"/>
        <w:rPr>
          <w:color w:val="000000"/>
        </w:rPr>
      </w:pPr>
      <w:r w:rsidRPr="003D3671">
        <w:rPr>
          <w:color w:val="000000"/>
        </w:rPr>
        <w:t xml:space="preserve">1.1.  </w:t>
      </w:r>
      <w:r w:rsidRPr="003D3671">
        <w:t>Identificēt un izvērtēt izmaiņas spēkā stājušos tiesību aktos 2015. un 2016. gadā, kuras vērstas uz nabadzības, sociālās atstumtības un/vai ienākumu nevienlīdzības samazināšanu, palielinot iedzīvotāju rīcībā esošos tiešos un/vai netiešos ienākumus</w:t>
      </w:r>
      <w:r w:rsidR="00E426D6">
        <w:t>.</w:t>
      </w:r>
    </w:p>
    <w:p w:rsidR="00F177EE" w:rsidRPr="00C45309" w:rsidRDefault="00F177EE" w:rsidP="00496284">
      <w:pPr>
        <w:pStyle w:val="ListParagraph"/>
        <w:suppressAutoHyphens/>
        <w:autoSpaceDE w:val="0"/>
        <w:spacing w:line="276" w:lineRule="auto"/>
        <w:jc w:val="both"/>
        <w:rPr>
          <w:color w:val="000000"/>
        </w:rPr>
      </w:pPr>
      <w:r w:rsidRPr="00C45309">
        <w:t>1.6. Sagatavot rekomendācijas par nepieciešamajiem uzlabojumiem rīcībpolitikā (t.sk. normatīvo aktu pilnveidi) nabadzības un sociālās atstumtības mazināšanai</w:t>
      </w:r>
      <w:r w:rsidR="00E426D6">
        <w:t>.</w:t>
      </w:r>
    </w:p>
    <w:p w:rsidR="00F177EE" w:rsidRDefault="00F177EE" w:rsidP="00F177EE"/>
    <w:p w:rsidR="00F177EE" w:rsidRDefault="00F177EE" w:rsidP="004C2E87">
      <w:pPr>
        <w:rPr>
          <w:rFonts w:eastAsia="Times New Roman"/>
        </w:rPr>
      </w:pPr>
      <w:r w:rsidRPr="00C45309">
        <w:t xml:space="preserve">Ekspertu interviju mērķis </w:t>
      </w:r>
      <w:r>
        <w:t xml:space="preserve">šo </w:t>
      </w:r>
      <w:r w:rsidRPr="00C45309">
        <w:t xml:space="preserve">uzdevuma izpildē </w:t>
      </w:r>
      <w:r w:rsidR="00E426D6">
        <w:t>bija</w:t>
      </w:r>
      <w:r w:rsidRPr="00C45309">
        <w:t xml:space="preserve"> iegūt papildu kvalitatīvos datus padziļinātam intervences izvērtējumam nabadzības un sociālās atstumtības jomā. Tas nozīmē, ka </w:t>
      </w:r>
      <w:r>
        <w:t xml:space="preserve">kopumā </w:t>
      </w:r>
      <w:r w:rsidRPr="00C45309">
        <w:t xml:space="preserve">plānoto 20 ekspertu interviju ietvaros </w:t>
      </w:r>
      <w:r w:rsidR="00E426D6">
        <w:t>tika</w:t>
      </w:r>
      <w:r w:rsidRPr="00C45309">
        <w:t xml:space="preserve"> </w:t>
      </w:r>
      <w:r w:rsidRPr="00492FE9">
        <w:t xml:space="preserve">intervēti </w:t>
      </w:r>
      <w:r w:rsidR="00492FE9" w:rsidRPr="00492FE9">
        <w:t>9</w:t>
      </w:r>
      <w:r w:rsidRPr="00492FE9">
        <w:t xml:space="preserve"> eksperti, kuri</w:t>
      </w:r>
      <w:r>
        <w:t xml:space="preserve"> ir specializējušies tieši šajā jomā</w:t>
      </w:r>
      <w:r w:rsidRPr="00C45309">
        <w:t>.</w:t>
      </w:r>
      <w:r>
        <w:t xml:space="preserve"> </w:t>
      </w:r>
      <w:r w:rsidRPr="00C45309">
        <w:t>Sekojot teorijā balstītās pieejas pielietojumam intervences ietekmes izvērtējumā, šie dati papildin</w:t>
      </w:r>
      <w:r w:rsidR="00E426D6">
        <w:t>a</w:t>
      </w:r>
      <w:r w:rsidRPr="00C45309">
        <w:t xml:space="preserve"> dokumentu analīzes</w:t>
      </w:r>
      <w:r>
        <w:t xml:space="preserve"> rezultātus, ļaujot identificēt tās izmaiņas tiesību aktos, kuras dokumentu analīze neuzrād</w:t>
      </w:r>
      <w:r w:rsidR="00E426D6">
        <w:t>a</w:t>
      </w:r>
      <w:r>
        <w:t xml:space="preserve">, </w:t>
      </w:r>
      <w:r w:rsidR="00E426D6">
        <w:t>ļauj</w:t>
      </w:r>
      <w:r>
        <w:t xml:space="preserve"> skaidrot plašāk šo izmaiņu iemeslus. Tāpat ekspertu intervijas </w:t>
      </w:r>
      <w:r w:rsidR="00E426D6">
        <w:t>ir kalpojis kā</w:t>
      </w:r>
      <w:r>
        <w:t xml:space="preserve"> papildu datu avots </w:t>
      </w:r>
      <w:r w:rsidRPr="00C45309">
        <w:t>stat</w:t>
      </w:r>
      <w:r>
        <w:t>istikas datu analīzes rezultātu interpretācijai</w:t>
      </w:r>
      <w:r w:rsidRPr="00C45309">
        <w:t xml:space="preserve">, </w:t>
      </w:r>
      <w:r>
        <w:t xml:space="preserve">ekspertu viedoklis un pieredze par pieejamajiem datiem, to izmantošanas kompetenci un pielietojuma iespējām </w:t>
      </w:r>
      <w:r w:rsidR="00E426D6">
        <w:t>sniedz</w:t>
      </w:r>
      <w:r w:rsidRPr="00C45309">
        <w:t xml:space="preserve"> dziļāku izpratni par </w:t>
      </w:r>
      <w:r>
        <w:t xml:space="preserve">nepieciešamajiem datiem un to kvalitāti no lietotāju perspektīvas. </w:t>
      </w:r>
      <w:r w:rsidRPr="00275CE2">
        <w:rPr>
          <w:rFonts w:eastAsia="Times New Roman"/>
        </w:rPr>
        <w:t xml:space="preserve">Ekspertu interviju vadlīnijas, kā arī ekspertu </w:t>
      </w:r>
      <w:r>
        <w:rPr>
          <w:rFonts w:eastAsia="Times New Roman"/>
        </w:rPr>
        <w:t>interviju dalībnieku</w:t>
      </w:r>
      <w:r w:rsidRPr="00275CE2">
        <w:rPr>
          <w:rFonts w:eastAsia="Times New Roman"/>
        </w:rPr>
        <w:t xml:space="preserve"> sarakstu skat. </w:t>
      </w:r>
      <w:r w:rsidR="00492FE9">
        <w:rPr>
          <w:rFonts w:eastAsia="Times New Roman"/>
        </w:rPr>
        <w:t>2</w:t>
      </w:r>
      <w:r w:rsidRPr="00275CE2">
        <w:rPr>
          <w:rFonts w:eastAsia="Times New Roman"/>
        </w:rPr>
        <w:t>., 3. pielikumos.</w:t>
      </w:r>
    </w:p>
    <w:p w:rsidR="00F177EE" w:rsidRPr="00B87378" w:rsidRDefault="00F177EE" w:rsidP="00E10DA4">
      <w:pPr>
        <w:pStyle w:val="virsrakstslvl4"/>
      </w:pPr>
      <w:bookmarkStart w:id="892" w:name="_Toc528761667"/>
      <w:bookmarkStart w:id="893" w:name="_Toc528762830"/>
      <w:bookmarkStart w:id="894" w:name="_Toc528768888"/>
      <w:bookmarkStart w:id="895" w:name="_Toc528847615"/>
      <w:bookmarkStart w:id="896" w:name="_Toc528930599"/>
      <w:bookmarkStart w:id="897" w:name="_Toc529170547"/>
      <w:bookmarkStart w:id="898" w:name="_Toc529176270"/>
      <w:bookmarkStart w:id="899" w:name="_Toc529180098"/>
      <w:bookmarkStart w:id="900" w:name="_Toc529180343"/>
      <w:bookmarkStart w:id="901" w:name="_Toc531694118"/>
      <w:bookmarkStart w:id="902" w:name="_Toc531856223"/>
      <w:bookmarkStart w:id="903" w:name="_Toc531860012"/>
      <w:bookmarkStart w:id="904" w:name="_Toc535738798"/>
      <w:bookmarkStart w:id="905" w:name="_Toc535741796"/>
      <w:bookmarkStart w:id="906" w:name="_Toc535742149"/>
      <w:bookmarkStart w:id="907" w:name="_Toc535916132"/>
      <w:bookmarkStart w:id="908" w:name="_Toc535922784"/>
      <w:bookmarkStart w:id="909" w:name="_Toc535935087"/>
      <w:bookmarkStart w:id="910" w:name="_Toc788700"/>
      <w:bookmarkStart w:id="911" w:name="_Toc868879"/>
      <w:bookmarkStart w:id="912" w:name="_Toc2761155"/>
      <w:bookmarkStart w:id="913" w:name="_Toc2848262"/>
      <w:bookmarkStart w:id="914" w:name="_Toc6219322"/>
      <w:bookmarkStart w:id="915" w:name="_Toc6220265"/>
      <w:bookmarkStart w:id="916" w:name="_Toc6841693"/>
      <w:r w:rsidRPr="00B87378">
        <w:t>Integrēta analīze</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r w:rsidRPr="00B87378">
        <w:t xml:space="preserve"> </w:t>
      </w:r>
    </w:p>
    <w:p w:rsidR="00F177EE" w:rsidRPr="00324B63" w:rsidRDefault="00F177EE" w:rsidP="00E10DA4">
      <w:pPr>
        <w:pStyle w:val="under"/>
      </w:pPr>
      <w:bookmarkStart w:id="917" w:name="_Toc2761156"/>
      <w:bookmarkStart w:id="918" w:name="_Toc2848263"/>
      <w:bookmarkStart w:id="919" w:name="_Toc6219323"/>
      <w:bookmarkStart w:id="920" w:name="_Toc6220266"/>
      <w:bookmarkStart w:id="921" w:name="_Toc6841694"/>
      <w:r w:rsidRPr="00324B63">
        <w:t>Uzdevumi:</w:t>
      </w:r>
      <w:bookmarkEnd w:id="917"/>
      <w:bookmarkEnd w:id="918"/>
      <w:bookmarkEnd w:id="919"/>
      <w:bookmarkEnd w:id="920"/>
      <w:bookmarkEnd w:id="921"/>
      <w:r w:rsidRPr="00324B63">
        <w:t xml:space="preserve"> </w:t>
      </w:r>
    </w:p>
    <w:p w:rsidR="00F177EE" w:rsidRPr="0078416F" w:rsidRDefault="00F177EE" w:rsidP="004C2E87">
      <w:pPr>
        <w:pStyle w:val="ListParagraph"/>
        <w:spacing w:line="276" w:lineRule="auto"/>
        <w:jc w:val="both"/>
      </w:pPr>
      <w:r w:rsidRPr="0078416F">
        <w:t xml:space="preserve">1.5. Sagatavot secinājumus par tiesību aktiem, kas stājušies spēkā 2015. un 2016. </w:t>
      </w:r>
      <w:r>
        <w:t>g</w:t>
      </w:r>
      <w:r w:rsidRPr="0078416F">
        <w:t>adā</w:t>
      </w:r>
      <w:r>
        <w:t>.</w:t>
      </w:r>
    </w:p>
    <w:p w:rsidR="00F177EE" w:rsidRPr="0078416F" w:rsidRDefault="00F177EE" w:rsidP="004C2E87">
      <w:pPr>
        <w:pStyle w:val="ListParagraph"/>
        <w:spacing w:line="276" w:lineRule="auto"/>
        <w:jc w:val="both"/>
      </w:pPr>
      <w:r w:rsidRPr="0078416F">
        <w:lastRenderedPageBreak/>
        <w:t>1.6. Sagatavot rekomendācijas par nepieciešamajiem uzlabojumiem rīcībpolitikā (t.sk. normatīvo aktu pilnveidi) nabadzības un sociālās atstumtības mazināšanai.</w:t>
      </w:r>
    </w:p>
    <w:p w:rsidR="00492FE9" w:rsidRDefault="00492FE9" w:rsidP="004C2E87"/>
    <w:p w:rsidR="00F177EE" w:rsidRDefault="00F177EE" w:rsidP="004C2E87">
      <w:r w:rsidRPr="000176CF">
        <w:t xml:space="preserve">Integrētā analīze paredz apkopot visu </w:t>
      </w:r>
      <w:r>
        <w:t xml:space="preserve">sociālās atstumtības un nabadzības mazināšanas </w:t>
      </w:r>
      <w:r w:rsidRPr="000176CF">
        <w:t xml:space="preserve">jomā veikto uzdevumu atziņas un secinājumus. </w:t>
      </w:r>
      <w:r>
        <w:t>B</w:t>
      </w:r>
      <w:r w:rsidRPr="000176CF">
        <w:t>alstoties uz dokumentu analīzes, statistikas datu analīzes</w:t>
      </w:r>
      <w:r>
        <w:t xml:space="preserve"> un</w:t>
      </w:r>
      <w:r w:rsidRPr="000176CF">
        <w:t xml:space="preserve"> eksp</w:t>
      </w:r>
      <w:r w:rsidR="00492FE9">
        <w:t>ertu interviju rezultātiem, tika</w:t>
      </w:r>
      <w:r>
        <w:t>, pirmkārt,</w:t>
      </w:r>
      <w:r w:rsidRPr="000176CF">
        <w:t xml:space="preserve"> sagatavot</w:t>
      </w:r>
      <w:r>
        <w:t xml:space="preserve">i secinājumi </w:t>
      </w:r>
      <w:r w:rsidRPr="0078416F">
        <w:t xml:space="preserve">par tiesību aktiem, kas stājušies spēkā 2015. un 2016. </w:t>
      </w:r>
      <w:r>
        <w:t>g</w:t>
      </w:r>
      <w:r w:rsidRPr="0078416F">
        <w:t>adā</w:t>
      </w:r>
      <w:r>
        <w:t>, pēc iespējas sniedzot atbildes uz šādiem jautājumiem:</w:t>
      </w:r>
    </w:p>
    <w:p w:rsidR="00F177EE" w:rsidRPr="0078416F" w:rsidRDefault="00F177EE" w:rsidP="005C07F3">
      <w:pPr>
        <w:pStyle w:val="ListParagraph"/>
        <w:numPr>
          <w:ilvl w:val="0"/>
          <w:numId w:val="4"/>
        </w:numPr>
        <w:suppressAutoHyphens/>
        <w:autoSpaceDE w:val="0"/>
        <w:spacing w:line="276" w:lineRule="auto"/>
        <w:ind w:left="318" w:hanging="34"/>
        <w:jc w:val="both"/>
      </w:pPr>
      <w:r w:rsidRPr="0078416F">
        <w:t>vai tiesību akti rada vai var radīt tiešu vai netiešu ietekmi uz nabadzības, sociālās atstumtības un / vai ienākumu nevienlīdzības situāciju;</w:t>
      </w:r>
    </w:p>
    <w:p w:rsidR="00F177EE" w:rsidRPr="0078416F" w:rsidRDefault="00F177EE" w:rsidP="005C07F3">
      <w:pPr>
        <w:pStyle w:val="ListParagraph"/>
        <w:numPr>
          <w:ilvl w:val="0"/>
          <w:numId w:val="4"/>
        </w:numPr>
        <w:suppressAutoHyphens/>
        <w:autoSpaceDE w:val="0"/>
        <w:spacing w:line="276" w:lineRule="auto"/>
        <w:ind w:left="318" w:hanging="34"/>
        <w:jc w:val="both"/>
      </w:pPr>
      <w:r w:rsidRPr="0078416F">
        <w:t xml:space="preserve">vai ieviestie tiesību akti kopumā ir sekmējuši nabadzības un sociālās atstumtības riskam pakļauto iedzīvotāju ienākumu palielināšanos 2015. gadā un 2016. </w:t>
      </w:r>
      <w:r>
        <w:t>g</w:t>
      </w:r>
      <w:r w:rsidRPr="0078416F">
        <w:t>adā</w:t>
      </w:r>
      <w:r>
        <w:t>.</w:t>
      </w:r>
    </w:p>
    <w:p w:rsidR="00150700" w:rsidRDefault="00150700" w:rsidP="004C2E87"/>
    <w:p w:rsidR="003733C9" w:rsidRDefault="00F177EE" w:rsidP="004C2E87">
      <w:r>
        <w:t>Otrkārt, tik</w:t>
      </w:r>
      <w:r w:rsidR="00492FE9">
        <w:t>a</w:t>
      </w:r>
      <w:r>
        <w:t xml:space="preserve"> sagatavotas </w:t>
      </w:r>
      <w:r w:rsidRPr="00BD5EFF">
        <w:t>rekomendācijas par nepieciešamajiem uzlabojumiem rīcībpolitikā (t.sk. normatīvo aktu pilnveidi) nabadzības un sociālās atstumtības mazināšanai</w:t>
      </w:r>
      <w:r>
        <w:t xml:space="preserve">. </w:t>
      </w:r>
      <w:bookmarkStart w:id="922" w:name="_Toc788701"/>
    </w:p>
    <w:p w:rsidR="00F177EE" w:rsidRPr="00B87378" w:rsidRDefault="00F177EE" w:rsidP="00E10DA4">
      <w:pPr>
        <w:pStyle w:val="virsrakstslvl2"/>
      </w:pPr>
      <w:bookmarkStart w:id="923" w:name="_Toc868880"/>
      <w:bookmarkStart w:id="924" w:name="_Toc2761157"/>
      <w:bookmarkStart w:id="925" w:name="_Toc2848264"/>
      <w:bookmarkStart w:id="926" w:name="_Toc6219324"/>
      <w:bookmarkStart w:id="927" w:name="_Toc6220267"/>
      <w:bookmarkStart w:id="928" w:name="_Toc6841695"/>
      <w:r w:rsidRPr="007432E7">
        <w:t>Nevienlīdzības</w:t>
      </w:r>
      <w:r w:rsidRPr="00B87378">
        <w:t xml:space="preserve"> veselības aprūpes jomā analīzes metodika</w:t>
      </w:r>
      <w:bookmarkEnd w:id="922"/>
      <w:bookmarkEnd w:id="923"/>
      <w:bookmarkEnd w:id="924"/>
      <w:bookmarkEnd w:id="925"/>
      <w:bookmarkEnd w:id="926"/>
      <w:bookmarkEnd w:id="927"/>
      <w:bookmarkEnd w:id="928"/>
    </w:p>
    <w:p w:rsidR="00F177EE" w:rsidRDefault="0057729E" w:rsidP="004C2E87">
      <w:pPr>
        <w:rPr>
          <w:color w:val="000000" w:themeColor="text1"/>
        </w:rPr>
      </w:pPr>
      <w:r>
        <w:rPr>
          <w:color w:val="000000" w:themeColor="text1"/>
        </w:rPr>
        <w:t>4.2</w:t>
      </w:r>
      <w:r w:rsidR="00F177EE">
        <w:rPr>
          <w:color w:val="000000" w:themeColor="text1"/>
        </w:rPr>
        <w:t xml:space="preserve">. tabulā ir apkopoti visi nevienlīdzības veselības aprūpes jomā </w:t>
      </w:r>
      <w:r w:rsidR="008D050E">
        <w:rPr>
          <w:color w:val="000000" w:themeColor="text1"/>
        </w:rPr>
        <w:t>veiktie</w:t>
      </w:r>
      <w:r w:rsidR="00F177EE">
        <w:rPr>
          <w:color w:val="000000" w:themeColor="text1"/>
        </w:rPr>
        <w:t xml:space="preserve"> uzdevumi, katram uzdevumam norādot tā izpildē pielieto</w:t>
      </w:r>
      <w:r w:rsidR="00492FE9">
        <w:rPr>
          <w:color w:val="000000" w:themeColor="text1"/>
        </w:rPr>
        <w:t>t</w:t>
      </w:r>
      <w:r w:rsidR="00F177EE">
        <w:rPr>
          <w:color w:val="000000" w:themeColor="text1"/>
        </w:rPr>
        <w:t xml:space="preserve">ās metodes un izmantojamos instrumentārijus. Nevienlīdzības veselības aprūpes jomā galvenās mērķa grupas </w:t>
      </w:r>
      <w:r w:rsidR="00492FE9">
        <w:rPr>
          <w:color w:val="000000" w:themeColor="text1"/>
        </w:rPr>
        <w:t>tika</w:t>
      </w:r>
      <w:r w:rsidR="00F177EE">
        <w:rPr>
          <w:color w:val="000000" w:themeColor="text1"/>
        </w:rPr>
        <w:t xml:space="preserve"> noteiktas šādas </w:t>
      </w:r>
      <w:r w:rsidR="00F177EE" w:rsidRPr="000F38D9">
        <w:rPr>
          <w:color w:val="000000" w:themeColor="text1"/>
        </w:rPr>
        <w:t>(saskaņā ar TS 3.7. punktu)</w:t>
      </w:r>
      <w:r w:rsidR="00F177EE">
        <w:rPr>
          <w:color w:val="000000" w:themeColor="text1"/>
        </w:rPr>
        <w:t>:</w:t>
      </w:r>
    </w:p>
    <w:p w:rsidR="00F177EE" w:rsidRPr="00CC0D3C" w:rsidRDefault="00F177EE" w:rsidP="004C2E87">
      <w:pPr>
        <w:numPr>
          <w:ilvl w:val="0"/>
          <w:numId w:val="1"/>
        </w:numPr>
        <w:suppressAutoHyphens/>
        <w:autoSpaceDE w:val="0"/>
        <w:rPr>
          <w:color w:val="000000"/>
        </w:rPr>
      </w:pPr>
      <w:r w:rsidRPr="00CC0D3C">
        <w:rPr>
          <w:color w:val="000000"/>
        </w:rPr>
        <w:t>pirmspensijas un pensijas vecuma cilvēki;</w:t>
      </w:r>
    </w:p>
    <w:p w:rsidR="00F177EE" w:rsidRPr="00CC0D3C" w:rsidRDefault="00F177EE" w:rsidP="004C2E87">
      <w:pPr>
        <w:numPr>
          <w:ilvl w:val="0"/>
          <w:numId w:val="1"/>
        </w:numPr>
        <w:suppressAutoHyphens/>
        <w:autoSpaceDE w:val="0"/>
        <w:rPr>
          <w:color w:val="000000"/>
        </w:rPr>
      </w:pPr>
      <w:r w:rsidRPr="00CC0D3C">
        <w:rPr>
          <w:color w:val="000000"/>
        </w:rPr>
        <w:t xml:space="preserve">ģimenes ar bērniem, īpaši daudzbērnu un viena </w:t>
      </w:r>
      <w:r w:rsidR="00BA1727">
        <w:t xml:space="preserve">vecāka mājsaimniecības </w:t>
      </w:r>
      <w:r w:rsidRPr="00CC0D3C">
        <w:rPr>
          <w:color w:val="000000"/>
        </w:rPr>
        <w:t>(t.sk. ģimenes ar bērniem, kuriem ir funkcionēšanas ierobežojumi vai invaliditāte);</w:t>
      </w:r>
    </w:p>
    <w:p w:rsidR="00F177EE" w:rsidRPr="00CC0D3C" w:rsidRDefault="00F177EE" w:rsidP="004C2E87">
      <w:pPr>
        <w:numPr>
          <w:ilvl w:val="0"/>
          <w:numId w:val="1"/>
        </w:numPr>
        <w:suppressAutoHyphens/>
        <w:autoSpaceDE w:val="0"/>
        <w:rPr>
          <w:color w:val="000000"/>
        </w:rPr>
      </w:pPr>
      <w:r w:rsidRPr="00CC0D3C">
        <w:rPr>
          <w:color w:val="000000"/>
        </w:rPr>
        <w:t>bezdarbnieki, īpaši ilgstošie bezdarbnieki;</w:t>
      </w:r>
    </w:p>
    <w:p w:rsidR="00F177EE" w:rsidRPr="00CC0D3C" w:rsidRDefault="00F177EE" w:rsidP="004C2E87">
      <w:pPr>
        <w:numPr>
          <w:ilvl w:val="0"/>
          <w:numId w:val="1"/>
        </w:numPr>
        <w:suppressAutoHyphens/>
        <w:autoSpaceDE w:val="0"/>
        <w:rPr>
          <w:color w:val="000000"/>
        </w:rPr>
      </w:pPr>
      <w:r w:rsidRPr="00CC0D3C">
        <w:rPr>
          <w:color w:val="000000"/>
        </w:rPr>
        <w:t>trūcīgās un maznodrošinātās personas;</w:t>
      </w:r>
    </w:p>
    <w:p w:rsidR="00F177EE" w:rsidRPr="00CC0D3C" w:rsidRDefault="00F177EE" w:rsidP="004C2E87">
      <w:pPr>
        <w:numPr>
          <w:ilvl w:val="0"/>
          <w:numId w:val="1"/>
        </w:numPr>
        <w:suppressAutoHyphens/>
        <w:autoSpaceDE w:val="0"/>
        <w:rPr>
          <w:color w:val="000000"/>
        </w:rPr>
      </w:pPr>
      <w:r w:rsidRPr="00CC0D3C">
        <w:rPr>
          <w:color w:val="000000"/>
        </w:rPr>
        <w:t>personas ar funkcionēšanas ierobežojumiem, tai skaitā personas ar invaliditāti (visas invaliditātes grupas un traucējumu veidi; bērni, darbspējas un virs darbspējas vecuma dzimumu griezumā);</w:t>
      </w:r>
    </w:p>
    <w:p w:rsidR="00F177EE" w:rsidRPr="00CC0D3C" w:rsidRDefault="00F177EE" w:rsidP="004C2E87">
      <w:pPr>
        <w:numPr>
          <w:ilvl w:val="0"/>
          <w:numId w:val="1"/>
        </w:numPr>
        <w:suppressAutoHyphens/>
        <w:autoSpaceDE w:val="0"/>
        <w:rPr>
          <w:color w:val="000000"/>
        </w:rPr>
      </w:pPr>
      <w:r w:rsidRPr="00CC0D3C">
        <w:rPr>
          <w:color w:val="000000"/>
        </w:rPr>
        <w:t>lauku teritorijās dzīvojošie</w:t>
      </w:r>
      <w:r w:rsidRPr="00CC0D3C">
        <w:rPr>
          <w:color w:val="000000"/>
          <w:vertAlign w:val="superscript"/>
        </w:rPr>
        <w:footnoteReference w:id="376"/>
      </w:r>
      <w:r w:rsidRPr="00CC0D3C">
        <w:rPr>
          <w:color w:val="000000"/>
        </w:rPr>
        <w:t>;</w:t>
      </w:r>
    </w:p>
    <w:p w:rsidR="00F177EE" w:rsidRPr="00CC0D3C" w:rsidRDefault="00F177EE" w:rsidP="004C2E87">
      <w:pPr>
        <w:numPr>
          <w:ilvl w:val="0"/>
          <w:numId w:val="1"/>
        </w:numPr>
        <w:suppressAutoHyphens/>
        <w:autoSpaceDE w:val="0"/>
        <w:rPr>
          <w:color w:val="000000"/>
        </w:rPr>
      </w:pPr>
      <w:r w:rsidRPr="00CC0D3C">
        <w:rPr>
          <w:color w:val="000000"/>
        </w:rPr>
        <w:t>vardarbībā cietušās personas, tai skaitā cilvēktirdzniecības upuri;</w:t>
      </w:r>
    </w:p>
    <w:p w:rsidR="00F177EE" w:rsidRPr="00CC0D3C" w:rsidRDefault="00F177EE" w:rsidP="004C2E87">
      <w:pPr>
        <w:numPr>
          <w:ilvl w:val="0"/>
          <w:numId w:val="1"/>
        </w:numPr>
        <w:suppressAutoHyphens/>
        <w:autoSpaceDE w:val="0"/>
        <w:rPr>
          <w:color w:val="000000"/>
        </w:rPr>
      </w:pPr>
      <w:r w:rsidRPr="00CC0D3C">
        <w:rPr>
          <w:color w:val="000000"/>
        </w:rPr>
        <w:t>bezpajumtnieki;</w:t>
      </w:r>
    </w:p>
    <w:p w:rsidR="00F177EE" w:rsidRPr="00CC0D3C" w:rsidRDefault="00F177EE" w:rsidP="004C2E87">
      <w:pPr>
        <w:numPr>
          <w:ilvl w:val="0"/>
          <w:numId w:val="1"/>
        </w:numPr>
        <w:suppressAutoHyphens/>
        <w:autoSpaceDE w:val="0"/>
        <w:rPr>
          <w:color w:val="000000"/>
        </w:rPr>
      </w:pPr>
      <w:r w:rsidRPr="00CC0D3C">
        <w:rPr>
          <w:color w:val="000000"/>
        </w:rPr>
        <w:t>no ieslodzījuma vietām atbrīvotās personas;</w:t>
      </w:r>
    </w:p>
    <w:p w:rsidR="00F177EE" w:rsidRPr="00CC0D3C" w:rsidRDefault="00F177EE" w:rsidP="004C2E87">
      <w:pPr>
        <w:numPr>
          <w:ilvl w:val="0"/>
          <w:numId w:val="1"/>
        </w:numPr>
        <w:suppressAutoHyphens/>
        <w:autoSpaceDE w:val="0"/>
        <w:rPr>
          <w:color w:val="000000"/>
        </w:rPr>
      </w:pPr>
      <w:r w:rsidRPr="00CC0D3C">
        <w:rPr>
          <w:color w:val="000000"/>
        </w:rPr>
        <w:t>romi;</w:t>
      </w:r>
    </w:p>
    <w:p w:rsidR="00F177EE" w:rsidRPr="00CC0D3C" w:rsidRDefault="00F177EE" w:rsidP="004C2E87">
      <w:pPr>
        <w:numPr>
          <w:ilvl w:val="0"/>
          <w:numId w:val="1"/>
        </w:numPr>
        <w:suppressAutoHyphens/>
        <w:autoSpaceDE w:val="0"/>
      </w:pPr>
      <w:r w:rsidRPr="00CC0D3C">
        <w:rPr>
          <w:color w:val="000000"/>
        </w:rPr>
        <w:t>patvēruma meklētāji, bēgļi un personas ar alternatīvo statusu.</w:t>
      </w:r>
    </w:p>
    <w:p w:rsidR="00F177EE" w:rsidRPr="00CB3FE1" w:rsidRDefault="0057729E" w:rsidP="00CB3FE1">
      <w:pPr>
        <w:pStyle w:val="Caption"/>
      </w:pPr>
      <w:r w:rsidRPr="00CB3FE1">
        <w:lastRenderedPageBreak/>
        <w:t>4.2</w:t>
      </w:r>
      <w:r w:rsidR="00F177EE" w:rsidRPr="00CB3FE1">
        <w:t>. tabula. Izvērtējuma uzdevumi un to īstenošanas metodikas kopsavilkums veselības aprūpes jomā</w:t>
      </w:r>
    </w:p>
    <w:tbl>
      <w:tblPr>
        <w:tblStyle w:val="TableGrid"/>
        <w:tblW w:w="0" w:type="auto"/>
        <w:tblLook w:val="04A0"/>
      </w:tblPr>
      <w:tblGrid>
        <w:gridCol w:w="675"/>
        <w:gridCol w:w="3803"/>
        <w:gridCol w:w="2259"/>
        <w:gridCol w:w="3171"/>
      </w:tblGrid>
      <w:tr w:rsidR="00F177EE" w:rsidRPr="00615C75" w:rsidTr="00A835E5">
        <w:tc>
          <w:tcPr>
            <w:tcW w:w="675" w:type="dxa"/>
            <w:shd w:val="clear" w:color="auto" w:fill="B8CCE4" w:themeFill="accent1" w:themeFillTint="66"/>
          </w:tcPr>
          <w:p w:rsidR="00F177EE" w:rsidRPr="00615C75" w:rsidRDefault="00F177EE" w:rsidP="00F177EE">
            <w:pPr>
              <w:spacing w:before="80" w:after="80"/>
              <w:jc w:val="center"/>
              <w:rPr>
                <w:b/>
                <w:color w:val="002060"/>
                <w:sz w:val="22"/>
                <w:szCs w:val="22"/>
              </w:rPr>
            </w:pPr>
            <w:r w:rsidRPr="00615C75">
              <w:rPr>
                <w:b/>
                <w:color w:val="002060"/>
                <w:sz w:val="22"/>
                <w:szCs w:val="22"/>
              </w:rPr>
              <w:t>Nr.</w:t>
            </w:r>
          </w:p>
        </w:tc>
        <w:tc>
          <w:tcPr>
            <w:tcW w:w="3803" w:type="dxa"/>
            <w:shd w:val="clear" w:color="auto" w:fill="B8CCE4" w:themeFill="accent1" w:themeFillTint="66"/>
          </w:tcPr>
          <w:p w:rsidR="00F177EE" w:rsidRPr="00615C75" w:rsidRDefault="00F177EE" w:rsidP="00F177EE">
            <w:pPr>
              <w:spacing w:before="80" w:after="80"/>
              <w:jc w:val="center"/>
              <w:rPr>
                <w:b/>
                <w:color w:val="002060"/>
                <w:sz w:val="22"/>
                <w:szCs w:val="22"/>
              </w:rPr>
            </w:pPr>
            <w:r w:rsidRPr="00615C75">
              <w:rPr>
                <w:b/>
                <w:color w:val="002060"/>
                <w:sz w:val="22"/>
                <w:szCs w:val="22"/>
              </w:rPr>
              <w:t>Uzdevums</w:t>
            </w:r>
          </w:p>
        </w:tc>
        <w:tc>
          <w:tcPr>
            <w:tcW w:w="2259" w:type="dxa"/>
            <w:shd w:val="clear" w:color="auto" w:fill="B8CCE4" w:themeFill="accent1" w:themeFillTint="66"/>
          </w:tcPr>
          <w:p w:rsidR="00F177EE" w:rsidRPr="00615C75" w:rsidRDefault="00F177EE" w:rsidP="00F177EE">
            <w:pPr>
              <w:spacing w:before="80" w:after="80"/>
              <w:jc w:val="center"/>
              <w:rPr>
                <w:b/>
                <w:color w:val="002060"/>
                <w:sz w:val="22"/>
                <w:szCs w:val="22"/>
              </w:rPr>
            </w:pPr>
            <w:r w:rsidRPr="00615C75">
              <w:rPr>
                <w:b/>
                <w:color w:val="002060"/>
                <w:sz w:val="22"/>
                <w:szCs w:val="22"/>
              </w:rPr>
              <w:t>Metodes</w:t>
            </w:r>
          </w:p>
        </w:tc>
        <w:tc>
          <w:tcPr>
            <w:tcW w:w="3171" w:type="dxa"/>
            <w:shd w:val="clear" w:color="auto" w:fill="B8CCE4" w:themeFill="accent1" w:themeFillTint="66"/>
          </w:tcPr>
          <w:p w:rsidR="00F177EE" w:rsidRPr="00615C75" w:rsidRDefault="00F177EE" w:rsidP="00F177EE">
            <w:pPr>
              <w:spacing w:before="80" w:after="80"/>
              <w:jc w:val="center"/>
              <w:rPr>
                <w:b/>
                <w:color w:val="002060"/>
                <w:sz w:val="22"/>
                <w:szCs w:val="22"/>
              </w:rPr>
            </w:pPr>
            <w:r w:rsidRPr="00615C75">
              <w:rPr>
                <w:b/>
                <w:color w:val="002060"/>
                <w:sz w:val="22"/>
                <w:szCs w:val="22"/>
              </w:rPr>
              <w:t xml:space="preserve">Instrumentāriji </w:t>
            </w:r>
          </w:p>
        </w:tc>
      </w:tr>
      <w:tr w:rsidR="00F177EE" w:rsidRPr="00343B1B" w:rsidTr="00F177EE">
        <w:trPr>
          <w:trHeight w:val="1331"/>
        </w:trPr>
        <w:tc>
          <w:tcPr>
            <w:tcW w:w="675" w:type="dxa"/>
            <w:shd w:val="clear" w:color="auto" w:fill="auto"/>
          </w:tcPr>
          <w:p w:rsidR="00F177EE" w:rsidRPr="00343B1B" w:rsidRDefault="00F177EE" w:rsidP="00F177EE">
            <w:pPr>
              <w:rPr>
                <w:color w:val="000000"/>
                <w:sz w:val="22"/>
                <w:szCs w:val="22"/>
              </w:rPr>
            </w:pPr>
            <w:r w:rsidRPr="00343B1B">
              <w:rPr>
                <w:color w:val="000000"/>
                <w:sz w:val="22"/>
                <w:szCs w:val="22"/>
              </w:rPr>
              <w:t>2.1.</w:t>
            </w:r>
          </w:p>
        </w:tc>
        <w:tc>
          <w:tcPr>
            <w:tcW w:w="3803" w:type="dxa"/>
            <w:shd w:val="clear" w:color="auto" w:fill="auto"/>
          </w:tcPr>
          <w:p w:rsidR="00F177EE" w:rsidRPr="00532BDF" w:rsidRDefault="00F177EE" w:rsidP="00F177EE">
            <w:pPr>
              <w:rPr>
                <w:sz w:val="22"/>
                <w:szCs w:val="22"/>
              </w:rPr>
            </w:pPr>
            <w:r w:rsidRPr="00532BDF">
              <w:rPr>
                <w:sz w:val="22"/>
                <w:szCs w:val="22"/>
              </w:rPr>
              <w:t>Raksturot Latvijas iedzīvotāju vispārējo veselības stāvokli, tai skaitā:</w:t>
            </w:r>
          </w:p>
          <w:p w:rsidR="00F177EE" w:rsidRPr="00532BDF" w:rsidRDefault="00F177EE" w:rsidP="005C07F3">
            <w:pPr>
              <w:pStyle w:val="ListParagraph"/>
              <w:numPr>
                <w:ilvl w:val="0"/>
                <w:numId w:val="21"/>
              </w:numPr>
              <w:spacing w:line="276" w:lineRule="auto"/>
              <w:ind w:left="318" w:hanging="284"/>
              <w:rPr>
                <w:sz w:val="22"/>
                <w:szCs w:val="22"/>
              </w:rPr>
            </w:pPr>
            <w:r w:rsidRPr="00532BDF">
              <w:rPr>
                <w:sz w:val="22"/>
                <w:szCs w:val="22"/>
              </w:rPr>
              <w:t>sniegt analīzi par iedzīvotāju veselības stāvokļa pašnovērtējumu (~ 3-5 lpp.) (TS 3.7.1.1.1. punkts)</w:t>
            </w:r>
          </w:p>
          <w:p w:rsidR="00F177EE" w:rsidRPr="00532BDF" w:rsidRDefault="00F177EE" w:rsidP="005C07F3">
            <w:pPr>
              <w:pStyle w:val="ListParagraph"/>
              <w:numPr>
                <w:ilvl w:val="0"/>
                <w:numId w:val="21"/>
              </w:numPr>
              <w:spacing w:line="276" w:lineRule="auto"/>
              <w:ind w:left="318" w:hanging="284"/>
              <w:rPr>
                <w:sz w:val="22"/>
                <w:szCs w:val="22"/>
              </w:rPr>
            </w:pPr>
            <w:r w:rsidRPr="00532BDF">
              <w:rPr>
                <w:sz w:val="22"/>
                <w:szCs w:val="22"/>
              </w:rPr>
              <w:t>sniegt īsu pārskatu par Latvijas veselības aprūpes sistēmas galvenajām problēmām saistībā ar veselības aprūpes pakalpojumu pieejamību, efektivitāti un lietderību, pamatojoties uz Pasaules Bankas pētījumu</w:t>
            </w:r>
            <w:r w:rsidRPr="00532BDF">
              <w:rPr>
                <w:sz w:val="22"/>
                <w:szCs w:val="22"/>
                <w:vertAlign w:val="superscript"/>
              </w:rPr>
              <w:footnoteReference w:id="377"/>
            </w:r>
            <w:r w:rsidRPr="00532BDF">
              <w:rPr>
                <w:sz w:val="22"/>
                <w:szCs w:val="22"/>
              </w:rPr>
              <w:t xml:space="preserve"> (~ 1-2 lpp.) (TS 3.7.1.1.2. punkts)</w:t>
            </w:r>
          </w:p>
          <w:p w:rsidR="00F177EE" w:rsidRPr="00492FE9" w:rsidRDefault="00F177EE" w:rsidP="005C07F3">
            <w:pPr>
              <w:pStyle w:val="ListParagraph"/>
              <w:numPr>
                <w:ilvl w:val="0"/>
                <w:numId w:val="21"/>
              </w:numPr>
              <w:spacing w:line="276" w:lineRule="auto"/>
              <w:ind w:left="318" w:hanging="284"/>
              <w:rPr>
                <w:sz w:val="22"/>
                <w:szCs w:val="22"/>
              </w:rPr>
            </w:pPr>
            <w:r w:rsidRPr="00532BDF">
              <w:rPr>
                <w:sz w:val="22"/>
                <w:szCs w:val="22"/>
              </w:rPr>
              <w:t>identificēt galvenos normatīvos aktus, kas regulē veselības aprūpes sistēmas organizēšanas un finansēšanas kārtību (~ 1 lpp.) (TS 3.7.1.1.3. punkts)</w:t>
            </w:r>
          </w:p>
        </w:tc>
        <w:tc>
          <w:tcPr>
            <w:tcW w:w="2259" w:type="dxa"/>
            <w:shd w:val="clear" w:color="auto" w:fill="auto"/>
          </w:tcPr>
          <w:p w:rsidR="00F177EE" w:rsidRPr="00275358" w:rsidRDefault="00F177EE" w:rsidP="005C07F3">
            <w:pPr>
              <w:pStyle w:val="ListParagraph"/>
              <w:numPr>
                <w:ilvl w:val="0"/>
                <w:numId w:val="15"/>
              </w:numPr>
              <w:spacing w:line="276" w:lineRule="auto"/>
              <w:ind w:left="312" w:hanging="312"/>
              <w:rPr>
                <w:sz w:val="22"/>
                <w:szCs w:val="22"/>
              </w:rPr>
            </w:pPr>
            <w:r w:rsidRPr="00275358">
              <w:rPr>
                <w:sz w:val="22"/>
                <w:szCs w:val="22"/>
              </w:rPr>
              <w:t>Dokumentu analīze</w:t>
            </w:r>
          </w:p>
          <w:p w:rsidR="00F177EE" w:rsidRPr="00275358" w:rsidRDefault="00F177EE" w:rsidP="005C07F3">
            <w:pPr>
              <w:pStyle w:val="ListParagraph"/>
              <w:numPr>
                <w:ilvl w:val="0"/>
                <w:numId w:val="15"/>
              </w:numPr>
              <w:spacing w:line="276" w:lineRule="auto"/>
              <w:ind w:left="312" w:hanging="312"/>
              <w:rPr>
                <w:sz w:val="22"/>
                <w:szCs w:val="22"/>
              </w:rPr>
            </w:pPr>
            <w:r w:rsidRPr="00275358">
              <w:rPr>
                <w:sz w:val="22"/>
                <w:szCs w:val="22"/>
              </w:rPr>
              <w:t>Ekspertu intervijas</w:t>
            </w:r>
          </w:p>
          <w:p w:rsidR="00F177EE" w:rsidRPr="00275358" w:rsidRDefault="00F177EE" w:rsidP="00F177EE">
            <w:pPr>
              <w:pStyle w:val="ListParagraph"/>
              <w:spacing w:line="276" w:lineRule="auto"/>
              <w:ind w:left="312"/>
              <w:rPr>
                <w:sz w:val="22"/>
                <w:szCs w:val="22"/>
              </w:rPr>
            </w:pPr>
          </w:p>
          <w:p w:rsidR="00F177EE" w:rsidRDefault="00F177EE" w:rsidP="00F177EE">
            <w:pPr>
              <w:jc w:val="left"/>
              <w:rPr>
                <w:sz w:val="22"/>
                <w:szCs w:val="22"/>
              </w:rPr>
            </w:pPr>
          </w:p>
          <w:p w:rsidR="00F177EE" w:rsidRPr="00D13076" w:rsidRDefault="00F177EE" w:rsidP="00F177EE">
            <w:pPr>
              <w:jc w:val="left"/>
              <w:rPr>
                <w:color w:val="FF0000"/>
                <w:sz w:val="22"/>
                <w:szCs w:val="22"/>
              </w:rPr>
            </w:pPr>
          </w:p>
        </w:tc>
        <w:tc>
          <w:tcPr>
            <w:tcW w:w="3171" w:type="dxa"/>
            <w:shd w:val="clear" w:color="auto" w:fill="auto"/>
          </w:tcPr>
          <w:p w:rsidR="00F177EE" w:rsidRDefault="00F177EE" w:rsidP="00F177EE">
            <w:pPr>
              <w:jc w:val="left"/>
              <w:rPr>
                <w:sz w:val="22"/>
                <w:szCs w:val="22"/>
              </w:rPr>
            </w:pPr>
            <w:r>
              <w:rPr>
                <w:sz w:val="22"/>
                <w:szCs w:val="22"/>
              </w:rPr>
              <w:t>1.2. Normatīvo aktu</w:t>
            </w:r>
            <w:r w:rsidRPr="00343B1B">
              <w:rPr>
                <w:sz w:val="22"/>
                <w:szCs w:val="22"/>
              </w:rPr>
              <w:t xml:space="preserve"> </w:t>
            </w:r>
            <w:r>
              <w:rPr>
                <w:sz w:val="22"/>
                <w:szCs w:val="22"/>
              </w:rPr>
              <w:t xml:space="preserve">un politikas plānošanas dokumentu </w:t>
            </w:r>
            <w:r w:rsidRPr="00343B1B">
              <w:rPr>
                <w:sz w:val="22"/>
                <w:szCs w:val="22"/>
              </w:rPr>
              <w:t>atlases un analīzes kritēriji veselības aprūpes jomā</w:t>
            </w:r>
            <w:r>
              <w:rPr>
                <w:sz w:val="22"/>
                <w:szCs w:val="22"/>
              </w:rPr>
              <w:t xml:space="preserve"> </w:t>
            </w:r>
          </w:p>
          <w:p w:rsidR="00F177EE" w:rsidRDefault="00F177EE" w:rsidP="00F177EE">
            <w:pPr>
              <w:jc w:val="left"/>
              <w:rPr>
                <w:sz w:val="22"/>
                <w:szCs w:val="22"/>
              </w:rPr>
            </w:pPr>
          </w:p>
          <w:p w:rsidR="00F177EE" w:rsidRDefault="00F177EE" w:rsidP="00F177EE">
            <w:pPr>
              <w:jc w:val="left"/>
              <w:rPr>
                <w:sz w:val="22"/>
                <w:szCs w:val="22"/>
              </w:rPr>
            </w:pPr>
            <w:r>
              <w:rPr>
                <w:sz w:val="22"/>
                <w:szCs w:val="22"/>
              </w:rPr>
              <w:t>3.1. Ekspertu interviju vadlīnijas</w:t>
            </w:r>
          </w:p>
          <w:p w:rsidR="00F177EE" w:rsidRDefault="00F177EE" w:rsidP="00F177EE">
            <w:pPr>
              <w:jc w:val="left"/>
              <w:rPr>
                <w:sz w:val="22"/>
                <w:szCs w:val="22"/>
              </w:rPr>
            </w:pPr>
            <w:r>
              <w:rPr>
                <w:sz w:val="22"/>
                <w:szCs w:val="22"/>
              </w:rPr>
              <w:t>3.3. Ekspertu interviju un FGD dalībnieku saraksti</w:t>
            </w:r>
          </w:p>
          <w:p w:rsidR="00F177EE" w:rsidRPr="00343B1B" w:rsidRDefault="00F177EE" w:rsidP="00F177EE">
            <w:pPr>
              <w:jc w:val="left"/>
              <w:rPr>
                <w:sz w:val="22"/>
                <w:szCs w:val="22"/>
              </w:rPr>
            </w:pPr>
          </w:p>
        </w:tc>
      </w:tr>
      <w:tr w:rsidR="00F177EE" w:rsidRPr="00343B1B" w:rsidTr="00F177EE">
        <w:tc>
          <w:tcPr>
            <w:tcW w:w="675" w:type="dxa"/>
            <w:shd w:val="clear" w:color="auto" w:fill="auto"/>
          </w:tcPr>
          <w:p w:rsidR="00F177EE" w:rsidRPr="00343B1B" w:rsidRDefault="00F177EE" w:rsidP="00F177EE">
            <w:pPr>
              <w:rPr>
                <w:color w:val="000000"/>
                <w:sz w:val="22"/>
                <w:szCs w:val="22"/>
              </w:rPr>
            </w:pPr>
            <w:r w:rsidRPr="00343B1B">
              <w:rPr>
                <w:color w:val="000000"/>
                <w:sz w:val="22"/>
                <w:szCs w:val="22"/>
              </w:rPr>
              <w:t>2</w:t>
            </w:r>
            <w:r>
              <w:rPr>
                <w:color w:val="000000"/>
                <w:sz w:val="22"/>
                <w:szCs w:val="22"/>
              </w:rPr>
              <w:t>.2</w:t>
            </w:r>
            <w:r w:rsidRPr="00343B1B">
              <w:rPr>
                <w:color w:val="000000"/>
                <w:sz w:val="22"/>
                <w:szCs w:val="22"/>
              </w:rPr>
              <w:t>.</w:t>
            </w:r>
          </w:p>
        </w:tc>
        <w:tc>
          <w:tcPr>
            <w:tcW w:w="3803" w:type="dxa"/>
            <w:shd w:val="clear" w:color="auto" w:fill="auto"/>
          </w:tcPr>
          <w:p w:rsidR="00F177EE" w:rsidRDefault="00F177EE" w:rsidP="00F177EE">
            <w:pPr>
              <w:rPr>
                <w:color w:val="000000"/>
                <w:sz w:val="22"/>
                <w:szCs w:val="22"/>
              </w:rPr>
            </w:pPr>
            <w:r>
              <w:rPr>
                <w:color w:val="000000"/>
                <w:sz w:val="22"/>
                <w:szCs w:val="22"/>
              </w:rPr>
              <w:t xml:space="preserve">Veikt politikas plānošanas dokumentu analīzi veselības aprūpes jomā, t.sk.: </w:t>
            </w:r>
          </w:p>
          <w:p w:rsidR="00F177EE" w:rsidRDefault="00F177EE" w:rsidP="005C07F3">
            <w:pPr>
              <w:pStyle w:val="ListParagraph"/>
              <w:numPr>
                <w:ilvl w:val="0"/>
                <w:numId w:val="22"/>
              </w:numPr>
              <w:spacing w:line="276" w:lineRule="auto"/>
              <w:ind w:left="318" w:hanging="284"/>
              <w:rPr>
                <w:color w:val="000000"/>
                <w:sz w:val="22"/>
                <w:szCs w:val="22"/>
              </w:rPr>
            </w:pPr>
            <w:r w:rsidRPr="00532BDF">
              <w:rPr>
                <w:color w:val="000000"/>
                <w:sz w:val="22"/>
                <w:szCs w:val="22"/>
              </w:rPr>
              <w:t>definēt politikas plānošanas dokumentos identificētos ierobežojumus un trūkumus saistībā ar veselības aprūpes pieejamību mērķa grupām (TS 3.7.1.2.2. punkts)</w:t>
            </w:r>
          </w:p>
          <w:p w:rsidR="00F177EE" w:rsidRPr="00077BE9" w:rsidRDefault="00F177EE" w:rsidP="005C07F3">
            <w:pPr>
              <w:pStyle w:val="ListParagraph"/>
              <w:numPr>
                <w:ilvl w:val="0"/>
                <w:numId w:val="22"/>
              </w:numPr>
              <w:spacing w:line="276" w:lineRule="auto"/>
              <w:ind w:left="318" w:hanging="284"/>
              <w:rPr>
                <w:color w:val="000000"/>
                <w:sz w:val="22"/>
                <w:szCs w:val="22"/>
              </w:rPr>
            </w:pPr>
            <w:r>
              <w:rPr>
                <w:color w:val="000000"/>
                <w:sz w:val="22"/>
                <w:szCs w:val="22"/>
              </w:rPr>
              <w:t>i</w:t>
            </w:r>
            <w:r w:rsidRPr="00343B1B">
              <w:rPr>
                <w:color w:val="000000"/>
                <w:sz w:val="22"/>
                <w:szCs w:val="22"/>
              </w:rPr>
              <w:t>dentificēt politikas plānošanas dokumentos plānotos pasākumus konstatēto problēmu mazināšanai un/vai novēršanai (TS 3.7.1.</w:t>
            </w:r>
            <w:r>
              <w:rPr>
                <w:color w:val="000000"/>
                <w:sz w:val="22"/>
                <w:szCs w:val="22"/>
              </w:rPr>
              <w:t>2</w:t>
            </w:r>
            <w:r w:rsidRPr="00343B1B">
              <w:rPr>
                <w:color w:val="000000"/>
                <w:sz w:val="22"/>
                <w:szCs w:val="22"/>
              </w:rPr>
              <w:t>.</w:t>
            </w:r>
            <w:r>
              <w:rPr>
                <w:color w:val="000000"/>
                <w:sz w:val="22"/>
                <w:szCs w:val="22"/>
              </w:rPr>
              <w:t>3</w:t>
            </w:r>
            <w:r w:rsidRPr="00343B1B">
              <w:rPr>
                <w:color w:val="000000"/>
                <w:sz w:val="22"/>
                <w:szCs w:val="22"/>
              </w:rPr>
              <w:t>. punkts)</w:t>
            </w:r>
          </w:p>
        </w:tc>
        <w:tc>
          <w:tcPr>
            <w:tcW w:w="2259" w:type="dxa"/>
            <w:shd w:val="clear" w:color="auto" w:fill="auto"/>
          </w:tcPr>
          <w:p w:rsidR="00F177EE" w:rsidRPr="00532BDF" w:rsidRDefault="00F177EE" w:rsidP="005C07F3">
            <w:pPr>
              <w:pStyle w:val="ListParagraph"/>
              <w:numPr>
                <w:ilvl w:val="0"/>
                <w:numId w:val="16"/>
              </w:numPr>
              <w:spacing w:line="276" w:lineRule="auto"/>
              <w:ind w:left="312" w:hanging="312"/>
              <w:rPr>
                <w:sz w:val="22"/>
                <w:szCs w:val="22"/>
              </w:rPr>
            </w:pPr>
            <w:r w:rsidRPr="00532BDF">
              <w:rPr>
                <w:sz w:val="22"/>
                <w:szCs w:val="22"/>
              </w:rPr>
              <w:t>Dokumentu analīze</w:t>
            </w:r>
          </w:p>
          <w:p w:rsidR="00F177EE" w:rsidRPr="00532BDF" w:rsidRDefault="00F177EE" w:rsidP="005C07F3">
            <w:pPr>
              <w:pStyle w:val="ListParagraph"/>
              <w:numPr>
                <w:ilvl w:val="0"/>
                <w:numId w:val="16"/>
              </w:numPr>
              <w:spacing w:line="276" w:lineRule="auto"/>
              <w:ind w:left="312" w:hanging="312"/>
              <w:rPr>
                <w:sz w:val="22"/>
                <w:szCs w:val="22"/>
              </w:rPr>
            </w:pPr>
            <w:r w:rsidRPr="00532BDF">
              <w:rPr>
                <w:sz w:val="22"/>
                <w:szCs w:val="22"/>
              </w:rPr>
              <w:t>Ekspertu intervijas</w:t>
            </w:r>
          </w:p>
          <w:p w:rsidR="00F177EE" w:rsidRPr="00532BDF" w:rsidRDefault="00F177EE" w:rsidP="00F177EE">
            <w:pPr>
              <w:pStyle w:val="ListParagraph"/>
              <w:spacing w:line="276" w:lineRule="auto"/>
              <w:ind w:left="312"/>
              <w:rPr>
                <w:sz w:val="22"/>
                <w:szCs w:val="22"/>
              </w:rPr>
            </w:pPr>
          </w:p>
        </w:tc>
        <w:tc>
          <w:tcPr>
            <w:tcW w:w="3171" w:type="dxa"/>
            <w:shd w:val="clear" w:color="auto" w:fill="auto"/>
          </w:tcPr>
          <w:p w:rsidR="00F177EE" w:rsidRDefault="00F177EE" w:rsidP="00F177EE">
            <w:pPr>
              <w:jc w:val="left"/>
              <w:rPr>
                <w:sz w:val="22"/>
                <w:szCs w:val="22"/>
              </w:rPr>
            </w:pPr>
            <w:r>
              <w:rPr>
                <w:sz w:val="22"/>
                <w:szCs w:val="22"/>
              </w:rPr>
              <w:t xml:space="preserve">1.2. </w:t>
            </w:r>
            <w:r w:rsidRPr="00343B1B">
              <w:rPr>
                <w:sz w:val="22"/>
                <w:szCs w:val="22"/>
              </w:rPr>
              <w:t>Normatīv</w:t>
            </w:r>
            <w:r>
              <w:rPr>
                <w:sz w:val="22"/>
                <w:szCs w:val="22"/>
              </w:rPr>
              <w:t>o</w:t>
            </w:r>
            <w:r w:rsidRPr="00343B1B">
              <w:rPr>
                <w:sz w:val="22"/>
                <w:szCs w:val="22"/>
              </w:rPr>
              <w:t xml:space="preserve"> </w:t>
            </w:r>
            <w:r>
              <w:rPr>
                <w:sz w:val="22"/>
                <w:szCs w:val="22"/>
              </w:rPr>
              <w:t>aktu</w:t>
            </w:r>
            <w:r w:rsidRPr="00343B1B">
              <w:rPr>
                <w:sz w:val="22"/>
                <w:szCs w:val="22"/>
              </w:rPr>
              <w:t xml:space="preserve"> </w:t>
            </w:r>
            <w:r>
              <w:rPr>
                <w:sz w:val="22"/>
                <w:szCs w:val="22"/>
              </w:rPr>
              <w:t xml:space="preserve">un politikas plānošanas dokumentu </w:t>
            </w:r>
            <w:r w:rsidRPr="00343B1B">
              <w:rPr>
                <w:sz w:val="22"/>
                <w:szCs w:val="22"/>
              </w:rPr>
              <w:t>atlases un analīzes kritēriji veselības aprūpes jomā</w:t>
            </w:r>
            <w:r>
              <w:rPr>
                <w:sz w:val="22"/>
                <w:szCs w:val="22"/>
              </w:rPr>
              <w:t xml:space="preserve"> </w:t>
            </w:r>
          </w:p>
          <w:p w:rsidR="00F177EE" w:rsidRDefault="00F177EE" w:rsidP="00F177EE">
            <w:pPr>
              <w:jc w:val="left"/>
              <w:rPr>
                <w:sz w:val="22"/>
                <w:szCs w:val="22"/>
              </w:rPr>
            </w:pPr>
          </w:p>
          <w:p w:rsidR="00F177EE" w:rsidRDefault="00F177EE" w:rsidP="00F177EE">
            <w:pPr>
              <w:jc w:val="left"/>
              <w:rPr>
                <w:sz w:val="22"/>
                <w:szCs w:val="22"/>
              </w:rPr>
            </w:pPr>
            <w:r>
              <w:rPr>
                <w:sz w:val="22"/>
                <w:szCs w:val="22"/>
              </w:rPr>
              <w:t>3.1. Ekspertu interviju vadlīnijas</w:t>
            </w:r>
          </w:p>
          <w:p w:rsidR="00F177EE" w:rsidRDefault="00F177EE" w:rsidP="00F177EE">
            <w:pPr>
              <w:jc w:val="left"/>
              <w:rPr>
                <w:sz w:val="22"/>
                <w:szCs w:val="22"/>
              </w:rPr>
            </w:pPr>
            <w:r>
              <w:rPr>
                <w:sz w:val="22"/>
                <w:szCs w:val="22"/>
              </w:rPr>
              <w:t>3.3. Ekspertu interviju un FGD dalībnieku saraksti</w:t>
            </w:r>
          </w:p>
          <w:p w:rsidR="00F177EE" w:rsidRPr="00343B1B" w:rsidRDefault="00F177EE" w:rsidP="00F177EE">
            <w:pPr>
              <w:jc w:val="left"/>
              <w:rPr>
                <w:sz w:val="22"/>
                <w:szCs w:val="22"/>
              </w:rPr>
            </w:pPr>
          </w:p>
        </w:tc>
      </w:tr>
      <w:tr w:rsidR="00F177EE" w:rsidRPr="00343B1B" w:rsidTr="00F177EE">
        <w:tc>
          <w:tcPr>
            <w:tcW w:w="675" w:type="dxa"/>
            <w:shd w:val="clear" w:color="auto" w:fill="auto"/>
          </w:tcPr>
          <w:p w:rsidR="00F177EE" w:rsidRPr="00343B1B" w:rsidRDefault="00F177EE" w:rsidP="00F177EE">
            <w:pPr>
              <w:rPr>
                <w:color w:val="000000"/>
                <w:sz w:val="22"/>
                <w:szCs w:val="22"/>
              </w:rPr>
            </w:pPr>
            <w:r>
              <w:rPr>
                <w:color w:val="000000"/>
                <w:sz w:val="22"/>
                <w:szCs w:val="22"/>
              </w:rPr>
              <w:t>2.3</w:t>
            </w:r>
            <w:r w:rsidRPr="00343B1B">
              <w:rPr>
                <w:color w:val="000000"/>
                <w:sz w:val="22"/>
                <w:szCs w:val="22"/>
              </w:rPr>
              <w:t>.</w:t>
            </w:r>
          </w:p>
        </w:tc>
        <w:tc>
          <w:tcPr>
            <w:tcW w:w="3803" w:type="dxa"/>
            <w:shd w:val="clear" w:color="auto" w:fill="auto"/>
          </w:tcPr>
          <w:p w:rsidR="00F177EE" w:rsidRPr="00343B1B" w:rsidRDefault="00F177EE" w:rsidP="00F177EE">
            <w:pPr>
              <w:rPr>
                <w:color w:val="0070C0"/>
                <w:sz w:val="22"/>
                <w:szCs w:val="22"/>
              </w:rPr>
            </w:pPr>
            <w:r>
              <w:rPr>
                <w:color w:val="000000"/>
                <w:sz w:val="22"/>
                <w:szCs w:val="22"/>
              </w:rPr>
              <w:t>I</w:t>
            </w:r>
            <w:r w:rsidRPr="00343B1B">
              <w:rPr>
                <w:color w:val="000000"/>
                <w:sz w:val="22"/>
                <w:szCs w:val="22"/>
              </w:rPr>
              <w:t>dentificēt valsts noteiktos atvieglojumus trūcīgām un maznodrošinātām personām, kā arī nabadzības riskam pakļautajām iedzīvotāju grupām veselības aprūpes pakalpojumu saņemšanai (TS 3.7.1.1.</w:t>
            </w:r>
            <w:r>
              <w:rPr>
                <w:color w:val="000000"/>
                <w:sz w:val="22"/>
                <w:szCs w:val="22"/>
              </w:rPr>
              <w:t>4</w:t>
            </w:r>
            <w:r w:rsidRPr="00343B1B">
              <w:rPr>
                <w:color w:val="000000"/>
                <w:sz w:val="22"/>
                <w:szCs w:val="22"/>
              </w:rPr>
              <w:t>. punkts)</w:t>
            </w:r>
          </w:p>
        </w:tc>
        <w:tc>
          <w:tcPr>
            <w:tcW w:w="2259" w:type="dxa"/>
            <w:shd w:val="clear" w:color="auto" w:fill="auto"/>
          </w:tcPr>
          <w:p w:rsidR="00F177EE" w:rsidRPr="00343B1B" w:rsidRDefault="00F177EE" w:rsidP="00F177EE">
            <w:pPr>
              <w:rPr>
                <w:color w:val="0070C0"/>
                <w:sz w:val="22"/>
                <w:szCs w:val="22"/>
              </w:rPr>
            </w:pPr>
            <w:r w:rsidRPr="00343B1B">
              <w:rPr>
                <w:sz w:val="22"/>
                <w:szCs w:val="22"/>
              </w:rPr>
              <w:t>Dokumentu analīze</w:t>
            </w:r>
          </w:p>
        </w:tc>
        <w:tc>
          <w:tcPr>
            <w:tcW w:w="3171" w:type="dxa"/>
            <w:shd w:val="clear" w:color="auto" w:fill="auto"/>
          </w:tcPr>
          <w:p w:rsidR="00F177EE" w:rsidRPr="00343B1B" w:rsidRDefault="00F177EE" w:rsidP="00F177EE">
            <w:pPr>
              <w:jc w:val="left"/>
              <w:rPr>
                <w:sz w:val="22"/>
                <w:szCs w:val="22"/>
              </w:rPr>
            </w:pPr>
            <w:r>
              <w:rPr>
                <w:sz w:val="22"/>
                <w:szCs w:val="22"/>
              </w:rPr>
              <w:t xml:space="preserve">1.2. </w:t>
            </w:r>
            <w:r w:rsidRPr="00343B1B">
              <w:rPr>
                <w:sz w:val="22"/>
                <w:szCs w:val="22"/>
              </w:rPr>
              <w:t>Normatīv</w:t>
            </w:r>
            <w:r>
              <w:rPr>
                <w:sz w:val="22"/>
                <w:szCs w:val="22"/>
              </w:rPr>
              <w:t>o</w:t>
            </w:r>
            <w:r w:rsidRPr="00343B1B">
              <w:rPr>
                <w:sz w:val="22"/>
                <w:szCs w:val="22"/>
              </w:rPr>
              <w:t xml:space="preserve"> </w:t>
            </w:r>
            <w:r>
              <w:rPr>
                <w:sz w:val="22"/>
                <w:szCs w:val="22"/>
              </w:rPr>
              <w:t>aktu</w:t>
            </w:r>
            <w:r w:rsidRPr="00343B1B">
              <w:rPr>
                <w:sz w:val="22"/>
                <w:szCs w:val="22"/>
              </w:rPr>
              <w:t xml:space="preserve"> </w:t>
            </w:r>
            <w:r>
              <w:rPr>
                <w:sz w:val="22"/>
                <w:szCs w:val="22"/>
              </w:rPr>
              <w:t xml:space="preserve">un politikas plānošanas dokumentu </w:t>
            </w:r>
            <w:r w:rsidRPr="00343B1B">
              <w:rPr>
                <w:sz w:val="22"/>
                <w:szCs w:val="22"/>
              </w:rPr>
              <w:t>atlases un analīzes kritēriji veselības aprūpes jomā</w:t>
            </w:r>
            <w:r>
              <w:rPr>
                <w:sz w:val="22"/>
                <w:szCs w:val="22"/>
              </w:rPr>
              <w:t xml:space="preserve"> </w:t>
            </w:r>
          </w:p>
        </w:tc>
      </w:tr>
      <w:tr w:rsidR="00F177EE" w:rsidRPr="00343B1B" w:rsidTr="00F177EE">
        <w:tc>
          <w:tcPr>
            <w:tcW w:w="675" w:type="dxa"/>
            <w:shd w:val="clear" w:color="auto" w:fill="auto"/>
          </w:tcPr>
          <w:p w:rsidR="00F177EE" w:rsidRPr="00343B1B" w:rsidRDefault="00F177EE" w:rsidP="00F177EE">
            <w:pPr>
              <w:rPr>
                <w:color w:val="000000"/>
                <w:sz w:val="22"/>
                <w:szCs w:val="22"/>
              </w:rPr>
            </w:pPr>
            <w:r w:rsidRPr="00343B1B">
              <w:rPr>
                <w:color w:val="000000"/>
                <w:sz w:val="22"/>
                <w:szCs w:val="22"/>
              </w:rPr>
              <w:t>2.</w:t>
            </w:r>
            <w:r>
              <w:rPr>
                <w:color w:val="000000"/>
                <w:sz w:val="22"/>
                <w:szCs w:val="22"/>
              </w:rPr>
              <w:t>4</w:t>
            </w:r>
            <w:r w:rsidRPr="00343B1B">
              <w:rPr>
                <w:color w:val="000000"/>
                <w:sz w:val="22"/>
                <w:szCs w:val="22"/>
              </w:rPr>
              <w:t>.</w:t>
            </w:r>
          </w:p>
        </w:tc>
        <w:tc>
          <w:tcPr>
            <w:tcW w:w="3803" w:type="dxa"/>
            <w:shd w:val="clear" w:color="auto" w:fill="auto"/>
          </w:tcPr>
          <w:p w:rsidR="00F177EE" w:rsidRPr="00077BE9" w:rsidRDefault="00F177EE" w:rsidP="00F177EE">
            <w:pPr>
              <w:rPr>
                <w:color w:val="000000"/>
                <w:sz w:val="22"/>
                <w:szCs w:val="22"/>
              </w:rPr>
            </w:pPr>
            <w:r>
              <w:rPr>
                <w:color w:val="000000"/>
                <w:sz w:val="22"/>
                <w:szCs w:val="22"/>
              </w:rPr>
              <w:t>I</w:t>
            </w:r>
            <w:r w:rsidRPr="00343B1B">
              <w:rPr>
                <w:color w:val="000000"/>
                <w:sz w:val="22"/>
                <w:szCs w:val="22"/>
              </w:rPr>
              <w:t xml:space="preserve">dentificēt noteiktos atvieglojumus trūcīgām un maznodrošinātām personām, kā arī nabadzības riskam pakļautajām iedzīvotāju grupām </w:t>
            </w:r>
            <w:r w:rsidRPr="00343B1B">
              <w:rPr>
                <w:color w:val="000000"/>
                <w:sz w:val="22"/>
                <w:szCs w:val="22"/>
              </w:rPr>
              <w:lastRenderedPageBreak/>
              <w:t>veselības aprūpes pakalpojumu saņemšanai 119 pašvaldību spēkā esošos saistošajos noteikumos (TS 3.7.1.1.</w:t>
            </w:r>
            <w:r>
              <w:rPr>
                <w:color w:val="000000"/>
                <w:sz w:val="22"/>
                <w:szCs w:val="22"/>
              </w:rPr>
              <w:t>4</w:t>
            </w:r>
            <w:r w:rsidRPr="00343B1B">
              <w:rPr>
                <w:color w:val="000000"/>
                <w:sz w:val="22"/>
                <w:szCs w:val="22"/>
              </w:rPr>
              <w:t>. punkts)</w:t>
            </w:r>
          </w:p>
        </w:tc>
        <w:tc>
          <w:tcPr>
            <w:tcW w:w="2259" w:type="dxa"/>
            <w:shd w:val="clear" w:color="auto" w:fill="auto"/>
          </w:tcPr>
          <w:p w:rsidR="00F177EE" w:rsidRPr="00343B1B" w:rsidRDefault="00F177EE" w:rsidP="00F177EE">
            <w:pPr>
              <w:rPr>
                <w:color w:val="0070C0"/>
                <w:sz w:val="22"/>
                <w:szCs w:val="22"/>
              </w:rPr>
            </w:pPr>
            <w:r w:rsidRPr="00343B1B">
              <w:rPr>
                <w:sz w:val="22"/>
                <w:szCs w:val="22"/>
              </w:rPr>
              <w:lastRenderedPageBreak/>
              <w:t>Dokumentu analīze</w:t>
            </w:r>
          </w:p>
        </w:tc>
        <w:tc>
          <w:tcPr>
            <w:tcW w:w="3171" w:type="dxa"/>
            <w:shd w:val="clear" w:color="auto" w:fill="auto"/>
          </w:tcPr>
          <w:p w:rsidR="00F177EE" w:rsidRPr="00343B1B" w:rsidRDefault="00F177EE" w:rsidP="00F177EE">
            <w:pPr>
              <w:jc w:val="left"/>
              <w:rPr>
                <w:sz w:val="22"/>
                <w:szCs w:val="22"/>
              </w:rPr>
            </w:pPr>
            <w:r>
              <w:rPr>
                <w:sz w:val="22"/>
                <w:szCs w:val="22"/>
              </w:rPr>
              <w:t xml:space="preserve">1.3. </w:t>
            </w:r>
            <w:r w:rsidRPr="00343B1B">
              <w:rPr>
                <w:sz w:val="22"/>
                <w:szCs w:val="22"/>
              </w:rPr>
              <w:t xml:space="preserve">Pašvaldību saistošo </w:t>
            </w:r>
            <w:r>
              <w:rPr>
                <w:sz w:val="22"/>
                <w:szCs w:val="22"/>
              </w:rPr>
              <w:t>noteikumu</w:t>
            </w:r>
            <w:r w:rsidRPr="00343B1B">
              <w:rPr>
                <w:sz w:val="22"/>
                <w:szCs w:val="22"/>
              </w:rPr>
              <w:t xml:space="preserve"> atlases un analīzes kritēriji veselības aprūpes jomā</w:t>
            </w:r>
          </w:p>
        </w:tc>
      </w:tr>
      <w:tr w:rsidR="00F177EE" w:rsidRPr="00343B1B" w:rsidTr="00F177EE">
        <w:tc>
          <w:tcPr>
            <w:tcW w:w="675" w:type="dxa"/>
            <w:shd w:val="clear" w:color="auto" w:fill="auto"/>
          </w:tcPr>
          <w:p w:rsidR="00F177EE" w:rsidRPr="00343B1B" w:rsidRDefault="00F177EE" w:rsidP="00F177EE">
            <w:pPr>
              <w:rPr>
                <w:color w:val="000000"/>
                <w:sz w:val="22"/>
                <w:szCs w:val="22"/>
              </w:rPr>
            </w:pPr>
            <w:r w:rsidRPr="00343B1B">
              <w:rPr>
                <w:color w:val="000000"/>
                <w:sz w:val="22"/>
                <w:szCs w:val="22"/>
              </w:rPr>
              <w:lastRenderedPageBreak/>
              <w:t>2.</w:t>
            </w:r>
            <w:r>
              <w:rPr>
                <w:color w:val="000000"/>
                <w:sz w:val="22"/>
                <w:szCs w:val="22"/>
              </w:rPr>
              <w:t>5</w:t>
            </w:r>
            <w:r w:rsidRPr="00343B1B">
              <w:rPr>
                <w:color w:val="000000"/>
                <w:sz w:val="22"/>
                <w:szCs w:val="22"/>
              </w:rPr>
              <w:t>.</w:t>
            </w:r>
          </w:p>
        </w:tc>
        <w:tc>
          <w:tcPr>
            <w:tcW w:w="3803" w:type="dxa"/>
            <w:shd w:val="clear" w:color="auto" w:fill="auto"/>
          </w:tcPr>
          <w:p w:rsidR="00F177EE" w:rsidRPr="00343B1B" w:rsidRDefault="00F177EE" w:rsidP="00F177EE">
            <w:pPr>
              <w:rPr>
                <w:color w:val="000000"/>
                <w:sz w:val="22"/>
                <w:szCs w:val="22"/>
              </w:rPr>
            </w:pPr>
            <w:r>
              <w:rPr>
                <w:color w:val="000000"/>
                <w:sz w:val="22"/>
                <w:szCs w:val="22"/>
              </w:rPr>
              <w:t>I</w:t>
            </w:r>
            <w:r w:rsidRPr="00343B1B">
              <w:rPr>
                <w:color w:val="000000"/>
                <w:sz w:val="22"/>
                <w:szCs w:val="22"/>
              </w:rPr>
              <w:t>dentificēt jaunās politikas iniciatīvas un budžeta pieteikumus valsts budžeta veidošanas procesā (TS 3.7.1.1.</w:t>
            </w:r>
            <w:r>
              <w:rPr>
                <w:color w:val="000000"/>
                <w:sz w:val="22"/>
                <w:szCs w:val="22"/>
              </w:rPr>
              <w:t>5</w:t>
            </w:r>
            <w:r w:rsidRPr="00343B1B">
              <w:rPr>
                <w:color w:val="000000"/>
                <w:sz w:val="22"/>
                <w:szCs w:val="22"/>
              </w:rPr>
              <w:t xml:space="preserve"> punkts)</w:t>
            </w:r>
          </w:p>
        </w:tc>
        <w:tc>
          <w:tcPr>
            <w:tcW w:w="2259" w:type="dxa"/>
            <w:shd w:val="clear" w:color="auto" w:fill="auto"/>
          </w:tcPr>
          <w:p w:rsidR="00F177EE" w:rsidRPr="00343B1B" w:rsidRDefault="00F177EE" w:rsidP="00F177EE">
            <w:pPr>
              <w:rPr>
                <w:color w:val="0070C0"/>
                <w:sz w:val="22"/>
                <w:szCs w:val="22"/>
              </w:rPr>
            </w:pPr>
            <w:r w:rsidRPr="00343B1B">
              <w:rPr>
                <w:sz w:val="22"/>
                <w:szCs w:val="22"/>
              </w:rPr>
              <w:t>Dokumentu analīze</w:t>
            </w:r>
          </w:p>
        </w:tc>
        <w:tc>
          <w:tcPr>
            <w:tcW w:w="3171" w:type="dxa"/>
            <w:shd w:val="clear" w:color="auto" w:fill="auto"/>
          </w:tcPr>
          <w:p w:rsidR="00F177EE" w:rsidRPr="00343B1B" w:rsidRDefault="00F177EE" w:rsidP="00F177EE">
            <w:pPr>
              <w:jc w:val="left"/>
              <w:rPr>
                <w:sz w:val="22"/>
                <w:szCs w:val="22"/>
              </w:rPr>
            </w:pPr>
            <w:r>
              <w:rPr>
                <w:sz w:val="22"/>
                <w:szCs w:val="22"/>
              </w:rPr>
              <w:t xml:space="preserve">1.2. </w:t>
            </w:r>
            <w:r w:rsidRPr="00343B1B">
              <w:rPr>
                <w:sz w:val="22"/>
                <w:szCs w:val="22"/>
              </w:rPr>
              <w:t>Normatīv</w:t>
            </w:r>
            <w:r>
              <w:rPr>
                <w:sz w:val="22"/>
                <w:szCs w:val="22"/>
              </w:rPr>
              <w:t>o</w:t>
            </w:r>
            <w:r w:rsidRPr="00343B1B">
              <w:rPr>
                <w:sz w:val="22"/>
                <w:szCs w:val="22"/>
              </w:rPr>
              <w:t xml:space="preserve"> </w:t>
            </w:r>
            <w:r>
              <w:rPr>
                <w:sz w:val="22"/>
                <w:szCs w:val="22"/>
              </w:rPr>
              <w:t>aktu</w:t>
            </w:r>
            <w:r w:rsidRPr="00343B1B">
              <w:rPr>
                <w:sz w:val="22"/>
                <w:szCs w:val="22"/>
              </w:rPr>
              <w:t xml:space="preserve"> </w:t>
            </w:r>
            <w:r>
              <w:rPr>
                <w:sz w:val="22"/>
                <w:szCs w:val="22"/>
              </w:rPr>
              <w:t xml:space="preserve">un politikas plānošanas dokumentu </w:t>
            </w:r>
            <w:r w:rsidRPr="00343B1B">
              <w:rPr>
                <w:sz w:val="22"/>
                <w:szCs w:val="22"/>
              </w:rPr>
              <w:t>atlases un analīzes kritēriji veselības aprūpes jomā</w:t>
            </w:r>
            <w:r>
              <w:rPr>
                <w:sz w:val="22"/>
                <w:szCs w:val="22"/>
              </w:rPr>
              <w:t xml:space="preserve"> </w:t>
            </w:r>
          </w:p>
        </w:tc>
      </w:tr>
      <w:tr w:rsidR="00F177EE" w:rsidRPr="00343B1B" w:rsidTr="00F177EE">
        <w:tc>
          <w:tcPr>
            <w:tcW w:w="675" w:type="dxa"/>
            <w:shd w:val="clear" w:color="auto" w:fill="auto"/>
          </w:tcPr>
          <w:p w:rsidR="00F177EE" w:rsidRPr="00343B1B" w:rsidRDefault="00F177EE" w:rsidP="00F177EE">
            <w:pPr>
              <w:rPr>
                <w:color w:val="000000"/>
                <w:sz w:val="22"/>
                <w:szCs w:val="22"/>
              </w:rPr>
            </w:pPr>
            <w:r w:rsidRPr="00343B1B">
              <w:rPr>
                <w:color w:val="000000"/>
                <w:sz w:val="22"/>
                <w:szCs w:val="22"/>
              </w:rPr>
              <w:t>2.</w:t>
            </w:r>
            <w:r>
              <w:rPr>
                <w:color w:val="000000"/>
                <w:sz w:val="22"/>
                <w:szCs w:val="22"/>
              </w:rPr>
              <w:t>6</w:t>
            </w:r>
            <w:r w:rsidRPr="00343B1B">
              <w:rPr>
                <w:color w:val="000000"/>
                <w:sz w:val="22"/>
                <w:szCs w:val="22"/>
              </w:rPr>
              <w:t>.</w:t>
            </w:r>
          </w:p>
        </w:tc>
        <w:tc>
          <w:tcPr>
            <w:tcW w:w="3803" w:type="dxa"/>
            <w:shd w:val="clear" w:color="auto" w:fill="auto"/>
          </w:tcPr>
          <w:p w:rsidR="00F177EE" w:rsidRPr="00343B1B" w:rsidRDefault="00F177EE" w:rsidP="00F177EE">
            <w:pPr>
              <w:rPr>
                <w:color w:val="000000"/>
                <w:sz w:val="22"/>
                <w:szCs w:val="22"/>
              </w:rPr>
            </w:pPr>
            <w:r>
              <w:rPr>
                <w:color w:val="000000"/>
                <w:sz w:val="22"/>
                <w:szCs w:val="22"/>
              </w:rPr>
              <w:t>I</w:t>
            </w:r>
            <w:r w:rsidRPr="00343B1B">
              <w:rPr>
                <w:color w:val="000000"/>
                <w:sz w:val="22"/>
                <w:szCs w:val="22"/>
              </w:rPr>
              <w:t>dentificēt un analizēt statistikas datus, kas apliecina konkrētās mērķa grupas veselības stāvokļa raksturojumu un veselības aprūpes pieejamību (TS 3.7.1.</w:t>
            </w:r>
            <w:r>
              <w:rPr>
                <w:color w:val="000000"/>
                <w:sz w:val="22"/>
                <w:szCs w:val="22"/>
              </w:rPr>
              <w:t>2</w:t>
            </w:r>
            <w:r w:rsidRPr="00343B1B">
              <w:rPr>
                <w:color w:val="000000"/>
                <w:sz w:val="22"/>
                <w:szCs w:val="22"/>
              </w:rPr>
              <w:t>.</w:t>
            </w:r>
            <w:r>
              <w:rPr>
                <w:color w:val="000000"/>
                <w:sz w:val="22"/>
                <w:szCs w:val="22"/>
              </w:rPr>
              <w:t>1</w:t>
            </w:r>
            <w:r w:rsidRPr="00343B1B">
              <w:rPr>
                <w:color w:val="000000"/>
                <w:sz w:val="22"/>
                <w:szCs w:val="22"/>
              </w:rPr>
              <w:t>. punkts)</w:t>
            </w:r>
          </w:p>
        </w:tc>
        <w:tc>
          <w:tcPr>
            <w:tcW w:w="2259" w:type="dxa"/>
            <w:shd w:val="clear" w:color="auto" w:fill="auto"/>
          </w:tcPr>
          <w:p w:rsidR="00F177EE" w:rsidRPr="00343B1B" w:rsidRDefault="00F177EE" w:rsidP="00F177EE">
            <w:pPr>
              <w:rPr>
                <w:color w:val="0070C0"/>
                <w:sz w:val="22"/>
                <w:szCs w:val="22"/>
              </w:rPr>
            </w:pPr>
            <w:r w:rsidRPr="00B32703">
              <w:rPr>
                <w:sz w:val="22"/>
                <w:szCs w:val="22"/>
              </w:rPr>
              <w:t>Statistikas datu analīze</w:t>
            </w:r>
          </w:p>
        </w:tc>
        <w:tc>
          <w:tcPr>
            <w:tcW w:w="3171" w:type="dxa"/>
            <w:shd w:val="clear" w:color="auto" w:fill="auto"/>
          </w:tcPr>
          <w:p w:rsidR="00F177EE" w:rsidRPr="00B32703" w:rsidRDefault="00F177EE" w:rsidP="00F177EE">
            <w:pPr>
              <w:jc w:val="left"/>
              <w:rPr>
                <w:sz w:val="22"/>
                <w:szCs w:val="22"/>
              </w:rPr>
            </w:pPr>
            <w:r>
              <w:rPr>
                <w:sz w:val="22"/>
                <w:szCs w:val="22"/>
              </w:rPr>
              <w:t>2.2</w:t>
            </w:r>
            <w:r w:rsidRPr="00B32703">
              <w:rPr>
                <w:sz w:val="22"/>
                <w:szCs w:val="22"/>
              </w:rPr>
              <w:t xml:space="preserve">. </w:t>
            </w:r>
            <w:r>
              <w:rPr>
                <w:sz w:val="22"/>
                <w:szCs w:val="22"/>
              </w:rPr>
              <w:t>Statistikas datu un apsekojumu datu atlases un kvalitātes kritēriji veselības aprūpes jomā</w:t>
            </w:r>
          </w:p>
        </w:tc>
      </w:tr>
      <w:tr w:rsidR="00F177EE" w:rsidRPr="00343B1B" w:rsidTr="00F177EE">
        <w:tc>
          <w:tcPr>
            <w:tcW w:w="675" w:type="dxa"/>
            <w:shd w:val="clear" w:color="auto" w:fill="auto"/>
          </w:tcPr>
          <w:p w:rsidR="00F177EE" w:rsidRPr="00343B1B" w:rsidRDefault="00F177EE" w:rsidP="00F177EE">
            <w:pPr>
              <w:rPr>
                <w:color w:val="000000"/>
                <w:sz w:val="22"/>
                <w:szCs w:val="22"/>
              </w:rPr>
            </w:pPr>
            <w:r w:rsidRPr="00343B1B">
              <w:rPr>
                <w:color w:val="000000"/>
                <w:sz w:val="22"/>
                <w:szCs w:val="22"/>
              </w:rPr>
              <w:t>2.</w:t>
            </w:r>
            <w:r>
              <w:rPr>
                <w:color w:val="000000"/>
                <w:sz w:val="22"/>
                <w:szCs w:val="22"/>
              </w:rPr>
              <w:t>7</w:t>
            </w:r>
            <w:r w:rsidRPr="00343B1B">
              <w:rPr>
                <w:color w:val="000000"/>
                <w:sz w:val="22"/>
                <w:szCs w:val="22"/>
              </w:rPr>
              <w:t>.</w:t>
            </w:r>
          </w:p>
        </w:tc>
        <w:tc>
          <w:tcPr>
            <w:tcW w:w="3803" w:type="dxa"/>
            <w:shd w:val="clear" w:color="auto" w:fill="auto"/>
          </w:tcPr>
          <w:p w:rsidR="00F177EE" w:rsidRDefault="00F177EE" w:rsidP="00F177EE">
            <w:pPr>
              <w:rPr>
                <w:sz w:val="22"/>
                <w:szCs w:val="22"/>
              </w:rPr>
            </w:pPr>
            <w:r>
              <w:rPr>
                <w:color w:val="000000"/>
                <w:sz w:val="22"/>
                <w:szCs w:val="22"/>
              </w:rPr>
              <w:t>V</w:t>
            </w:r>
            <w:r w:rsidRPr="00343B1B">
              <w:rPr>
                <w:color w:val="000000"/>
                <w:sz w:val="22"/>
                <w:szCs w:val="22"/>
              </w:rPr>
              <w:t>eikt datu kvalitātes analīzi</w:t>
            </w:r>
            <w:r>
              <w:rPr>
                <w:color w:val="000000"/>
                <w:sz w:val="22"/>
                <w:szCs w:val="22"/>
              </w:rPr>
              <w:t xml:space="preserve">, </w:t>
            </w:r>
            <w:r>
              <w:rPr>
                <w:sz w:val="22"/>
                <w:szCs w:val="22"/>
              </w:rPr>
              <w:t>ietverot šādus aspektus:</w:t>
            </w:r>
          </w:p>
          <w:p w:rsidR="00F177EE" w:rsidRPr="00E04360" w:rsidRDefault="00F177EE" w:rsidP="005C07F3">
            <w:pPr>
              <w:pStyle w:val="ListParagraph"/>
              <w:numPr>
                <w:ilvl w:val="0"/>
                <w:numId w:val="7"/>
              </w:numPr>
              <w:spacing w:line="276" w:lineRule="auto"/>
              <w:ind w:left="317" w:hanging="317"/>
              <w:rPr>
                <w:sz w:val="22"/>
                <w:szCs w:val="22"/>
              </w:rPr>
            </w:pPr>
            <w:r w:rsidRPr="00E04360">
              <w:rPr>
                <w:sz w:val="22"/>
                <w:szCs w:val="22"/>
              </w:rPr>
              <w:t>datu pieejamība</w:t>
            </w:r>
            <w:r>
              <w:rPr>
                <w:sz w:val="22"/>
                <w:szCs w:val="22"/>
              </w:rPr>
              <w:t xml:space="preserve"> (t.sk. trūkstošie dati)</w:t>
            </w:r>
            <w:r w:rsidRPr="00E04360">
              <w:rPr>
                <w:sz w:val="22"/>
                <w:szCs w:val="22"/>
              </w:rPr>
              <w:t xml:space="preserve">, </w:t>
            </w:r>
          </w:p>
          <w:p w:rsidR="00F177EE" w:rsidRPr="00E04360" w:rsidRDefault="00F177EE" w:rsidP="005C07F3">
            <w:pPr>
              <w:pStyle w:val="ListParagraph"/>
              <w:numPr>
                <w:ilvl w:val="0"/>
                <w:numId w:val="7"/>
              </w:numPr>
              <w:spacing w:line="276" w:lineRule="auto"/>
              <w:ind w:left="317" w:hanging="317"/>
              <w:rPr>
                <w:sz w:val="22"/>
                <w:szCs w:val="22"/>
              </w:rPr>
            </w:pPr>
            <w:r w:rsidRPr="00E04360">
              <w:rPr>
                <w:sz w:val="22"/>
                <w:szCs w:val="22"/>
              </w:rPr>
              <w:t>pieejamības veids un formāts (kādos griezumos, kam un uz kādiem nosacījumiem dati ir vai nav pieejami),</w:t>
            </w:r>
          </w:p>
          <w:p w:rsidR="00F177EE" w:rsidRPr="00E04360" w:rsidRDefault="00F177EE" w:rsidP="005C07F3">
            <w:pPr>
              <w:pStyle w:val="ListParagraph"/>
              <w:numPr>
                <w:ilvl w:val="0"/>
                <w:numId w:val="7"/>
              </w:numPr>
              <w:spacing w:line="276" w:lineRule="auto"/>
              <w:ind w:left="317" w:hanging="317"/>
              <w:rPr>
                <w:sz w:val="22"/>
                <w:szCs w:val="22"/>
              </w:rPr>
            </w:pPr>
            <w:r w:rsidRPr="00E04360">
              <w:rPr>
                <w:sz w:val="22"/>
                <w:szCs w:val="22"/>
              </w:rPr>
              <w:t xml:space="preserve">publicēšanas regularitāte un veids, </w:t>
            </w:r>
          </w:p>
          <w:p w:rsidR="00F177EE" w:rsidRPr="00E04360" w:rsidRDefault="00F177EE" w:rsidP="005C07F3">
            <w:pPr>
              <w:pStyle w:val="ListParagraph"/>
              <w:numPr>
                <w:ilvl w:val="0"/>
                <w:numId w:val="7"/>
              </w:numPr>
              <w:spacing w:line="276" w:lineRule="auto"/>
              <w:ind w:left="317" w:hanging="317"/>
              <w:rPr>
                <w:sz w:val="22"/>
                <w:szCs w:val="22"/>
              </w:rPr>
            </w:pPr>
            <w:r w:rsidRPr="00E04360">
              <w:rPr>
                <w:sz w:val="22"/>
                <w:szCs w:val="22"/>
              </w:rPr>
              <w:t xml:space="preserve">datu iegūšanas/vākšanas metodes un avoti, </w:t>
            </w:r>
          </w:p>
          <w:p w:rsidR="00F177EE" w:rsidRPr="00E04360" w:rsidRDefault="00F177EE" w:rsidP="005C07F3">
            <w:pPr>
              <w:pStyle w:val="ListParagraph"/>
              <w:numPr>
                <w:ilvl w:val="0"/>
                <w:numId w:val="7"/>
              </w:numPr>
              <w:spacing w:line="276" w:lineRule="auto"/>
              <w:ind w:left="317" w:hanging="317"/>
              <w:rPr>
                <w:sz w:val="22"/>
                <w:szCs w:val="22"/>
              </w:rPr>
            </w:pPr>
            <w:r w:rsidRPr="00E04360">
              <w:rPr>
                <w:sz w:val="22"/>
                <w:szCs w:val="22"/>
              </w:rPr>
              <w:t xml:space="preserve">mērķa populācija un izlašu, kur attiecināms, apjoms, </w:t>
            </w:r>
          </w:p>
          <w:p w:rsidR="00F177EE" w:rsidRPr="00E04360" w:rsidRDefault="00F177EE" w:rsidP="005C07F3">
            <w:pPr>
              <w:pStyle w:val="ListParagraph"/>
              <w:numPr>
                <w:ilvl w:val="0"/>
                <w:numId w:val="7"/>
              </w:numPr>
              <w:spacing w:line="276" w:lineRule="auto"/>
              <w:ind w:left="317" w:hanging="317"/>
              <w:rPr>
                <w:sz w:val="22"/>
                <w:szCs w:val="22"/>
              </w:rPr>
            </w:pPr>
            <w:r w:rsidRPr="00E04360">
              <w:rPr>
                <w:sz w:val="22"/>
                <w:szCs w:val="22"/>
              </w:rPr>
              <w:t xml:space="preserve">datu definīcijas, </w:t>
            </w:r>
          </w:p>
          <w:p w:rsidR="00F177EE" w:rsidRPr="00E04360" w:rsidRDefault="00F177EE" w:rsidP="005C07F3">
            <w:pPr>
              <w:pStyle w:val="ListParagraph"/>
              <w:numPr>
                <w:ilvl w:val="0"/>
                <w:numId w:val="7"/>
              </w:numPr>
              <w:spacing w:line="276" w:lineRule="auto"/>
              <w:ind w:left="317" w:hanging="317"/>
              <w:rPr>
                <w:sz w:val="22"/>
                <w:szCs w:val="22"/>
              </w:rPr>
            </w:pPr>
            <w:r w:rsidRPr="00E04360">
              <w:rPr>
                <w:sz w:val="22"/>
                <w:szCs w:val="22"/>
              </w:rPr>
              <w:t>datu aprēķināšanas metodes,</w:t>
            </w:r>
          </w:p>
          <w:p w:rsidR="00F177EE" w:rsidRDefault="00F177EE" w:rsidP="005C07F3">
            <w:pPr>
              <w:pStyle w:val="ListParagraph"/>
              <w:numPr>
                <w:ilvl w:val="0"/>
                <w:numId w:val="7"/>
              </w:numPr>
              <w:spacing w:line="276" w:lineRule="auto"/>
              <w:ind w:left="317" w:hanging="317"/>
              <w:rPr>
                <w:sz w:val="22"/>
                <w:szCs w:val="22"/>
              </w:rPr>
            </w:pPr>
            <w:r w:rsidRPr="00E04360">
              <w:rPr>
                <w:sz w:val="22"/>
                <w:szCs w:val="22"/>
              </w:rPr>
              <w:t xml:space="preserve">datu salīdzināmība, </w:t>
            </w:r>
          </w:p>
          <w:p w:rsidR="00F177EE" w:rsidRPr="00077BE9" w:rsidRDefault="00F177EE" w:rsidP="005C07F3">
            <w:pPr>
              <w:pStyle w:val="ListParagraph"/>
              <w:numPr>
                <w:ilvl w:val="0"/>
                <w:numId w:val="7"/>
              </w:numPr>
              <w:spacing w:line="276" w:lineRule="auto"/>
              <w:ind w:left="317" w:hanging="317"/>
              <w:rPr>
                <w:color w:val="000000"/>
                <w:sz w:val="22"/>
                <w:szCs w:val="22"/>
              </w:rPr>
            </w:pPr>
            <w:r>
              <w:rPr>
                <w:sz w:val="22"/>
                <w:szCs w:val="22"/>
              </w:rPr>
              <w:t>d</w:t>
            </w:r>
            <w:r w:rsidRPr="00E04360">
              <w:rPr>
                <w:sz w:val="22"/>
                <w:szCs w:val="22"/>
              </w:rPr>
              <w:t>atu kvalitāte</w:t>
            </w:r>
            <w:r w:rsidRPr="00343B1B">
              <w:rPr>
                <w:color w:val="000000"/>
                <w:sz w:val="22"/>
                <w:szCs w:val="22"/>
              </w:rPr>
              <w:t xml:space="preserve"> (TS 3.7.1.</w:t>
            </w:r>
            <w:r>
              <w:rPr>
                <w:color w:val="000000"/>
                <w:sz w:val="22"/>
                <w:szCs w:val="22"/>
              </w:rPr>
              <w:t>3</w:t>
            </w:r>
            <w:r w:rsidRPr="00343B1B">
              <w:rPr>
                <w:color w:val="000000"/>
                <w:sz w:val="22"/>
                <w:szCs w:val="22"/>
              </w:rPr>
              <w:t>. punkts)</w:t>
            </w:r>
          </w:p>
        </w:tc>
        <w:tc>
          <w:tcPr>
            <w:tcW w:w="2259" w:type="dxa"/>
            <w:shd w:val="clear" w:color="auto" w:fill="auto"/>
          </w:tcPr>
          <w:p w:rsidR="00F177EE" w:rsidRDefault="00F177EE" w:rsidP="00F177EE">
            <w:pPr>
              <w:rPr>
                <w:sz w:val="22"/>
                <w:szCs w:val="22"/>
              </w:rPr>
            </w:pPr>
            <w:r w:rsidRPr="00184C85">
              <w:rPr>
                <w:sz w:val="22"/>
                <w:szCs w:val="22"/>
              </w:rPr>
              <w:t>Statistikas datu analīze</w:t>
            </w:r>
          </w:p>
          <w:p w:rsidR="00F177EE" w:rsidRPr="00343B1B" w:rsidRDefault="00F177EE" w:rsidP="00F177EE">
            <w:pPr>
              <w:rPr>
                <w:color w:val="0070C0"/>
                <w:sz w:val="22"/>
                <w:szCs w:val="22"/>
              </w:rPr>
            </w:pPr>
          </w:p>
        </w:tc>
        <w:tc>
          <w:tcPr>
            <w:tcW w:w="3171" w:type="dxa"/>
            <w:shd w:val="clear" w:color="auto" w:fill="auto"/>
          </w:tcPr>
          <w:p w:rsidR="00F177EE" w:rsidRPr="00B32703" w:rsidRDefault="00F177EE" w:rsidP="00F177EE">
            <w:pPr>
              <w:jc w:val="left"/>
              <w:rPr>
                <w:sz w:val="22"/>
                <w:szCs w:val="22"/>
              </w:rPr>
            </w:pPr>
            <w:r>
              <w:rPr>
                <w:sz w:val="22"/>
                <w:szCs w:val="22"/>
              </w:rPr>
              <w:t>2.2. Statistikas datu un apsekojumu datu atlases un kvalitātes kritēriji veselības aprūpes jomā</w:t>
            </w:r>
          </w:p>
        </w:tc>
      </w:tr>
      <w:tr w:rsidR="00F177EE" w:rsidRPr="00343B1B" w:rsidTr="00F177EE">
        <w:tc>
          <w:tcPr>
            <w:tcW w:w="675" w:type="dxa"/>
            <w:shd w:val="clear" w:color="auto" w:fill="auto"/>
          </w:tcPr>
          <w:p w:rsidR="00F177EE" w:rsidRPr="00343B1B" w:rsidRDefault="00F177EE" w:rsidP="00F177EE">
            <w:pPr>
              <w:rPr>
                <w:sz w:val="22"/>
                <w:szCs w:val="22"/>
              </w:rPr>
            </w:pPr>
            <w:r w:rsidRPr="00343B1B">
              <w:rPr>
                <w:sz w:val="22"/>
                <w:szCs w:val="22"/>
              </w:rPr>
              <w:t>2.</w:t>
            </w:r>
            <w:r>
              <w:rPr>
                <w:sz w:val="22"/>
                <w:szCs w:val="22"/>
              </w:rPr>
              <w:t>8</w:t>
            </w:r>
            <w:r w:rsidRPr="00343B1B">
              <w:rPr>
                <w:sz w:val="22"/>
                <w:szCs w:val="22"/>
              </w:rPr>
              <w:t>.</w:t>
            </w:r>
          </w:p>
        </w:tc>
        <w:tc>
          <w:tcPr>
            <w:tcW w:w="3803" w:type="dxa"/>
            <w:shd w:val="clear" w:color="auto" w:fill="auto"/>
          </w:tcPr>
          <w:p w:rsidR="00F177EE" w:rsidRPr="00343B1B" w:rsidRDefault="00F177EE" w:rsidP="00F177EE">
            <w:pPr>
              <w:rPr>
                <w:color w:val="000000"/>
                <w:sz w:val="22"/>
                <w:szCs w:val="22"/>
              </w:rPr>
            </w:pPr>
            <w:r>
              <w:rPr>
                <w:sz w:val="22"/>
                <w:szCs w:val="22"/>
              </w:rPr>
              <w:t>I</w:t>
            </w:r>
            <w:r w:rsidRPr="00343B1B">
              <w:rPr>
                <w:sz w:val="22"/>
                <w:szCs w:val="22"/>
              </w:rPr>
              <w:t>dentificēt, kuri no datiem turpmāk būtu izmantojami veselības aprūpes nevienlīdzības turpmākai izvērtēšanai un kāda papildus datu vākšana šim nolūkam būtu nepieciešama</w:t>
            </w:r>
            <w:r>
              <w:rPr>
                <w:sz w:val="22"/>
                <w:szCs w:val="22"/>
              </w:rPr>
              <w:t xml:space="preserve"> </w:t>
            </w:r>
            <w:r w:rsidRPr="00343B1B">
              <w:rPr>
                <w:color w:val="000000"/>
                <w:sz w:val="22"/>
                <w:szCs w:val="22"/>
              </w:rPr>
              <w:t>(TS 3.</w:t>
            </w:r>
            <w:r>
              <w:rPr>
                <w:color w:val="000000"/>
                <w:sz w:val="22"/>
                <w:szCs w:val="22"/>
              </w:rPr>
              <w:t>8</w:t>
            </w:r>
            <w:r w:rsidRPr="00343B1B">
              <w:rPr>
                <w:color w:val="000000"/>
                <w:sz w:val="22"/>
                <w:szCs w:val="22"/>
              </w:rPr>
              <w:t>.</w:t>
            </w:r>
            <w:r>
              <w:rPr>
                <w:color w:val="000000"/>
                <w:sz w:val="22"/>
                <w:szCs w:val="22"/>
              </w:rPr>
              <w:t>2</w:t>
            </w:r>
            <w:r w:rsidRPr="00343B1B">
              <w:rPr>
                <w:color w:val="000000"/>
                <w:sz w:val="22"/>
                <w:szCs w:val="22"/>
              </w:rPr>
              <w:t>. punkts)</w:t>
            </w:r>
          </w:p>
        </w:tc>
        <w:tc>
          <w:tcPr>
            <w:tcW w:w="2259" w:type="dxa"/>
            <w:shd w:val="clear" w:color="auto" w:fill="auto"/>
          </w:tcPr>
          <w:p w:rsidR="00F177EE" w:rsidRDefault="00F177EE" w:rsidP="00F177EE">
            <w:pPr>
              <w:rPr>
                <w:sz w:val="22"/>
                <w:szCs w:val="22"/>
              </w:rPr>
            </w:pPr>
            <w:r w:rsidRPr="00184C85">
              <w:rPr>
                <w:sz w:val="22"/>
                <w:szCs w:val="22"/>
              </w:rPr>
              <w:t>Statistikas datu analīze</w:t>
            </w:r>
          </w:p>
          <w:p w:rsidR="00F177EE" w:rsidRPr="00343B1B" w:rsidRDefault="00F177EE" w:rsidP="00F177EE">
            <w:pPr>
              <w:rPr>
                <w:color w:val="0070C0"/>
                <w:sz w:val="22"/>
                <w:szCs w:val="22"/>
              </w:rPr>
            </w:pPr>
          </w:p>
        </w:tc>
        <w:tc>
          <w:tcPr>
            <w:tcW w:w="3171" w:type="dxa"/>
            <w:shd w:val="clear" w:color="auto" w:fill="auto"/>
          </w:tcPr>
          <w:p w:rsidR="00F177EE" w:rsidRPr="00B32703" w:rsidRDefault="00F177EE" w:rsidP="00F177EE">
            <w:pPr>
              <w:jc w:val="left"/>
              <w:rPr>
                <w:sz w:val="22"/>
                <w:szCs w:val="22"/>
              </w:rPr>
            </w:pPr>
            <w:r>
              <w:rPr>
                <w:sz w:val="22"/>
                <w:szCs w:val="22"/>
              </w:rPr>
              <w:t>2.2. Statistikas datu un apsekojumu datu atlases un kvalitātes kritēriji veselības aprūpes jomā</w:t>
            </w:r>
          </w:p>
        </w:tc>
      </w:tr>
      <w:tr w:rsidR="00F177EE" w:rsidRPr="00343B1B" w:rsidTr="00F177EE">
        <w:tc>
          <w:tcPr>
            <w:tcW w:w="675" w:type="dxa"/>
            <w:shd w:val="clear" w:color="auto" w:fill="auto"/>
          </w:tcPr>
          <w:p w:rsidR="00F177EE" w:rsidRPr="00343B1B" w:rsidRDefault="00F177EE" w:rsidP="00F177EE">
            <w:pPr>
              <w:rPr>
                <w:sz w:val="22"/>
                <w:szCs w:val="22"/>
              </w:rPr>
            </w:pPr>
            <w:r w:rsidRPr="00343B1B">
              <w:rPr>
                <w:sz w:val="22"/>
                <w:szCs w:val="22"/>
              </w:rPr>
              <w:t>2.</w:t>
            </w:r>
            <w:r>
              <w:rPr>
                <w:sz w:val="22"/>
                <w:szCs w:val="22"/>
              </w:rPr>
              <w:t>9</w:t>
            </w:r>
            <w:r w:rsidRPr="00343B1B">
              <w:rPr>
                <w:sz w:val="22"/>
                <w:szCs w:val="22"/>
              </w:rPr>
              <w:t>.</w:t>
            </w:r>
          </w:p>
        </w:tc>
        <w:tc>
          <w:tcPr>
            <w:tcW w:w="3803" w:type="dxa"/>
            <w:shd w:val="clear" w:color="auto" w:fill="auto"/>
          </w:tcPr>
          <w:p w:rsidR="00F177EE" w:rsidRPr="00CA19FE" w:rsidRDefault="00F177EE" w:rsidP="00F177EE">
            <w:pPr>
              <w:rPr>
                <w:color w:val="000000"/>
                <w:sz w:val="22"/>
                <w:szCs w:val="22"/>
              </w:rPr>
            </w:pPr>
            <w:r>
              <w:rPr>
                <w:sz w:val="22"/>
                <w:szCs w:val="22"/>
              </w:rPr>
              <w:t>S</w:t>
            </w:r>
            <w:r w:rsidRPr="00343B1B">
              <w:rPr>
                <w:sz w:val="22"/>
                <w:szCs w:val="22"/>
              </w:rPr>
              <w:t>agatavot secinājumus par nevienlīdzību veselības aprūpes pieejamībā attiecībā uz TS 3.7. punktā noteiktajām mērķa grupām</w:t>
            </w:r>
            <w:r>
              <w:rPr>
                <w:sz w:val="22"/>
                <w:szCs w:val="22"/>
              </w:rPr>
              <w:t xml:space="preserve"> </w:t>
            </w:r>
            <w:r w:rsidRPr="00343B1B">
              <w:rPr>
                <w:color w:val="000000"/>
                <w:sz w:val="22"/>
                <w:szCs w:val="22"/>
              </w:rPr>
              <w:t>(TS 3.</w:t>
            </w:r>
            <w:r>
              <w:rPr>
                <w:color w:val="000000"/>
                <w:sz w:val="22"/>
                <w:szCs w:val="22"/>
              </w:rPr>
              <w:t>8</w:t>
            </w:r>
            <w:r w:rsidRPr="00343B1B">
              <w:rPr>
                <w:color w:val="000000"/>
                <w:sz w:val="22"/>
                <w:szCs w:val="22"/>
              </w:rPr>
              <w:t>.1. punkts)</w:t>
            </w:r>
          </w:p>
        </w:tc>
        <w:tc>
          <w:tcPr>
            <w:tcW w:w="2259" w:type="dxa"/>
            <w:shd w:val="clear" w:color="auto" w:fill="auto"/>
          </w:tcPr>
          <w:p w:rsidR="00F177EE" w:rsidRDefault="00F177EE" w:rsidP="00F177EE">
            <w:r w:rsidRPr="00C2014A">
              <w:rPr>
                <w:sz w:val="22"/>
                <w:szCs w:val="22"/>
              </w:rPr>
              <w:t>Integrēta analīze (dokumentu analīzes, statistikas datu analīzes, ekspertu interviju un fokusa grupu diskusiju rezultātu integrēts novērtējums)</w:t>
            </w:r>
          </w:p>
        </w:tc>
        <w:tc>
          <w:tcPr>
            <w:tcW w:w="3171" w:type="dxa"/>
            <w:shd w:val="clear" w:color="auto" w:fill="auto"/>
          </w:tcPr>
          <w:p w:rsidR="00F177EE" w:rsidRDefault="00F177EE" w:rsidP="00F177EE">
            <w:pPr>
              <w:rPr>
                <w:sz w:val="22"/>
                <w:szCs w:val="22"/>
              </w:rPr>
            </w:pPr>
            <w:r>
              <w:rPr>
                <w:sz w:val="22"/>
                <w:szCs w:val="22"/>
              </w:rPr>
              <w:t xml:space="preserve">Papildus citiem instrumentiem, kas izmantoti 2.1.-2.8. uzdevumu izpildē: </w:t>
            </w:r>
          </w:p>
          <w:p w:rsidR="00F177EE" w:rsidRDefault="00F177EE" w:rsidP="00F177EE">
            <w:pPr>
              <w:rPr>
                <w:sz w:val="22"/>
                <w:szCs w:val="22"/>
              </w:rPr>
            </w:pPr>
            <w:r>
              <w:rPr>
                <w:sz w:val="22"/>
                <w:szCs w:val="22"/>
              </w:rPr>
              <w:t>3.2. Fokusa grupu diskusiju scenārijs</w:t>
            </w:r>
          </w:p>
          <w:p w:rsidR="00F177EE" w:rsidRPr="00343B1B" w:rsidRDefault="00F177EE" w:rsidP="00F177EE">
            <w:pPr>
              <w:rPr>
                <w:sz w:val="22"/>
                <w:szCs w:val="22"/>
              </w:rPr>
            </w:pPr>
          </w:p>
        </w:tc>
      </w:tr>
      <w:tr w:rsidR="00F177EE" w:rsidRPr="00343B1B" w:rsidTr="00F177EE">
        <w:tc>
          <w:tcPr>
            <w:tcW w:w="675" w:type="dxa"/>
            <w:shd w:val="clear" w:color="auto" w:fill="auto"/>
          </w:tcPr>
          <w:p w:rsidR="00F177EE" w:rsidRPr="00343B1B" w:rsidRDefault="00F177EE" w:rsidP="00F177EE">
            <w:pPr>
              <w:rPr>
                <w:sz w:val="22"/>
                <w:szCs w:val="22"/>
              </w:rPr>
            </w:pPr>
            <w:r w:rsidRPr="00343B1B">
              <w:rPr>
                <w:sz w:val="22"/>
                <w:szCs w:val="22"/>
              </w:rPr>
              <w:t>2.1</w:t>
            </w:r>
            <w:r>
              <w:rPr>
                <w:sz w:val="22"/>
                <w:szCs w:val="22"/>
              </w:rPr>
              <w:t>0</w:t>
            </w:r>
            <w:r w:rsidRPr="00343B1B">
              <w:rPr>
                <w:sz w:val="22"/>
                <w:szCs w:val="22"/>
              </w:rPr>
              <w:t>.</w:t>
            </w:r>
          </w:p>
        </w:tc>
        <w:tc>
          <w:tcPr>
            <w:tcW w:w="3803" w:type="dxa"/>
            <w:shd w:val="clear" w:color="auto" w:fill="auto"/>
          </w:tcPr>
          <w:p w:rsidR="00F177EE" w:rsidRPr="00CA19FE" w:rsidRDefault="00F177EE" w:rsidP="00F177EE">
            <w:pPr>
              <w:rPr>
                <w:color w:val="000000"/>
                <w:sz w:val="22"/>
                <w:szCs w:val="22"/>
              </w:rPr>
            </w:pPr>
            <w:r>
              <w:rPr>
                <w:sz w:val="22"/>
                <w:szCs w:val="22"/>
              </w:rPr>
              <w:t>S</w:t>
            </w:r>
            <w:r w:rsidRPr="00343B1B">
              <w:rPr>
                <w:sz w:val="22"/>
                <w:szCs w:val="22"/>
              </w:rPr>
              <w:t xml:space="preserve">agatavot rekomendācijas (atbilstoši TS noteiktajai struktūrai) par nepieciešamajiem uzlabojumiem (t.sk. </w:t>
            </w:r>
            <w:r w:rsidRPr="00343B1B">
              <w:rPr>
                <w:sz w:val="22"/>
                <w:szCs w:val="22"/>
              </w:rPr>
              <w:lastRenderedPageBreak/>
              <w:t xml:space="preserve">normatīvo aktu pilnveidi) </w:t>
            </w:r>
            <w:r w:rsidRPr="00343B1B">
              <w:rPr>
                <w:color w:val="000000"/>
                <w:sz w:val="22"/>
                <w:szCs w:val="22"/>
              </w:rPr>
              <w:t>nevienlīdzību veselības aprūpes pieejamībā mazināšanai</w:t>
            </w:r>
            <w:r>
              <w:rPr>
                <w:color w:val="000000"/>
                <w:sz w:val="22"/>
                <w:szCs w:val="22"/>
              </w:rPr>
              <w:t xml:space="preserve"> </w:t>
            </w:r>
            <w:r w:rsidRPr="00343B1B">
              <w:rPr>
                <w:color w:val="000000"/>
                <w:sz w:val="22"/>
                <w:szCs w:val="22"/>
              </w:rPr>
              <w:t>(TS 3.</w:t>
            </w:r>
            <w:r>
              <w:rPr>
                <w:color w:val="000000"/>
                <w:sz w:val="22"/>
                <w:szCs w:val="22"/>
              </w:rPr>
              <w:t>8</w:t>
            </w:r>
            <w:r w:rsidRPr="00343B1B">
              <w:rPr>
                <w:color w:val="000000"/>
                <w:sz w:val="22"/>
                <w:szCs w:val="22"/>
              </w:rPr>
              <w:t>.</w:t>
            </w:r>
            <w:r>
              <w:rPr>
                <w:color w:val="000000"/>
                <w:sz w:val="22"/>
                <w:szCs w:val="22"/>
              </w:rPr>
              <w:t>3</w:t>
            </w:r>
            <w:r w:rsidRPr="00343B1B">
              <w:rPr>
                <w:color w:val="000000"/>
                <w:sz w:val="22"/>
                <w:szCs w:val="22"/>
              </w:rPr>
              <w:t>. punkts)</w:t>
            </w:r>
          </w:p>
        </w:tc>
        <w:tc>
          <w:tcPr>
            <w:tcW w:w="2259" w:type="dxa"/>
            <w:shd w:val="clear" w:color="auto" w:fill="auto"/>
          </w:tcPr>
          <w:p w:rsidR="00F177EE" w:rsidRDefault="00F177EE" w:rsidP="00F177EE">
            <w:r w:rsidRPr="00C2014A">
              <w:rPr>
                <w:sz w:val="22"/>
                <w:szCs w:val="22"/>
              </w:rPr>
              <w:lastRenderedPageBreak/>
              <w:t xml:space="preserve">Integrēta analīze (dokumentu analīzes, statistikas datu </w:t>
            </w:r>
            <w:r w:rsidRPr="00C2014A">
              <w:rPr>
                <w:sz w:val="22"/>
                <w:szCs w:val="22"/>
              </w:rPr>
              <w:lastRenderedPageBreak/>
              <w:t>analīzes, ekspertu interviju un fokusa grupu diskusiju rezultātu integrēts novērtējums)</w:t>
            </w:r>
          </w:p>
        </w:tc>
        <w:tc>
          <w:tcPr>
            <w:tcW w:w="3171" w:type="dxa"/>
            <w:shd w:val="clear" w:color="auto" w:fill="auto"/>
          </w:tcPr>
          <w:p w:rsidR="00F177EE" w:rsidRDefault="00F177EE" w:rsidP="00F177EE">
            <w:pPr>
              <w:rPr>
                <w:sz w:val="22"/>
                <w:szCs w:val="22"/>
              </w:rPr>
            </w:pPr>
            <w:r>
              <w:rPr>
                <w:sz w:val="22"/>
                <w:szCs w:val="22"/>
              </w:rPr>
              <w:lastRenderedPageBreak/>
              <w:t xml:space="preserve">Papildus citiem instrumentiem, kas izmantoti 2.1.-2.8. uzdevumu izpildē: </w:t>
            </w:r>
          </w:p>
          <w:p w:rsidR="00F177EE" w:rsidRDefault="00F177EE" w:rsidP="00F177EE">
            <w:pPr>
              <w:rPr>
                <w:sz w:val="22"/>
                <w:szCs w:val="22"/>
              </w:rPr>
            </w:pPr>
            <w:r>
              <w:rPr>
                <w:sz w:val="22"/>
                <w:szCs w:val="22"/>
              </w:rPr>
              <w:lastRenderedPageBreak/>
              <w:t>3.2. Fokusa grupu diskusiju scenārijs</w:t>
            </w:r>
          </w:p>
          <w:p w:rsidR="00F177EE" w:rsidRPr="00343B1B" w:rsidRDefault="00F177EE" w:rsidP="00F177EE">
            <w:pPr>
              <w:rPr>
                <w:sz w:val="22"/>
                <w:szCs w:val="22"/>
              </w:rPr>
            </w:pPr>
          </w:p>
        </w:tc>
      </w:tr>
    </w:tbl>
    <w:p w:rsidR="00F177EE" w:rsidRDefault="00F177EE" w:rsidP="00F177EE">
      <w:pPr>
        <w:rPr>
          <w:b/>
          <w:i/>
          <w:color w:val="0070C0"/>
          <w:sz w:val="22"/>
          <w:szCs w:val="22"/>
        </w:rPr>
      </w:pPr>
    </w:p>
    <w:p w:rsidR="00F177EE" w:rsidRPr="00492FE9" w:rsidRDefault="00F177EE" w:rsidP="004C2E87">
      <w:pPr>
        <w:rPr>
          <w:color w:val="FF0000"/>
        </w:rPr>
      </w:pPr>
      <w:r>
        <w:t>Attiecībā uz Izvērtējumu nevienlīdzības veselības aprūpes jomā TS</w:t>
      </w:r>
      <w:r w:rsidRPr="00501AC1">
        <w:t xml:space="preserve"> </w:t>
      </w:r>
      <w:r w:rsidR="00492FE9">
        <w:t>bija</w:t>
      </w:r>
      <w:r>
        <w:t xml:space="preserve"> </w:t>
      </w:r>
      <w:r w:rsidRPr="00501AC1">
        <w:t xml:space="preserve">noteikts analīzes perioda beigu punkts </w:t>
      </w:r>
      <w:r w:rsidR="00150700">
        <w:t>–</w:t>
      </w:r>
      <w:r w:rsidRPr="00501AC1">
        <w:t xml:space="preserve"> 2018.</w:t>
      </w:r>
      <w:r w:rsidR="00DE1C08">
        <w:t xml:space="preserve"> </w:t>
      </w:r>
      <w:r w:rsidRPr="00501AC1">
        <w:t>gada 1.</w:t>
      </w:r>
      <w:r w:rsidR="00DE1C08">
        <w:t xml:space="preserve"> </w:t>
      </w:r>
      <w:r w:rsidRPr="00501AC1">
        <w:t>pusgad</w:t>
      </w:r>
      <w:r>
        <w:t>s</w:t>
      </w:r>
      <w:r w:rsidRPr="00501AC1">
        <w:t xml:space="preserve">. </w:t>
      </w:r>
      <w:r w:rsidRPr="00182C18">
        <w:t xml:space="preserve">Perioda sākuma atskaites punkts </w:t>
      </w:r>
      <w:r w:rsidR="00182C18" w:rsidRPr="00182C18">
        <w:t>(ne agrāk par 2009.</w:t>
      </w:r>
      <w:r w:rsidR="00DE1C08">
        <w:t xml:space="preserve"> </w:t>
      </w:r>
      <w:r w:rsidR="00182C18" w:rsidRPr="00182C18">
        <w:t xml:space="preserve">gadu) </w:t>
      </w:r>
      <w:r w:rsidRPr="00182C18">
        <w:t>Izvērtējuma gaitā tik</w:t>
      </w:r>
      <w:r w:rsidR="00492FE9" w:rsidRPr="00182C18">
        <w:t>a</w:t>
      </w:r>
      <w:r w:rsidRPr="00182C18">
        <w:t xml:space="preserve"> precizēts pēc būtības, kombinējot dažādu metožu (dokumentu analīze, ekspertu intervijas) pielietojuma rezultātā iegūtās atziņas par noteiktu intervenču ietekmi uz pētāmo jautājumu.</w:t>
      </w:r>
      <w:r w:rsidR="00492FE9">
        <w:t xml:space="preserve"> </w:t>
      </w:r>
    </w:p>
    <w:p w:rsidR="00F177EE" w:rsidRPr="00B87378" w:rsidRDefault="00F177EE" w:rsidP="00E10DA4">
      <w:pPr>
        <w:pStyle w:val="virsrakstslvl4"/>
      </w:pPr>
      <w:bookmarkStart w:id="929" w:name="_Toc528761669"/>
      <w:bookmarkStart w:id="930" w:name="_Toc528762832"/>
      <w:bookmarkStart w:id="931" w:name="_Toc528768890"/>
      <w:bookmarkStart w:id="932" w:name="_Toc528847617"/>
      <w:bookmarkStart w:id="933" w:name="_Toc528930601"/>
      <w:bookmarkStart w:id="934" w:name="_Toc529170549"/>
      <w:bookmarkStart w:id="935" w:name="_Toc529176272"/>
      <w:bookmarkStart w:id="936" w:name="_Toc529180100"/>
      <w:bookmarkStart w:id="937" w:name="_Toc529180345"/>
      <w:bookmarkStart w:id="938" w:name="_Toc531694120"/>
      <w:bookmarkStart w:id="939" w:name="_Toc531856225"/>
      <w:bookmarkStart w:id="940" w:name="_Toc531860014"/>
      <w:bookmarkStart w:id="941" w:name="_Toc535738800"/>
      <w:bookmarkStart w:id="942" w:name="_Toc535741798"/>
      <w:bookmarkStart w:id="943" w:name="_Toc535742151"/>
      <w:bookmarkStart w:id="944" w:name="_Toc535916134"/>
      <w:bookmarkStart w:id="945" w:name="_Toc535922786"/>
      <w:bookmarkStart w:id="946" w:name="_Toc535935089"/>
      <w:bookmarkStart w:id="947" w:name="_Toc788702"/>
      <w:bookmarkStart w:id="948" w:name="_Toc868881"/>
      <w:bookmarkStart w:id="949" w:name="_Toc2761158"/>
      <w:bookmarkStart w:id="950" w:name="_Toc2848265"/>
      <w:bookmarkStart w:id="951" w:name="_Toc6219325"/>
      <w:bookmarkStart w:id="952" w:name="_Toc6220268"/>
      <w:bookmarkStart w:id="953" w:name="_Toc6841696"/>
      <w:r w:rsidRPr="00B87378">
        <w:t>Dokumentu analīze par situāciju veselības aprūpes jomā</w:t>
      </w:r>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rsidR="00F177EE" w:rsidRPr="00B87378" w:rsidRDefault="00F177EE" w:rsidP="00E10DA4">
      <w:pPr>
        <w:pStyle w:val="under"/>
      </w:pPr>
      <w:bookmarkStart w:id="954" w:name="_Toc2761159"/>
      <w:bookmarkStart w:id="955" w:name="_Toc2848266"/>
      <w:bookmarkStart w:id="956" w:name="_Toc6219326"/>
      <w:bookmarkStart w:id="957" w:name="_Toc6220269"/>
      <w:bookmarkStart w:id="958" w:name="_Toc6841697"/>
      <w:r w:rsidRPr="00B87378">
        <w:t>Uzdevums:</w:t>
      </w:r>
      <w:bookmarkEnd w:id="954"/>
      <w:bookmarkEnd w:id="955"/>
      <w:bookmarkEnd w:id="956"/>
      <w:bookmarkEnd w:id="957"/>
      <w:bookmarkEnd w:id="958"/>
    </w:p>
    <w:p w:rsidR="00F177EE" w:rsidRPr="009445BD" w:rsidRDefault="00F177EE" w:rsidP="004C2E87">
      <w:pPr>
        <w:pStyle w:val="ListParagraph"/>
        <w:suppressAutoHyphens/>
        <w:autoSpaceDE w:val="0"/>
        <w:spacing w:line="276" w:lineRule="auto"/>
        <w:jc w:val="both"/>
        <w:rPr>
          <w:color w:val="000000"/>
        </w:rPr>
      </w:pPr>
      <w:r w:rsidRPr="003D3671">
        <w:rPr>
          <w:color w:val="000000"/>
        </w:rPr>
        <w:t>2.1.  R</w:t>
      </w:r>
      <w:r w:rsidRPr="003D3671">
        <w:t xml:space="preserve">aksturot Latvijas iedzīvotāju vispārējo veselības stāvokli, t.sk. sniegt analīzi par iedzīvotāju veselības stāvokļa pašnovērtējumu, sniegt īsu pārskatu par Latvijas veselības aprūpes sistēmas galvenajām problēmām saistībā ar veselības aprūpes pakalpojumu pieejamību, efektivitāti un lietderību, pamatojoties uz Pasaules Bankas pētījumu. </w:t>
      </w:r>
    </w:p>
    <w:p w:rsidR="00F177EE" w:rsidRDefault="00F177EE" w:rsidP="004C2E87">
      <w:pPr>
        <w:suppressAutoHyphens/>
        <w:autoSpaceDE w:val="0"/>
        <w:rPr>
          <w:color w:val="000000"/>
        </w:rPr>
      </w:pPr>
    </w:p>
    <w:p w:rsidR="00F177EE" w:rsidRDefault="00F177EE" w:rsidP="004C2E87">
      <w:pPr>
        <w:suppressAutoHyphens/>
        <w:autoSpaceDE w:val="0"/>
        <w:rPr>
          <w:color w:val="000000"/>
        </w:rPr>
      </w:pPr>
      <w:r>
        <w:rPr>
          <w:color w:val="000000"/>
        </w:rPr>
        <w:t>Šī uzdevuma izpild</w:t>
      </w:r>
      <w:r w:rsidR="005A4E93">
        <w:rPr>
          <w:color w:val="000000"/>
        </w:rPr>
        <w:t xml:space="preserve">ē analizētie dokumenti ir norādīti Izvērtējumā izmantotās literatūras un informācijas avotu sarakstā. </w:t>
      </w:r>
      <w:r>
        <w:rPr>
          <w:color w:val="000000"/>
        </w:rPr>
        <w:t>Dokumentu analīzes metode tik</w:t>
      </w:r>
      <w:r w:rsidR="00492FE9">
        <w:rPr>
          <w:color w:val="000000"/>
        </w:rPr>
        <w:t>a</w:t>
      </w:r>
      <w:r>
        <w:rPr>
          <w:color w:val="000000"/>
        </w:rPr>
        <w:t xml:space="preserve"> papildināta ar ekspertu intervijām, kuru mērķis šajā gadījumā </w:t>
      </w:r>
      <w:r w:rsidR="00492FE9">
        <w:rPr>
          <w:color w:val="000000"/>
        </w:rPr>
        <w:t>bija</w:t>
      </w:r>
      <w:r>
        <w:rPr>
          <w:color w:val="000000"/>
        </w:rPr>
        <w:t xml:space="preserve">, pirmkārt, iegūt padziļinātu izpratni un komentārus par dokumentu analīzes rezultātā identificēto situācijas raksturojumu, otrkārt, iegūt ieteikumus par papildu informācijas avotiem (pētījumiem, prezentācijām, darba grupu materiāliem u.tml.). Ekspertu interviju vadlīnijas skat. </w:t>
      </w:r>
      <w:r w:rsidR="00492FE9">
        <w:rPr>
          <w:color w:val="000000"/>
        </w:rPr>
        <w:t>3</w:t>
      </w:r>
      <w:r>
        <w:rPr>
          <w:color w:val="000000"/>
        </w:rPr>
        <w:t>. pielikumā.</w:t>
      </w:r>
    </w:p>
    <w:p w:rsidR="00F177EE" w:rsidRPr="003B1F4E" w:rsidRDefault="00F177EE" w:rsidP="005A207F">
      <w:pPr>
        <w:pStyle w:val="virsrakstslvl3"/>
      </w:pPr>
      <w:bookmarkStart w:id="959" w:name="_Toc528761670"/>
      <w:bookmarkStart w:id="960" w:name="_Toc528762833"/>
      <w:bookmarkStart w:id="961" w:name="_Toc528768891"/>
      <w:bookmarkStart w:id="962" w:name="_Toc528847618"/>
      <w:bookmarkStart w:id="963" w:name="_Toc528930602"/>
      <w:bookmarkStart w:id="964" w:name="_Toc529170550"/>
      <w:bookmarkStart w:id="965" w:name="_Toc529176273"/>
      <w:bookmarkStart w:id="966" w:name="_Toc529180101"/>
      <w:bookmarkStart w:id="967" w:name="_Toc529180346"/>
      <w:bookmarkStart w:id="968" w:name="_Toc531694121"/>
      <w:bookmarkStart w:id="969" w:name="_Toc531856226"/>
      <w:bookmarkStart w:id="970" w:name="_Toc531860015"/>
      <w:bookmarkStart w:id="971" w:name="_Toc535738801"/>
      <w:bookmarkStart w:id="972" w:name="_Toc535741799"/>
      <w:bookmarkStart w:id="973" w:name="_Toc535742152"/>
      <w:bookmarkStart w:id="974" w:name="_Toc535916135"/>
      <w:bookmarkStart w:id="975" w:name="_Toc535922787"/>
      <w:bookmarkStart w:id="976" w:name="_Toc535935090"/>
      <w:bookmarkStart w:id="977" w:name="_Toc788703"/>
      <w:bookmarkStart w:id="978" w:name="_Toc868882"/>
      <w:r w:rsidRPr="007D29A1">
        <w:t xml:space="preserve">Statistikas datu un apsekojumu datu </w:t>
      </w:r>
      <w:r w:rsidRPr="00962E17">
        <w:t>atlases</w:t>
      </w:r>
      <w:r w:rsidRPr="007D29A1">
        <w:t xml:space="preserve"> un kvalitātes kritēriji veselības aprūpes jomā</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p w:rsidR="00F177EE" w:rsidRPr="00B87378" w:rsidRDefault="00F177EE" w:rsidP="00E10DA4">
      <w:pPr>
        <w:pStyle w:val="under"/>
      </w:pPr>
      <w:bookmarkStart w:id="979" w:name="_Toc2761160"/>
      <w:bookmarkStart w:id="980" w:name="_Toc2848267"/>
      <w:bookmarkStart w:id="981" w:name="_Toc6219327"/>
      <w:bookmarkStart w:id="982" w:name="_Toc6220270"/>
      <w:bookmarkStart w:id="983" w:name="_Toc6841698"/>
      <w:r w:rsidRPr="00B87378">
        <w:t>Uzdevumi:</w:t>
      </w:r>
      <w:bookmarkEnd w:id="979"/>
      <w:bookmarkEnd w:id="980"/>
      <w:bookmarkEnd w:id="981"/>
      <w:bookmarkEnd w:id="982"/>
      <w:bookmarkEnd w:id="983"/>
    </w:p>
    <w:p w:rsidR="00F177EE" w:rsidRPr="00275CE2" w:rsidRDefault="00F177EE" w:rsidP="00496284">
      <w:pPr>
        <w:pStyle w:val="ListParagraph"/>
        <w:suppressAutoHyphens/>
        <w:autoSpaceDE w:val="0"/>
        <w:spacing w:line="276" w:lineRule="auto"/>
        <w:jc w:val="both"/>
        <w:rPr>
          <w:color w:val="000000"/>
        </w:rPr>
      </w:pPr>
      <w:r w:rsidRPr="00275CE2">
        <w:t xml:space="preserve">2.6. </w:t>
      </w:r>
      <w:r w:rsidRPr="00275CE2">
        <w:rPr>
          <w:color w:val="000000"/>
        </w:rPr>
        <w:t>Identificēt un analizēt statistikas datus, kas apliecina konkrētās mērķa grupas veselības stāvokļa raksturojumu un veselības aprūpes pieejamību</w:t>
      </w:r>
      <w:r w:rsidR="00680054">
        <w:rPr>
          <w:color w:val="000000"/>
        </w:rPr>
        <w:t>.</w:t>
      </w:r>
    </w:p>
    <w:p w:rsidR="00F177EE" w:rsidRPr="00275CE2" w:rsidRDefault="00F177EE" w:rsidP="00496284">
      <w:pPr>
        <w:pStyle w:val="ListParagraph"/>
        <w:suppressAutoHyphens/>
        <w:autoSpaceDE w:val="0"/>
        <w:spacing w:line="276" w:lineRule="auto"/>
        <w:jc w:val="both"/>
        <w:rPr>
          <w:color w:val="000000"/>
        </w:rPr>
      </w:pPr>
      <w:r w:rsidRPr="00275CE2">
        <w:t xml:space="preserve">2.7. </w:t>
      </w:r>
      <w:r w:rsidRPr="00275CE2">
        <w:rPr>
          <w:color w:val="000000"/>
        </w:rPr>
        <w:t xml:space="preserve">Veikt datu kvalitātes analīzi (konkrētos aspektus skat. </w:t>
      </w:r>
      <w:r w:rsidR="00680054">
        <w:rPr>
          <w:color w:val="000000"/>
        </w:rPr>
        <w:t>iii</w:t>
      </w:r>
      <w:r w:rsidRPr="00275CE2">
        <w:rPr>
          <w:color w:val="000000"/>
        </w:rPr>
        <w:t>. tabulā)</w:t>
      </w:r>
      <w:r w:rsidR="00680054">
        <w:rPr>
          <w:color w:val="000000"/>
        </w:rPr>
        <w:t>.</w:t>
      </w:r>
    </w:p>
    <w:p w:rsidR="00F177EE" w:rsidRPr="00275CE2" w:rsidRDefault="00F177EE" w:rsidP="00496284">
      <w:pPr>
        <w:pStyle w:val="ListParagraph"/>
        <w:suppressAutoHyphens/>
        <w:autoSpaceDE w:val="0"/>
        <w:spacing w:line="276" w:lineRule="auto"/>
        <w:jc w:val="both"/>
        <w:rPr>
          <w:color w:val="000000"/>
        </w:rPr>
      </w:pPr>
      <w:r w:rsidRPr="00275CE2">
        <w:t>2.8. Identificēt, kuri no datiem turpmāk būtu izmantojami veselības aprūpes nevienlīdzības turpmākai izvērtēšanai un kāda papildus datu vākšana šim nolūkam būtu nepieciešama</w:t>
      </w:r>
      <w:r>
        <w:t>.</w:t>
      </w:r>
    </w:p>
    <w:p w:rsidR="00324B63" w:rsidRDefault="00324B63" w:rsidP="00680054"/>
    <w:p w:rsidR="00F177EE" w:rsidRDefault="00F177EE" w:rsidP="00680054">
      <w:r>
        <w:t>Veselības aprūpes jomā pieejamie statistikas dati kopumā raksturo situāciju šādās perspektīvās:</w:t>
      </w:r>
    </w:p>
    <w:p w:rsidR="00F177EE" w:rsidRPr="00237A29" w:rsidRDefault="00680054" w:rsidP="00586F05">
      <w:pPr>
        <w:pStyle w:val="ListParagraph"/>
        <w:numPr>
          <w:ilvl w:val="0"/>
          <w:numId w:val="39"/>
        </w:numPr>
        <w:spacing w:line="276" w:lineRule="auto"/>
        <w:jc w:val="both"/>
      </w:pPr>
      <w:r>
        <w:t>p</w:t>
      </w:r>
      <w:r w:rsidR="00F177EE" w:rsidRPr="00237A29">
        <w:t xml:space="preserve">akalpojumu sniedzēju </w:t>
      </w:r>
      <w:r w:rsidR="00F177EE">
        <w:t xml:space="preserve">(administratīvā) </w:t>
      </w:r>
      <w:r w:rsidR="00F177EE" w:rsidRPr="00237A29">
        <w:t>perspektīva – iestāžu, veselības aprūpes personāla dažādās grupās skaits un ģeogrāfiskais izvietojums;</w:t>
      </w:r>
    </w:p>
    <w:p w:rsidR="00F177EE" w:rsidRDefault="00680054" w:rsidP="00586F05">
      <w:pPr>
        <w:pStyle w:val="ListParagraph"/>
        <w:numPr>
          <w:ilvl w:val="0"/>
          <w:numId w:val="39"/>
        </w:numPr>
        <w:spacing w:line="276" w:lineRule="auto"/>
        <w:jc w:val="both"/>
      </w:pPr>
      <w:r>
        <w:t>p</w:t>
      </w:r>
      <w:r w:rsidR="00F177EE" w:rsidRPr="00237A29">
        <w:t>akalpojuma saņēmēju perspektīva:</w:t>
      </w:r>
    </w:p>
    <w:p w:rsidR="00F177EE" w:rsidRDefault="00F177EE" w:rsidP="00586F05">
      <w:pPr>
        <w:pStyle w:val="ListParagraph"/>
        <w:numPr>
          <w:ilvl w:val="1"/>
          <w:numId w:val="39"/>
        </w:numPr>
        <w:spacing w:line="276" w:lineRule="auto"/>
        <w:jc w:val="both"/>
      </w:pPr>
      <w:r>
        <w:t>objektīvā (administratīvā) perspektīva: faktiskais pakalpojumu saņēmēju skaits dažādos griezumos (pēc saslimšanas veida, pakalpojuma sniedzēja līmeņa u.tml.);</w:t>
      </w:r>
    </w:p>
    <w:p w:rsidR="00F177EE" w:rsidRPr="00237A29" w:rsidRDefault="00F177EE" w:rsidP="00586F05">
      <w:pPr>
        <w:pStyle w:val="ListParagraph"/>
        <w:numPr>
          <w:ilvl w:val="1"/>
          <w:numId w:val="39"/>
        </w:numPr>
        <w:spacing w:line="276" w:lineRule="auto"/>
        <w:jc w:val="both"/>
      </w:pPr>
      <w:r>
        <w:t>subjektīvā perspektīva: veselības stāvokļa raksturojums, reālās vajadzības, iespējas un šķēršļi izmantot veselības aprūpes pakalpojumus.</w:t>
      </w:r>
    </w:p>
    <w:p w:rsidR="00F177EE" w:rsidRDefault="00F177EE" w:rsidP="00F177EE">
      <w:r>
        <w:lastRenderedPageBreak/>
        <w:t xml:space="preserve">Abu dimensiju administratīvo datu turētāji ir Nacionālais veselības dienests (NVD) un Slimību profilakses un kontroles centrs (SPKC). Balstoties uz NVD datiem, 2015. – 2017. gadā Latvijā tika veikts Pasaules </w:t>
      </w:r>
      <w:r w:rsidR="00680054">
        <w:t>B</w:t>
      </w:r>
      <w:r>
        <w:t>ankas pētījums, kura ietvaros sagatavotie ziņojumi tiks analizēti Izvērtējumā.</w:t>
      </w:r>
    </w:p>
    <w:p w:rsidR="00F177EE" w:rsidRDefault="00F177EE" w:rsidP="00F177EE"/>
    <w:p w:rsidR="00F177EE" w:rsidRPr="00671941" w:rsidRDefault="00F177EE" w:rsidP="00F177EE">
      <w:r>
        <w:t xml:space="preserve">Savukārt pakalpojumu saņēmēju perspektīvu no reālo vajadzību, iespēju un šķēršļu viedokļa raksturo dažādi apsekojumi, no kuriem būtiskākais ir EU-SILC. Veselības aprūpes jomā </w:t>
      </w:r>
      <w:r w:rsidRPr="00671941">
        <w:t>E</w:t>
      </w:r>
      <w:r>
        <w:t>U</w:t>
      </w:r>
      <w:r w:rsidRPr="00671941">
        <w:t xml:space="preserve">-SILC </w:t>
      </w:r>
      <w:r>
        <w:t xml:space="preserve">ikgadēji </w:t>
      </w:r>
      <w:r w:rsidRPr="00671941">
        <w:t xml:space="preserve">sniedz </w:t>
      </w:r>
      <w:r>
        <w:t>iespēju analizēt šādus rādītājus (iekavās noradīti ir mainīgo lielumu indikatoru EU-SILC datnēs):</w:t>
      </w:r>
    </w:p>
    <w:p w:rsidR="00F177EE" w:rsidRPr="00671941" w:rsidRDefault="00680054" w:rsidP="00D03DA0">
      <w:pPr>
        <w:pStyle w:val="ListParagraph"/>
        <w:numPr>
          <w:ilvl w:val="0"/>
          <w:numId w:val="33"/>
        </w:numPr>
        <w:suppressAutoHyphens/>
        <w:autoSpaceDE w:val="0"/>
        <w:spacing w:line="276" w:lineRule="auto"/>
        <w:contextualSpacing w:val="0"/>
        <w:jc w:val="both"/>
      </w:pPr>
      <w:r>
        <w:t>i</w:t>
      </w:r>
      <w:r w:rsidR="00F177EE">
        <w:t>edzīvotāju v</w:t>
      </w:r>
      <w:r w:rsidR="00F177EE" w:rsidRPr="00671941">
        <w:t>eselības pašnovērtējums</w:t>
      </w:r>
      <w:r w:rsidR="00F177EE">
        <w:t xml:space="preserve"> (PH010, PH020, PH030)</w:t>
      </w:r>
      <w:r w:rsidR="00F177EE" w:rsidRPr="00671941">
        <w:t>;</w:t>
      </w:r>
    </w:p>
    <w:p w:rsidR="00F177EE" w:rsidRDefault="00680054" w:rsidP="00D03DA0">
      <w:pPr>
        <w:pStyle w:val="ListParagraph"/>
        <w:numPr>
          <w:ilvl w:val="0"/>
          <w:numId w:val="33"/>
        </w:numPr>
        <w:suppressAutoHyphens/>
        <w:autoSpaceDE w:val="0"/>
        <w:spacing w:line="276" w:lineRule="auto"/>
        <w:contextualSpacing w:val="0"/>
        <w:jc w:val="both"/>
      </w:pPr>
      <w:r>
        <w:t>v</w:t>
      </w:r>
      <w:r w:rsidR="00F177EE" w:rsidRPr="00671941">
        <w:t xml:space="preserve">eselības aprūpes pieejamība </w:t>
      </w:r>
      <w:r w:rsidR="00F177EE">
        <w:t xml:space="preserve">– </w:t>
      </w:r>
      <w:r w:rsidR="00F177EE" w:rsidRPr="00671941">
        <w:t>neapmierinātās vajadzības</w:t>
      </w:r>
      <w:r w:rsidR="0053299E">
        <w:t xml:space="preserve"> (PH040, PH050, PH060, PH070).</w:t>
      </w:r>
    </w:p>
    <w:p w:rsidR="0053299E" w:rsidRDefault="0053299E" w:rsidP="00F177EE"/>
    <w:p w:rsidR="00F177EE" w:rsidRDefault="00F177EE" w:rsidP="00F177EE">
      <w:r>
        <w:t>Papildus tam EU-SILC 2017. gada apsekojumā ir iekļauts modulis „</w:t>
      </w:r>
      <w:r w:rsidRPr="00B06113">
        <w:t>Pieaugušo un bērnu veselība”</w:t>
      </w:r>
      <w:r>
        <w:t>, kas ļauj vēl raksturot:</w:t>
      </w:r>
    </w:p>
    <w:p w:rsidR="0053299E" w:rsidRPr="003A55B4" w:rsidRDefault="0053299E" w:rsidP="00D03DA0">
      <w:pPr>
        <w:pStyle w:val="ListParagraph"/>
        <w:numPr>
          <w:ilvl w:val="0"/>
          <w:numId w:val="33"/>
        </w:numPr>
        <w:spacing w:line="276" w:lineRule="auto"/>
        <w:jc w:val="both"/>
      </w:pPr>
      <w:r>
        <w:t>i</w:t>
      </w:r>
      <w:r w:rsidRPr="003A55B4">
        <w:t>zdevumi par veselības aprūpes pakalpojumiem (HC170);</w:t>
      </w:r>
    </w:p>
    <w:p w:rsidR="0053299E" w:rsidRDefault="0053299E" w:rsidP="00586F05">
      <w:pPr>
        <w:pStyle w:val="ListParagraph"/>
        <w:numPr>
          <w:ilvl w:val="0"/>
          <w:numId w:val="38"/>
        </w:numPr>
        <w:spacing w:line="276" w:lineRule="auto"/>
        <w:jc w:val="both"/>
      </w:pPr>
      <w:r>
        <w:t>p</w:t>
      </w:r>
      <w:r w:rsidRPr="003A55B4">
        <w:t>ašnovērtējums, cik viegli vai apgrūtinoši ir veselības aprūpes pakalpojumu izdevumi (HC180)</w:t>
      </w:r>
    </w:p>
    <w:p w:rsidR="00F177EE" w:rsidRPr="004523D5" w:rsidRDefault="00680054" w:rsidP="00586F05">
      <w:pPr>
        <w:pStyle w:val="ListParagraph"/>
        <w:numPr>
          <w:ilvl w:val="0"/>
          <w:numId w:val="38"/>
        </w:numPr>
        <w:spacing w:line="276" w:lineRule="auto"/>
        <w:jc w:val="both"/>
      </w:pPr>
      <w:r>
        <w:t>f</w:t>
      </w:r>
      <w:r w:rsidR="00F177EE" w:rsidRPr="004523D5">
        <w:t>inansiāls slogs, kas saistīts ar medicīnisko aprūpi (HS200);</w:t>
      </w:r>
    </w:p>
    <w:p w:rsidR="00F177EE" w:rsidRPr="004523D5" w:rsidRDefault="00680054" w:rsidP="00586F05">
      <w:pPr>
        <w:pStyle w:val="ListParagraph"/>
        <w:numPr>
          <w:ilvl w:val="0"/>
          <w:numId w:val="38"/>
        </w:numPr>
        <w:spacing w:line="276" w:lineRule="auto"/>
        <w:jc w:val="both"/>
      </w:pPr>
      <w:r>
        <w:t>f</w:t>
      </w:r>
      <w:r w:rsidR="00F177EE" w:rsidRPr="004523D5">
        <w:t>inansiāls slogs, kas saistīts ar zobārstniecību (HS210);</w:t>
      </w:r>
    </w:p>
    <w:p w:rsidR="00F177EE" w:rsidRPr="004523D5" w:rsidRDefault="00680054" w:rsidP="00586F05">
      <w:pPr>
        <w:pStyle w:val="ListParagraph"/>
        <w:numPr>
          <w:ilvl w:val="0"/>
          <w:numId w:val="38"/>
        </w:numPr>
        <w:spacing w:line="276" w:lineRule="auto"/>
        <w:jc w:val="both"/>
      </w:pPr>
      <w:r>
        <w:t>f</w:t>
      </w:r>
      <w:r w:rsidR="00F177EE" w:rsidRPr="004523D5">
        <w:t>inansiāls slogs, kas saistīts ar zāļu iegādi (HS220);</w:t>
      </w:r>
    </w:p>
    <w:p w:rsidR="00F177EE" w:rsidRPr="004523D5" w:rsidRDefault="00680054" w:rsidP="00586F05">
      <w:pPr>
        <w:pStyle w:val="ListParagraph"/>
        <w:numPr>
          <w:ilvl w:val="0"/>
          <w:numId w:val="38"/>
        </w:numPr>
        <w:spacing w:line="276" w:lineRule="auto"/>
        <w:jc w:val="both"/>
      </w:pPr>
      <w:r>
        <w:t>ķ</w:t>
      </w:r>
      <w:r w:rsidR="00F177EE" w:rsidRPr="004523D5">
        <w:t>ermeņa masas indekss (ĶMI) (PH110);</w:t>
      </w:r>
    </w:p>
    <w:p w:rsidR="00F177EE" w:rsidRPr="004523D5" w:rsidRDefault="00680054" w:rsidP="00586F05">
      <w:pPr>
        <w:pStyle w:val="ListParagraph"/>
        <w:numPr>
          <w:ilvl w:val="0"/>
          <w:numId w:val="38"/>
        </w:numPr>
        <w:spacing w:line="276" w:lineRule="auto"/>
        <w:jc w:val="both"/>
      </w:pPr>
      <w:r>
        <w:t>f</w:t>
      </w:r>
      <w:r w:rsidR="00F177EE" w:rsidRPr="004523D5">
        <w:t>iziskās aktivitātes darbā (PH120);</w:t>
      </w:r>
    </w:p>
    <w:p w:rsidR="00F177EE" w:rsidRPr="004523D5" w:rsidRDefault="00680054" w:rsidP="00586F05">
      <w:pPr>
        <w:pStyle w:val="ListParagraph"/>
        <w:numPr>
          <w:ilvl w:val="0"/>
          <w:numId w:val="38"/>
        </w:numPr>
        <w:spacing w:line="276" w:lineRule="auto"/>
        <w:jc w:val="both"/>
      </w:pPr>
      <w:r>
        <w:t>v</w:t>
      </w:r>
      <w:r w:rsidR="00F177EE" w:rsidRPr="004523D5">
        <w:t>ispārējs veselības stāvoklis (bērni) (RC010T);</w:t>
      </w:r>
    </w:p>
    <w:p w:rsidR="00F177EE" w:rsidRPr="004523D5" w:rsidRDefault="00680054" w:rsidP="00586F05">
      <w:pPr>
        <w:pStyle w:val="ListParagraph"/>
        <w:numPr>
          <w:ilvl w:val="0"/>
          <w:numId w:val="38"/>
        </w:numPr>
        <w:spacing w:line="276" w:lineRule="auto"/>
        <w:jc w:val="both"/>
      </w:pPr>
      <w:r>
        <w:t>d</w:t>
      </w:r>
      <w:r w:rsidR="00F177EE" w:rsidRPr="004523D5">
        <w:t>arbību traucējumi veselības problēmu dēļ (bērni) (RC020T);</w:t>
      </w:r>
    </w:p>
    <w:p w:rsidR="00F177EE" w:rsidRPr="004523D5" w:rsidRDefault="00680054" w:rsidP="00586F05">
      <w:pPr>
        <w:pStyle w:val="ListParagraph"/>
        <w:numPr>
          <w:ilvl w:val="0"/>
          <w:numId w:val="38"/>
        </w:numPr>
        <w:spacing w:line="276" w:lineRule="auto"/>
        <w:jc w:val="both"/>
      </w:pPr>
      <w:r>
        <w:t>v</w:t>
      </w:r>
      <w:r w:rsidR="00F177EE" w:rsidRPr="004523D5">
        <w:t>ajadzīgās medicīniskās pārbaudes vai ārstēšana, kas nav notikušas (bērni) (HC010T);</w:t>
      </w:r>
    </w:p>
    <w:p w:rsidR="00F177EE" w:rsidRPr="004523D5" w:rsidRDefault="00680054" w:rsidP="00586F05">
      <w:pPr>
        <w:pStyle w:val="ListParagraph"/>
        <w:numPr>
          <w:ilvl w:val="0"/>
          <w:numId w:val="38"/>
        </w:numPr>
        <w:spacing w:line="276" w:lineRule="auto"/>
        <w:jc w:val="both"/>
      </w:pPr>
      <w:r>
        <w:t>p</w:t>
      </w:r>
      <w:r w:rsidR="00F177EE" w:rsidRPr="004523D5">
        <w:t>amatiemesls, kādēļ nav notikušas vajadzīgās medicīniskās pārbaudes vai ārstēšana (bērni) (HC020T);</w:t>
      </w:r>
    </w:p>
    <w:p w:rsidR="00F177EE" w:rsidRPr="004523D5" w:rsidRDefault="00680054" w:rsidP="00586F05">
      <w:pPr>
        <w:pStyle w:val="ListParagraph"/>
        <w:numPr>
          <w:ilvl w:val="0"/>
          <w:numId w:val="38"/>
        </w:numPr>
        <w:spacing w:line="276" w:lineRule="auto"/>
        <w:jc w:val="both"/>
      </w:pPr>
      <w:r>
        <w:t>v</w:t>
      </w:r>
      <w:r w:rsidR="00F177EE" w:rsidRPr="004523D5">
        <w:t>ajadzīgās zobārstniecības pārbaudes vai ārstēšana, kas nav notikušas (bērni) (HC030T);</w:t>
      </w:r>
    </w:p>
    <w:p w:rsidR="00F177EE" w:rsidRPr="004523D5" w:rsidRDefault="00680054" w:rsidP="00586F05">
      <w:pPr>
        <w:pStyle w:val="ListParagraph"/>
        <w:numPr>
          <w:ilvl w:val="0"/>
          <w:numId w:val="38"/>
        </w:numPr>
        <w:spacing w:line="276" w:lineRule="auto"/>
        <w:jc w:val="both"/>
      </w:pPr>
      <w:r>
        <w:t>p</w:t>
      </w:r>
      <w:r w:rsidR="00F177EE" w:rsidRPr="004523D5">
        <w:t>amatiemesls, kādēļ nav notikušas vajadzīgās zobārstniecības pārbaudes vai ārstēšana (bērni) (HC040T).</w:t>
      </w:r>
    </w:p>
    <w:p w:rsidR="00F177EE" w:rsidRDefault="00F177EE" w:rsidP="00F177EE"/>
    <w:p w:rsidR="00F177EE" w:rsidRPr="00C06B3A" w:rsidRDefault="00F177EE" w:rsidP="004C2E87">
      <w:r w:rsidRPr="00C06B3A">
        <w:t xml:space="preserve">EU-SILC dati saistībā ar veselības aprūpes jomu </w:t>
      </w:r>
      <w:r w:rsidR="00680054">
        <w:t>ir</w:t>
      </w:r>
      <w:r w:rsidRPr="00C06B3A">
        <w:t xml:space="preserve"> analizēt</w:t>
      </w:r>
      <w:r w:rsidR="00680054">
        <w:t>i</w:t>
      </w:r>
      <w:r w:rsidRPr="00C06B3A">
        <w:t xml:space="preserve"> šķērsgriezumā ar mājsaimniecīb</w:t>
      </w:r>
      <w:r>
        <w:t>u</w:t>
      </w:r>
      <w:r w:rsidRPr="00C06B3A">
        <w:t xml:space="preserve"> </w:t>
      </w:r>
      <w:r>
        <w:t xml:space="preserve">raksturojošām pazīmēm, t.sk. </w:t>
      </w:r>
      <w:r w:rsidRPr="00C06B3A">
        <w:t>materiālās nenodrošinātības un nabadzības risku un ienākumu kvintilēm</w:t>
      </w:r>
      <w:r>
        <w:t xml:space="preserve"> (sk. zemāk arī sociāli demogrāfiskās grupas, kurās jāveic analīze)</w:t>
      </w:r>
      <w:r w:rsidRPr="00C06B3A">
        <w:t>.</w:t>
      </w:r>
      <w:r>
        <w:t xml:space="preserve"> </w:t>
      </w:r>
      <w:r w:rsidR="00182C18" w:rsidRPr="00182C18">
        <w:t>Balstoties uz statistiskas datu</w:t>
      </w:r>
      <w:r w:rsidRPr="00182C18">
        <w:t xml:space="preserve"> analīzi, tik</w:t>
      </w:r>
      <w:r w:rsidR="00680054" w:rsidRPr="00182C18">
        <w:t>a</w:t>
      </w:r>
      <w:r w:rsidRPr="00182C18">
        <w:t xml:space="preserve"> noteikts, kurās mājsaimniecību grupās un kādā apmērā veselības aprūpes pieejamība ir zemāka. Sasaistot šos datus ar dokumentu analīzes rezultātiem, </w:t>
      </w:r>
      <w:r w:rsidR="00680054" w:rsidRPr="00182C18">
        <w:t>ir analizēts</w:t>
      </w:r>
      <w:r w:rsidRPr="00182C18">
        <w:t>, vai rīcībpolitikas iniciatīvas šobrīd spēj sasniegt tās mājsaimniecību grupas, kuras atrodas lielākā apdraudējuma situācijā.</w:t>
      </w:r>
    </w:p>
    <w:p w:rsidR="00F177EE" w:rsidRDefault="00F177EE" w:rsidP="004C2E87"/>
    <w:p w:rsidR="00F177EE" w:rsidRDefault="00F177EE" w:rsidP="004C2E87">
      <w:r>
        <w:t xml:space="preserve">Saskaņā ar TS veselības aprūpes statistikas datu analīze veicama šādās </w:t>
      </w:r>
      <w:r w:rsidR="00680054">
        <w:t xml:space="preserve">mērķa </w:t>
      </w:r>
      <w:r>
        <w:t>grupās:</w:t>
      </w:r>
    </w:p>
    <w:p w:rsidR="00F177EE" w:rsidRPr="00F65AE6" w:rsidRDefault="00F177EE" w:rsidP="00586F05">
      <w:pPr>
        <w:pStyle w:val="ListParagraph"/>
        <w:numPr>
          <w:ilvl w:val="0"/>
          <w:numId w:val="41"/>
        </w:numPr>
        <w:spacing w:line="276" w:lineRule="auto"/>
        <w:jc w:val="both"/>
      </w:pPr>
      <w:r w:rsidRPr="00F65AE6">
        <w:t>pirmspensijas un pensijas vecuma cilvēki;</w:t>
      </w:r>
    </w:p>
    <w:p w:rsidR="00F177EE" w:rsidRPr="00F65AE6" w:rsidRDefault="00F177EE" w:rsidP="00586F05">
      <w:pPr>
        <w:pStyle w:val="ListParagraph"/>
        <w:numPr>
          <w:ilvl w:val="0"/>
          <w:numId w:val="41"/>
        </w:numPr>
        <w:spacing w:line="276" w:lineRule="auto"/>
        <w:jc w:val="both"/>
      </w:pPr>
      <w:r w:rsidRPr="00F65AE6">
        <w:t>ģimenes ar bērniem, īpaši daudzbērnu un nepilnās ģimenes (t.sk. ģimenes ar bērniem, kuriem ir funkcionēšanas ierobežojumi vai invaliditāte);</w:t>
      </w:r>
    </w:p>
    <w:p w:rsidR="00F177EE" w:rsidRPr="00F65AE6" w:rsidRDefault="00F177EE" w:rsidP="00586F05">
      <w:pPr>
        <w:pStyle w:val="ListParagraph"/>
        <w:numPr>
          <w:ilvl w:val="0"/>
          <w:numId w:val="41"/>
        </w:numPr>
        <w:spacing w:line="276" w:lineRule="auto"/>
        <w:jc w:val="both"/>
      </w:pPr>
      <w:r w:rsidRPr="00F65AE6">
        <w:t>bezdarbnieki, īpaši ilgstošie bezdarbnieki;</w:t>
      </w:r>
    </w:p>
    <w:p w:rsidR="00F177EE" w:rsidRPr="00F65AE6" w:rsidRDefault="00F177EE" w:rsidP="00586F05">
      <w:pPr>
        <w:pStyle w:val="ListParagraph"/>
        <w:numPr>
          <w:ilvl w:val="0"/>
          <w:numId w:val="41"/>
        </w:numPr>
        <w:spacing w:line="276" w:lineRule="auto"/>
        <w:jc w:val="both"/>
      </w:pPr>
      <w:r w:rsidRPr="00F65AE6">
        <w:lastRenderedPageBreak/>
        <w:t>trūcīgās un maznodrošinātās personas;</w:t>
      </w:r>
    </w:p>
    <w:p w:rsidR="00F177EE" w:rsidRPr="00F65AE6" w:rsidRDefault="00F177EE" w:rsidP="00586F05">
      <w:pPr>
        <w:pStyle w:val="ListParagraph"/>
        <w:numPr>
          <w:ilvl w:val="0"/>
          <w:numId w:val="41"/>
        </w:numPr>
        <w:spacing w:line="276" w:lineRule="auto"/>
        <w:jc w:val="both"/>
      </w:pPr>
      <w:r w:rsidRPr="00F65AE6">
        <w:t>personas ar funkcionēšanas ierobežojumiem, tai skaitā personas ar invaliditāti (visas invaliditātes grupas un traucējumu veidi; bērni, darbspējas un virs darbspējas vecuma dzimumu griezumā);</w:t>
      </w:r>
    </w:p>
    <w:p w:rsidR="00F177EE" w:rsidRPr="00F65AE6" w:rsidRDefault="00F177EE" w:rsidP="00586F05">
      <w:pPr>
        <w:pStyle w:val="ListParagraph"/>
        <w:numPr>
          <w:ilvl w:val="0"/>
          <w:numId w:val="41"/>
        </w:numPr>
        <w:spacing w:line="276" w:lineRule="auto"/>
        <w:jc w:val="both"/>
      </w:pPr>
      <w:r w:rsidRPr="00F65AE6">
        <w:t>lauku teritorijās dzīvojošie;</w:t>
      </w:r>
    </w:p>
    <w:p w:rsidR="00F177EE" w:rsidRPr="00F65AE6" w:rsidRDefault="00F177EE" w:rsidP="00586F05">
      <w:pPr>
        <w:pStyle w:val="ListParagraph"/>
        <w:numPr>
          <w:ilvl w:val="0"/>
          <w:numId w:val="41"/>
        </w:numPr>
        <w:spacing w:line="276" w:lineRule="auto"/>
        <w:jc w:val="both"/>
      </w:pPr>
      <w:r w:rsidRPr="00F65AE6">
        <w:t>vardarbībā cietušās personas, t.sk. cilvēktirdzniecības upuri;</w:t>
      </w:r>
    </w:p>
    <w:p w:rsidR="00F177EE" w:rsidRPr="00F65AE6" w:rsidRDefault="00F177EE" w:rsidP="00586F05">
      <w:pPr>
        <w:pStyle w:val="ListParagraph"/>
        <w:numPr>
          <w:ilvl w:val="0"/>
          <w:numId w:val="41"/>
        </w:numPr>
        <w:spacing w:line="276" w:lineRule="auto"/>
        <w:jc w:val="both"/>
      </w:pPr>
      <w:r w:rsidRPr="00F65AE6">
        <w:t>bezpajumtnieki;</w:t>
      </w:r>
    </w:p>
    <w:p w:rsidR="00F177EE" w:rsidRPr="00F65AE6" w:rsidRDefault="00F177EE" w:rsidP="00586F05">
      <w:pPr>
        <w:pStyle w:val="ListParagraph"/>
        <w:numPr>
          <w:ilvl w:val="0"/>
          <w:numId w:val="41"/>
        </w:numPr>
        <w:spacing w:line="276" w:lineRule="auto"/>
        <w:jc w:val="both"/>
      </w:pPr>
      <w:r w:rsidRPr="00F65AE6">
        <w:t>no ieslodzījuma vietām atbrīvotās personas;</w:t>
      </w:r>
    </w:p>
    <w:p w:rsidR="00F177EE" w:rsidRPr="00F65AE6" w:rsidRDefault="00F177EE" w:rsidP="00586F05">
      <w:pPr>
        <w:pStyle w:val="ListParagraph"/>
        <w:numPr>
          <w:ilvl w:val="0"/>
          <w:numId w:val="41"/>
        </w:numPr>
        <w:spacing w:line="276" w:lineRule="auto"/>
        <w:jc w:val="both"/>
      </w:pPr>
      <w:r w:rsidRPr="00F65AE6">
        <w:t>romi;</w:t>
      </w:r>
    </w:p>
    <w:p w:rsidR="00F177EE" w:rsidRPr="00F65AE6" w:rsidRDefault="00F177EE" w:rsidP="00586F05">
      <w:pPr>
        <w:pStyle w:val="ListParagraph"/>
        <w:numPr>
          <w:ilvl w:val="0"/>
          <w:numId w:val="41"/>
        </w:numPr>
        <w:spacing w:line="276" w:lineRule="auto"/>
        <w:jc w:val="both"/>
      </w:pPr>
      <w:r w:rsidRPr="00F65AE6">
        <w:t>patvēruma meklētāji, bēgļi un personas ar alternatīvo statusu.</w:t>
      </w:r>
    </w:p>
    <w:p w:rsidR="00F177EE" w:rsidRPr="00C06B3A" w:rsidRDefault="00F177EE" w:rsidP="004C2E87"/>
    <w:p w:rsidR="00F177EE" w:rsidRPr="00733F58" w:rsidRDefault="00680054" w:rsidP="004C2E87">
      <w:pPr>
        <w:rPr>
          <w:color w:val="FF0000"/>
        </w:rPr>
      </w:pPr>
      <w:r w:rsidRPr="00733F58">
        <w:t>N</w:t>
      </w:r>
      <w:r w:rsidR="00F177EE" w:rsidRPr="00733F58">
        <w:t xml:space="preserve">oteiktās </w:t>
      </w:r>
      <w:r w:rsidRPr="00733F58">
        <w:t xml:space="preserve">mērķa </w:t>
      </w:r>
      <w:r w:rsidR="00F177EE" w:rsidRPr="00733F58">
        <w:t>grupās veselības aprūpes statistikas datu pieejamība, lai raksturotu nevienlīdzību veselības aprūpes jomā, ir ierobežota (vai vispār nav identificēta). Šīs mērķa grupas ir:</w:t>
      </w:r>
    </w:p>
    <w:p w:rsidR="00F177EE" w:rsidRPr="00733F58" w:rsidRDefault="00F177EE" w:rsidP="00586F05">
      <w:pPr>
        <w:numPr>
          <w:ilvl w:val="0"/>
          <w:numId w:val="37"/>
        </w:numPr>
      </w:pPr>
      <w:r w:rsidRPr="00733F58">
        <w:t>personas ar funkcionēšanas ierobežojumiem, tai skaitā personas ar invaliditāti (visas invaliditātes grupas un traucējumu veidi; bērni, darbspējas un virs darb</w:t>
      </w:r>
      <w:r w:rsidR="00680054" w:rsidRPr="00733F58">
        <w:t>spējas vecuma dzimumu griezumā),</w:t>
      </w:r>
    </w:p>
    <w:p w:rsidR="00F177EE" w:rsidRPr="00F65AE6" w:rsidRDefault="00F177EE" w:rsidP="00586F05">
      <w:pPr>
        <w:numPr>
          <w:ilvl w:val="0"/>
          <w:numId w:val="37"/>
        </w:numPr>
      </w:pPr>
      <w:r w:rsidRPr="00F65AE6">
        <w:t>vardarbībā cietušās personas,</w:t>
      </w:r>
    </w:p>
    <w:p w:rsidR="00F177EE" w:rsidRPr="00F65AE6" w:rsidRDefault="00F177EE" w:rsidP="00586F05">
      <w:pPr>
        <w:numPr>
          <w:ilvl w:val="0"/>
          <w:numId w:val="37"/>
        </w:numPr>
      </w:pPr>
      <w:r w:rsidRPr="00F65AE6">
        <w:t>bezpajumtnieki,</w:t>
      </w:r>
    </w:p>
    <w:p w:rsidR="00F177EE" w:rsidRPr="00F65AE6" w:rsidRDefault="00F177EE" w:rsidP="00586F05">
      <w:pPr>
        <w:numPr>
          <w:ilvl w:val="0"/>
          <w:numId w:val="37"/>
        </w:numPr>
      </w:pPr>
      <w:r w:rsidRPr="00F65AE6">
        <w:t>no ieslodzījuma vietām atbrīvotās personas,</w:t>
      </w:r>
    </w:p>
    <w:p w:rsidR="00F177EE" w:rsidRPr="00F65AE6" w:rsidRDefault="00F177EE" w:rsidP="00586F05">
      <w:pPr>
        <w:numPr>
          <w:ilvl w:val="0"/>
          <w:numId w:val="37"/>
        </w:numPr>
      </w:pPr>
      <w:r w:rsidRPr="00F65AE6">
        <w:t>romi,</w:t>
      </w:r>
    </w:p>
    <w:p w:rsidR="00F177EE" w:rsidRPr="00F65AE6" w:rsidRDefault="00F177EE" w:rsidP="00586F05">
      <w:pPr>
        <w:numPr>
          <w:ilvl w:val="0"/>
          <w:numId w:val="37"/>
        </w:numPr>
      </w:pPr>
      <w:r w:rsidRPr="00F65AE6">
        <w:t>starptautiskās aizsardzības personas.</w:t>
      </w:r>
    </w:p>
    <w:p w:rsidR="00F177EE" w:rsidRDefault="00F177EE" w:rsidP="004C2E87"/>
    <w:p w:rsidR="00F177EE" w:rsidRDefault="00F177EE" w:rsidP="004C2E87">
      <w:r>
        <w:t>Tā kā veselības aprūpes jomā aptverts plašāks laika posms, tad Izvērtējuma izpildes gaitā tik</w:t>
      </w:r>
      <w:r w:rsidR="00680054">
        <w:t xml:space="preserve">a </w:t>
      </w:r>
      <w:r>
        <w:t xml:space="preserve">apzināti pēdējo desmit gadu ilgā laika posmā veiktie pētījumi, kas </w:t>
      </w:r>
      <w:r w:rsidR="00680054">
        <w:t>sniedz</w:t>
      </w:r>
      <w:r>
        <w:t xml:space="preserve"> daļēju situācijas raksturojumu par minēto mērķa grupu veselības stāvokli un nevienlīdzību veselības aprūpes jomā. Piemēram, papildu informācija tik</w:t>
      </w:r>
      <w:r w:rsidR="00680054">
        <w:t>a</w:t>
      </w:r>
      <w:r>
        <w:t xml:space="preserve"> iegūta, </w:t>
      </w:r>
      <w:r w:rsidRPr="002229C6">
        <w:t>veicot intervijas ar ekspertiem,</w:t>
      </w:r>
      <w:r>
        <w:t xml:space="preserve"> kuru ietvaros</w:t>
      </w:r>
      <w:r w:rsidRPr="002229C6">
        <w:t xml:space="preserve"> tik</w:t>
      </w:r>
      <w:r w:rsidR="00680054">
        <w:t xml:space="preserve">a </w:t>
      </w:r>
      <w:r w:rsidRPr="002229C6">
        <w:t>apzināti ekspertiem zināmi papildu datu avoti</w:t>
      </w:r>
      <w:r w:rsidR="00680054">
        <w:t xml:space="preserve"> (sk. Informācijas avotu saraksts).</w:t>
      </w:r>
    </w:p>
    <w:p w:rsidR="00F177EE" w:rsidRDefault="00F177EE" w:rsidP="004C2E87"/>
    <w:p w:rsidR="00F177EE" w:rsidRDefault="00F177EE" w:rsidP="004C2E87">
      <w:r>
        <w:rPr>
          <w:color w:val="000000"/>
        </w:rPr>
        <w:t>2.7.</w:t>
      </w:r>
      <w:r w:rsidRPr="00B241FE">
        <w:rPr>
          <w:color w:val="000000"/>
        </w:rPr>
        <w:t xml:space="preserve"> </w:t>
      </w:r>
      <w:r>
        <w:rPr>
          <w:color w:val="000000"/>
        </w:rPr>
        <w:t>uzdevums</w:t>
      </w:r>
      <w:r w:rsidR="00680054">
        <w:rPr>
          <w:color w:val="000000"/>
        </w:rPr>
        <w:t xml:space="preserve"> </w:t>
      </w:r>
      <w:r w:rsidR="00150700">
        <w:rPr>
          <w:color w:val="000000"/>
        </w:rPr>
        <w:t>–</w:t>
      </w:r>
      <w:r w:rsidR="00680054">
        <w:rPr>
          <w:color w:val="000000"/>
        </w:rPr>
        <w:t xml:space="preserve"> datu kvalitātes analīze </w:t>
      </w:r>
      <w:r w:rsidR="00150700">
        <w:rPr>
          <w:color w:val="000000"/>
        </w:rPr>
        <w:t>–</w:t>
      </w:r>
      <w:r>
        <w:rPr>
          <w:color w:val="000000"/>
        </w:rPr>
        <w:t xml:space="preserve"> </w:t>
      </w:r>
      <w:r w:rsidRPr="00B241FE">
        <w:rPr>
          <w:color w:val="000000"/>
        </w:rPr>
        <w:t>tik</w:t>
      </w:r>
      <w:r w:rsidR="00680054">
        <w:rPr>
          <w:color w:val="000000"/>
        </w:rPr>
        <w:t>a</w:t>
      </w:r>
      <w:r w:rsidRPr="00B241FE">
        <w:rPr>
          <w:color w:val="000000"/>
        </w:rPr>
        <w:t xml:space="preserve"> veikts</w:t>
      </w:r>
      <w:r w:rsidRPr="00B241FE">
        <w:t xml:space="preserve">, balstoties uz zemāk minētajiem </w:t>
      </w:r>
      <w:r w:rsidR="00680054">
        <w:t>kritērijiem</w:t>
      </w:r>
      <w:r w:rsidRPr="00B241FE">
        <w:t xml:space="preserve">. Šie </w:t>
      </w:r>
      <w:r w:rsidR="00680054">
        <w:t>kritēriji</w:t>
      </w:r>
      <w:r w:rsidRPr="00B241FE">
        <w:t xml:space="preserve"> apraksta, kādi faktori nosaka statistikas un apsekojumu datu kvalitāti, un kādi aspekti jāņem vērā, izmantojot vienu vai otru avotu</w:t>
      </w:r>
      <w:r w:rsidRPr="00043E0F">
        <w:t xml:space="preserve"> par novērtējuma indikatoru.</w:t>
      </w:r>
      <w:r>
        <w:t xml:space="preserve"> </w:t>
      </w:r>
      <w:r w:rsidR="00680054">
        <w:t>Datu kvalitātes novērtējuma kritēriji ir:</w:t>
      </w:r>
    </w:p>
    <w:p w:rsidR="00F177EE" w:rsidRDefault="00F177EE" w:rsidP="00586F05">
      <w:pPr>
        <w:pStyle w:val="ListParagraph"/>
        <w:numPr>
          <w:ilvl w:val="0"/>
          <w:numId w:val="40"/>
        </w:numPr>
        <w:spacing w:line="276" w:lineRule="auto"/>
        <w:jc w:val="both"/>
      </w:pPr>
      <w:r w:rsidRPr="00043E0F">
        <w:t>Datu avota uzticamība un datu iegūšanu raksturojošās informācijas pārskatāmība:</w:t>
      </w:r>
    </w:p>
    <w:p w:rsidR="00F177EE" w:rsidRDefault="00F177EE" w:rsidP="00586F05">
      <w:pPr>
        <w:pStyle w:val="ListParagraph"/>
        <w:numPr>
          <w:ilvl w:val="1"/>
          <w:numId w:val="40"/>
        </w:numPr>
        <w:spacing w:line="276" w:lineRule="auto"/>
        <w:jc w:val="both"/>
      </w:pPr>
      <w:r>
        <w:t>Iestādes, kas veikusi datu vākšanu, profesionalitāte (likumā vai līgumā noteikts deleģējums vākt konkrētos datus, specializācija);</w:t>
      </w:r>
    </w:p>
    <w:p w:rsidR="00F177EE" w:rsidRDefault="00F177EE" w:rsidP="00586F05">
      <w:pPr>
        <w:pStyle w:val="ListParagraph"/>
        <w:numPr>
          <w:ilvl w:val="1"/>
          <w:numId w:val="40"/>
        </w:numPr>
        <w:spacing w:line="276" w:lineRule="auto"/>
        <w:jc w:val="both"/>
      </w:pPr>
      <w:r>
        <w:t>Pakāpe, kādā iestādei vai organizācijai ir pieejami visi dati par mērāmo jomu;</w:t>
      </w:r>
    </w:p>
    <w:p w:rsidR="00F177EE" w:rsidRDefault="00F177EE" w:rsidP="00586F05">
      <w:pPr>
        <w:pStyle w:val="ListParagraph"/>
        <w:numPr>
          <w:ilvl w:val="1"/>
          <w:numId w:val="40"/>
        </w:numPr>
        <w:spacing w:line="276" w:lineRule="auto"/>
        <w:jc w:val="both"/>
      </w:pPr>
      <w:r>
        <w:t>Datu vākšanas sākotnējais mērķis vai nolūks;</w:t>
      </w:r>
    </w:p>
    <w:p w:rsidR="00F177EE" w:rsidRDefault="00F177EE" w:rsidP="00586F05">
      <w:pPr>
        <w:pStyle w:val="ListParagraph"/>
        <w:numPr>
          <w:ilvl w:val="0"/>
          <w:numId w:val="40"/>
        </w:numPr>
        <w:spacing w:line="276" w:lineRule="auto"/>
        <w:jc w:val="both"/>
      </w:pPr>
      <w:r>
        <w:t>Iegūto datu kvalitāte:</w:t>
      </w:r>
    </w:p>
    <w:p w:rsidR="00F177EE" w:rsidRDefault="00F177EE" w:rsidP="00586F05">
      <w:pPr>
        <w:pStyle w:val="ListParagraph"/>
        <w:numPr>
          <w:ilvl w:val="1"/>
          <w:numId w:val="40"/>
        </w:numPr>
        <w:spacing w:line="276" w:lineRule="auto"/>
        <w:jc w:val="both"/>
      </w:pPr>
      <w:r>
        <w:t>Metodes, kādas ir pielietotas datu ieguvē, šo metožu priekšrocību un trūkumu izvērtējums (aptauju gadījumā: ģenerālā kopuma definīcija, izlases vienības definīcija, pielietotā izlases metode, aptaujas metode, sasniegto respondentu skaits un nerespondences rādītāji);</w:t>
      </w:r>
    </w:p>
    <w:p w:rsidR="00F177EE" w:rsidRDefault="00F177EE" w:rsidP="00586F05">
      <w:pPr>
        <w:pStyle w:val="ListParagraph"/>
        <w:numPr>
          <w:ilvl w:val="1"/>
          <w:numId w:val="40"/>
        </w:numPr>
        <w:spacing w:line="276" w:lineRule="auto"/>
        <w:jc w:val="both"/>
      </w:pPr>
      <w:r>
        <w:t>Mērījuma precizitāte;</w:t>
      </w:r>
    </w:p>
    <w:p w:rsidR="00F177EE" w:rsidRDefault="00F177EE" w:rsidP="00586F05">
      <w:pPr>
        <w:pStyle w:val="ListParagraph"/>
        <w:numPr>
          <w:ilvl w:val="1"/>
          <w:numId w:val="40"/>
        </w:numPr>
        <w:spacing w:line="276" w:lineRule="auto"/>
        <w:jc w:val="both"/>
      </w:pPr>
      <w:r>
        <w:lastRenderedPageBreak/>
        <w:t>Mērījuma atbilstība izvērtējuma mērķim (t.sk. aptvertajam laika posmam);</w:t>
      </w:r>
    </w:p>
    <w:p w:rsidR="00F177EE" w:rsidRDefault="00F177EE" w:rsidP="00586F05">
      <w:pPr>
        <w:pStyle w:val="ListParagraph"/>
        <w:numPr>
          <w:ilvl w:val="1"/>
          <w:numId w:val="40"/>
        </w:numPr>
        <w:spacing w:line="276" w:lineRule="auto"/>
        <w:jc w:val="both"/>
      </w:pPr>
      <w:r>
        <w:t>Datu (atkārtotas/ regulāras) iegūšanas procesa sarežģītība (komplicētība);</w:t>
      </w:r>
    </w:p>
    <w:p w:rsidR="00F177EE" w:rsidRDefault="00F177EE" w:rsidP="00586F05">
      <w:pPr>
        <w:pStyle w:val="ListParagraph"/>
        <w:numPr>
          <w:ilvl w:val="0"/>
          <w:numId w:val="40"/>
        </w:numPr>
        <w:spacing w:line="276" w:lineRule="auto"/>
        <w:jc w:val="both"/>
      </w:pPr>
      <w:r>
        <w:t>Datu savietojamība:</w:t>
      </w:r>
    </w:p>
    <w:p w:rsidR="00F177EE" w:rsidRDefault="00F177EE" w:rsidP="00586F05">
      <w:pPr>
        <w:pStyle w:val="ListParagraph"/>
        <w:numPr>
          <w:ilvl w:val="1"/>
          <w:numId w:val="40"/>
        </w:numPr>
        <w:spacing w:line="276" w:lineRule="auto"/>
        <w:jc w:val="both"/>
      </w:pPr>
      <w:r>
        <w:t>Datu salīdzināmības iespējas laikā un telpā;</w:t>
      </w:r>
    </w:p>
    <w:p w:rsidR="00F177EE" w:rsidRDefault="00F177EE" w:rsidP="00586F05">
      <w:pPr>
        <w:pStyle w:val="ListParagraph"/>
        <w:numPr>
          <w:ilvl w:val="1"/>
          <w:numId w:val="40"/>
        </w:numPr>
        <w:spacing w:line="276" w:lineRule="auto"/>
        <w:jc w:val="both"/>
      </w:pPr>
      <w:r>
        <w:t>Mērīto indikatoru stabilitāte (mērīšanas tehnoloģijas nemainīgums);</w:t>
      </w:r>
    </w:p>
    <w:p w:rsidR="00F177EE" w:rsidRDefault="00F177EE" w:rsidP="00586F05">
      <w:pPr>
        <w:pStyle w:val="ListParagraph"/>
        <w:numPr>
          <w:ilvl w:val="1"/>
          <w:numId w:val="40"/>
        </w:numPr>
        <w:spacing w:line="276" w:lineRule="auto"/>
        <w:jc w:val="both"/>
      </w:pPr>
      <w:r>
        <w:t>Mērīto indikatoru jūtīgums pret sociālās situācijas (realitātes) izmaiņām;</w:t>
      </w:r>
    </w:p>
    <w:p w:rsidR="00F177EE" w:rsidRDefault="00F177EE" w:rsidP="00586F05">
      <w:pPr>
        <w:pStyle w:val="ListParagraph"/>
        <w:numPr>
          <w:ilvl w:val="1"/>
          <w:numId w:val="40"/>
        </w:numPr>
        <w:spacing w:line="276" w:lineRule="auto"/>
        <w:jc w:val="both"/>
      </w:pPr>
      <w:r>
        <w:t>Dažādu datu avotu un indikatoru spēja papildināt vienam otru (vai arī pārklāšanās/ dublēšanās);</w:t>
      </w:r>
    </w:p>
    <w:p w:rsidR="00F177EE" w:rsidRPr="00043E0F" w:rsidRDefault="00F177EE" w:rsidP="00586F05">
      <w:pPr>
        <w:pStyle w:val="ListParagraph"/>
        <w:numPr>
          <w:ilvl w:val="1"/>
          <w:numId w:val="40"/>
        </w:numPr>
        <w:spacing w:line="276" w:lineRule="auto"/>
        <w:jc w:val="both"/>
      </w:pPr>
      <w:r>
        <w:t>Dažādu datu avotu un indikatoru savietojamība kompleksas analīzes vajadzībām.</w:t>
      </w:r>
    </w:p>
    <w:p w:rsidR="00F177EE" w:rsidRDefault="00F177EE" w:rsidP="004C2E87">
      <w:pPr>
        <w:rPr>
          <w:color w:val="000000"/>
        </w:rPr>
      </w:pPr>
    </w:p>
    <w:p w:rsidR="00F177EE" w:rsidRDefault="00F177EE" w:rsidP="004C2E87">
      <w:r w:rsidRPr="00150700">
        <w:rPr>
          <w:color w:val="000000"/>
        </w:rPr>
        <w:t>2.8. uzdevuma izpilde tik</w:t>
      </w:r>
      <w:r w:rsidR="003E6944" w:rsidRPr="00150700">
        <w:rPr>
          <w:color w:val="000000"/>
        </w:rPr>
        <w:t>a</w:t>
      </w:r>
      <w:r w:rsidRPr="00150700">
        <w:rPr>
          <w:color w:val="000000"/>
        </w:rPr>
        <w:t xml:space="preserve"> </w:t>
      </w:r>
      <w:r w:rsidRPr="00150700">
        <w:t xml:space="preserve">balstīta uz 2.7. uzdevumā veikto analīzi. </w:t>
      </w:r>
      <w:r w:rsidR="00150700" w:rsidRPr="00150700">
        <w:t>D</w:t>
      </w:r>
      <w:r w:rsidRPr="00150700">
        <w:t>atu avot</w:t>
      </w:r>
      <w:r w:rsidR="00150700" w:rsidRPr="00150700">
        <w:t>i</w:t>
      </w:r>
      <w:r w:rsidRPr="00150700">
        <w:t>, kur</w:t>
      </w:r>
      <w:r w:rsidR="00150700" w:rsidRPr="00150700">
        <w:t>i</w:t>
      </w:r>
      <w:r w:rsidRPr="00150700">
        <w:t xml:space="preserve"> tiks ietvert</w:t>
      </w:r>
      <w:r w:rsidR="00150700" w:rsidRPr="00150700">
        <w:t>i</w:t>
      </w:r>
      <w:r w:rsidRPr="00150700">
        <w:t xml:space="preserve"> Izvērtējumā, tik</w:t>
      </w:r>
      <w:r w:rsidR="003E6944" w:rsidRPr="00150700">
        <w:t>a</w:t>
      </w:r>
      <w:r w:rsidRPr="00150700">
        <w:t xml:space="preserve"> sistemātiski </w:t>
      </w:r>
      <w:r w:rsidR="00150700" w:rsidRPr="00150700">
        <w:t>aplūkoti</w:t>
      </w:r>
      <w:r w:rsidRPr="00150700">
        <w:t xml:space="preserve"> </w:t>
      </w:r>
      <w:r w:rsidR="003E6944" w:rsidRPr="00150700">
        <w:t>no</w:t>
      </w:r>
      <w:r w:rsidRPr="00150700">
        <w:t>vērtējuma tabula</w:t>
      </w:r>
      <w:r w:rsidR="00150700" w:rsidRPr="00150700">
        <w:t>s</w:t>
      </w:r>
      <w:r w:rsidRPr="00150700">
        <w:t xml:space="preserve"> </w:t>
      </w:r>
      <w:r w:rsidR="00150700" w:rsidRPr="00150700">
        <w:t>veidā</w:t>
      </w:r>
      <w:r w:rsidRPr="00150700">
        <w:t>. Balstoties katra avota detalizēto</w:t>
      </w:r>
      <w:r w:rsidRPr="00182C18">
        <w:t xml:space="preserve"> </w:t>
      </w:r>
      <w:r w:rsidR="003E6944" w:rsidRPr="00182C18">
        <w:t>no</w:t>
      </w:r>
      <w:r w:rsidRPr="00182C18">
        <w:t>vērtējumu, tik</w:t>
      </w:r>
      <w:r w:rsidR="003E6944" w:rsidRPr="00182C18">
        <w:t>a</w:t>
      </w:r>
      <w:r w:rsidRPr="00182C18">
        <w:t xml:space="preserve"> formulēti secinājumi un ieteikumi par </w:t>
      </w:r>
      <w:r w:rsidRPr="00297C34">
        <w:t xml:space="preserve">datiem, kas izmantojami </w:t>
      </w:r>
      <w:r w:rsidRPr="00297C34">
        <w:rPr>
          <w:color w:val="000000"/>
        </w:rPr>
        <w:t xml:space="preserve">veselības aprūpes nevienlīdzības turpmākai izvērtēšanai </w:t>
      </w:r>
      <w:r w:rsidR="003E6944" w:rsidRPr="00297C34">
        <w:t xml:space="preserve">(sk. arī </w:t>
      </w:r>
      <w:r w:rsidR="00A835E5" w:rsidRPr="00297C34">
        <w:t>2.1.4.</w:t>
      </w:r>
      <w:r w:rsidR="003E6944" w:rsidRPr="00297C34">
        <w:t xml:space="preserve"> </w:t>
      </w:r>
      <w:r w:rsidR="00A835E5" w:rsidRPr="00297C34">
        <w:t>sa</w:t>
      </w:r>
      <w:r w:rsidR="003E6944" w:rsidRPr="00297C34">
        <w:t>daļu)</w:t>
      </w:r>
      <w:r w:rsidR="00A835E5" w:rsidRPr="00297C34">
        <w:t>.</w:t>
      </w:r>
    </w:p>
    <w:p w:rsidR="00F177EE" w:rsidRPr="003B1F4E" w:rsidRDefault="00F177EE" w:rsidP="005A207F">
      <w:pPr>
        <w:pStyle w:val="virsrakstslvl3"/>
      </w:pPr>
      <w:bookmarkStart w:id="984" w:name="_Toc528761671"/>
      <w:bookmarkStart w:id="985" w:name="_Toc528762834"/>
      <w:bookmarkStart w:id="986" w:name="_Toc528768892"/>
      <w:bookmarkStart w:id="987" w:name="_Toc528847619"/>
      <w:bookmarkStart w:id="988" w:name="_Toc528930603"/>
      <w:bookmarkStart w:id="989" w:name="_Toc529170551"/>
      <w:bookmarkStart w:id="990" w:name="_Toc529176274"/>
      <w:bookmarkStart w:id="991" w:name="_Toc529180102"/>
      <w:bookmarkStart w:id="992" w:name="_Toc529180347"/>
      <w:bookmarkStart w:id="993" w:name="_Toc531694122"/>
      <w:bookmarkStart w:id="994" w:name="_Toc531856227"/>
      <w:bookmarkStart w:id="995" w:name="_Toc531860016"/>
      <w:bookmarkStart w:id="996" w:name="_Toc535738802"/>
      <w:bookmarkStart w:id="997" w:name="_Toc535741800"/>
      <w:bookmarkStart w:id="998" w:name="_Toc535742153"/>
      <w:bookmarkStart w:id="999" w:name="_Toc535916136"/>
      <w:bookmarkStart w:id="1000" w:name="_Toc535922788"/>
      <w:bookmarkStart w:id="1001" w:name="_Toc535935091"/>
      <w:bookmarkStart w:id="1002" w:name="_Toc788704"/>
      <w:bookmarkStart w:id="1003" w:name="_Toc868883"/>
      <w:r w:rsidRPr="00021783">
        <w:t>Normatīvo aktu un politikas plānošanas dokumentu atlases un analīzes kritēriji veselības aprūpes jomā</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r w:rsidRPr="00021783">
        <w:t xml:space="preserve"> </w:t>
      </w:r>
    </w:p>
    <w:p w:rsidR="00F177EE" w:rsidRPr="00B87378" w:rsidRDefault="00F177EE" w:rsidP="00E10DA4">
      <w:pPr>
        <w:pStyle w:val="under"/>
      </w:pPr>
      <w:bookmarkStart w:id="1004" w:name="_Toc2761161"/>
      <w:bookmarkStart w:id="1005" w:name="_Toc2848268"/>
      <w:bookmarkStart w:id="1006" w:name="_Toc6219328"/>
      <w:bookmarkStart w:id="1007" w:name="_Toc6220271"/>
      <w:bookmarkStart w:id="1008" w:name="_Toc6841699"/>
      <w:r w:rsidRPr="00B87378">
        <w:t>Uzdevumi:</w:t>
      </w:r>
      <w:bookmarkEnd w:id="1004"/>
      <w:bookmarkEnd w:id="1005"/>
      <w:bookmarkEnd w:id="1006"/>
      <w:bookmarkEnd w:id="1007"/>
      <w:bookmarkEnd w:id="1008"/>
    </w:p>
    <w:p w:rsidR="00F177EE" w:rsidRPr="004D7A12" w:rsidRDefault="00F177EE" w:rsidP="00496284">
      <w:pPr>
        <w:pStyle w:val="ListParagraph"/>
        <w:suppressAutoHyphens/>
        <w:autoSpaceDE w:val="0"/>
        <w:spacing w:line="276" w:lineRule="auto"/>
        <w:jc w:val="both"/>
        <w:rPr>
          <w:color w:val="000000"/>
        </w:rPr>
      </w:pPr>
      <w:r w:rsidRPr="004D7A12">
        <w:t xml:space="preserve">2.1. </w:t>
      </w:r>
      <w:r w:rsidR="00496284">
        <w:t>I</w:t>
      </w:r>
      <w:r w:rsidRPr="004D7A12">
        <w:t>dentificēt galvenos normatīvos aktus, kas regulē veselības aprūpes sistēmas organizēšanas un finansēšanas kārtību</w:t>
      </w:r>
      <w:r w:rsidR="003E6944">
        <w:t>.</w:t>
      </w:r>
    </w:p>
    <w:p w:rsidR="00F177EE" w:rsidRPr="004D7A12" w:rsidRDefault="00F177EE" w:rsidP="00496284">
      <w:pPr>
        <w:pStyle w:val="ListParagraph"/>
        <w:suppressAutoHyphens/>
        <w:autoSpaceDE w:val="0"/>
        <w:spacing w:line="276" w:lineRule="auto"/>
        <w:jc w:val="both"/>
        <w:rPr>
          <w:color w:val="000000"/>
        </w:rPr>
      </w:pPr>
      <w:r w:rsidRPr="004D7A12">
        <w:rPr>
          <w:color w:val="000000"/>
        </w:rPr>
        <w:t>2.2.  Veikt politikas plānošanas dokumentu analīzi veselības aprūpes jomā</w:t>
      </w:r>
      <w:r w:rsidR="003E6944">
        <w:rPr>
          <w:color w:val="000000"/>
        </w:rPr>
        <w:t>.</w:t>
      </w:r>
    </w:p>
    <w:p w:rsidR="00F177EE" w:rsidRPr="004D7A12" w:rsidRDefault="00F177EE" w:rsidP="00496284">
      <w:pPr>
        <w:pStyle w:val="ListParagraph"/>
        <w:suppressAutoHyphens/>
        <w:autoSpaceDE w:val="0"/>
        <w:spacing w:line="276" w:lineRule="auto"/>
        <w:jc w:val="both"/>
        <w:rPr>
          <w:color w:val="000000"/>
        </w:rPr>
      </w:pPr>
      <w:r w:rsidRPr="004D7A12">
        <w:rPr>
          <w:color w:val="000000"/>
        </w:rPr>
        <w:t>2.3. Identificēt valsts noteiktos atvieglojumus trūcīgām un maznodrošinātām personām, kā arī nabadzības riskam pakļautajām iedzīvotāju grupām veselības aprūpes pakalpojumu saņemšanai</w:t>
      </w:r>
      <w:r w:rsidR="003E6944">
        <w:rPr>
          <w:color w:val="000000"/>
        </w:rPr>
        <w:t>.</w:t>
      </w:r>
    </w:p>
    <w:p w:rsidR="00F177EE" w:rsidRPr="004D7A12" w:rsidRDefault="00F177EE" w:rsidP="00496284">
      <w:pPr>
        <w:pStyle w:val="ListParagraph"/>
        <w:suppressAutoHyphens/>
        <w:autoSpaceDE w:val="0"/>
        <w:spacing w:line="276" w:lineRule="auto"/>
        <w:jc w:val="both"/>
        <w:rPr>
          <w:color w:val="000000"/>
        </w:rPr>
      </w:pPr>
      <w:r w:rsidRPr="004D7A12">
        <w:rPr>
          <w:color w:val="000000"/>
        </w:rPr>
        <w:t>2.5. Identificēt jaunās politikas iniciatīvas un budžeta pieteikumus valsts budžeta veidošanas procesā</w:t>
      </w:r>
      <w:r w:rsidR="003E6944">
        <w:rPr>
          <w:color w:val="000000"/>
        </w:rPr>
        <w:t>.</w:t>
      </w:r>
    </w:p>
    <w:p w:rsidR="00F177EE" w:rsidRDefault="00F177EE" w:rsidP="00F177EE">
      <w:pPr>
        <w:rPr>
          <w:b/>
          <w:i/>
          <w:color w:val="0070C0"/>
        </w:rPr>
      </w:pPr>
    </w:p>
    <w:p w:rsidR="00F177EE" w:rsidRDefault="00F177EE" w:rsidP="00F177EE">
      <w:r>
        <w:t>Normatīvo aktu</w:t>
      </w:r>
      <w:r w:rsidRPr="00AD3170">
        <w:t xml:space="preserve"> </w:t>
      </w:r>
      <w:r>
        <w:t xml:space="preserve">un politikas plānošanas dokumentu </w:t>
      </w:r>
      <w:r w:rsidRPr="00AD3170">
        <w:t>atlase</w:t>
      </w:r>
      <w:r>
        <w:t xml:space="preserve"> un analīze</w:t>
      </w:r>
      <w:r w:rsidRPr="00AD3170">
        <w:t xml:space="preserve"> </w:t>
      </w:r>
      <w:r>
        <w:t xml:space="preserve">veselības aprūpes </w:t>
      </w:r>
      <w:r w:rsidRPr="00AD3170">
        <w:t>jomā</w:t>
      </w:r>
      <w:r w:rsidRPr="0054539D">
        <w:t xml:space="preserve"> </w:t>
      </w:r>
      <w:r>
        <w:t>tik</w:t>
      </w:r>
      <w:r w:rsidR="003E6944">
        <w:t>a</w:t>
      </w:r>
      <w:r>
        <w:t xml:space="preserve"> īstenota secīgos soļos:</w:t>
      </w:r>
    </w:p>
    <w:p w:rsidR="00F177EE" w:rsidRPr="0001242D" w:rsidRDefault="00F177EE" w:rsidP="00D03DA0">
      <w:pPr>
        <w:pStyle w:val="ListParagraph"/>
        <w:numPr>
          <w:ilvl w:val="0"/>
          <w:numId w:val="31"/>
        </w:numPr>
        <w:suppressAutoHyphens/>
        <w:autoSpaceDE w:val="0"/>
        <w:spacing w:line="276" w:lineRule="auto"/>
        <w:ind w:left="0" w:firstLine="360"/>
        <w:jc w:val="both"/>
      </w:pPr>
      <w:r w:rsidRPr="0001242D">
        <w:t>Tik</w:t>
      </w:r>
      <w:r w:rsidR="003E6944">
        <w:t>a</w:t>
      </w:r>
      <w:r w:rsidRPr="0001242D">
        <w:t xml:space="preserve"> veikta politikas </w:t>
      </w:r>
      <w:r w:rsidRPr="009C5C9E">
        <w:rPr>
          <w:u w:val="single"/>
        </w:rPr>
        <w:t>plānošanas dokumentu veselības aprūpes jomā atlase un sistematizēšana</w:t>
      </w:r>
      <w:r w:rsidRPr="0001242D">
        <w:t xml:space="preserve"> vienotā datnē.</w:t>
      </w:r>
      <w:r>
        <w:t xml:space="preserve"> Atlases mērķiem kā sākotnējais datu avots tik</w:t>
      </w:r>
      <w:r w:rsidR="003E6944">
        <w:t>a</w:t>
      </w:r>
      <w:r>
        <w:t xml:space="preserve"> izmantota Veselības ministrijas (VM) interneta vietne</w:t>
      </w:r>
      <w:r>
        <w:rPr>
          <w:rStyle w:val="FootnoteReference"/>
        </w:rPr>
        <w:footnoteReference w:id="378"/>
      </w:r>
      <w:r>
        <w:t>, kurā attīstības plānošanas dokumenti ir pieejami strukturētā veidā. Papildus tik</w:t>
      </w:r>
      <w:r w:rsidR="003E6944">
        <w:t>a</w:t>
      </w:r>
      <w:r>
        <w:t xml:space="preserve"> izmantota arī politikas plānošanas dokumentu datu bāzes POLSIS un vortāls </w:t>
      </w:r>
      <w:hyperlink r:id="rId357" w:history="1">
        <w:r w:rsidRPr="004D62A5">
          <w:rPr>
            <w:rStyle w:val="Hyperlink"/>
          </w:rPr>
          <w:t>www.likumi.lv</w:t>
        </w:r>
      </w:hyperlink>
      <w:r>
        <w:t xml:space="preserve"> (papildus skat. sadaļu par dokumentu analīzes metodi sadaļā „Metožu </w:t>
      </w:r>
      <w:r w:rsidR="003E6944">
        <w:t>vispārējs raksturojums</w:t>
      </w:r>
      <w:r>
        <w:t>”).</w:t>
      </w:r>
    </w:p>
    <w:p w:rsidR="00F177EE" w:rsidRPr="0001242D" w:rsidRDefault="00F177EE" w:rsidP="00D03DA0">
      <w:pPr>
        <w:pStyle w:val="ListParagraph"/>
        <w:numPr>
          <w:ilvl w:val="0"/>
          <w:numId w:val="31"/>
        </w:numPr>
        <w:suppressAutoHyphens/>
        <w:autoSpaceDE w:val="0"/>
        <w:spacing w:line="276" w:lineRule="auto"/>
        <w:ind w:left="0" w:firstLine="360"/>
        <w:jc w:val="both"/>
      </w:pPr>
      <w:r w:rsidRPr="0001242D">
        <w:t>Tik</w:t>
      </w:r>
      <w:r w:rsidR="003E6944">
        <w:t>a</w:t>
      </w:r>
      <w:r w:rsidRPr="0001242D">
        <w:t xml:space="preserve"> veikta secīga </w:t>
      </w:r>
      <w:r w:rsidRPr="002E7DD6">
        <w:rPr>
          <w:u w:val="single"/>
        </w:rPr>
        <w:t>politikas plānošanas dokumentu veselības aprūpes jomā analīze</w:t>
      </w:r>
      <w:r w:rsidRPr="0001242D">
        <w:t>, lai identificētu:</w:t>
      </w:r>
    </w:p>
    <w:p w:rsidR="00F177EE" w:rsidRPr="0001242D" w:rsidRDefault="00F177EE" w:rsidP="00D03DA0">
      <w:pPr>
        <w:pStyle w:val="ListParagraph"/>
        <w:numPr>
          <w:ilvl w:val="0"/>
          <w:numId w:val="32"/>
        </w:numPr>
        <w:suppressAutoHyphens/>
        <w:autoSpaceDE w:val="0"/>
        <w:spacing w:line="276" w:lineRule="auto"/>
        <w:jc w:val="both"/>
      </w:pPr>
      <w:r w:rsidRPr="0001242D">
        <w:t>ierobežojumus un trūkumus saistībā ar veselības aprūpes pieejamību mērķa grupām;</w:t>
      </w:r>
    </w:p>
    <w:p w:rsidR="00F177EE" w:rsidRDefault="00F177EE" w:rsidP="00D03DA0">
      <w:pPr>
        <w:pStyle w:val="ListParagraph"/>
        <w:numPr>
          <w:ilvl w:val="0"/>
          <w:numId w:val="32"/>
        </w:numPr>
        <w:suppressAutoHyphens/>
        <w:autoSpaceDE w:val="0"/>
        <w:spacing w:line="276" w:lineRule="auto"/>
        <w:jc w:val="both"/>
      </w:pPr>
      <w:r w:rsidRPr="0001242D">
        <w:t>dokumentos plānotos pasākumus konstatēto problēmu mazināšanai un/vai novēršanai</w:t>
      </w:r>
      <w:r>
        <w:t>.</w:t>
      </w:r>
    </w:p>
    <w:p w:rsidR="00150700" w:rsidRDefault="00150700" w:rsidP="00F177EE">
      <w:pPr>
        <w:suppressAutoHyphens/>
        <w:autoSpaceDE w:val="0"/>
      </w:pPr>
    </w:p>
    <w:p w:rsidR="00F177EE" w:rsidRPr="0001242D" w:rsidRDefault="00F177EE" w:rsidP="00F177EE">
      <w:pPr>
        <w:suppressAutoHyphens/>
        <w:autoSpaceDE w:val="0"/>
      </w:pPr>
      <w:r>
        <w:t>Politikas plānošanas dokumentu analīzes rezultāti papildin</w:t>
      </w:r>
      <w:r w:rsidR="003E6944">
        <w:t>a</w:t>
      </w:r>
      <w:r>
        <w:t xml:space="preserve"> statistiskās datu analīzes rezultātus, veicot mērķa grupu situācijas analīzi veselības aprūpes jomā. </w:t>
      </w:r>
    </w:p>
    <w:p w:rsidR="00F177EE" w:rsidRDefault="00F177EE" w:rsidP="00D03DA0">
      <w:pPr>
        <w:pStyle w:val="ListParagraph"/>
        <w:numPr>
          <w:ilvl w:val="0"/>
          <w:numId w:val="31"/>
        </w:numPr>
        <w:suppressAutoHyphens/>
        <w:autoSpaceDE w:val="0"/>
        <w:spacing w:line="276" w:lineRule="auto"/>
        <w:ind w:left="0" w:firstLine="360"/>
        <w:jc w:val="both"/>
      </w:pPr>
      <w:r>
        <w:lastRenderedPageBreak/>
        <w:t>T</w:t>
      </w:r>
      <w:r w:rsidRPr="0054539D">
        <w:t>ik</w:t>
      </w:r>
      <w:r w:rsidR="003E6944">
        <w:t>a</w:t>
      </w:r>
      <w:r w:rsidRPr="0054539D">
        <w:t xml:space="preserve"> veikta</w:t>
      </w:r>
      <w:r>
        <w:t xml:space="preserve"> </w:t>
      </w:r>
      <w:r w:rsidRPr="002E7DD6">
        <w:rPr>
          <w:u w:val="single"/>
        </w:rPr>
        <w:t>normatīvo aktu atlase</w:t>
      </w:r>
      <w:r>
        <w:t xml:space="preserve"> – </w:t>
      </w:r>
      <w:r w:rsidRPr="0054539D">
        <w:t xml:space="preserve">identificēti </w:t>
      </w:r>
      <w:r>
        <w:t>normatīvie</w:t>
      </w:r>
      <w:r w:rsidRPr="0054539D">
        <w:t xml:space="preserve"> akti, kas </w:t>
      </w:r>
      <w:r w:rsidRPr="004D7A12">
        <w:t>regulē veselības aprūpes sistēmas organizēšanas un finansēšanas kārtību</w:t>
      </w:r>
      <w:r>
        <w:t xml:space="preserve"> (izveidots dokumentu saraksts). Normatīvo aktu atlase tik</w:t>
      </w:r>
      <w:r w:rsidR="003E6944">
        <w:t>a</w:t>
      </w:r>
      <w:r>
        <w:t xml:space="preserve"> veikta, izmantojot VM interneta vietni, kurā šīs jomas normatīvie akti ir pieejami strukturētā veidā</w:t>
      </w:r>
      <w:r>
        <w:rPr>
          <w:rStyle w:val="FootnoteReference"/>
        </w:rPr>
        <w:footnoteReference w:id="379"/>
      </w:r>
      <w:r>
        <w:t xml:space="preserve">. Identificētie normatīvie akti saraksta veidā </w:t>
      </w:r>
      <w:r w:rsidR="003E6944">
        <w:t>ir</w:t>
      </w:r>
      <w:r>
        <w:t xml:space="preserve"> iekļauti nodevuma dokumentā </w:t>
      </w:r>
      <w:r w:rsidRPr="004523D5">
        <w:rPr>
          <w:color w:val="000000"/>
        </w:rPr>
        <w:t>„</w:t>
      </w:r>
      <w:r w:rsidRPr="004523D5">
        <w:t>Kopsavilkums par vispārējo situāciju attiecībā uz nevienlīdzību veselības aprūpes sistēmā”</w:t>
      </w:r>
      <w:r w:rsidR="003E6944">
        <w:t xml:space="preserve"> (sk. arī 2.2.1. sadaļu).</w:t>
      </w:r>
    </w:p>
    <w:p w:rsidR="00F177EE" w:rsidRDefault="00F177EE" w:rsidP="00D03DA0">
      <w:pPr>
        <w:pStyle w:val="ListParagraph"/>
        <w:numPr>
          <w:ilvl w:val="0"/>
          <w:numId w:val="31"/>
        </w:numPr>
        <w:suppressAutoHyphens/>
        <w:autoSpaceDE w:val="0"/>
        <w:spacing w:line="276" w:lineRule="auto"/>
        <w:ind w:left="0" w:firstLine="360"/>
        <w:jc w:val="both"/>
      </w:pPr>
      <w:r>
        <w:t>Tik</w:t>
      </w:r>
      <w:r w:rsidR="003E6944">
        <w:t>a</w:t>
      </w:r>
      <w:r>
        <w:t xml:space="preserve"> veikta secīga atlasīto </w:t>
      </w:r>
      <w:r w:rsidRPr="002E7DD6">
        <w:rPr>
          <w:u w:val="single"/>
        </w:rPr>
        <w:t>nacionālā līmeņa normatīvo aktu analīze</w:t>
      </w:r>
      <w:r>
        <w:t xml:space="preserve"> ar mērķi identificēt tajos noteiktos atvieglojumus trūcīgām un maznodrošinātām personām, kā arī nabadzības riskam pakļautajām iedzīvotāju grupām veselības aprūpes pakalpojumu saņemšanai. Iegūtie rezultāti </w:t>
      </w:r>
      <w:r w:rsidR="003E6944">
        <w:t>ir</w:t>
      </w:r>
      <w:r>
        <w:t xml:space="preserve"> apkopoti un atspoguļoti </w:t>
      </w:r>
      <w:r w:rsidR="003E6944">
        <w:t>iv</w:t>
      </w:r>
      <w:r>
        <w:t>. tabulas formā. Pārskatāmības nolūkos tabula tik</w:t>
      </w:r>
      <w:r w:rsidR="003E6944">
        <w:t>a</w:t>
      </w:r>
      <w:r>
        <w:t xml:space="preserve"> veidota </w:t>
      </w:r>
      <w:r>
        <w:rPr>
          <w:i/>
        </w:rPr>
        <w:t xml:space="preserve">Excel </w:t>
      </w:r>
      <w:r>
        <w:t>formātā</w:t>
      </w:r>
      <w:r w:rsidR="00942421">
        <w:t xml:space="preserve"> (tās struktūru sk. </w:t>
      </w:r>
      <w:r w:rsidR="00F3661A">
        <w:t>4.3</w:t>
      </w:r>
      <w:r w:rsidR="00942421">
        <w:t>. tabulā)</w:t>
      </w:r>
      <w:r>
        <w:t>, kas pēc nepieciešamības ļau</w:t>
      </w:r>
      <w:r w:rsidR="003E6944">
        <w:t xml:space="preserve">j arī kvantificēt apkopojumu (sk. 10. pielikumu). </w:t>
      </w:r>
    </w:p>
    <w:p w:rsidR="00F177EE" w:rsidRPr="008D2645" w:rsidRDefault="0057729E" w:rsidP="00F177EE">
      <w:pPr>
        <w:pStyle w:val="Caption"/>
      </w:pPr>
      <w:r>
        <w:rPr>
          <w:noProof/>
        </w:rPr>
        <w:t>4.3.</w:t>
      </w:r>
      <w:r w:rsidR="00F177EE">
        <w:t xml:space="preserve"> </w:t>
      </w:r>
      <w:r w:rsidR="00F177EE" w:rsidRPr="006A1B63">
        <w:t>tabula</w:t>
      </w:r>
      <w:r w:rsidR="00F177EE" w:rsidRPr="008D2645">
        <w:t>. Nacionālā līmeņa tiesību aktu  analīzes struktūra nevienlīdzības veselības aprūpes jomā</w:t>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5"/>
        <w:gridCol w:w="2782"/>
        <w:gridCol w:w="1701"/>
        <w:gridCol w:w="1606"/>
        <w:gridCol w:w="1537"/>
      </w:tblGrid>
      <w:tr w:rsidR="00F177EE" w:rsidRPr="0088759D" w:rsidTr="00A835E5">
        <w:trPr>
          <w:jc w:val="center"/>
        </w:trPr>
        <w:tc>
          <w:tcPr>
            <w:tcW w:w="2295" w:type="dxa"/>
            <w:shd w:val="clear" w:color="auto" w:fill="B8CCE4" w:themeFill="accent1" w:themeFillTint="66"/>
          </w:tcPr>
          <w:p w:rsidR="00F177EE" w:rsidRPr="0088759D" w:rsidRDefault="00F177EE" w:rsidP="00F177EE">
            <w:pPr>
              <w:jc w:val="center"/>
              <w:rPr>
                <w:b/>
                <w:color w:val="002060"/>
                <w:sz w:val="22"/>
                <w:szCs w:val="22"/>
              </w:rPr>
            </w:pPr>
            <w:r w:rsidRPr="0088759D">
              <w:rPr>
                <w:b/>
                <w:color w:val="002060"/>
                <w:sz w:val="22"/>
                <w:szCs w:val="22"/>
              </w:rPr>
              <w:t>Tiesību akts, kurā noteikts atvieglojums</w:t>
            </w:r>
          </w:p>
        </w:tc>
        <w:tc>
          <w:tcPr>
            <w:tcW w:w="2782" w:type="dxa"/>
            <w:shd w:val="clear" w:color="auto" w:fill="B8CCE4" w:themeFill="accent1" w:themeFillTint="66"/>
          </w:tcPr>
          <w:p w:rsidR="00F177EE" w:rsidRPr="0088759D" w:rsidRDefault="00F177EE" w:rsidP="00F177EE">
            <w:pPr>
              <w:jc w:val="center"/>
              <w:rPr>
                <w:b/>
                <w:color w:val="002060"/>
                <w:sz w:val="22"/>
                <w:szCs w:val="22"/>
              </w:rPr>
            </w:pPr>
            <w:r w:rsidRPr="0088759D">
              <w:rPr>
                <w:b/>
                <w:color w:val="002060"/>
                <w:sz w:val="22"/>
                <w:szCs w:val="22"/>
              </w:rPr>
              <w:t>Atvieglojuma saņēmēja mērķa grupa vai atvieglojuma saņemšanas kritēriji</w:t>
            </w:r>
          </w:p>
        </w:tc>
        <w:tc>
          <w:tcPr>
            <w:tcW w:w="1701" w:type="dxa"/>
            <w:shd w:val="clear" w:color="auto" w:fill="B8CCE4" w:themeFill="accent1" w:themeFillTint="66"/>
          </w:tcPr>
          <w:p w:rsidR="00F177EE" w:rsidRPr="0088759D" w:rsidRDefault="00F177EE" w:rsidP="00F177EE">
            <w:pPr>
              <w:jc w:val="center"/>
              <w:rPr>
                <w:b/>
                <w:color w:val="002060"/>
                <w:sz w:val="22"/>
                <w:szCs w:val="22"/>
              </w:rPr>
            </w:pPr>
            <w:r w:rsidRPr="0088759D">
              <w:rPr>
                <w:b/>
                <w:color w:val="002060"/>
                <w:sz w:val="22"/>
                <w:szCs w:val="22"/>
              </w:rPr>
              <w:t>Atvieglojuma veids</w:t>
            </w:r>
          </w:p>
        </w:tc>
        <w:tc>
          <w:tcPr>
            <w:tcW w:w="1606" w:type="dxa"/>
            <w:shd w:val="clear" w:color="auto" w:fill="B8CCE4" w:themeFill="accent1" w:themeFillTint="66"/>
          </w:tcPr>
          <w:p w:rsidR="00F177EE" w:rsidRPr="0088759D" w:rsidRDefault="00F177EE" w:rsidP="00F177EE">
            <w:pPr>
              <w:jc w:val="center"/>
              <w:rPr>
                <w:b/>
                <w:color w:val="002060"/>
                <w:sz w:val="22"/>
                <w:szCs w:val="22"/>
              </w:rPr>
            </w:pPr>
            <w:r w:rsidRPr="0088759D">
              <w:rPr>
                <w:b/>
                <w:color w:val="002060"/>
                <w:sz w:val="22"/>
                <w:szCs w:val="22"/>
              </w:rPr>
              <w:t>Atvieglojuma apmērs</w:t>
            </w:r>
          </w:p>
        </w:tc>
        <w:tc>
          <w:tcPr>
            <w:tcW w:w="1537" w:type="dxa"/>
            <w:shd w:val="clear" w:color="auto" w:fill="B8CCE4" w:themeFill="accent1" w:themeFillTint="66"/>
          </w:tcPr>
          <w:p w:rsidR="00F177EE" w:rsidRPr="0088759D" w:rsidRDefault="00F177EE" w:rsidP="00F177EE">
            <w:pPr>
              <w:jc w:val="center"/>
              <w:rPr>
                <w:b/>
                <w:color w:val="002060"/>
                <w:sz w:val="22"/>
                <w:szCs w:val="22"/>
              </w:rPr>
            </w:pPr>
            <w:r w:rsidRPr="0088759D">
              <w:rPr>
                <w:b/>
                <w:color w:val="002060"/>
                <w:sz w:val="22"/>
                <w:szCs w:val="22"/>
              </w:rPr>
              <w:t>Elektroniskā saite uz tiesību aktu</w:t>
            </w:r>
          </w:p>
        </w:tc>
      </w:tr>
      <w:tr w:rsidR="00F177EE" w:rsidRPr="00671056" w:rsidTr="00F177EE">
        <w:trPr>
          <w:jc w:val="center"/>
        </w:trPr>
        <w:tc>
          <w:tcPr>
            <w:tcW w:w="2295" w:type="dxa"/>
            <w:tcBorders>
              <w:top w:val="single" w:sz="4" w:space="0" w:color="auto"/>
              <w:left w:val="single" w:sz="4" w:space="0" w:color="auto"/>
              <w:bottom w:val="single" w:sz="4" w:space="0" w:color="auto"/>
              <w:right w:val="single" w:sz="4" w:space="0" w:color="auto"/>
            </w:tcBorders>
            <w:shd w:val="clear" w:color="auto" w:fill="auto"/>
          </w:tcPr>
          <w:p w:rsidR="00F177EE" w:rsidRPr="00671056" w:rsidRDefault="003E6944" w:rsidP="00F177EE">
            <w:pPr>
              <w:jc w:val="left"/>
              <w:rPr>
                <w:sz w:val="22"/>
                <w:szCs w:val="22"/>
              </w:rPr>
            </w:pPr>
            <w:r>
              <w:rPr>
                <w:sz w:val="22"/>
                <w:szCs w:val="22"/>
              </w:rPr>
              <w:t>Norādīts</w:t>
            </w:r>
            <w:r w:rsidR="00F177EE" w:rsidRPr="00671056">
              <w:rPr>
                <w:sz w:val="22"/>
                <w:szCs w:val="22"/>
              </w:rPr>
              <w:t xml:space="preserve"> tiesību akta datums, numurs (ja attiecināms), nosaukums</w:t>
            </w:r>
            <w:r>
              <w:rPr>
                <w:sz w:val="22"/>
                <w:szCs w:val="22"/>
              </w:rPr>
              <w:t>.</w:t>
            </w:r>
          </w:p>
          <w:p w:rsidR="00F177EE" w:rsidRPr="00671056" w:rsidRDefault="003E6944" w:rsidP="00F177EE">
            <w:pPr>
              <w:jc w:val="left"/>
              <w:rPr>
                <w:sz w:val="22"/>
                <w:szCs w:val="22"/>
              </w:rPr>
            </w:pPr>
            <w:r>
              <w:rPr>
                <w:sz w:val="22"/>
                <w:szCs w:val="22"/>
              </w:rPr>
              <w:t>Norādīti</w:t>
            </w:r>
            <w:r w:rsidR="00F177EE" w:rsidRPr="00671056">
              <w:rPr>
                <w:sz w:val="22"/>
                <w:szCs w:val="22"/>
              </w:rPr>
              <w:t xml:space="preserve"> visi konkrētā tiesību akta grozījumi, norādot to pieņemšanas datumu, numuru (ja attiecināms), spēkā stāšanās datumu.</w:t>
            </w:r>
          </w:p>
          <w:p w:rsidR="00F177EE" w:rsidRPr="00671056" w:rsidRDefault="00F177EE" w:rsidP="003E6944">
            <w:pPr>
              <w:rPr>
                <w:sz w:val="22"/>
                <w:szCs w:val="22"/>
              </w:rPr>
            </w:pPr>
            <w:r w:rsidRPr="00671056">
              <w:rPr>
                <w:sz w:val="22"/>
                <w:szCs w:val="22"/>
              </w:rPr>
              <w:t xml:space="preserve">Ja grozījumu saite ir atšķirīga no pamata dokumenta saites, </w:t>
            </w:r>
            <w:r w:rsidR="003E6944">
              <w:rPr>
                <w:sz w:val="22"/>
                <w:szCs w:val="22"/>
              </w:rPr>
              <w:t>tā ir norādīta</w:t>
            </w:r>
            <w:r w:rsidRPr="00671056">
              <w:rPr>
                <w:sz w:val="22"/>
                <w:szCs w:val="22"/>
              </w:rPr>
              <w:t xml:space="preserve"> </w:t>
            </w:r>
            <w:r w:rsidR="003E6944">
              <w:rPr>
                <w:sz w:val="22"/>
                <w:szCs w:val="22"/>
              </w:rPr>
              <w:t>kolonnā „Elektroniskā saite uz dokumentu”</w:t>
            </w:r>
            <w:r w:rsidRPr="00671056">
              <w:rPr>
                <w:sz w:val="22"/>
                <w:szCs w:val="22"/>
              </w:rPr>
              <w:t>.</w:t>
            </w:r>
          </w:p>
        </w:tc>
        <w:tc>
          <w:tcPr>
            <w:tcW w:w="2782" w:type="dxa"/>
            <w:tcBorders>
              <w:top w:val="single" w:sz="4" w:space="0" w:color="auto"/>
              <w:left w:val="single" w:sz="4" w:space="0" w:color="auto"/>
              <w:bottom w:val="single" w:sz="4" w:space="0" w:color="auto"/>
              <w:right w:val="single" w:sz="4" w:space="0" w:color="auto"/>
            </w:tcBorders>
            <w:shd w:val="clear" w:color="auto" w:fill="auto"/>
          </w:tcPr>
          <w:p w:rsidR="00F177EE" w:rsidRPr="00671056" w:rsidRDefault="003E6944" w:rsidP="00F177EE">
            <w:pPr>
              <w:rPr>
                <w:sz w:val="22"/>
                <w:szCs w:val="22"/>
              </w:rPr>
            </w:pPr>
            <w:r>
              <w:rPr>
                <w:sz w:val="22"/>
                <w:szCs w:val="22"/>
              </w:rPr>
              <w:t>Norādītas</w:t>
            </w:r>
            <w:r w:rsidR="00F177EE" w:rsidRPr="00671056">
              <w:rPr>
                <w:sz w:val="22"/>
                <w:szCs w:val="22"/>
              </w:rPr>
              <w:t xml:space="preserve"> visas dokumentā identificētās mērķa grupas neatkarīgi no TS 3.7. punktā minētajām grupām.</w:t>
            </w:r>
          </w:p>
          <w:p w:rsidR="00F177EE" w:rsidRPr="00671056" w:rsidRDefault="003E6944" w:rsidP="003E6944">
            <w:pPr>
              <w:rPr>
                <w:sz w:val="22"/>
                <w:szCs w:val="22"/>
              </w:rPr>
            </w:pPr>
            <w:r>
              <w:rPr>
                <w:sz w:val="22"/>
                <w:szCs w:val="22"/>
              </w:rPr>
              <w:t>Norādīti</w:t>
            </w:r>
            <w:r w:rsidR="00F177EE" w:rsidRPr="00671056">
              <w:rPr>
                <w:sz w:val="22"/>
                <w:szCs w:val="22"/>
              </w:rPr>
              <w:t xml:space="preserve"> visi atvieglojuma saņemšanas kritēriji. Ja tie ir atšķirīgi dažādām mērķa grupām, </w:t>
            </w:r>
            <w:r>
              <w:rPr>
                <w:sz w:val="22"/>
                <w:szCs w:val="22"/>
              </w:rPr>
              <w:t>tas ir skaidri identificējams</w:t>
            </w:r>
            <w:r w:rsidR="00F177EE" w:rsidRPr="00671056">
              <w:rPr>
                <w:sz w:val="22"/>
                <w:szCs w:val="22"/>
              </w:rPr>
              <w:t xml:space="preserve"> (saikne starp mērķa grupu un atvieglojuma piešķiršanas kritēriju)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177EE" w:rsidRPr="00671056" w:rsidRDefault="003E6944" w:rsidP="00F177EE">
            <w:pPr>
              <w:rPr>
                <w:sz w:val="22"/>
                <w:szCs w:val="22"/>
              </w:rPr>
            </w:pPr>
            <w:r>
              <w:rPr>
                <w:sz w:val="22"/>
                <w:szCs w:val="22"/>
              </w:rPr>
              <w:t>Norādīti</w:t>
            </w:r>
            <w:r w:rsidR="00F177EE" w:rsidRPr="00671056">
              <w:rPr>
                <w:sz w:val="22"/>
                <w:szCs w:val="22"/>
              </w:rPr>
              <w:t xml:space="preserve"> visi dokumentā minētie atvieglojumi tā, lai būtu saprotams, uz kuru mērķa grupu tie attiecas. </w:t>
            </w:r>
          </w:p>
        </w:tc>
        <w:tc>
          <w:tcPr>
            <w:tcW w:w="1606" w:type="dxa"/>
            <w:tcBorders>
              <w:top w:val="single" w:sz="4" w:space="0" w:color="auto"/>
              <w:left w:val="single" w:sz="4" w:space="0" w:color="auto"/>
              <w:bottom w:val="single" w:sz="4" w:space="0" w:color="auto"/>
              <w:right w:val="single" w:sz="4" w:space="0" w:color="auto"/>
            </w:tcBorders>
            <w:shd w:val="clear" w:color="auto" w:fill="auto"/>
          </w:tcPr>
          <w:p w:rsidR="00F177EE" w:rsidRPr="00671056" w:rsidRDefault="00F177EE" w:rsidP="003E6944">
            <w:pPr>
              <w:rPr>
                <w:sz w:val="22"/>
                <w:szCs w:val="22"/>
              </w:rPr>
            </w:pPr>
            <w:r w:rsidRPr="00671056">
              <w:rPr>
                <w:sz w:val="22"/>
                <w:szCs w:val="22"/>
              </w:rPr>
              <w:t xml:space="preserve">Atvieglojuma apmērs </w:t>
            </w:r>
            <w:r w:rsidR="003E6944">
              <w:rPr>
                <w:sz w:val="22"/>
                <w:szCs w:val="22"/>
              </w:rPr>
              <w:t>norādīts</w:t>
            </w:r>
            <w:r w:rsidRPr="00671056">
              <w:rPr>
                <w:sz w:val="22"/>
                <w:szCs w:val="22"/>
              </w:rPr>
              <w:t xml:space="preserve"> atbilstoši tam, kā tas ir norādīts dokumentā (naudas summas izteiksmē vai aprakstoši). </w:t>
            </w:r>
          </w:p>
        </w:tc>
        <w:tc>
          <w:tcPr>
            <w:tcW w:w="1537" w:type="dxa"/>
            <w:tcBorders>
              <w:top w:val="single" w:sz="4" w:space="0" w:color="auto"/>
              <w:left w:val="single" w:sz="4" w:space="0" w:color="auto"/>
              <w:bottom w:val="single" w:sz="4" w:space="0" w:color="auto"/>
              <w:right w:val="single" w:sz="4" w:space="0" w:color="auto"/>
            </w:tcBorders>
          </w:tcPr>
          <w:p w:rsidR="00F177EE" w:rsidRPr="00671056" w:rsidRDefault="00F177EE" w:rsidP="00F177EE">
            <w:pPr>
              <w:rPr>
                <w:sz w:val="22"/>
                <w:szCs w:val="22"/>
              </w:rPr>
            </w:pPr>
            <w:r w:rsidRPr="00671056">
              <w:rPr>
                <w:sz w:val="22"/>
                <w:szCs w:val="22"/>
              </w:rPr>
              <w:t>Elektroniskā saite uz tiesību aktu</w:t>
            </w:r>
          </w:p>
        </w:tc>
      </w:tr>
    </w:tbl>
    <w:p w:rsidR="00F177EE" w:rsidRDefault="00F177EE" w:rsidP="00F177EE">
      <w:pPr>
        <w:suppressAutoHyphens/>
        <w:autoSpaceDE w:val="0"/>
      </w:pPr>
    </w:p>
    <w:p w:rsidR="00F177EE" w:rsidRDefault="00F177EE" w:rsidP="00D03DA0">
      <w:pPr>
        <w:pStyle w:val="ListParagraph"/>
        <w:numPr>
          <w:ilvl w:val="0"/>
          <w:numId w:val="31"/>
        </w:numPr>
        <w:suppressAutoHyphens/>
        <w:autoSpaceDE w:val="0"/>
        <w:spacing w:line="276" w:lineRule="auto"/>
        <w:ind w:left="0" w:firstLine="720"/>
        <w:jc w:val="both"/>
      </w:pPr>
      <w:r w:rsidRPr="003148FB">
        <w:t>Tik</w:t>
      </w:r>
      <w:r w:rsidR="00942421">
        <w:t>a</w:t>
      </w:r>
      <w:r w:rsidRPr="003148FB">
        <w:t xml:space="preserve"> identificētas </w:t>
      </w:r>
      <w:r w:rsidRPr="00120E06">
        <w:rPr>
          <w:u w:val="single"/>
        </w:rPr>
        <w:t>jaunās politikas iniciatīvas (budžeta prioritārie pasākumi) un budžeta pieteikumi</w:t>
      </w:r>
      <w:r w:rsidRPr="003148FB">
        <w:t xml:space="preserve"> veselības aprūpes jomā sadalījumā pa gadiem. 11.12.2012. MK noteikumi Nr. 867 „Kārtība, kādā nosakāms maksimāli pieļaujamais valsts budžeta izdevumu kopapjoms un maksimāli pieļaujamais valsts budžeta izdevumu kopējais apjoms katrai ministrijai un citām centrālajām valsts iestādēm vidējam termiņam” nosaka jauno politikas iniciatīvu iesniegšanas formu un saturu, kurā jānorāda iniciatīvas mērķis, izvērsums, rezultatīvie rādītāji u.c. informācija. Pieteikumus iesūta Finanšu ministrijai</w:t>
      </w:r>
      <w:r w:rsidR="00942421">
        <w:t xml:space="preserve"> (FM)</w:t>
      </w:r>
      <w:r w:rsidRPr="003148FB">
        <w:t xml:space="preserve"> un Pārresoru koordinācijas centram</w:t>
      </w:r>
      <w:r w:rsidR="00942421">
        <w:t xml:space="preserve"> (PKC)</w:t>
      </w:r>
      <w:r w:rsidRPr="003148FB">
        <w:t xml:space="preserve">. 2.5. </w:t>
      </w:r>
      <w:r w:rsidRPr="003148FB">
        <w:lastRenderedPageBreak/>
        <w:t xml:space="preserve">uzdevuma izpildei </w:t>
      </w:r>
      <w:r w:rsidR="00942421">
        <w:t>ir</w:t>
      </w:r>
      <w:r w:rsidRPr="003148FB">
        <w:t xml:space="preserve"> izmantota </w:t>
      </w:r>
      <w:r w:rsidR="00942421">
        <w:t>FM</w:t>
      </w:r>
      <w:r w:rsidRPr="003148FB">
        <w:t xml:space="preserve"> mājas lapā pieejamā informācija</w:t>
      </w:r>
      <w:r w:rsidRPr="003148FB">
        <w:rPr>
          <w:rStyle w:val="FootnoteReference"/>
        </w:rPr>
        <w:footnoteReference w:id="380"/>
      </w:r>
      <w:r w:rsidRPr="003148FB">
        <w:t xml:space="preserve"> par valsts budžeta izstrādi un sadalījumu veselības aprūpes jomā laika periodā no 2013.</w:t>
      </w:r>
      <w:r w:rsidR="00DE1C08">
        <w:t xml:space="preserve"> </w:t>
      </w:r>
      <w:r w:rsidRPr="003148FB">
        <w:t>gada līdz 2018.</w:t>
      </w:r>
      <w:r w:rsidR="00DE1C08">
        <w:t xml:space="preserve"> </w:t>
      </w:r>
      <w:r w:rsidRPr="003148FB">
        <w:t xml:space="preserve">gadam.  </w:t>
      </w:r>
    </w:p>
    <w:p w:rsidR="00F177EE" w:rsidRPr="00B87378" w:rsidRDefault="00F177EE" w:rsidP="00E10DA4">
      <w:pPr>
        <w:pStyle w:val="virsrakstslvl4"/>
      </w:pPr>
      <w:bookmarkStart w:id="1009" w:name="_Toc528761672"/>
      <w:bookmarkStart w:id="1010" w:name="_Toc528762835"/>
      <w:bookmarkStart w:id="1011" w:name="_Toc528768893"/>
      <w:bookmarkStart w:id="1012" w:name="_Toc528847620"/>
      <w:bookmarkStart w:id="1013" w:name="_Toc528930604"/>
      <w:bookmarkStart w:id="1014" w:name="_Toc529170552"/>
      <w:bookmarkStart w:id="1015" w:name="_Toc529176275"/>
      <w:bookmarkStart w:id="1016" w:name="_Toc529180103"/>
      <w:bookmarkStart w:id="1017" w:name="_Toc529180348"/>
      <w:bookmarkStart w:id="1018" w:name="_Toc531694123"/>
      <w:bookmarkStart w:id="1019" w:name="_Toc531856228"/>
      <w:bookmarkStart w:id="1020" w:name="_Toc531860017"/>
      <w:bookmarkStart w:id="1021" w:name="_Toc535738803"/>
      <w:bookmarkStart w:id="1022" w:name="_Toc535741801"/>
      <w:bookmarkStart w:id="1023" w:name="_Toc535742154"/>
      <w:bookmarkStart w:id="1024" w:name="_Toc535916137"/>
      <w:bookmarkStart w:id="1025" w:name="_Toc535922789"/>
      <w:bookmarkStart w:id="1026" w:name="_Toc535935092"/>
      <w:bookmarkStart w:id="1027" w:name="_Toc788705"/>
      <w:bookmarkStart w:id="1028" w:name="_Toc868884"/>
      <w:bookmarkStart w:id="1029" w:name="_Toc2761162"/>
      <w:bookmarkStart w:id="1030" w:name="_Toc2848269"/>
      <w:bookmarkStart w:id="1031" w:name="_Toc6219329"/>
      <w:bookmarkStart w:id="1032" w:name="_Toc6220272"/>
      <w:bookmarkStart w:id="1033" w:name="_Toc6841700"/>
      <w:r w:rsidRPr="00B87378">
        <w:t>Pašvaldību saistošo noteikumu atlases un analīzes kritēriji veselības aprūpes jomā</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rsidR="00F177EE" w:rsidRPr="00B87378" w:rsidRDefault="00F177EE" w:rsidP="00E10DA4">
      <w:pPr>
        <w:pStyle w:val="under"/>
        <w:rPr>
          <w:color w:val="000000"/>
        </w:rPr>
      </w:pPr>
      <w:bookmarkStart w:id="1034" w:name="_Toc2761163"/>
      <w:bookmarkStart w:id="1035" w:name="_Toc2848270"/>
      <w:bookmarkStart w:id="1036" w:name="_Toc6219330"/>
      <w:bookmarkStart w:id="1037" w:name="_Toc6220273"/>
      <w:bookmarkStart w:id="1038" w:name="_Toc6841701"/>
      <w:r w:rsidRPr="00B87378">
        <w:t>Uzdevums:</w:t>
      </w:r>
      <w:bookmarkEnd w:id="1034"/>
      <w:bookmarkEnd w:id="1035"/>
      <w:bookmarkEnd w:id="1036"/>
      <w:bookmarkEnd w:id="1037"/>
      <w:bookmarkEnd w:id="1038"/>
      <w:r w:rsidRPr="00B87378">
        <w:rPr>
          <w:color w:val="000000"/>
        </w:rPr>
        <w:t xml:space="preserve"> </w:t>
      </w:r>
    </w:p>
    <w:p w:rsidR="00F177EE" w:rsidRDefault="00F177EE" w:rsidP="00496284">
      <w:pPr>
        <w:pStyle w:val="ListParagraph"/>
        <w:suppressAutoHyphens/>
        <w:autoSpaceDE w:val="0"/>
        <w:spacing w:line="276" w:lineRule="auto"/>
        <w:jc w:val="both"/>
        <w:rPr>
          <w:color w:val="000000"/>
        </w:rPr>
      </w:pPr>
      <w:r>
        <w:rPr>
          <w:color w:val="000000"/>
        </w:rPr>
        <w:t>2.4. I</w:t>
      </w:r>
      <w:r w:rsidRPr="00CC0D3C">
        <w:rPr>
          <w:color w:val="000000"/>
        </w:rPr>
        <w:t>dentificēt noteiktos atvieglojumus trūcīgām un maznodrošinātām personām, kā arī nabadzības riskam pakļautajām iedzīvotāju grupām veselības aprūpes pakalpojumu saņemšanai 119 pašvaldību spēkā esošos saistošajos noteikumos</w:t>
      </w:r>
      <w:r>
        <w:rPr>
          <w:color w:val="000000"/>
        </w:rPr>
        <w:t>.</w:t>
      </w:r>
    </w:p>
    <w:p w:rsidR="00942421" w:rsidRDefault="00942421" w:rsidP="00F177EE"/>
    <w:p w:rsidR="00F177EE" w:rsidRDefault="00F177EE" w:rsidP="00F177EE">
      <w:r w:rsidRPr="00B535B5">
        <w:t>Pašvaldību saistošo noteikumu analīze tik</w:t>
      </w:r>
      <w:r w:rsidR="00942421">
        <w:t>a</w:t>
      </w:r>
      <w:r w:rsidRPr="00B535B5">
        <w:t xml:space="preserve"> īstenota šādos secīgos soļos:</w:t>
      </w:r>
    </w:p>
    <w:p w:rsidR="00F177EE" w:rsidRDefault="00F177EE" w:rsidP="005C07F3">
      <w:pPr>
        <w:pStyle w:val="ListParagraph"/>
        <w:numPr>
          <w:ilvl w:val="0"/>
          <w:numId w:val="25"/>
        </w:numPr>
        <w:spacing w:line="276" w:lineRule="auto"/>
        <w:ind w:left="0" w:firstLine="360"/>
        <w:jc w:val="both"/>
      </w:pPr>
      <w:r>
        <w:t xml:space="preserve">Pašvaldības mājas lapā </w:t>
      </w:r>
      <w:r w:rsidR="00942421">
        <w:t xml:space="preserve">tika </w:t>
      </w:r>
      <w:r>
        <w:t>atrast</w:t>
      </w:r>
      <w:r w:rsidR="00942421">
        <w:t>a</w:t>
      </w:r>
      <w:r>
        <w:t xml:space="preserve"> sadaļ</w:t>
      </w:r>
      <w:r w:rsidR="00942421">
        <w:t>a</w:t>
      </w:r>
      <w:r>
        <w:t xml:space="preserve"> „Dokumenti” („Normatīvie dokumenti”). Dokumenti var būt strukturēti pēc jomām (piemēram, izglītība, kultūra, sociālā palīdzība u.c.), pēc gadiem (piemēram, 2017., 2016., 2015.), pēc atslēgas vārdiem, kas saistīti ar veselības aprūpi vai veselīgu dzīves veidu. </w:t>
      </w:r>
    </w:p>
    <w:p w:rsidR="00F177EE" w:rsidRDefault="00F177EE" w:rsidP="005C07F3">
      <w:pPr>
        <w:pStyle w:val="ListParagraph"/>
        <w:numPr>
          <w:ilvl w:val="0"/>
          <w:numId w:val="25"/>
        </w:numPr>
        <w:spacing w:line="276" w:lineRule="auto"/>
        <w:ind w:left="0" w:firstLine="360"/>
        <w:jc w:val="both"/>
      </w:pPr>
      <w:r>
        <w:t>Dokumentu primār</w:t>
      </w:r>
      <w:r w:rsidR="00942421">
        <w:t>ā</w:t>
      </w:r>
      <w:r>
        <w:t xml:space="preserve"> atlas</w:t>
      </w:r>
      <w:r w:rsidR="00942421">
        <w:t>e tika</w:t>
      </w:r>
      <w:r>
        <w:t xml:space="preserve"> veikt</w:t>
      </w:r>
      <w:r w:rsidR="00942421">
        <w:t>a</w:t>
      </w:r>
      <w:r>
        <w:t xml:space="preserve"> pēc tā nosaukumā ietvertajiem atslēgas vārdiem vai mērķa grupas (sociālie pabalsti, sociālā palīdzība, materiālā palīdzība, veselības aprūpe, ārstniecības izdevumi, izdevumi par medikamentiem, veselīgs dzīves veids, profilakses pasākumi u.c</w:t>
      </w:r>
      <w:r w:rsidR="00942421">
        <w:t>.</w:t>
      </w:r>
      <w:r>
        <w:t>).</w:t>
      </w:r>
    </w:p>
    <w:p w:rsidR="00F177EE" w:rsidRDefault="00F177EE" w:rsidP="005C07F3">
      <w:pPr>
        <w:pStyle w:val="ListParagraph"/>
        <w:numPr>
          <w:ilvl w:val="0"/>
          <w:numId w:val="25"/>
        </w:numPr>
        <w:spacing w:line="276" w:lineRule="auto"/>
        <w:ind w:left="0" w:firstLine="360"/>
        <w:jc w:val="both"/>
      </w:pPr>
      <w:r>
        <w:t xml:space="preserve">Attiecībā uz mērķa grupas pazīmi </w:t>
      </w:r>
      <w:r w:rsidR="00942421">
        <w:t>Izvērtējuma autori iepazinās</w:t>
      </w:r>
      <w:r>
        <w:t xml:space="preserve"> ne tikai ar tiem dokumentiem, kuru nosaukumā ir minēta kāda no TS 3.7. punktā minētajām grupām, lai pārbaudītu, vai dokuments ietver informāciju par atvieglojumiem/ atbalstu veselības aprūpes jomā (piemēram, dokumenta </w:t>
      </w:r>
      <w:r w:rsidRPr="004704B0">
        <w:t xml:space="preserve">nosaukums </w:t>
      </w:r>
      <w:r w:rsidRPr="004704B0">
        <w:rPr>
          <w:i/>
        </w:rPr>
        <w:t>„</w:t>
      </w:r>
      <w:r w:rsidRPr="004704B0">
        <w:rPr>
          <w:i/>
          <w:shd w:val="clear" w:color="auto" w:fill="FFFFFF"/>
        </w:rPr>
        <w:t>Par pašvaldības palīdzību bāreņiem un bez vecāku gādības palikušajiem bērniem, kuri ir ārpusģimenes aprūpē, kā arī bāreņiem un bez vecāku gādības palikušajiem bērniem pēc pilngadības sasniegšanas”</w:t>
      </w:r>
      <w:r w:rsidRPr="004704B0">
        <w:rPr>
          <w:shd w:val="clear" w:color="auto" w:fill="FFFFFF"/>
        </w:rPr>
        <w:t>)</w:t>
      </w:r>
      <w:r>
        <w:rPr>
          <w:shd w:val="clear" w:color="auto" w:fill="FFFFFF"/>
        </w:rPr>
        <w:t>, bet arī ar jebkādām citām mērķa grupām, lai noteiktu, kādām vēl iedzīvotāju grupām pašvaldības paredz atvieglojumus šajā jomā.</w:t>
      </w:r>
      <w:r>
        <w:t xml:space="preserve"> </w:t>
      </w:r>
    </w:p>
    <w:p w:rsidR="00F177EE" w:rsidRDefault="00942421" w:rsidP="005C07F3">
      <w:pPr>
        <w:pStyle w:val="ListParagraph"/>
        <w:numPr>
          <w:ilvl w:val="0"/>
          <w:numId w:val="25"/>
        </w:numPr>
        <w:spacing w:line="276" w:lineRule="auto"/>
        <w:ind w:left="0" w:firstLine="360"/>
        <w:jc w:val="both"/>
      </w:pPr>
      <w:r>
        <w:t>Tika izpētīts</w:t>
      </w:r>
      <w:r w:rsidR="00F177EE">
        <w:t xml:space="preserve"> katr</w:t>
      </w:r>
      <w:r>
        <w:t>s</w:t>
      </w:r>
      <w:r w:rsidR="00F177EE">
        <w:t xml:space="preserve"> no atlasītajiem dokumentiem un veikt</w:t>
      </w:r>
      <w:r>
        <w:t>a</w:t>
      </w:r>
      <w:r w:rsidR="00F177EE">
        <w:t xml:space="preserve"> tā analīzi, nosakot (i) atvieglojuma saņēmēja mērķa grupu; (ii) atvieglojumu saņemšanas kritērijus; (iii) atvieglojuma veidu; (iv) atvieglojuma apmēru.</w:t>
      </w:r>
    </w:p>
    <w:p w:rsidR="00F177EE" w:rsidRDefault="00F177EE" w:rsidP="005C07F3">
      <w:pPr>
        <w:pStyle w:val="ListParagraph"/>
        <w:numPr>
          <w:ilvl w:val="0"/>
          <w:numId w:val="25"/>
        </w:numPr>
        <w:spacing w:line="276" w:lineRule="auto"/>
        <w:ind w:left="0" w:firstLine="360"/>
        <w:jc w:val="both"/>
      </w:pPr>
      <w:r>
        <w:t>A</w:t>
      </w:r>
      <w:r w:rsidRPr="009526DD">
        <w:t>tvieglojumi, kas pašvaldību saistošajos noteikumos tiek attiecināti uz veselības aprūpi vai veselīgu dzīves veidu, profilakses pasākumiem, bet pēc būtības neatbilst šīm jomām (piemēram, ēdināšana, nometnes u.tml</w:t>
      </w:r>
      <w:r>
        <w:t>.</w:t>
      </w:r>
      <w:r w:rsidRPr="009526DD">
        <w:t xml:space="preserve">), </w:t>
      </w:r>
      <w:r w:rsidR="00942421">
        <w:t>tika</w:t>
      </w:r>
      <w:r w:rsidRPr="009526DD">
        <w:t xml:space="preserve"> </w:t>
      </w:r>
      <w:r>
        <w:t xml:space="preserve">papildus </w:t>
      </w:r>
      <w:r w:rsidRPr="009526DD">
        <w:t>norādīti kolonnā „Atvieglojuma veids”</w:t>
      </w:r>
      <w:r>
        <w:t xml:space="preserve">, kas </w:t>
      </w:r>
      <w:r w:rsidR="00942421">
        <w:t>ļauj</w:t>
      </w:r>
      <w:r>
        <w:t xml:space="preserve"> izdarīt secinājumus par to, kāda veida atbalsta pasākumus pašvaldības attiecina uz veselības aprūpes jomu.</w:t>
      </w:r>
    </w:p>
    <w:p w:rsidR="00F177EE" w:rsidRDefault="00F177EE" w:rsidP="005C07F3">
      <w:pPr>
        <w:pStyle w:val="ListParagraph"/>
        <w:numPr>
          <w:ilvl w:val="0"/>
          <w:numId w:val="25"/>
        </w:numPr>
        <w:spacing w:line="276" w:lineRule="auto"/>
        <w:ind w:left="0" w:firstLine="360"/>
        <w:jc w:val="both"/>
      </w:pPr>
      <w:r>
        <w:t>Dokumentu analīze tik</w:t>
      </w:r>
      <w:r w:rsidR="00942421">
        <w:t>a</w:t>
      </w:r>
      <w:r>
        <w:t xml:space="preserve"> īstenota tabulas </w:t>
      </w:r>
      <w:r w:rsidR="00942421">
        <w:t xml:space="preserve">(tās struktūru sk. </w:t>
      </w:r>
      <w:r w:rsidR="00F3661A">
        <w:t>4.4</w:t>
      </w:r>
      <w:r w:rsidR="00942421">
        <w:t>. tabulu)</w:t>
      </w:r>
      <w:r w:rsidR="00F3661A">
        <w:t xml:space="preserve"> </w:t>
      </w:r>
      <w:r>
        <w:t xml:space="preserve">formā </w:t>
      </w:r>
      <w:r w:rsidRPr="00BE258C">
        <w:rPr>
          <w:i/>
        </w:rPr>
        <w:t>Excel</w:t>
      </w:r>
      <w:r>
        <w:t xml:space="preserve"> formātā, kas </w:t>
      </w:r>
      <w:r w:rsidR="00942421">
        <w:t>ir</w:t>
      </w:r>
      <w:r>
        <w:t xml:space="preserve"> iekļauts </w:t>
      </w:r>
      <w:r w:rsidR="00942421">
        <w:t>11.pielikumā</w:t>
      </w:r>
      <w:r>
        <w:t xml:space="preserve">. </w:t>
      </w:r>
    </w:p>
    <w:p w:rsidR="00150700" w:rsidRDefault="00150700">
      <w:pPr>
        <w:spacing w:line="240" w:lineRule="auto"/>
        <w:jc w:val="left"/>
        <w:rPr>
          <w:b/>
          <w:bCs/>
          <w:noProof/>
          <w:color w:val="244061" w:themeColor="accent1" w:themeShade="80"/>
          <w:szCs w:val="18"/>
        </w:rPr>
      </w:pPr>
      <w:r>
        <w:rPr>
          <w:noProof/>
        </w:rPr>
        <w:br w:type="page"/>
      </w:r>
    </w:p>
    <w:p w:rsidR="00F177EE" w:rsidRDefault="0057729E" w:rsidP="004C2E87">
      <w:pPr>
        <w:pStyle w:val="Caption"/>
      </w:pPr>
      <w:r>
        <w:rPr>
          <w:noProof/>
        </w:rPr>
        <w:lastRenderedPageBreak/>
        <w:t>4.4</w:t>
      </w:r>
      <w:r w:rsidR="00F177EE" w:rsidRPr="008D2645">
        <w:t xml:space="preserve">. </w:t>
      </w:r>
      <w:r w:rsidR="00F177EE" w:rsidRPr="006A1B63">
        <w:t>tabula</w:t>
      </w:r>
      <w:r w:rsidR="00F177EE" w:rsidRPr="008D2645">
        <w:t>. Pašvaldību saistošo noteikumu analīzes struktūra nevienlīdzības veselības aprūpes jomā</w:t>
      </w:r>
    </w:p>
    <w:tbl>
      <w:tblPr>
        <w:tblW w:w="10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0"/>
        <w:gridCol w:w="1995"/>
        <w:gridCol w:w="2174"/>
        <w:gridCol w:w="1800"/>
        <w:gridCol w:w="1550"/>
        <w:gridCol w:w="1561"/>
      </w:tblGrid>
      <w:tr w:rsidR="00F177EE" w:rsidRPr="0088759D" w:rsidTr="00A835E5">
        <w:trPr>
          <w:jc w:val="center"/>
        </w:trPr>
        <w:tc>
          <w:tcPr>
            <w:tcW w:w="1330" w:type="dxa"/>
            <w:shd w:val="clear" w:color="auto" w:fill="B8CCE4" w:themeFill="accent1" w:themeFillTint="66"/>
          </w:tcPr>
          <w:p w:rsidR="00F177EE" w:rsidRPr="0088759D" w:rsidRDefault="00F177EE" w:rsidP="004C2E87">
            <w:pPr>
              <w:keepNext/>
              <w:jc w:val="center"/>
              <w:rPr>
                <w:b/>
                <w:color w:val="002060"/>
                <w:sz w:val="22"/>
                <w:szCs w:val="22"/>
              </w:rPr>
            </w:pPr>
            <w:r w:rsidRPr="0088759D">
              <w:rPr>
                <w:b/>
                <w:color w:val="002060"/>
                <w:sz w:val="22"/>
                <w:szCs w:val="22"/>
              </w:rPr>
              <w:t>Pašvaldības nosaukums</w:t>
            </w:r>
          </w:p>
        </w:tc>
        <w:tc>
          <w:tcPr>
            <w:tcW w:w="1995" w:type="dxa"/>
            <w:shd w:val="clear" w:color="auto" w:fill="B8CCE4" w:themeFill="accent1" w:themeFillTint="66"/>
          </w:tcPr>
          <w:p w:rsidR="00F177EE" w:rsidRPr="0088759D" w:rsidRDefault="00F177EE" w:rsidP="004C2E87">
            <w:pPr>
              <w:keepNext/>
              <w:jc w:val="center"/>
              <w:rPr>
                <w:b/>
                <w:color w:val="002060"/>
                <w:sz w:val="22"/>
                <w:szCs w:val="22"/>
              </w:rPr>
            </w:pPr>
            <w:r w:rsidRPr="0088759D">
              <w:rPr>
                <w:b/>
                <w:color w:val="002060"/>
                <w:sz w:val="22"/>
                <w:szCs w:val="22"/>
              </w:rPr>
              <w:t>Tiesību akts, kurā noteikts atvieglojums un saite uz minēto tiesību aktu</w:t>
            </w:r>
          </w:p>
        </w:tc>
        <w:tc>
          <w:tcPr>
            <w:tcW w:w="2174" w:type="dxa"/>
            <w:shd w:val="clear" w:color="auto" w:fill="B8CCE4" w:themeFill="accent1" w:themeFillTint="66"/>
          </w:tcPr>
          <w:p w:rsidR="00F177EE" w:rsidRPr="0088759D" w:rsidRDefault="00F177EE" w:rsidP="004C2E87">
            <w:pPr>
              <w:keepNext/>
              <w:jc w:val="center"/>
              <w:rPr>
                <w:b/>
                <w:color w:val="002060"/>
                <w:sz w:val="22"/>
                <w:szCs w:val="22"/>
              </w:rPr>
            </w:pPr>
            <w:r w:rsidRPr="0088759D">
              <w:rPr>
                <w:b/>
                <w:color w:val="002060"/>
                <w:sz w:val="22"/>
                <w:szCs w:val="22"/>
              </w:rPr>
              <w:t>Atvieglojuma saņēmēja mērķa grupa vai atvieglojuma saņemšanas kritēriji</w:t>
            </w:r>
          </w:p>
        </w:tc>
        <w:tc>
          <w:tcPr>
            <w:tcW w:w="1800" w:type="dxa"/>
            <w:shd w:val="clear" w:color="auto" w:fill="B8CCE4" w:themeFill="accent1" w:themeFillTint="66"/>
          </w:tcPr>
          <w:p w:rsidR="00F177EE" w:rsidRPr="0088759D" w:rsidRDefault="00F177EE" w:rsidP="004C2E87">
            <w:pPr>
              <w:keepNext/>
              <w:jc w:val="center"/>
              <w:rPr>
                <w:b/>
                <w:color w:val="002060"/>
                <w:sz w:val="22"/>
                <w:szCs w:val="22"/>
              </w:rPr>
            </w:pPr>
            <w:r w:rsidRPr="0088759D">
              <w:rPr>
                <w:b/>
                <w:color w:val="002060"/>
                <w:sz w:val="22"/>
                <w:szCs w:val="22"/>
              </w:rPr>
              <w:t>Atvieglojuma veids</w:t>
            </w:r>
          </w:p>
        </w:tc>
        <w:tc>
          <w:tcPr>
            <w:tcW w:w="1550" w:type="dxa"/>
            <w:shd w:val="clear" w:color="auto" w:fill="B8CCE4" w:themeFill="accent1" w:themeFillTint="66"/>
          </w:tcPr>
          <w:p w:rsidR="00F177EE" w:rsidRPr="0088759D" w:rsidRDefault="00F177EE" w:rsidP="004C2E87">
            <w:pPr>
              <w:keepNext/>
              <w:jc w:val="center"/>
              <w:rPr>
                <w:b/>
                <w:color w:val="002060"/>
                <w:sz w:val="22"/>
                <w:szCs w:val="22"/>
              </w:rPr>
            </w:pPr>
            <w:r w:rsidRPr="0088759D">
              <w:rPr>
                <w:b/>
                <w:color w:val="002060"/>
                <w:sz w:val="22"/>
                <w:szCs w:val="22"/>
              </w:rPr>
              <w:t>Atvieglojuma apmērs</w:t>
            </w:r>
          </w:p>
        </w:tc>
        <w:tc>
          <w:tcPr>
            <w:tcW w:w="1561" w:type="dxa"/>
            <w:shd w:val="clear" w:color="auto" w:fill="B8CCE4" w:themeFill="accent1" w:themeFillTint="66"/>
          </w:tcPr>
          <w:p w:rsidR="00F177EE" w:rsidRPr="0088759D" w:rsidRDefault="00F177EE" w:rsidP="004C2E87">
            <w:pPr>
              <w:keepNext/>
              <w:jc w:val="center"/>
              <w:rPr>
                <w:b/>
                <w:color w:val="002060"/>
                <w:sz w:val="22"/>
                <w:szCs w:val="22"/>
              </w:rPr>
            </w:pPr>
            <w:r w:rsidRPr="0088759D">
              <w:rPr>
                <w:b/>
                <w:color w:val="002060"/>
                <w:sz w:val="22"/>
                <w:szCs w:val="22"/>
              </w:rPr>
              <w:t>Elektroniskā saite uz dokumentu</w:t>
            </w:r>
          </w:p>
        </w:tc>
      </w:tr>
      <w:tr w:rsidR="00F177EE" w:rsidRPr="00671056" w:rsidTr="00F177EE">
        <w:trPr>
          <w:jc w:val="center"/>
        </w:trPr>
        <w:tc>
          <w:tcPr>
            <w:tcW w:w="1330" w:type="dxa"/>
            <w:tcBorders>
              <w:top w:val="single" w:sz="4" w:space="0" w:color="auto"/>
              <w:left w:val="single" w:sz="4" w:space="0" w:color="auto"/>
              <w:bottom w:val="single" w:sz="4" w:space="0" w:color="auto"/>
              <w:right w:val="single" w:sz="4" w:space="0" w:color="auto"/>
            </w:tcBorders>
            <w:shd w:val="clear" w:color="auto" w:fill="auto"/>
          </w:tcPr>
          <w:p w:rsidR="00F177EE" w:rsidRPr="00671056" w:rsidRDefault="00F177EE" w:rsidP="00F177EE">
            <w:pPr>
              <w:rPr>
                <w:sz w:val="22"/>
                <w:szCs w:val="22"/>
              </w:rPr>
            </w:pPr>
            <w:r w:rsidRPr="00671056">
              <w:rPr>
                <w:sz w:val="22"/>
                <w:szCs w:val="22"/>
              </w:rPr>
              <w:t>Novada nosaukums</w:t>
            </w:r>
          </w:p>
        </w:tc>
        <w:tc>
          <w:tcPr>
            <w:tcW w:w="1995" w:type="dxa"/>
            <w:tcBorders>
              <w:top w:val="single" w:sz="4" w:space="0" w:color="auto"/>
              <w:left w:val="single" w:sz="4" w:space="0" w:color="auto"/>
              <w:bottom w:val="single" w:sz="4" w:space="0" w:color="auto"/>
              <w:right w:val="single" w:sz="4" w:space="0" w:color="auto"/>
            </w:tcBorders>
            <w:shd w:val="clear" w:color="auto" w:fill="auto"/>
          </w:tcPr>
          <w:p w:rsidR="00F177EE" w:rsidRPr="00671056" w:rsidRDefault="00F177EE" w:rsidP="00F177EE">
            <w:pPr>
              <w:jc w:val="left"/>
              <w:rPr>
                <w:sz w:val="22"/>
                <w:szCs w:val="22"/>
              </w:rPr>
            </w:pPr>
            <w:r w:rsidRPr="00671056">
              <w:rPr>
                <w:sz w:val="22"/>
                <w:szCs w:val="22"/>
              </w:rPr>
              <w:t>Saistošo noteikumu datums, numurs, nosaukums</w:t>
            </w:r>
            <w:r w:rsidR="00942421">
              <w:rPr>
                <w:sz w:val="22"/>
                <w:szCs w:val="22"/>
              </w:rPr>
              <w:t>.</w:t>
            </w:r>
          </w:p>
          <w:p w:rsidR="00F177EE" w:rsidRPr="00671056" w:rsidRDefault="00942421" w:rsidP="00F177EE">
            <w:pPr>
              <w:jc w:val="left"/>
              <w:rPr>
                <w:sz w:val="22"/>
                <w:szCs w:val="22"/>
              </w:rPr>
            </w:pPr>
            <w:r>
              <w:rPr>
                <w:sz w:val="22"/>
                <w:szCs w:val="22"/>
              </w:rPr>
              <w:t>Norādīti</w:t>
            </w:r>
            <w:r w:rsidR="00F177EE" w:rsidRPr="00671056">
              <w:rPr>
                <w:sz w:val="22"/>
                <w:szCs w:val="22"/>
              </w:rPr>
              <w:t xml:space="preserve"> visi konkrētā dokumenta grozījumi, norādot to pieņemšanas datumu, numuru, spēkā stāšanās datumu.</w:t>
            </w:r>
          </w:p>
          <w:p w:rsidR="00F177EE" w:rsidRPr="00671056" w:rsidRDefault="00F177EE" w:rsidP="00942421">
            <w:pPr>
              <w:jc w:val="left"/>
              <w:rPr>
                <w:sz w:val="22"/>
                <w:szCs w:val="22"/>
              </w:rPr>
            </w:pPr>
            <w:r w:rsidRPr="00671056">
              <w:rPr>
                <w:sz w:val="22"/>
                <w:szCs w:val="22"/>
              </w:rPr>
              <w:t xml:space="preserve">Ja grozījumu saite ir atšķirīga no pamata dokumenta saites, arī tā </w:t>
            </w:r>
            <w:r w:rsidR="00942421">
              <w:rPr>
                <w:sz w:val="22"/>
                <w:szCs w:val="22"/>
              </w:rPr>
              <w:t>norādīta</w:t>
            </w:r>
            <w:r w:rsidRPr="00671056">
              <w:rPr>
                <w:sz w:val="22"/>
                <w:szCs w:val="22"/>
              </w:rPr>
              <w:t xml:space="preserve"> attiecīgajā kolonnā.</w:t>
            </w:r>
          </w:p>
        </w:tc>
        <w:tc>
          <w:tcPr>
            <w:tcW w:w="2174" w:type="dxa"/>
            <w:tcBorders>
              <w:top w:val="single" w:sz="4" w:space="0" w:color="auto"/>
              <w:left w:val="single" w:sz="4" w:space="0" w:color="auto"/>
              <w:bottom w:val="single" w:sz="4" w:space="0" w:color="auto"/>
              <w:right w:val="single" w:sz="4" w:space="0" w:color="auto"/>
            </w:tcBorders>
            <w:shd w:val="clear" w:color="auto" w:fill="auto"/>
          </w:tcPr>
          <w:p w:rsidR="00F177EE" w:rsidRPr="00671056" w:rsidRDefault="00942421" w:rsidP="00F177EE">
            <w:pPr>
              <w:rPr>
                <w:sz w:val="22"/>
                <w:szCs w:val="22"/>
              </w:rPr>
            </w:pPr>
            <w:r>
              <w:rPr>
                <w:sz w:val="22"/>
                <w:szCs w:val="22"/>
              </w:rPr>
              <w:t>Norādītas</w:t>
            </w:r>
            <w:r w:rsidR="00F177EE" w:rsidRPr="00671056">
              <w:rPr>
                <w:sz w:val="22"/>
                <w:szCs w:val="22"/>
              </w:rPr>
              <w:t xml:space="preserve"> visas dokumentā identificētās mērķa grupas neatkarīgi no TS 3.7. punktā minētajām grupām.</w:t>
            </w:r>
          </w:p>
          <w:p w:rsidR="00F177EE" w:rsidRPr="00671056" w:rsidRDefault="00F177EE" w:rsidP="00F177EE">
            <w:pPr>
              <w:rPr>
                <w:sz w:val="22"/>
                <w:szCs w:val="22"/>
              </w:rPr>
            </w:pPr>
            <w:r w:rsidRPr="005A4E93">
              <w:rPr>
                <w:sz w:val="22"/>
                <w:szCs w:val="22"/>
              </w:rPr>
              <w:t xml:space="preserve">TS 3.7. punktā minētās grupas </w:t>
            </w:r>
            <w:r w:rsidR="00942421" w:rsidRPr="005A4E93">
              <w:rPr>
                <w:sz w:val="22"/>
                <w:szCs w:val="22"/>
              </w:rPr>
              <w:t>ir izceltas</w:t>
            </w:r>
            <w:r w:rsidRPr="005A4E93">
              <w:rPr>
                <w:sz w:val="22"/>
                <w:szCs w:val="22"/>
              </w:rPr>
              <w:t xml:space="preserve"> treknrakstā.</w:t>
            </w:r>
            <w:r w:rsidRPr="00671056">
              <w:rPr>
                <w:sz w:val="22"/>
                <w:szCs w:val="22"/>
              </w:rPr>
              <w:t xml:space="preserve"> </w:t>
            </w:r>
          </w:p>
          <w:p w:rsidR="00F177EE" w:rsidRPr="00671056" w:rsidRDefault="00942421" w:rsidP="00942421">
            <w:pPr>
              <w:rPr>
                <w:sz w:val="22"/>
                <w:szCs w:val="22"/>
              </w:rPr>
            </w:pPr>
            <w:r>
              <w:rPr>
                <w:sz w:val="22"/>
                <w:szCs w:val="22"/>
              </w:rPr>
              <w:t>Norādīti</w:t>
            </w:r>
            <w:r w:rsidR="00F177EE" w:rsidRPr="00671056">
              <w:rPr>
                <w:sz w:val="22"/>
                <w:szCs w:val="22"/>
              </w:rPr>
              <w:t xml:space="preserve"> visi atvieglojuma saņemšanas kritēriji. Ja tie ir atšķirīgi dažādām mērķa grupām, </w:t>
            </w:r>
            <w:r>
              <w:rPr>
                <w:sz w:val="22"/>
                <w:szCs w:val="22"/>
              </w:rPr>
              <w:t>tie skaidri identificējami</w:t>
            </w:r>
            <w:r w:rsidR="00F177EE" w:rsidRPr="00671056">
              <w:rPr>
                <w:sz w:val="22"/>
                <w:szCs w:val="22"/>
              </w:rPr>
              <w:t xml:space="preserve"> (saikne starp mērķa grupu un atvieglojuma piešķiršanas kritēriju)</w:t>
            </w:r>
            <w:r>
              <w:rPr>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177EE" w:rsidRPr="00671056" w:rsidRDefault="00942421" w:rsidP="00F177EE">
            <w:pPr>
              <w:rPr>
                <w:sz w:val="22"/>
                <w:szCs w:val="22"/>
              </w:rPr>
            </w:pPr>
            <w:r>
              <w:rPr>
                <w:sz w:val="22"/>
                <w:szCs w:val="22"/>
              </w:rPr>
              <w:t>Norādīti</w:t>
            </w:r>
            <w:r w:rsidR="00F177EE" w:rsidRPr="00671056">
              <w:rPr>
                <w:sz w:val="22"/>
                <w:szCs w:val="22"/>
              </w:rPr>
              <w:t xml:space="preserve"> visi dokumentā minētie atvieglojumi tā, lai būtu saprotams, uz kuru mērķa grupu tie attiecas. </w:t>
            </w:r>
          </w:p>
        </w:tc>
        <w:tc>
          <w:tcPr>
            <w:tcW w:w="1550" w:type="dxa"/>
            <w:tcBorders>
              <w:top w:val="single" w:sz="4" w:space="0" w:color="auto"/>
              <w:left w:val="single" w:sz="4" w:space="0" w:color="auto"/>
              <w:bottom w:val="single" w:sz="4" w:space="0" w:color="auto"/>
              <w:right w:val="single" w:sz="4" w:space="0" w:color="auto"/>
            </w:tcBorders>
            <w:shd w:val="clear" w:color="auto" w:fill="auto"/>
          </w:tcPr>
          <w:p w:rsidR="00F177EE" w:rsidRPr="00671056" w:rsidRDefault="00F177EE" w:rsidP="00942421">
            <w:pPr>
              <w:rPr>
                <w:sz w:val="22"/>
                <w:szCs w:val="22"/>
              </w:rPr>
            </w:pPr>
            <w:r w:rsidRPr="00671056">
              <w:rPr>
                <w:sz w:val="22"/>
                <w:szCs w:val="22"/>
              </w:rPr>
              <w:t xml:space="preserve">Atvieglojuma apmērs </w:t>
            </w:r>
            <w:r w:rsidR="00942421">
              <w:rPr>
                <w:sz w:val="22"/>
                <w:szCs w:val="22"/>
              </w:rPr>
              <w:t>norādīts</w:t>
            </w:r>
            <w:r w:rsidRPr="00671056">
              <w:rPr>
                <w:sz w:val="22"/>
                <w:szCs w:val="22"/>
              </w:rPr>
              <w:t xml:space="preserve"> atbilstoši tam, kā tas ir norādīts dokumentā (naudas summas izteiksmē vai aprakstoši). </w:t>
            </w:r>
          </w:p>
        </w:tc>
        <w:tc>
          <w:tcPr>
            <w:tcW w:w="1561" w:type="dxa"/>
            <w:tcBorders>
              <w:top w:val="single" w:sz="4" w:space="0" w:color="auto"/>
              <w:left w:val="single" w:sz="4" w:space="0" w:color="auto"/>
              <w:bottom w:val="single" w:sz="4" w:space="0" w:color="auto"/>
              <w:right w:val="single" w:sz="4" w:space="0" w:color="auto"/>
            </w:tcBorders>
          </w:tcPr>
          <w:p w:rsidR="00F177EE" w:rsidRPr="005A4E93" w:rsidRDefault="00F177EE" w:rsidP="00203A08">
            <w:pPr>
              <w:rPr>
                <w:sz w:val="22"/>
                <w:szCs w:val="22"/>
              </w:rPr>
            </w:pPr>
            <w:r w:rsidRPr="005A4E93">
              <w:rPr>
                <w:sz w:val="22"/>
                <w:szCs w:val="22"/>
              </w:rPr>
              <w:t>Ja dokuments nav pieejams pašvaldības domes vai to struktūrvienību mājas lapā, norādīt</w:t>
            </w:r>
            <w:r w:rsidR="00942421" w:rsidRPr="005A4E93">
              <w:rPr>
                <w:sz w:val="22"/>
                <w:szCs w:val="22"/>
              </w:rPr>
              <w:t>s</w:t>
            </w:r>
            <w:r w:rsidRPr="005A4E93">
              <w:rPr>
                <w:sz w:val="22"/>
                <w:szCs w:val="22"/>
              </w:rPr>
              <w:t xml:space="preserve"> tiesību akta ieguves veid</w:t>
            </w:r>
            <w:r w:rsidR="00942421" w:rsidRPr="005A4E93">
              <w:rPr>
                <w:sz w:val="22"/>
                <w:szCs w:val="22"/>
              </w:rPr>
              <w:t>s</w:t>
            </w:r>
            <w:r w:rsidRPr="005A4E93">
              <w:rPr>
                <w:sz w:val="22"/>
                <w:szCs w:val="22"/>
              </w:rPr>
              <w:t xml:space="preserve">. </w:t>
            </w:r>
          </w:p>
        </w:tc>
      </w:tr>
    </w:tbl>
    <w:p w:rsidR="00F177EE" w:rsidRPr="002442C0" w:rsidRDefault="00F177EE" w:rsidP="005A207F">
      <w:pPr>
        <w:pStyle w:val="virsrakstslvl3"/>
      </w:pPr>
      <w:bookmarkStart w:id="1039" w:name="_Toc528761673"/>
      <w:bookmarkStart w:id="1040" w:name="_Toc528762836"/>
      <w:bookmarkStart w:id="1041" w:name="_Toc528768894"/>
      <w:bookmarkStart w:id="1042" w:name="_Toc528847621"/>
      <w:bookmarkStart w:id="1043" w:name="_Toc528930605"/>
      <w:bookmarkStart w:id="1044" w:name="_Toc529170553"/>
      <w:bookmarkStart w:id="1045" w:name="_Toc529176276"/>
      <w:bookmarkStart w:id="1046" w:name="_Toc529180104"/>
      <w:bookmarkStart w:id="1047" w:name="_Toc529180349"/>
      <w:bookmarkStart w:id="1048" w:name="_Toc531694124"/>
      <w:bookmarkStart w:id="1049" w:name="_Toc531856229"/>
      <w:bookmarkStart w:id="1050" w:name="_Toc531860018"/>
      <w:bookmarkStart w:id="1051" w:name="_Toc535738804"/>
      <w:bookmarkStart w:id="1052" w:name="_Toc535741802"/>
      <w:bookmarkStart w:id="1053" w:name="_Toc535742155"/>
      <w:bookmarkStart w:id="1054" w:name="_Toc535916138"/>
      <w:bookmarkStart w:id="1055" w:name="_Toc535922790"/>
      <w:bookmarkStart w:id="1056" w:name="_Toc535935093"/>
      <w:bookmarkStart w:id="1057" w:name="_Toc788706"/>
      <w:bookmarkStart w:id="1058" w:name="_Toc868885"/>
      <w:r>
        <w:t>Ekspertu intervijas un fokusa grup</w:t>
      </w:r>
      <w:r w:rsidR="00D6730D">
        <w:t>as</w:t>
      </w:r>
      <w:r>
        <w:t xml:space="preserve"> diskusija</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r>
        <w:t xml:space="preserve"> </w:t>
      </w:r>
    </w:p>
    <w:p w:rsidR="00F177EE" w:rsidRPr="00B87378" w:rsidRDefault="00F177EE" w:rsidP="00E10DA4">
      <w:pPr>
        <w:pStyle w:val="under"/>
      </w:pPr>
      <w:bookmarkStart w:id="1059" w:name="_Toc2761164"/>
      <w:bookmarkStart w:id="1060" w:name="_Toc2848271"/>
      <w:bookmarkStart w:id="1061" w:name="_Toc6219331"/>
      <w:bookmarkStart w:id="1062" w:name="_Toc6220274"/>
      <w:bookmarkStart w:id="1063" w:name="_Toc6841702"/>
      <w:r w:rsidRPr="00B87378">
        <w:t>Uzdevumi:</w:t>
      </w:r>
      <w:bookmarkEnd w:id="1059"/>
      <w:bookmarkEnd w:id="1060"/>
      <w:bookmarkEnd w:id="1061"/>
      <w:bookmarkEnd w:id="1062"/>
      <w:bookmarkEnd w:id="1063"/>
      <w:r w:rsidRPr="00B87378">
        <w:t xml:space="preserve"> </w:t>
      </w:r>
    </w:p>
    <w:p w:rsidR="00F177EE" w:rsidRPr="004D7A12" w:rsidRDefault="00F177EE" w:rsidP="00496284">
      <w:pPr>
        <w:pStyle w:val="ListParagraph"/>
        <w:spacing w:line="276" w:lineRule="auto"/>
        <w:jc w:val="both"/>
      </w:pPr>
      <w:r w:rsidRPr="004D7A12">
        <w:t xml:space="preserve">2.1. </w:t>
      </w:r>
      <w:r w:rsidR="008D050E">
        <w:t>S</w:t>
      </w:r>
      <w:r w:rsidRPr="004D7A12">
        <w:t>niegt īsu pārskatu par Latvijas veselības aprūpes sistēmas galvenajām problēmām saistībā ar veselības aprūpes pakalpojumu pieejamību, efektivitāti un lietderību.</w:t>
      </w:r>
    </w:p>
    <w:p w:rsidR="00F177EE" w:rsidRPr="004D7A12" w:rsidRDefault="00F177EE" w:rsidP="00496284">
      <w:pPr>
        <w:pStyle w:val="ListParagraph"/>
        <w:spacing w:line="276" w:lineRule="auto"/>
        <w:jc w:val="both"/>
      </w:pPr>
      <w:r w:rsidRPr="004D7A12">
        <w:t xml:space="preserve">2.2. </w:t>
      </w:r>
      <w:r w:rsidR="008D050E">
        <w:t>D</w:t>
      </w:r>
      <w:r w:rsidRPr="004D7A12">
        <w:rPr>
          <w:color w:val="000000"/>
        </w:rPr>
        <w:t>efinēt politikas plānošanas dokumentos identificētos ierobežojumus un trūkumus saistībā ar veselības aprūpes pieejamību mērķa grupām</w:t>
      </w:r>
      <w:r w:rsidR="00942421">
        <w:rPr>
          <w:color w:val="000000"/>
        </w:rPr>
        <w:t>.</w:t>
      </w:r>
    </w:p>
    <w:p w:rsidR="00F177EE" w:rsidRPr="004D7A12" w:rsidRDefault="00F177EE" w:rsidP="00496284">
      <w:pPr>
        <w:pStyle w:val="ListParagraph"/>
        <w:spacing w:line="276" w:lineRule="auto"/>
        <w:jc w:val="both"/>
      </w:pPr>
      <w:r w:rsidRPr="004D7A12">
        <w:t xml:space="preserve">2.2. </w:t>
      </w:r>
      <w:r w:rsidR="008D050E">
        <w:t>I</w:t>
      </w:r>
      <w:r w:rsidRPr="004D7A12">
        <w:rPr>
          <w:color w:val="000000"/>
        </w:rPr>
        <w:t>dentificēt politikas plānošanas dokumentos plānotos pasākumus konstatēto problēmu mazināšanai un/vai novēršanai</w:t>
      </w:r>
      <w:r w:rsidR="00942421">
        <w:rPr>
          <w:color w:val="000000"/>
        </w:rPr>
        <w:t>.</w:t>
      </w:r>
    </w:p>
    <w:p w:rsidR="00F177EE" w:rsidRPr="004D7A12" w:rsidRDefault="00F177EE" w:rsidP="00496284">
      <w:pPr>
        <w:pStyle w:val="ListParagraph"/>
        <w:spacing w:line="276" w:lineRule="auto"/>
        <w:jc w:val="both"/>
      </w:pPr>
      <w:r w:rsidRPr="004D7A12">
        <w:t>2.9.-2.10.</w:t>
      </w:r>
      <w:r w:rsidR="008D050E">
        <w:t xml:space="preserve"> I</w:t>
      </w:r>
      <w:r w:rsidRPr="004D7A12">
        <w:t xml:space="preserve">ntegrēta analīze ar mērķi sagatavot secinājumus par nevienlīdzību veselības aprūpes jomā un sagatavot rekomendācijas par nepieciešamajiem uzlabojumiem (t.sk. normatīvo aktu pilnveidi) </w:t>
      </w:r>
      <w:r w:rsidRPr="004D7A12">
        <w:rPr>
          <w:color w:val="000000"/>
        </w:rPr>
        <w:t>nevienlīdzību veselības aprūpes pieejamībā mazināšanai</w:t>
      </w:r>
      <w:r w:rsidR="00942421">
        <w:rPr>
          <w:color w:val="000000"/>
        </w:rPr>
        <w:t>.</w:t>
      </w:r>
    </w:p>
    <w:p w:rsidR="00F177EE" w:rsidRPr="00275CE2" w:rsidRDefault="00F177EE" w:rsidP="00F177EE">
      <w:pPr>
        <w:jc w:val="left"/>
        <w:rPr>
          <w:rFonts w:asciiTheme="majorHAnsi" w:eastAsiaTheme="majorEastAsia" w:hAnsiTheme="majorHAnsi" w:cstheme="majorBidi"/>
          <w:b/>
          <w:bCs/>
          <w:color w:val="4F81BD" w:themeColor="accent1"/>
        </w:rPr>
      </w:pPr>
    </w:p>
    <w:p w:rsidR="00F177EE" w:rsidRDefault="00F177EE" w:rsidP="00F177EE">
      <w:r w:rsidRPr="00B535B5">
        <w:t xml:space="preserve">Ekspertu interviju mērķis šo uzdevuma izpildē </w:t>
      </w:r>
      <w:r w:rsidR="00942421">
        <w:t>bija</w:t>
      </w:r>
      <w:r w:rsidRPr="00B535B5">
        <w:t xml:space="preserve"> iegūt kvalitatīvos datus padziļinātam rīcībpolitikas izvērtējumam </w:t>
      </w:r>
      <w:r>
        <w:t xml:space="preserve">nevienlīdzības veselības aprūpes </w:t>
      </w:r>
      <w:r w:rsidRPr="00B535B5">
        <w:t xml:space="preserve">jomā. </w:t>
      </w:r>
      <w:r w:rsidR="00942421">
        <w:t>K</w:t>
      </w:r>
      <w:r w:rsidRPr="00B535B5">
        <w:t>opumā plānoto 20 ekspertu interviju ietvaros tik</w:t>
      </w:r>
      <w:r w:rsidR="00942421">
        <w:t>a</w:t>
      </w:r>
      <w:r w:rsidRPr="00B535B5">
        <w:t xml:space="preserve"> intervēti </w:t>
      </w:r>
      <w:r w:rsidR="00942421">
        <w:t>9</w:t>
      </w:r>
      <w:r w:rsidRPr="00B535B5">
        <w:t xml:space="preserve"> eksperti, kuri ir specializējušies tieši </w:t>
      </w:r>
      <w:r>
        <w:t>veselības aprūpes pakalpojumu</w:t>
      </w:r>
      <w:r w:rsidRPr="00B535B5">
        <w:t xml:space="preserve"> pieejamības jomā</w:t>
      </w:r>
      <w:r w:rsidR="00496284">
        <w:t xml:space="preserve"> (ekspertu interviju jautājumu vadlīnijas sk. 3.pielikumā, ekspertu sarakstu sk. 2.pielikumā)</w:t>
      </w:r>
      <w:r w:rsidRPr="00B535B5">
        <w:t xml:space="preserve">. Sekojot teorijā balstītās pieejas pielietojumam intervences ietekmes </w:t>
      </w:r>
      <w:r w:rsidRPr="00B535B5">
        <w:lastRenderedPageBreak/>
        <w:t>izvērtējumā, šie dati papildin</w:t>
      </w:r>
      <w:r w:rsidR="00942421">
        <w:t>a</w:t>
      </w:r>
      <w:r w:rsidRPr="00B535B5">
        <w:t xml:space="preserve"> dokumentu analīzes rezultātus. Tāpat ekspertu intervijas </w:t>
      </w:r>
      <w:r w:rsidR="00942421">
        <w:t>ir</w:t>
      </w:r>
      <w:r w:rsidRPr="00B535B5">
        <w:t xml:space="preserve"> papildu datu avots statistikas datu analīzes rezultātu interpretācijai, ekspertu viedoklis un pieredze par pieejamajiem datiem, to izmantošanas kompetenci un pielietojuma iespējām </w:t>
      </w:r>
      <w:r w:rsidR="00496284">
        <w:t>sniedz</w:t>
      </w:r>
      <w:r w:rsidRPr="00B535B5">
        <w:t xml:space="preserve"> dziļāku izpratni par nepieciešamajiem datiem un to kvalitāti no lietotāju perspektīvas. </w:t>
      </w:r>
      <w:r>
        <w:t xml:space="preserve">Ekspertu interviju rezultāti </w:t>
      </w:r>
      <w:r w:rsidR="00496284">
        <w:t>ir</w:t>
      </w:r>
      <w:r>
        <w:t xml:space="preserve"> </w:t>
      </w:r>
      <w:r w:rsidR="002217A1">
        <w:t xml:space="preserve">integrēti Izvērtējuma saturā un </w:t>
      </w:r>
      <w:r>
        <w:t xml:space="preserve">apkopoti </w:t>
      </w:r>
      <w:r w:rsidR="00496284">
        <w:t>5. pielikumā</w:t>
      </w:r>
      <w:r>
        <w:t xml:space="preserve"> „Ekspertu interviju rezultātu nevienlīdzības veselības aprūpes jomā apkopojums”. </w:t>
      </w:r>
    </w:p>
    <w:p w:rsidR="00496284" w:rsidRDefault="00496284" w:rsidP="00F177EE"/>
    <w:p w:rsidR="00F177EE" w:rsidRPr="004A13FE" w:rsidRDefault="00F177EE" w:rsidP="00F177EE">
      <w:r>
        <w:t>2</w:t>
      </w:r>
      <w:r w:rsidRPr="004A13FE">
        <w:t>.1.-</w:t>
      </w:r>
      <w:r>
        <w:t>2</w:t>
      </w:r>
      <w:r w:rsidRPr="004A13FE">
        <w:t xml:space="preserve">.8. uzdevumu izpildes noslēgumā </w:t>
      </w:r>
      <w:r w:rsidR="00496284">
        <w:t>tika rīkota</w:t>
      </w:r>
      <w:r w:rsidRPr="004A13FE">
        <w:t xml:space="preserve"> vien</w:t>
      </w:r>
      <w:r w:rsidR="00496284">
        <w:t>a</w:t>
      </w:r>
      <w:r w:rsidRPr="004A13FE">
        <w:t xml:space="preserve"> FGD ar </w:t>
      </w:r>
      <w:r>
        <w:t>veselības aprūpes</w:t>
      </w:r>
      <w:r w:rsidRPr="004A13FE">
        <w:t xml:space="preserve"> politikas ekspertiem un speciālistiem</w:t>
      </w:r>
      <w:r w:rsidR="00496284">
        <w:t xml:space="preserve"> (sk. dalībnieku sarakstu 2.pielikumā)</w:t>
      </w:r>
      <w:r w:rsidRPr="004A13FE">
        <w:t xml:space="preserve">. FGD mērķis </w:t>
      </w:r>
      <w:r w:rsidR="00496284">
        <w:t xml:space="preserve">bija iepazīstināt ekspertus ar Izvērtējuma </w:t>
      </w:r>
      <w:r w:rsidRPr="004A13FE">
        <w:t>rezultātiem, apspriest tos un diskutēt par pētnieku izstrādāto galveno secinājumu un rekomendāciju projekt</w:t>
      </w:r>
      <w:r w:rsidR="008D6552">
        <w:t>u. Tādējādi tā ir vērtējama kā I</w:t>
      </w:r>
      <w:r w:rsidRPr="004A13FE">
        <w:t>zvērtējuma rezultātu aprobācijas metode.</w:t>
      </w:r>
      <w:r>
        <w:t xml:space="preserve"> </w:t>
      </w:r>
      <w:r w:rsidR="00496284">
        <w:t>FGD organizēšana ietvēra secīgus soļus – dalībnieku saraksta saskaņošana ar Pasūtītāju, FGD jautājumu vadlīniju precizēšana, dalībnieku uzaicināšana, FGD moderēšana, FGD norises audio ieraksta transkribēšana, datu apstrāde un analīze.</w:t>
      </w:r>
      <w:r w:rsidRPr="004A13FE">
        <w:t xml:space="preserve"> </w:t>
      </w:r>
      <w:r w:rsidR="00496284">
        <w:t xml:space="preserve">FGD rezultāti ir apkopoti 7. pielikumā „Fokusa grupas diskusijas nevienlīdzības veselības aprūpes jomā </w:t>
      </w:r>
      <w:r w:rsidR="00D6730D">
        <w:t>apkopojuma</w:t>
      </w:r>
      <w:r w:rsidR="00496284">
        <w:t xml:space="preserve">”, kā arī ņemti vērā, izstrādājot secinājumus par nevienlīdzības mazināšanu veselības aprūpes jomā. </w:t>
      </w:r>
    </w:p>
    <w:p w:rsidR="00F177EE" w:rsidRPr="00B87378" w:rsidRDefault="00F177EE" w:rsidP="00E10DA4">
      <w:pPr>
        <w:pStyle w:val="virsrakstslvl4"/>
      </w:pPr>
      <w:bookmarkStart w:id="1064" w:name="_Toc528761674"/>
      <w:bookmarkStart w:id="1065" w:name="_Toc528762837"/>
      <w:bookmarkStart w:id="1066" w:name="_Toc528768895"/>
      <w:bookmarkStart w:id="1067" w:name="_Toc528847622"/>
      <w:bookmarkStart w:id="1068" w:name="_Toc528930606"/>
      <w:bookmarkStart w:id="1069" w:name="_Toc529170554"/>
      <w:bookmarkStart w:id="1070" w:name="_Toc529176277"/>
      <w:bookmarkStart w:id="1071" w:name="_Toc529180105"/>
      <w:bookmarkStart w:id="1072" w:name="_Toc529180350"/>
      <w:bookmarkStart w:id="1073" w:name="_Toc531694125"/>
      <w:bookmarkStart w:id="1074" w:name="_Toc531856230"/>
      <w:bookmarkStart w:id="1075" w:name="_Toc531860019"/>
      <w:bookmarkStart w:id="1076" w:name="_Toc535738805"/>
      <w:bookmarkStart w:id="1077" w:name="_Toc535741803"/>
      <w:bookmarkStart w:id="1078" w:name="_Toc535742156"/>
      <w:bookmarkStart w:id="1079" w:name="_Toc535916139"/>
      <w:bookmarkStart w:id="1080" w:name="_Toc535922791"/>
      <w:bookmarkStart w:id="1081" w:name="_Toc535935094"/>
      <w:bookmarkStart w:id="1082" w:name="_Toc868886"/>
      <w:bookmarkStart w:id="1083" w:name="_Toc2761165"/>
      <w:bookmarkStart w:id="1084" w:name="_Toc2848272"/>
      <w:bookmarkStart w:id="1085" w:name="_Toc6219332"/>
      <w:bookmarkStart w:id="1086" w:name="_Toc6220275"/>
      <w:bookmarkStart w:id="1087" w:name="_Toc6841703"/>
      <w:r w:rsidRPr="00B87378">
        <w:t>Integrēta analīze</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r w:rsidRPr="00B87378">
        <w:t xml:space="preserve"> </w:t>
      </w:r>
    </w:p>
    <w:p w:rsidR="00F177EE" w:rsidRPr="00B87378" w:rsidRDefault="00F177EE" w:rsidP="00E10DA4">
      <w:pPr>
        <w:pStyle w:val="under"/>
        <w:rPr>
          <w:b/>
          <w:color w:val="0070C0"/>
        </w:rPr>
      </w:pPr>
      <w:bookmarkStart w:id="1088" w:name="_Toc2761166"/>
      <w:bookmarkStart w:id="1089" w:name="_Toc2848273"/>
      <w:bookmarkStart w:id="1090" w:name="_Toc6219333"/>
      <w:bookmarkStart w:id="1091" w:name="_Toc6220276"/>
      <w:bookmarkStart w:id="1092" w:name="_Toc6841704"/>
      <w:r w:rsidRPr="00B87378">
        <w:t>Uzdevumi:</w:t>
      </w:r>
      <w:bookmarkEnd w:id="1088"/>
      <w:bookmarkEnd w:id="1089"/>
      <w:bookmarkEnd w:id="1090"/>
      <w:bookmarkEnd w:id="1091"/>
      <w:bookmarkEnd w:id="1092"/>
      <w:r w:rsidRPr="00B87378">
        <w:t xml:space="preserve"> </w:t>
      </w:r>
    </w:p>
    <w:p w:rsidR="00F177EE" w:rsidRPr="000176CF" w:rsidRDefault="00F177EE" w:rsidP="00496284">
      <w:pPr>
        <w:pStyle w:val="ListParagraph"/>
        <w:spacing w:line="276" w:lineRule="auto"/>
      </w:pPr>
      <w:r w:rsidRPr="000176CF">
        <w:t xml:space="preserve">2.9. Sagatavot secinājumus par nevienlīdzību veselības aprūpes pieejamībā attiecībā uz TS 3.7. punktā noteiktajām mērķa grupām. </w:t>
      </w:r>
    </w:p>
    <w:p w:rsidR="00F177EE" w:rsidRPr="000176CF" w:rsidRDefault="00F177EE" w:rsidP="00496284">
      <w:pPr>
        <w:pStyle w:val="ListParagraph"/>
        <w:spacing w:line="276" w:lineRule="auto"/>
      </w:pPr>
      <w:r w:rsidRPr="000176CF">
        <w:t xml:space="preserve">2.10. Sagatavot rekomendācijas par nepieciešamajiem uzlabojumiem (t.sk. normatīvo aktu pilnveidi) </w:t>
      </w:r>
      <w:r w:rsidRPr="000176CF">
        <w:rPr>
          <w:color w:val="000000"/>
        </w:rPr>
        <w:t>nevienlīdzību veselības aprūpes pieejamībā mazināšanai</w:t>
      </w:r>
      <w:r w:rsidRPr="000176CF">
        <w:t>.</w:t>
      </w:r>
    </w:p>
    <w:p w:rsidR="00F177EE" w:rsidRDefault="00F177EE" w:rsidP="00F177EE"/>
    <w:p w:rsidR="003733C9" w:rsidRDefault="00F177EE" w:rsidP="008D050E">
      <w:pPr>
        <w:rPr>
          <w:i/>
        </w:rPr>
      </w:pPr>
      <w:r w:rsidRPr="000176CF">
        <w:t>Integrētā analīze paredz</w:t>
      </w:r>
      <w:r w:rsidR="008D050E">
        <w:t>ēja</w:t>
      </w:r>
      <w:r w:rsidRPr="000176CF">
        <w:t xml:space="preserve"> apkopot visu nevienlīdzības veselības aprūpes jomā veikto uzdevumu atziņas un secinājumus. </w:t>
      </w:r>
      <w:r w:rsidR="008D050E">
        <w:t>B</w:t>
      </w:r>
      <w:r w:rsidRPr="000176CF">
        <w:t xml:space="preserve">alstoties uz dokumentu analīzes, statistikas datu analīzes, ekspertu interviju un </w:t>
      </w:r>
      <w:r w:rsidR="008D050E">
        <w:t>FGD</w:t>
      </w:r>
      <w:r w:rsidRPr="000176CF">
        <w:t xml:space="preserve"> rezultātiem, </w:t>
      </w:r>
      <w:r w:rsidR="008D050E">
        <w:t>tika</w:t>
      </w:r>
      <w:r w:rsidRPr="000176CF">
        <w:t xml:space="preserve"> sagatavoti secinājumi par nevienlīdzību veselības aprūpes pieejamībā attiecībā uz TS 3.7. punktā noteiktajām mērķa grupām un rekomendācijas par nepieciešamajiem uzlabojumiem (t.sk. normatīvo aktu pilnveidi) </w:t>
      </w:r>
      <w:r w:rsidRPr="000176CF">
        <w:rPr>
          <w:color w:val="000000"/>
        </w:rPr>
        <w:t>nevienlīdzību veselības aprūpes pieejamībā mazināšanai</w:t>
      </w:r>
      <w:r>
        <w:rPr>
          <w:color w:val="000000"/>
        </w:rPr>
        <w:t xml:space="preserve">. </w:t>
      </w:r>
      <w:bookmarkStart w:id="1093" w:name="_Toc788707"/>
    </w:p>
    <w:p w:rsidR="00645457" w:rsidRPr="00B87378" w:rsidRDefault="00645457" w:rsidP="00E10DA4">
      <w:pPr>
        <w:pStyle w:val="virsrakstslvl2"/>
      </w:pPr>
      <w:bookmarkStart w:id="1094" w:name="_Toc2761167"/>
      <w:bookmarkStart w:id="1095" w:name="_Toc2848274"/>
      <w:bookmarkStart w:id="1096" w:name="_Toc6219334"/>
      <w:bookmarkStart w:id="1097" w:name="_Toc6220277"/>
      <w:bookmarkStart w:id="1098" w:name="_Toc6841705"/>
      <w:bookmarkEnd w:id="1093"/>
      <w:r w:rsidRPr="007432E7">
        <w:t>Nevienlīdzības</w:t>
      </w:r>
      <w:r w:rsidRPr="00B87378">
        <w:t xml:space="preserve"> mājokļa pieejamības jomā analīzes metodika</w:t>
      </w:r>
      <w:bookmarkEnd w:id="1094"/>
      <w:bookmarkEnd w:id="1095"/>
      <w:bookmarkEnd w:id="1096"/>
      <w:bookmarkEnd w:id="1097"/>
      <w:bookmarkEnd w:id="1098"/>
    </w:p>
    <w:p w:rsidR="00F177EE" w:rsidRDefault="0057729E" w:rsidP="00F177EE">
      <w:pPr>
        <w:rPr>
          <w:color w:val="000000" w:themeColor="text1"/>
        </w:rPr>
      </w:pPr>
      <w:r>
        <w:rPr>
          <w:color w:val="000000" w:themeColor="text1"/>
        </w:rPr>
        <w:t>4.5</w:t>
      </w:r>
      <w:r w:rsidR="00F177EE">
        <w:rPr>
          <w:color w:val="000000" w:themeColor="text1"/>
        </w:rPr>
        <w:t xml:space="preserve">. tabulā ir apkopoti visi nevienlīdzības mājokļa jomā </w:t>
      </w:r>
      <w:r w:rsidR="008D050E">
        <w:rPr>
          <w:color w:val="000000" w:themeColor="text1"/>
        </w:rPr>
        <w:t>veiktie</w:t>
      </w:r>
      <w:r w:rsidR="00F177EE">
        <w:rPr>
          <w:color w:val="000000" w:themeColor="text1"/>
        </w:rPr>
        <w:t xml:space="preserve"> uzdevumi, katram uzdevumam norādot tā izpildē pielietojamās metodes un izmantojamos instrumentārijus. Nevienlīdzības mājokļa pieejamības jomā galvenās mērķa grupas </w:t>
      </w:r>
      <w:r w:rsidR="008D050E">
        <w:rPr>
          <w:color w:val="000000" w:themeColor="text1"/>
        </w:rPr>
        <w:t>tika</w:t>
      </w:r>
      <w:r w:rsidR="00F177EE">
        <w:rPr>
          <w:color w:val="000000" w:themeColor="text1"/>
        </w:rPr>
        <w:t xml:space="preserve"> noteiktas šādas </w:t>
      </w:r>
      <w:r w:rsidR="00F177EE" w:rsidRPr="000F38D9">
        <w:rPr>
          <w:color w:val="000000" w:themeColor="text1"/>
        </w:rPr>
        <w:t>(saskaņā ar TS 3.</w:t>
      </w:r>
      <w:r w:rsidR="00F177EE">
        <w:rPr>
          <w:color w:val="000000" w:themeColor="text1"/>
        </w:rPr>
        <w:t>9</w:t>
      </w:r>
      <w:r w:rsidR="00F177EE" w:rsidRPr="000F38D9">
        <w:rPr>
          <w:color w:val="000000" w:themeColor="text1"/>
        </w:rPr>
        <w:t>. punktu)</w:t>
      </w:r>
      <w:r w:rsidR="00F177EE">
        <w:rPr>
          <w:color w:val="000000" w:themeColor="text1"/>
        </w:rPr>
        <w:t>:</w:t>
      </w:r>
    </w:p>
    <w:p w:rsidR="00F177EE" w:rsidRPr="00CC0D3C" w:rsidRDefault="00F177EE" w:rsidP="005C07F3">
      <w:pPr>
        <w:numPr>
          <w:ilvl w:val="0"/>
          <w:numId w:val="2"/>
        </w:numPr>
        <w:suppressAutoHyphens/>
        <w:autoSpaceDE w:val="0"/>
        <w:rPr>
          <w:color w:val="000000"/>
        </w:rPr>
      </w:pPr>
      <w:r w:rsidRPr="00CC0D3C">
        <w:rPr>
          <w:color w:val="000000"/>
        </w:rPr>
        <w:t>pirmspensijas un pensijas vecuma cilvēki;</w:t>
      </w:r>
    </w:p>
    <w:p w:rsidR="00F177EE" w:rsidRPr="00CC0D3C" w:rsidRDefault="00F177EE" w:rsidP="005C07F3">
      <w:pPr>
        <w:numPr>
          <w:ilvl w:val="0"/>
          <w:numId w:val="2"/>
        </w:numPr>
        <w:suppressAutoHyphens/>
        <w:autoSpaceDE w:val="0"/>
        <w:rPr>
          <w:color w:val="000000"/>
        </w:rPr>
      </w:pPr>
      <w:r w:rsidRPr="00CC0D3C">
        <w:rPr>
          <w:color w:val="000000"/>
        </w:rPr>
        <w:t xml:space="preserve">ģimenes ar bērniem, īpaši daudzbērnu un viena </w:t>
      </w:r>
      <w:r w:rsidR="00BA1727">
        <w:t xml:space="preserve">vecāka mājsaimniecības </w:t>
      </w:r>
      <w:r w:rsidRPr="00CC0D3C">
        <w:rPr>
          <w:color w:val="000000"/>
        </w:rPr>
        <w:t>(t.sk. ģimenes ar bērniem, kuriem ir funkcionēšanas ierobežojumi vai invaliditāte);</w:t>
      </w:r>
    </w:p>
    <w:p w:rsidR="00F177EE" w:rsidRPr="00CC0D3C" w:rsidRDefault="00F177EE" w:rsidP="005C07F3">
      <w:pPr>
        <w:numPr>
          <w:ilvl w:val="0"/>
          <w:numId w:val="2"/>
        </w:numPr>
        <w:suppressAutoHyphens/>
        <w:autoSpaceDE w:val="0"/>
        <w:rPr>
          <w:color w:val="000000"/>
        </w:rPr>
      </w:pPr>
      <w:r w:rsidRPr="00CC0D3C">
        <w:rPr>
          <w:color w:val="000000"/>
        </w:rPr>
        <w:t>bezdarbnieki, īpaši ilgstošie bezdarbnieki;</w:t>
      </w:r>
    </w:p>
    <w:p w:rsidR="00F177EE" w:rsidRDefault="00F177EE" w:rsidP="005C07F3">
      <w:pPr>
        <w:numPr>
          <w:ilvl w:val="0"/>
          <w:numId w:val="2"/>
        </w:numPr>
        <w:suppressAutoHyphens/>
        <w:autoSpaceDE w:val="0"/>
        <w:rPr>
          <w:color w:val="000000"/>
        </w:rPr>
      </w:pPr>
      <w:r w:rsidRPr="00CC0D3C">
        <w:rPr>
          <w:color w:val="000000"/>
        </w:rPr>
        <w:t>trūcīgās un maznodrošinātās personas;</w:t>
      </w:r>
    </w:p>
    <w:p w:rsidR="00F177EE" w:rsidRPr="00CC0D3C" w:rsidRDefault="00F177EE" w:rsidP="005C07F3">
      <w:pPr>
        <w:numPr>
          <w:ilvl w:val="0"/>
          <w:numId w:val="2"/>
        </w:numPr>
        <w:suppressAutoHyphens/>
        <w:autoSpaceDE w:val="0"/>
        <w:rPr>
          <w:color w:val="000000"/>
        </w:rPr>
      </w:pPr>
      <w:r>
        <w:rPr>
          <w:color w:val="000000"/>
        </w:rPr>
        <w:t>internātskolu absolventi;</w:t>
      </w:r>
    </w:p>
    <w:p w:rsidR="00F177EE" w:rsidRPr="00CC0D3C" w:rsidRDefault="00F177EE" w:rsidP="005C07F3">
      <w:pPr>
        <w:numPr>
          <w:ilvl w:val="0"/>
          <w:numId w:val="2"/>
        </w:numPr>
        <w:suppressAutoHyphens/>
        <w:autoSpaceDE w:val="0"/>
        <w:rPr>
          <w:color w:val="000000"/>
        </w:rPr>
      </w:pPr>
      <w:r w:rsidRPr="00CC0D3C">
        <w:rPr>
          <w:color w:val="000000"/>
        </w:rPr>
        <w:lastRenderedPageBreak/>
        <w:t>personas ar funkcionēšanas ierobežojumiem, tai skaitā personas ar invaliditāti (visas invaliditātes grupas un traucējumu veidi; bērni, darbspējas un virs darbspējas vecuma dzimumu griezumā);</w:t>
      </w:r>
    </w:p>
    <w:p w:rsidR="00F177EE" w:rsidRPr="00CC0D3C" w:rsidRDefault="00F177EE" w:rsidP="005C07F3">
      <w:pPr>
        <w:numPr>
          <w:ilvl w:val="0"/>
          <w:numId w:val="2"/>
        </w:numPr>
        <w:suppressAutoHyphens/>
        <w:autoSpaceDE w:val="0"/>
        <w:rPr>
          <w:color w:val="000000"/>
        </w:rPr>
      </w:pPr>
      <w:r w:rsidRPr="00CC0D3C">
        <w:rPr>
          <w:color w:val="000000"/>
        </w:rPr>
        <w:t>vardarbībā cietušās personas, tai skaitā cilvēktirdzniecības upuri;</w:t>
      </w:r>
    </w:p>
    <w:p w:rsidR="00F177EE" w:rsidRPr="00CC0D3C" w:rsidRDefault="00F177EE" w:rsidP="005C07F3">
      <w:pPr>
        <w:numPr>
          <w:ilvl w:val="0"/>
          <w:numId w:val="2"/>
        </w:numPr>
        <w:suppressAutoHyphens/>
        <w:autoSpaceDE w:val="0"/>
        <w:rPr>
          <w:color w:val="000000"/>
        </w:rPr>
      </w:pPr>
      <w:r w:rsidRPr="00CC0D3C">
        <w:rPr>
          <w:color w:val="000000"/>
        </w:rPr>
        <w:t>bezpajumtnieki;</w:t>
      </w:r>
    </w:p>
    <w:p w:rsidR="00F177EE" w:rsidRPr="00CC0D3C" w:rsidRDefault="00F177EE" w:rsidP="005C07F3">
      <w:pPr>
        <w:numPr>
          <w:ilvl w:val="0"/>
          <w:numId w:val="2"/>
        </w:numPr>
        <w:suppressAutoHyphens/>
        <w:autoSpaceDE w:val="0"/>
        <w:rPr>
          <w:color w:val="000000"/>
        </w:rPr>
      </w:pPr>
      <w:r w:rsidRPr="00CC0D3C">
        <w:rPr>
          <w:color w:val="000000"/>
        </w:rPr>
        <w:t>no ieslodzījuma vietām atbrīvotās personas;</w:t>
      </w:r>
    </w:p>
    <w:p w:rsidR="00F177EE" w:rsidRDefault="00F177EE" w:rsidP="005C07F3">
      <w:pPr>
        <w:numPr>
          <w:ilvl w:val="0"/>
          <w:numId w:val="2"/>
        </w:numPr>
        <w:suppressAutoHyphens/>
        <w:autoSpaceDE w:val="0"/>
        <w:rPr>
          <w:color w:val="000000"/>
        </w:rPr>
      </w:pPr>
      <w:r w:rsidRPr="00CC0D3C">
        <w:rPr>
          <w:color w:val="000000"/>
        </w:rPr>
        <w:t>romi;</w:t>
      </w:r>
    </w:p>
    <w:p w:rsidR="00F177EE" w:rsidRPr="000F38D9" w:rsidRDefault="00F177EE" w:rsidP="005C07F3">
      <w:pPr>
        <w:numPr>
          <w:ilvl w:val="0"/>
          <w:numId w:val="2"/>
        </w:numPr>
        <w:suppressAutoHyphens/>
        <w:autoSpaceDE w:val="0"/>
        <w:rPr>
          <w:color w:val="000000" w:themeColor="text1"/>
        </w:rPr>
      </w:pPr>
      <w:r w:rsidRPr="000F38D9">
        <w:rPr>
          <w:color w:val="000000" w:themeColor="text1"/>
        </w:rPr>
        <w:t>patvēruma meklētāji, bēgļi un personas ar alternatīvo statusu.</w:t>
      </w:r>
    </w:p>
    <w:p w:rsidR="00F177EE" w:rsidRPr="007D6307" w:rsidRDefault="0057729E" w:rsidP="00E10DA4">
      <w:pPr>
        <w:pStyle w:val="Caption"/>
      </w:pPr>
      <w:bookmarkStart w:id="1099" w:name="_Toc2761168"/>
      <w:bookmarkStart w:id="1100" w:name="_Toc2848275"/>
      <w:bookmarkStart w:id="1101" w:name="_Toc6219335"/>
      <w:bookmarkStart w:id="1102" w:name="_Toc6220278"/>
      <w:bookmarkStart w:id="1103" w:name="_Toc6841706"/>
      <w:r w:rsidRPr="006F5370">
        <w:t>4.5</w:t>
      </w:r>
      <w:r w:rsidR="00F177EE" w:rsidRPr="006F5370">
        <w:t>. tabula. Izvērtējuma uzdevumi un to īstenošanas metodikas kopsavilkums mājokļa jomā</w:t>
      </w:r>
      <w:bookmarkEnd w:id="1099"/>
      <w:bookmarkEnd w:id="1100"/>
      <w:bookmarkEnd w:id="1101"/>
      <w:bookmarkEnd w:id="1102"/>
      <w:bookmarkEnd w:id="1103"/>
    </w:p>
    <w:tbl>
      <w:tblPr>
        <w:tblStyle w:val="TableGrid"/>
        <w:tblW w:w="0" w:type="auto"/>
        <w:tblLook w:val="04A0"/>
      </w:tblPr>
      <w:tblGrid>
        <w:gridCol w:w="674"/>
        <w:gridCol w:w="3663"/>
        <w:gridCol w:w="2539"/>
        <w:gridCol w:w="3032"/>
      </w:tblGrid>
      <w:tr w:rsidR="00F177EE" w:rsidRPr="0088759D" w:rsidTr="00A835E5">
        <w:tc>
          <w:tcPr>
            <w:tcW w:w="675" w:type="dxa"/>
            <w:shd w:val="clear" w:color="auto" w:fill="B8CCE4" w:themeFill="accent1" w:themeFillTint="66"/>
          </w:tcPr>
          <w:p w:rsidR="00F177EE" w:rsidRPr="0088759D" w:rsidRDefault="00F177EE" w:rsidP="00F177EE">
            <w:pPr>
              <w:spacing w:before="80" w:after="80"/>
              <w:jc w:val="center"/>
              <w:rPr>
                <w:b/>
                <w:color w:val="002060"/>
                <w:sz w:val="22"/>
                <w:szCs w:val="22"/>
              </w:rPr>
            </w:pPr>
            <w:r w:rsidRPr="0088759D">
              <w:rPr>
                <w:b/>
                <w:color w:val="002060"/>
                <w:sz w:val="22"/>
                <w:szCs w:val="22"/>
              </w:rPr>
              <w:t>Nr.</w:t>
            </w:r>
          </w:p>
        </w:tc>
        <w:tc>
          <w:tcPr>
            <w:tcW w:w="3686" w:type="dxa"/>
            <w:shd w:val="clear" w:color="auto" w:fill="B8CCE4" w:themeFill="accent1" w:themeFillTint="66"/>
          </w:tcPr>
          <w:p w:rsidR="00F177EE" w:rsidRPr="0088759D" w:rsidRDefault="00F177EE" w:rsidP="00F177EE">
            <w:pPr>
              <w:spacing w:before="80" w:after="80"/>
              <w:jc w:val="center"/>
              <w:rPr>
                <w:b/>
                <w:color w:val="002060"/>
                <w:sz w:val="22"/>
                <w:szCs w:val="22"/>
              </w:rPr>
            </w:pPr>
            <w:r w:rsidRPr="0088759D">
              <w:rPr>
                <w:b/>
                <w:color w:val="002060"/>
                <w:sz w:val="22"/>
                <w:szCs w:val="22"/>
              </w:rPr>
              <w:t>Uzdevums</w:t>
            </w:r>
          </w:p>
        </w:tc>
        <w:tc>
          <w:tcPr>
            <w:tcW w:w="2551" w:type="dxa"/>
            <w:shd w:val="clear" w:color="auto" w:fill="B8CCE4" w:themeFill="accent1" w:themeFillTint="66"/>
          </w:tcPr>
          <w:p w:rsidR="00F177EE" w:rsidRPr="0088759D" w:rsidRDefault="00F177EE" w:rsidP="00F177EE">
            <w:pPr>
              <w:spacing w:before="80" w:after="80"/>
              <w:jc w:val="center"/>
              <w:rPr>
                <w:b/>
                <w:color w:val="002060"/>
                <w:sz w:val="22"/>
                <w:szCs w:val="22"/>
              </w:rPr>
            </w:pPr>
            <w:r w:rsidRPr="0088759D">
              <w:rPr>
                <w:b/>
                <w:color w:val="002060"/>
                <w:sz w:val="22"/>
                <w:szCs w:val="22"/>
              </w:rPr>
              <w:t>Metodes</w:t>
            </w:r>
          </w:p>
        </w:tc>
        <w:tc>
          <w:tcPr>
            <w:tcW w:w="3050" w:type="dxa"/>
            <w:shd w:val="clear" w:color="auto" w:fill="B8CCE4" w:themeFill="accent1" w:themeFillTint="66"/>
          </w:tcPr>
          <w:p w:rsidR="00F177EE" w:rsidRPr="0088759D" w:rsidRDefault="00F177EE" w:rsidP="00F177EE">
            <w:pPr>
              <w:spacing w:before="80" w:after="80"/>
              <w:jc w:val="center"/>
              <w:rPr>
                <w:b/>
                <w:color w:val="002060"/>
                <w:sz w:val="22"/>
                <w:szCs w:val="22"/>
              </w:rPr>
            </w:pPr>
            <w:r w:rsidRPr="0088759D">
              <w:rPr>
                <w:b/>
                <w:color w:val="002060"/>
                <w:sz w:val="22"/>
                <w:szCs w:val="22"/>
              </w:rPr>
              <w:t xml:space="preserve">Instrumentārijs </w:t>
            </w:r>
          </w:p>
        </w:tc>
      </w:tr>
      <w:tr w:rsidR="00F177EE" w:rsidRPr="00343B1B" w:rsidTr="00A36A64">
        <w:trPr>
          <w:trHeight w:val="416"/>
        </w:trPr>
        <w:tc>
          <w:tcPr>
            <w:tcW w:w="675" w:type="dxa"/>
            <w:shd w:val="clear" w:color="auto" w:fill="auto"/>
          </w:tcPr>
          <w:p w:rsidR="00F177EE" w:rsidRPr="00343B1B" w:rsidRDefault="00F177EE" w:rsidP="00F177EE">
            <w:pPr>
              <w:rPr>
                <w:color w:val="000000"/>
                <w:sz w:val="22"/>
                <w:szCs w:val="22"/>
              </w:rPr>
            </w:pPr>
            <w:r>
              <w:rPr>
                <w:color w:val="000000"/>
                <w:sz w:val="22"/>
                <w:szCs w:val="22"/>
              </w:rPr>
              <w:t>3</w:t>
            </w:r>
            <w:r w:rsidRPr="00343B1B">
              <w:rPr>
                <w:color w:val="000000"/>
                <w:sz w:val="22"/>
                <w:szCs w:val="22"/>
              </w:rPr>
              <w:t>.1.</w:t>
            </w:r>
          </w:p>
        </w:tc>
        <w:tc>
          <w:tcPr>
            <w:tcW w:w="3686" w:type="dxa"/>
            <w:shd w:val="clear" w:color="auto" w:fill="auto"/>
          </w:tcPr>
          <w:p w:rsidR="00F177EE" w:rsidRPr="00343B1B" w:rsidRDefault="00F177EE" w:rsidP="00F177EE">
            <w:pPr>
              <w:rPr>
                <w:color w:val="0070C0"/>
                <w:sz w:val="22"/>
                <w:szCs w:val="22"/>
              </w:rPr>
            </w:pPr>
            <w:r>
              <w:rPr>
                <w:sz w:val="22"/>
                <w:szCs w:val="22"/>
              </w:rPr>
              <w:t>D</w:t>
            </w:r>
            <w:r w:rsidRPr="00B87B06">
              <w:rPr>
                <w:sz w:val="22"/>
                <w:szCs w:val="22"/>
              </w:rPr>
              <w:t>efinēt nevienlīdzību mājokļa pieejamības jomā un to raksturojošos galvenos rādītājus atbilstoši ES apstiprinātajām definīcijām un indikatoriem (~2-3 lpp</w:t>
            </w:r>
            <w:r>
              <w:rPr>
                <w:sz w:val="22"/>
                <w:szCs w:val="22"/>
              </w:rPr>
              <w:t>.</w:t>
            </w:r>
            <w:r w:rsidRPr="00B87B06">
              <w:rPr>
                <w:sz w:val="22"/>
                <w:szCs w:val="22"/>
              </w:rPr>
              <w:t>)</w:t>
            </w:r>
            <w:r>
              <w:rPr>
                <w:sz w:val="22"/>
                <w:szCs w:val="22"/>
              </w:rPr>
              <w:t xml:space="preserve"> </w:t>
            </w:r>
            <w:r w:rsidRPr="00343B1B">
              <w:rPr>
                <w:color w:val="000000"/>
                <w:sz w:val="22"/>
                <w:szCs w:val="22"/>
              </w:rPr>
              <w:t>(TS 3.</w:t>
            </w:r>
            <w:r>
              <w:rPr>
                <w:color w:val="000000"/>
                <w:sz w:val="22"/>
                <w:szCs w:val="22"/>
              </w:rPr>
              <w:t>9</w:t>
            </w:r>
            <w:r w:rsidRPr="00343B1B">
              <w:rPr>
                <w:color w:val="000000"/>
                <w:sz w:val="22"/>
                <w:szCs w:val="22"/>
              </w:rPr>
              <w:t>.1.1.</w:t>
            </w:r>
            <w:r>
              <w:rPr>
                <w:color w:val="000000"/>
                <w:sz w:val="22"/>
                <w:szCs w:val="22"/>
              </w:rPr>
              <w:t>1</w:t>
            </w:r>
            <w:r w:rsidRPr="00343B1B">
              <w:rPr>
                <w:color w:val="000000"/>
                <w:sz w:val="22"/>
                <w:szCs w:val="22"/>
              </w:rPr>
              <w:t xml:space="preserve">. punkts) </w:t>
            </w:r>
          </w:p>
        </w:tc>
        <w:tc>
          <w:tcPr>
            <w:tcW w:w="2551" w:type="dxa"/>
            <w:shd w:val="clear" w:color="auto" w:fill="auto"/>
          </w:tcPr>
          <w:p w:rsidR="00F177EE" w:rsidRPr="00C23CA9" w:rsidRDefault="00F177EE" w:rsidP="005C07F3">
            <w:pPr>
              <w:pStyle w:val="ListParagraph"/>
              <w:numPr>
                <w:ilvl w:val="0"/>
                <w:numId w:val="20"/>
              </w:numPr>
              <w:spacing w:line="276" w:lineRule="auto"/>
              <w:ind w:left="321" w:hanging="321"/>
              <w:rPr>
                <w:sz w:val="22"/>
                <w:szCs w:val="22"/>
              </w:rPr>
            </w:pPr>
            <w:r w:rsidRPr="00C23CA9">
              <w:rPr>
                <w:sz w:val="22"/>
                <w:szCs w:val="22"/>
              </w:rPr>
              <w:t>Dokumentu analīze</w:t>
            </w:r>
          </w:p>
          <w:p w:rsidR="00F177EE" w:rsidRPr="00C23CA9" w:rsidRDefault="00F177EE" w:rsidP="005C07F3">
            <w:pPr>
              <w:pStyle w:val="ListParagraph"/>
              <w:numPr>
                <w:ilvl w:val="0"/>
                <w:numId w:val="20"/>
              </w:numPr>
              <w:spacing w:line="276" w:lineRule="auto"/>
              <w:ind w:left="321" w:hanging="321"/>
              <w:rPr>
                <w:sz w:val="22"/>
                <w:szCs w:val="22"/>
              </w:rPr>
            </w:pPr>
            <w:r w:rsidRPr="00C23CA9">
              <w:rPr>
                <w:sz w:val="22"/>
                <w:szCs w:val="22"/>
              </w:rPr>
              <w:t>Ekspertu intervijas</w:t>
            </w:r>
          </w:p>
          <w:p w:rsidR="00F177EE" w:rsidRPr="00C23CA9" w:rsidRDefault="00F177EE" w:rsidP="005C07F3">
            <w:pPr>
              <w:pStyle w:val="ListParagraph"/>
              <w:numPr>
                <w:ilvl w:val="0"/>
                <w:numId w:val="17"/>
              </w:numPr>
              <w:spacing w:line="276" w:lineRule="auto"/>
              <w:ind w:left="321" w:hanging="283"/>
              <w:rPr>
                <w:sz w:val="22"/>
                <w:szCs w:val="22"/>
              </w:rPr>
            </w:pPr>
            <w:r w:rsidRPr="00C23CA9">
              <w:rPr>
                <w:sz w:val="22"/>
                <w:szCs w:val="22"/>
              </w:rPr>
              <w:t>Statistikas datu analīze</w:t>
            </w:r>
          </w:p>
          <w:p w:rsidR="00F177EE" w:rsidRPr="00C23CA9" w:rsidRDefault="00F177EE" w:rsidP="00F177EE">
            <w:pPr>
              <w:jc w:val="left"/>
              <w:rPr>
                <w:sz w:val="22"/>
                <w:szCs w:val="22"/>
              </w:rPr>
            </w:pPr>
          </w:p>
          <w:p w:rsidR="00F177EE" w:rsidRPr="00C23CA9" w:rsidRDefault="00F177EE" w:rsidP="00F177EE">
            <w:pPr>
              <w:jc w:val="left"/>
              <w:rPr>
                <w:sz w:val="22"/>
                <w:szCs w:val="22"/>
              </w:rPr>
            </w:pPr>
          </w:p>
        </w:tc>
        <w:tc>
          <w:tcPr>
            <w:tcW w:w="3050" w:type="dxa"/>
            <w:shd w:val="clear" w:color="auto" w:fill="auto"/>
          </w:tcPr>
          <w:p w:rsidR="00F177EE" w:rsidRDefault="00F177EE" w:rsidP="00F177EE">
            <w:pPr>
              <w:jc w:val="left"/>
              <w:rPr>
                <w:sz w:val="22"/>
                <w:szCs w:val="22"/>
              </w:rPr>
            </w:pPr>
            <w:r>
              <w:rPr>
                <w:sz w:val="22"/>
                <w:szCs w:val="22"/>
              </w:rPr>
              <w:t xml:space="preserve">2.3. Statistikas datu un apsekojumu datu atlases un kvalitātes kritēriji mājokļa jomā </w:t>
            </w:r>
          </w:p>
          <w:p w:rsidR="00F177EE" w:rsidRDefault="00F177EE" w:rsidP="00F177EE">
            <w:pPr>
              <w:jc w:val="left"/>
              <w:rPr>
                <w:sz w:val="22"/>
                <w:szCs w:val="22"/>
              </w:rPr>
            </w:pPr>
            <w:r>
              <w:rPr>
                <w:sz w:val="22"/>
                <w:szCs w:val="22"/>
              </w:rPr>
              <w:t>3.1. Ekspertu interviju vadlīnijas</w:t>
            </w:r>
          </w:p>
          <w:p w:rsidR="00F177EE" w:rsidRPr="00343B1B" w:rsidRDefault="00F177EE" w:rsidP="00F177EE">
            <w:pPr>
              <w:jc w:val="left"/>
              <w:rPr>
                <w:sz w:val="22"/>
                <w:szCs w:val="22"/>
              </w:rPr>
            </w:pPr>
            <w:r>
              <w:rPr>
                <w:sz w:val="22"/>
                <w:szCs w:val="22"/>
              </w:rPr>
              <w:t>3.3. Ekspertu interviju un FGD dalībnieku saraksti</w:t>
            </w:r>
          </w:p>
        </w:tc>
      </w:tr>
      <w:tr w:rsidR="00F177EE" w:rsidRPr="00343B1B" w:rsidTr="00A36A64">
        <w:tc>
          <w:tcPr>
            <w:tcW w:w="675" w:type="dxa"/>
            <w:shd w:val="clear" w:color="auto" w:fill="auto"/>
          </w:tcPr>
          <w:p w:rsidR="00F177EE" w:rsidRPr="00343B1B" w:rsidRDefault="00F177EE" w:rsidP="00F177EE">
            <w:pPr>
              <w:rPr>
                <w:color w:val="000000"/>
                <w:sz w:val="22"/>
                <w:szCs w:val="22"/>
              </w:rPr>
            </w:pPr>
            <w:r>
              <w:rPr>
                <w:color w:val="000000"/>
                <w:sz w:val="22"/>
                <w:szCs w:val="22"/>
              </w:rPr>
              <w:t>3</w:t>
            </w:r>
            <w:r w:rsidRPr="00343B1B">
              <w:rPr>
                <w:color w:val="000000"/>
                <w:sz w:val="22"/>
                <w:szCs w:val="22"/>
              </w:rPr>
              <w:t>.2.</w:t>
            </w:r>
          </w:p>
        </w:tc>
        <w:tc>
          <w:tcPr>
            <w:tcW w:w="3686" w:type="dxa"/>
            <w:shd w:val="clear" w:color="auto" w:fill="auto"/>
          </w:tcPr>
          <w:p w:rsidR="00F177EE" w:rsidRPr="00343B1B" w:rsidRDefault="00F177EE" w:rsidP="00F177EE">
            <w:pPr>
              <w:rPr>
                <w:color w:val="0070C0"/>
                <w:sz w:val="22"/>
                <w:szCs w:val="22"/>
              </w:rPr>
            </w:pPr>
            <w:r>
              <w:rPr>
                <w:sz w:val="22"/>
                <w:szCs w:val="22"/>
              </w:rPr>
              <w:t>R</w:t>
            </w:r>
            <w:r w:rsidRPr="00B87B06">
              <w:rPr>
                <w:sz w:val="22"/>
                <w:szCs w:val="22"/>
              </w:rPr>
              <w:t>aksturot vispārējo situāciju mājokļa jomā (dzīvojamais fonds, mājokļu kvalitāte, īres cenas, ar mājokli saistīto pakalpojumu cenas u.c.), aprakstot galvenos izaicinājumus saistībā ar mājokļa un ar to saistīto pakalpojumu pieejamību (~4-5 lpp.)</w:t>
            </w:r>
            <w:r w:rsidRPr="00343B1B">
              <w:rPr>
                <w:color w:val="000000"/>
                <w:sz w:val="22"/>
                <w:szCs w:val="22"/>
              </w:rPr>
              <w:t xml:space="preserve"> (TS 3.</w:t>
            </w:r>
            <w:r>
              <w:rPr>
                <w:color w:val="000000"/>
                <w:sz w:val="22"/>
                <w:szCs w:val="22"/>
              </w:rPr>
              <w:t>9</w:t>
            </w:r>
            <w:r w:rsidRPr="00343B1B">
              <w:rPr>
                <w:color w:val="000000"/>
                <w:sz w:val="22"/>
                <w:szCs w:val="22"/>
              </w:rPr>
              <w:t>.1.1.</w:t>
            </w:r>
            <w:r>
              <w:rPr>
                <w:color w:val="000000"/>
                <w:sz w:val="22"/>
                <w:szCs w:val="22"/>
              </w:rPr>
              <w:t>2</w:t>
            </w:r>
            <w:r w:rsidRPr="00343B1B">
              <w:rPr>
                <w:color w:val="000000"/>
                <w:sz w:val="22"/>
                <w:szCs w:val="22"/>
              </w:rPr>
              <w:t>. punkts)</w:t>
            </w:r>
          </w:p>
        </w:tc>
        <w:tc>
          <w:tcPr>
            <w:tcW w:w="2551" w:type="dxa"/>
            <w:shd w:val="clear" w:color="auto" w:fill="auto"/>
          </w:tcPr>
          <w:p w:rsidR="00F177EE" w:rsidRPr="00C23CA9" w:rsidRDefault="00F177EE" w:rsidP="005C07F3">
            <w:pPr>
              <w:pStyle w:val="ListParagraph"/>
              <w:numPr>
                <w:ilvl w:val="0"/>
                <w:numId w:val="18"/>
              </w:numPr>
              <w:spacing w:line="276" w:lineRule="auto"/>
              <w:ind w:left="321" w:hanging="283"/>
              <w:rPr>
                <w:sz w:val="22"/>
                <w:szCs w:val="22"/>
              </w:rPr>
            </w:pPr>
            <w:r w:rsidRPr="00C23CA9">
              <w:rPr>
                <w:sz w:val="22"/>
                <w:szCs w:val="22"/>
              </w:rPr>
              <w:t>Dokumentu analīze</w:t>
            </w:r>
          </w:p>
          <w:p w:rsidR="00F177EE" w:rsidRPr="00C23CA9" w:rsidRDefault="00F177EE" w:rsidP="005C07F3">
            <w:pPr>
              <w:pStyle w:val="ListParagraph"/>
              <w:numPr>
                <w:ilvl w:val="0"/>
                <w:numId w:val="18"/>
              </w:numPr>
              <w:spacing w:line="276" w:lineRule="auto"/>
              <w:ind w:left="321" w:hanging="283"/>
              <w:rPr>
                <w:sz w:val="22"/>
                <w:szCs w:val="22"/>
              </w:rPr>
            </w:pPr>
            <w:r w:rsidRPr="00C23CA9">
              <w:rPr>
                <w:sz w:val="22"/>
                <w:szCs w:val="22"/>
              </w:rPr>
              <w:t>Ekspertu intervijas</w:t>
            </w:r>
          </w:p>
          <w:p w:rsidR="00F177EE" w:rsidRPr="00C23CA9" w:rsidRDefault="00F177EE" w:rsidP="005C07F3">
            <w:pPr>
              <w:pStyle w:val="ListParagraph"/>
              <w:numPr>
                <w:ilvl w:val="0"/>
                <w:numId w:val="18"/>
              </w:numPr>
              <w:spacing w:line="276" w:lineRule="auto"/>
              <w:ind w:left="321" w:hanging="283"/>
              <w:rPr>
                <w:sz w:val="22"/>
                <w:szCs w:val="22"/>
              </w:rPr>
            </w:pPr>
            <w:r w:rsidRPr="00C23CA9">
              <w:rPr>
                <w:sz w:val="22"/>
                <w:szCs w:val="22"/>
              </w:rPr>
              <w:t>Statistikas datu analīze</w:t>
            </w:r>
          </w:p>
        </w:tc>
        <w:tc>
          <w:tcPr>
            <w:tcW w:w="3050" w:type="dxa"/>
            <w:shd w:val="clear" w:color="auto" w:fill="auto"/>
          </w:tcPr>
          <w:p w:rsidR="00F177EE" w:rsidRDefault="00F177EE" w:rsidP="00F177EE">
            <w:pPr>
              <w:jc w:val="left"/>
              <w:rPr>
                <w:sz w:val="22"/>
                <w:szCs w:val="22"/>
              </w:rPr>
            </w:pPr>
            <w:r>
              <w:rPr>
                <w:sz w:val="22"/>
                <w:szCs w:val="22"/>
              </w:rPr>
              <w:t xml:space="preserve">2.3. Statistikas datu un apsekojumu datu atlases un kvalitātes kritēriji mājokļa jomā </w:t>
            </w:r>
          </w:p>
          <w:p w:rsidR="00F177EE" w:rsidRDefault="00F177EE" w:rsidP="00F177EE">
            <w:pPr>
              <w:jc w:val="left"/>
              <w:rPr>
                <w:sz w:val="22"/>
                <w:szCs w:val="22"/>
              </w:rPr>
            </w:pPr>
            <w:r>
              <w:rPr>
                <w:sz w:val="22"/>
                <w:szCs w:val="22"/>
              </w:rPr>
              <w:t>3.1. Ekspertu interviju vadlīnijas</w:t>
            </w:r>
          </w:p>
          <w:p w:rsidR="00F177EE" w:rsidRPr="00343B1B" w:rsidRDefault="00F177EE" w:rsidP="00F177EE">
            <w:pPr>
              <w:jc w:val="left"/>
              <w:rPr>
                <w:sz w:val="22"/>
                <w:szCs w:val="22"/>
              </w:rPr>
            </w:pPr>
            <w:r>
              <w:rPr>
                <w:sz w:val="22"/>
                <w:szCs w:val="22"/>
              </w:rPr>
              <w:t>3.3. Ekspertu interviju un FGD dalībnieku saraksti</w:t>
            </w:r>
          </w:p>
        </w:tc>
      </w:tr>
      <w:tr w:rsidR="00F177EE" w:rsidRPr="00343B1B" w:rsidTr="00A36A64">
        <w:tc>
          <w:tcPr>
            <w:tcW w:w="675" w:type="dxa"/>
            <w:shd w:val="clear" w:color="auto" w:fill="auto"/>
          </w:tcPr>
          <w:p w:rsidR="00F177EE" w:rsidRPr="00343B1B" w:rsidRDefault="00F177EE" w:rsidP="00F177EE">
            <w:pPr>
              <w:rPr>
                <w:color w:val="000000"/>
                <w:sz w:val="22"/>
                <w:szCs w:val="22"/>
              </w:rPr>
            </w:pPr>
            <w:r>
              <w:rPr>
                <w:color w:val="000000"/>
                <w:sz w:val="22"/>
                <w:szCs w:val="22"/>
              </w:rPr>
              <w:t>3</w:t>
            </w:r>
            <w:r w:rsidRPr="00343B1B">
              <w:rPr>
                <w:color w:val="000000"/>
                <w:sz w:val="22"/>
                <w:szCs w:val="22"/>
              </w:rPr>
              <w:t>.</w:t>
            </w:r>
            <w:r>
              <w:rPr>
                <w:color w:val="000000"/>
                <w:sz w:val="22"/>
                <w:szCs w:val="22"/>
              </w:rPr>
              <w:t>3</w:t>
            </w:r>
            <w:r w:rsidRPr="00343B1B">
              <w:rPr>
                <w:color w:val="000000"/>
                <w:sz w:val="22"/>
                <w:szCs w:val="22"/>
              </w:rPr>
              <w:t>.</w:t>
            </w:r>
          </w:p>
        </w:tc>
        <w:tc>
          <w:tcPr>
            <w:tcW w:w="3686" w:type="dxa"/>
            <w:shd w:val="clear" w:color="auto" w:fill="auto"/>
          </w:tcPr>
          <w:p w:rsidR="00F177EE" w:rsidRPr="00343B1B" w:rsidRDefault="00F177EE" w:rsidP="00F177EE">
            <w:pPr>
              <w:rPr>
                <w:color w:val="0070C0"/>
                <w:sz w:val="22"/>
                <w:szCs w:val="22"/>
              </w:rPr>
            </w:pPr>
            <w:r>
              <w:rPr>
                <w:sz w:val="22"/>
                <w:szCs w:val="22"/>
              </w:rPr>
              <w:t>I</w:t>
            </w:r>
            <w:r w:rsidRPr="00B87B06">
              <w:rPr>
                <w:sz w:val="22"/>
                <w:szCs w:val="22"/>
              </w:rPr>
              <w:t>dentificēt politikas plānošanas dokumentos konstatētos ierobežojumus un trūkumus saistībā ar mājokļa pieejamību mērķa grupām un plānotos pasākumus konstatēto problēmu mazināšanai un/vai novēršanai</w:t>
            </w:r>
            <w:r w:rsidRPr="00343B1B">
              <w:rPr>
                <w:color w:val="000000"/>
                <w:sz w:val="22"/>
                <w:szCs w:val="22"/>
              </w:rPr>
              <w:t xml:space="preserve"> (TS 3.</w:t>
            </w:r>
            <w:r>
              <w:rPr>
                <w:color w:val="000000"/>
                <w:sz w:val="22"/>
                <w:szCs w:val="22"/>
              </w:rPr>
              <w:t>9</w:t>
            </w:r>
            <w:r w:rsidRPr="00343B1B">
              <w:rPr>
                <w:color w:val="000000"/>
                <w:sz w:val="22"/>
                <w:szCs w:val="22"/>
              </w:rPr>
              <w:t>.1.</w:t>
            </w:r>
            <w:r>
              <w:rPr>
                <w:color w:val="000000"/>
                <w:sz w:val="22"/>
                <w:szCs w:val="22"/>
              </w:rPr>
              <w:t>2</w:t>
            </w:r>
            <w:r w:rsidRPr="00343B1B">
              <w:rPr>
                <w:color w:val="000000"/>
                <w:sz w:val="22"/>
                <w:szCs w:val="22"/>
              </w:rPr>
              <w:t>.</w:t>
            </w:r>
            <w:r>
              <w:rPr>
                <w:color w:val="000000"/>
                <w:sz w:val="22"/>
                <w:szCs w:val="22"/>
              </w:rPr>
              <w:t>2</w:t>
            </w:r>
            <w:r w:rsidRPr="00343B1B">
              <w:rPr>
                <w:color w:val="000000"/>
                <w:sz w:val="22"/>
                <w:szCs w:val="22"/>
              </w:rPr>
              <w:t>. punkts)</w:t>
            </w:r>
          </w:p>
        </w:tc>
        <w:tc>
          <w:tcPr>
            <w:tcW w:w="2551" w:type="dxa"/>
            <w:shd w:val="clear" w:color="auto" w:fill="auto"/>
          </w:tcPr>
          <w:p w:rsidR="00F177EE" w:rsidRPr="00275358" w:rsidRDefault="00F177EE" w:rsidP="005C07F3">
            <w:pPr>
              <w:pStyle w:val="ListParagraph"/>
              <w:numPr>
                <w:ilvl w:val="0"/>
                <w:numId w:val="19"/>
              </w:numPr>
              <w:spacing w:line="276" w:lineRule="auto"/>
              <w:ind w:left="321" w:hanging="321"/>
              <w:rPr>
                <w:sz w:val="22"/>
                <w:szCs w:val="22"/>
              </w:rPr>
            </w:pPr>
            <w:r w:rsidRPr="00275358">
              <w:rPr>
                <w:sz w:val="22"/>
                <w:szCs w:val="22"/>
              </w:rPr>
              <w:t>Dokumentu analīze</w:t>
            </w:r>
          </w:p>
          <w:p w:rsidR="00F177EE" w:rsidRDefault="00F177EE" w:rsidP="005C07F3">
            <w:pPr>
              <w:pStyle w:val="ListParagraph"/>
              <w:numPr>
                <w:ilvl w:val="0"/>
                <w:numId w:val="19"/>
              </w:numPr>
              <w:spacing w:line="276" w:lineRule="auto"/>
              <w:ind w:left="321" w:hanging="321"/>
              <w:rPr>
                <w:sz w:val="22"/>
                <w:szCs w:val="22"/>
              </w:rPr>
            </w:pPr>
            <w:r w:rsidRPr="00275358">
              <w:rPr>
                <w:sz w:val="22"/>
                <w:szCs w:val="22"/>
              </w:rPr>
              <w:t>Ekspertu intervijas</w:t>
            </w:r>
          </w:p>
          <w:p w:rsidR="00F177EE" w:rsidRPr="00275358" w:rsidRDefault="00F177EE" w:rsidP="00F177EE">
            <w:pPr>
              <w:pStyle w:val="ListParagraph"/>
              <w:spacing w:line="276" w:lineRule="auto"/>
              <w:ind w:left="321"/>
              <w:rPr>
                <w:sz w:val="22"/>
                <w:szCs w:val="22"/>
              </w:rPr>
            </w:pPr>
          </w:p>
        </w:tc>
        <w:tc>
          <w:tcPr>
            <w:tcW w:w="3050" w:type="dxa"/>
            <w:shd w:val="clear" w:color="auto" w:fill="auto"/>
          </w:tcPr>
          <w:p w:rsidR="00F177EE" w:rsidRDefault="00F177EE" w:rsidP="00F177EE">
            <w:pPr>
              <w:jc w:val="left"/>
              <w:rPr>
                <w:sz w:val="22"/>
                <w:szCs w:val="22"/>
              </w:rPr>
            </w:pPr>
            <w:r>
              <w:rPr>
                <w:sz w:val="22"/>
                <w:szCs w:val="22"/>
              </w:rPr>
              <w:t>1.4. Tiesību aktu</w:t>
            </w:r>
            <w:r w:rsidRPr="00343B1B">
              <w:rPr>
                <w:sz w:val="22"/>
                <w:szCs w:val="22"/>
              </w:rPr>
              <w:t xml:space="preserve"> </w:t>
            </w:r>
            <w:r>
              <w:rPr>
                <w:sz w:val="22"/>
                <w:szCs w:val="22"/>
              </w:rPr>
              <w:t xml:space="preserve">un politikas plānošanas dokumentu </w:t>
            </w:r>
            <w:r w:rsidRPr="00343B1B">
              <w:rPr>
                <w:sz w:val="22"/>
                <w:szCs w:val="22"/>
              </w:rPr>
              <w:t xml:space="preserve">atlases un analīzes kritēriji </w:t>
            </w:r>
            <w:r>
              <w:rPr>
                <w:sz w:val="22"/>
                <w:szCs w:val="22"/>
              </w:rPr>
              <w:t>mājokļa</w:t>
            </w:r>
            <w:r w:rsidRPr="00343B1B">
              <w:rPr>
                <w:sz w:val="22"/>
                <w:szCs w:val="22"/>
              </w:rPr>
              <w:t xml:space="preserve"> jomā</w:t>
            </w:r>
            <w:r>
              <w:rPr>
                <w:sz w:val="22"/>
                <w:szCs w:val="22"/>
              </w:rPr>
              <w:t xml:space="preserve"> </w:t>
            </w:r>
          </w:p>
          <w:p w:rsidR="00F177EE" w:rsidRDefault="00F177EE" w:rsidP="00F177EE">
            <w:pPr>
              <w:jc w:val="left"/>
              <w:rPr>
                <w:sz w:val="22"/>
                <w:szCs w:val="22"/>
              </w:rPr>
            </w:pPr>
            <w:r>
              <w:rPr>
                <w:sz w:val="22"/>
                <w:szCs w:val="22"/>
              </w:rPr>
              <w:t xml:space="preserve">1.5. </w:t>
            </w:r>
            <w:r w:rsidRPr="00343B1B">
              <w:rPr>
                <w:sz w:val="22"/>
                <w:szCs w:val="22"/>
              </w:rPr>
              <w:t xml:space="preserve">Pašvaldību saistošo </w:t>
            </w:r>
            <w:r>
              <w:rPr>
                <w:sz w:val="22"/>
                <w:szCs w:val="22"/>
              </w:rPr>
              <w:t>noteikumu</w:t>
            </w:r>
            <w:r w:rsidRPr="00343B1B">
              <w:rPr>
                <w:sz w:val="22"/>
                <w:szCs w:val="22"/>
              </w:rPr>
              <w:t xml:space="preserve"> atlases un analīzes kritēriji </w:t>
            </w:r>
            <w:r>
              <w:rPr>
                <w:sz w:val="22"/>
                <w:szCs w:val="22"/>
              </w:rPr>
              <w:t>mājokļa</w:t>
            </w:r>
            <w:r w:rsidRPr="00343B1B">
              <w:rPr>
                <w:sz w:val="22"/>
                <w:szCs w:val="22"/>
              </w:rPr>
              <w:t xml:space="preserve"> jomā</w:t>
            </w:r>
          </w:p>
          <w:p w:rsidR="00F177EE" w:rsidRDefault="00F177EE" w:rsidP="00F177EE">
            <w:pPr>
              <w:jc w:val="left"/>
              <w:rPr>
                <w:sz w:val="22"/>
                <w:szCs w:val="22"/>
              </w:rPr>
            </w:pPr>
            <w:r>
              <w:rPr>
                <w:sz w:val="22"/>
                <w:szCs w:val="22"/>
              </w:rPr>
              <w:t>3.1. Ekspertu interviju vadlīnijas</w:t>
            </w:r>
          </w:p>
          <w:p w:rsidR="00F177EE" w:rsidRPr="00343B1B" w:rsidRDefault="00F177EE" w:rsidP="00F177EE">
            <w:pPr>
              <w:jc w:val="left"/>
              <w:rPr>
                <w:sz w:val="22"/>
                <w:szCs w:val="22"/>
              </w:rPr>
            </w:pPr>
            <w:r>
              <w:rPr>
                <w:sz w:val="22"/>
                <w:szCs w:val="22"/>
              </w:rPr>
              <w:t>3.3. Ekspertu interviju un FGD dalībnieku saraksti</w:t>
            </w:r>
          </w:p>
        </w:tc>
      </w:tr>
      <w:tr w:rsidR="00F177EE" w:rsidRPr="00343B1B" w:rsidTr="00A36A64">
        <w:tc>
          <w:tcPr>
            <w:tcW w:w="675" w:type="dxa"/>
            <w:shd w:val="clear" w:color="auto" w:fill="auto"/>
          </w:tcPr>
          <w:p w:rsidR="00F177EE" w:rsidRPr="00343B1B" w:rsidRDefault="00F177EE" w:rsidP="00F177EE">
            <w:pPr>
              <w:rPr>
                <w:color w:val="000000"/>
                <w:sz w:val="22"/>
                <w:szCs w:val="22"/>
              </w:rPr>
            </w:pPr>
            <w:r>
              <w:rPr>
                <w:color w:val="000000"/>
                <w:sz w:val="22"/>
                <w:szCs w:val="22"/>
              </w:rPr>
              <w:t>3</w:t>
            </w:r>
            <w:r w:rsidRPr="00343B1B">
              <w:rPr>
                <w:color w:val="000000"/>
                <w:sz w:val="22"/>
                <w:szCs w:val="22"/>
              </w:rPr>
              <w:t>.</w:t>
            </w:r>
            <w:r>
              <w:rPr>
                <w:color w:val="000000"/>
                <w:sz w:val="22"/>
                <w:szCs w:val="22"/>
              </w:rPr>
              <w:t>4</w:t>
            </w:r>
            <w:r w:rsidRPr="00343B1B">
              <w:rPr>
                <w:color w:val="000000"/>
                <w:sz w:val="22"/>
                <w:szCs w:val="22"/>
              </w:rPr>
              <w:t>.</w:t>
            </w:r>
          </w:p>
        </w:tc>
        <w:tc>
          <w:tcPr>
            <w:tcW w:w="3686" w:type="dxa"/>
            <w:shd w:val="clear" w:color="auto" w:fill="auto"/>
          </w:tcPr>
          <w:p w:rsidR="00F177EE" w:rsidRPr="00343B1B" w:rsidRDefault="00F177EE" w:rsidP="00F177EE">
            <w:pPr>
              <w:rPr>
                <w:color w:val="0070C0"/>
                <w:sz w:val="22"/>
                <w:szCs w:val="22"/>
              </w:rPr>
            </w:pPr>
            <w:r>
              <w:rPr>
                <w:sz w:val="22"/>
                <w:szCs w:val="22"/>
              </w:rPr>
              <w:t>A</w:t>
            </w:r>
            <w:r w:rsidRPr="00B87B06">
              <w:rPr>
                <w:sz w:val="22"/>
                <w:szCs w:val="22"/>
              </w:rPr>
              <w:t>prakstīt tiesisko regulējumu saistībā ar valsts atbalstu mājokļa jautājumos un atbalsta saņēmēju mērķa grupām</w:t>
            </w:r>
            <w:r>
              <w:rPr>
                <w:sz w:val="22"/>
                <w:szCs w:val="22"/>
              </w:rPr>
              <w:t xml:space="preserve"> </w:t>
            </w:r>
            <w:r w:rsidRPr="00343B1B">
              <w:rPr>
                <w:color w:val="000000"/>
                <w:sz w:val="22"/>
                <w:szCs w:val="22"/>
              </w:rPr>
              <w:t>(TS 3.</w:t>
            </w:r>
            <w:r>
              <w:rPr>
                <w:color w:val="000000"/>
                <w:sz w:val="22"/>
                <w:szCs w:val="22"/>
              </w:rPr>
              <w:t>9</w:t>
            </w:r>
            <w:r w:rsidRPr="00343B1B">
              <w:rPr>
                <w:color w:val="000000"/>
                <w:sz w:val="22"/>
                <w:szCs w:val="22"/>
              </w:rPr>
              <w:t>.1.1.</w:t>
            </w:r>
            <w:r>
              <w:rPr>
                <w:color w:val="000000"/>
                <w:sz w:val="22"/>
                <w:szCs w:val="22"/>
              </w:rPr>
              <w:t>3</w:t>
            </w:r>
            <w:r w:rsidRPr="00343B1B">
              <w:rPr>
                <w:color w:val="000000"/>
                <w:sz w:val="22"/>
                <w:szCs w:val="22"/>
              </w:rPr>
              <w:t>. punkts)</w:t>
            </w:r>
            <w:r>
              <w:rPr>
                <w:sz w:val="22"/>
                <w:szCs w:val="22"/>
              </w:rPr>
              <w:t xml:space="preserve"> </w:t>
            </w:r>
          </w:p>
        </w:tc>
        <w:tc>
          <w:tcPr>
            <w:tcW w:w="2551" w:type="dxa"/>
            <w:shd w:val="clear" w:color="auto" w:fill="auto"/>
          </w:tcPr>
          <w:p w:rsidR="00F177EE" w:rsidRPr="00184C85" w:rsidRDefault="00F177EE" w:rsidP="00F177EE">
            <w:pPr>
              <w:rPr>
                <w:sz w:val="22"/>
                <w:szCs w:val="22"/>
              </w:rPr>
            </w:pPr>
            <w:r w:rsidRPr="00184C85">
              <w:rPr>
                <w:sz w:val="22"/>
                <w:szCs w:val="22"/>
              </w:rPr>
              <w:t>Dokumentu analīze</w:t>
            </w:r>
          </w:p>
        </w:tc>
        <w:tc>
          <w:tcPr>
            <w:tcW w:w="3050" w:type="dxa"/>
            <w:shd w:val="clear" w:color="auto" w:fill="auto"/>
          </w:tcPr>
          <w:p w:rsidR="00F177EE" w:rsidRPr="00343B1B" w:rsidRDefault="00F177EE" w:rsidP="00F177EE">
            <w:pPr>
              <w:jc w:val="left"/>
              <w:rPr>
                <w:sz w:val="22"/>
                <w:szCs w:val="22"/>
              </w:rPr>
            </w:pPr>
            <w:r>
              <w:rPr>
                <w:sz w:val="22"/>
                <w:szCs w:val="22"/>
              </w:rPr>
              <w:t>1.4. Tiesību aktu</w:t>
            </w:r>
            <w:r w:rsidRPr="00343B1B">
              <w:rPr>
                <w:sz w:val="22"/>
                <w:szCs w:val="22"/>
              </w:rPr>
              <w:t xml:space="preserve"> </w:t>
            </w:r>
            <w:r>
              <w:rPr>
                <w:sz w:val="22"/>
                <w:szCs w:val="22"/>
              </w:rPr>
              <w:t xml:space="preserve">un politikas plānošanas dokumentu </w:t>
            </w:r>
            <w:r w:rsidRPr="00343B1B">
              <w:rPr>
                <w:sz w:val="22"/>
                <w:szCs w:val="22"/>
              </w:rPr>
              <w:t xml:space="preserve">atlases un analīzes kritēriji </w:t>
            </w:r>
            <w:r>
              <w:rPr>
                <w:sz w:val="22"/>
                <w:szCs w:val="22"/>
              </w:rPr>
              <w:t>mājokļa</w:t>
            </w:r>
            <w:r w:rsidRPr="00343B1B">
              <w:rPr>
                <w:sz w:val="22"/>
                <w:szCs w:val="22"/>
              </w:rPr>
              <w:t xml:space="preserve"> jomā</w:t>
            </w:r>
            <w:r>
              <w:rPr>
                <w:sz w:val="22"/>
                <w:szCs w:val="22"/>
              </w:rPr>
              <w:t xml:space="preserve"> </w:t>
            </w:r>
          </w:p>
        </w:tc>
      </w:tr>
      <w:tr w:rsidR="00F177EE" w:rsidRPr="00343B1B" w:rsidTr="00A36A64">
        <w:tc>
          <w:tcPr>
            <w:tcW w:w="675" w:type="dxa"/>
            <w:shd w:val="clear" w:color="auto" w:fill="auto"/>
          </w:tcPr>
          <w:p w:rsidR="00F177EE" w:rsidRPr="00343B1B" w:rsidRDefault="00F177EE" w:rsidP="00F177EE">
            <w:pPr>
              <w:rPr>
                <w:color w:val="000000"/>
                <w:sz w:val="22"/>
                <w:szCs w:val="22"/>
              </w:rPr>
            </w:pPr>
            <w:r>
              <w:rPr>
                <w:color w:val="000000"/>
                <w:sz w:val="22"/>
                <w:szCs w:val="22"/>
              </w:rPr>
              <w:t>3</w:t>
            </w:r>
            <w:r w:rsidRPr="00343B1B">
              <w:rPr>
                <w:color w:val="000000"/>
                <w:sz w:val="22"/>
                <w:szCs w:val="22"/>
              </w:rPr>
              <w:t>.</w:t>
            </w:r>
            <w:r>
              <w:rPr>
                <w:color w:val="000000"/>
                <w:sz w:val="22"/>
                <w:szCs w:val="22"/>
              </w:rPr>
              <w:t>5</w:t>
            </w:r>
            <w:r w:rsidRPr="00343B1B">
              <w:rPr>
                <w:color w:val="000000"/>
                <w:sz w:val="22"/>
                <w:szCs w:val="22"/>
              </w:rPr>
              <w:t>.</w:t>
            </w:r>
          </w:p>
        </w:tc>
        <w:tc>
          <w:tcPr>
            <w:tcW w:w="3686" w:type="dxa"/>
            <w:shd w:val="clear" w:color="auto" w:fill="auto"/>
          </w:tcPr>
          <w:p w:rsidR="00F177EE" w:rsidRPr="00A36A64" w:rsidRDefault="00F177EE" w:rsidP="00F177EE">
            <w:pPr>
              <w:rPr>
                <w:sz w:val="22"/>
                <w:szCs w:val="22"/>
              </w:rPr>
            </w:pPr>
            <w:r>
              <w:rPr>
                <w:sz w:val="22"/>
                <w:szCs w:val="22"/>
              </w:rPr>
              <w:t>A</w:t>
            </w:r>
            <w:r w:rsidRPr="00B87B06">
              <w:rPr>
                <w:sz w:val="22"/>
                <w:szCs w:val="22"/>
              </w:rPr>
              <w:t>prakstīt tiesisko regulējumu saistībā ar pašvaldību atbalstu mājokļa jautājumos un atbalsta saņēmēju mērķa grupām</w:t>
            </w:r>
            <w:r>
              <w:rPr>
                <w:sz w:val="22"/>
                <w:szCs w:val="22"/>
              </w:rPr>
              <w:t xml:space="preserve"> </w:t>
            </w:r>
            <w:r w:rsidRPr="00343B1B">
              <w:rPr>
                <w:color w:val="000000"/>
                <w:sz w:val="22"/>
                <w:szCs w:val="22"/>
              </w:rPr>
              <w:t>(TS 3.</w:t>
            </w:r>
            <w:r>
              <w:rPr>
                <w:color w:val="000000"/>
                <w:sz w:val="22"/>
                <w:szCs w:val="22"/>
              </w:rPr>
              <w:t>9</w:t>
            </w:r>
            <w:r w:rsidRPr="00343B1B">
              <w:rPr>
                <w:color w:val="000000"/>
                <w:sz w:val="22"/>
                <w:szCs w:val="22"/>
              </w:rPr>
              <w:t>.1.1.</w:t>
            </w:r>
            <w:r>
              <w:rPr>
                <w:color w:val="000000"/>
                <w:sz w:val="22"/>
                <w:szCs w:val="22"/>
              </w:rPr>
              <w:t>3</w:t>
            </w:r>
            <w:r w:rsidRPr="00343B1B">
              <w:rPr>
                <w:color w:val="000000"/>
                <w:sz w:val="22"/>
                <w:szCs w:val="22"/>
              </w:rPr>
              <w:t>. punkts)</w:t>
            </w:r>
            <w:r>
              <w:rPr>
                <w:sz w:val="22"/>
                <w:szCs w:val="22"/>
              </w:rPr>
              <w:t xml:space="preserve"> </w:t>
            </w:r>
          </w:p>
        </w:tc>
        <w:tc>
          <w:tcPr>
            <w:tcW w:w="2551" w:type="dxa"/>
            <w:shd w:val="clear" w:color="auto" w:fill="auto"/>
          </w:tcPr>
          <w:p w:rsidR="00F177EE" w:rsidRPr="00343B1B" w:rsidRDefault="00F177EE" w:rsidP="00F177EE">
            <w:pPr>
              <w:rPr>
                <w:color w:val="0070C0"/>
                <w:sz w:val="22"/>
                <w:szCs w:val="22"/>
              </w:rPr>
            </w:pPr>
            <w:r w:rsidRPr="00184C85">
              <w:rPr>
                <w:sz w:val="22"/>
                <w:szCs w:val="22"/>
              </w:rPr>
              <w:t>Dokumentu analīze</w:t>
            </w:r>
          </w:p>
        </w:tc>
        <w:tc>
          <w:tcPr>
            <w:tcW w:w="3050" w:type="dxa"/>
            <w:shd w:val="clear" w:color="auto" w:fill="auto"/>
          </w:tcPr>
          <w:p w:rsidR="00F177EE" w:rsidRPr="00343B1B" w:rsidRDefault="00F177EE" w:rsidP="00F177EE">
            <w:pPr>
              <w:jc w:val="left"/>
              <w:rPr>
                <w:sz w:val="22"/>
                <w:szCs w:val="22"/>
              </w:rPr>
            </w:pPr>
            <w:r>
              <w:rPr>
                <w:sz w:val="22"/>
                <w:szCs w:val="22"/>
              </w:rPr>
              <w:t xml:space="preserve">1.5. </w:t>
            </w:r>
            <w:r w:rsidRPr="00343B1B">
              <w:rPr>
                <w:sz w:val="22"/>
                <w:szCs w:val="22"/>
              </w:rPr>
              <w:t xml:space="preserve">Pašvaldību saistošo </w:t>
            </w:r>
            <w:r>
              <w:rPr>
                <w:sz w:val="22"/>
                <w:szCs w:val="22"/>
              </w:rPr>
              <w:t>noteikumu</w:t>
            </w:r>
            <w:r w:rsidRPr="00343B1B">
              <w:rPr>
                <w:sz w:val="22"/>
                <w:szCs w:val="22"/>
              </w:rPr>
              <w:t xml:space="preserve"> atlases un analīzes kritēriji </w:t>
            </w:r>
            <w:r>
              <w:rPr>
                <w:sz w:val="22"/>
                <w:szCs w:val="22"/>
              </w:rPr>
              <w:t>mājokļa</w:t>
            </w:r>
            <w:r w:rsidRPr="00343B1B">
              <w:rPr>
                <w:sz w:val="22"/>
                <w:szCs w:val="22"/>
              </w:rPr>
              <w:t xml:space="preserve"> jomā</w:t>
            </w:r>
          </w:p>
        </w:tc>
      </w:tr>
      <w:tr w:rsidR="00F177EE" w:rsidRPr="00343B1B" w:rsidTr="00A36A64">
        <w:tc>
          <w:tcPr>
            <w:tcW w:w="675" w:type="dxa"/>
            <w:shd w:val="clear" w:color="auto" w:fill="auto"/>
          </w:tcPr>
          <w:p w:rsidR="00F177EE" w:rsidRPr="00343B1B" w:rsidRDefault="00F177EE" w:rsidP="00F177EE">
            <w:pPr>
              <w:rPr>
                <w:color w:val="000000"/>
                <w:sz w:val="22"/>
                <w:szCs w:val="22"/>
              </w:rPr>
            </w:pPr>
            <w:r>
              <w:rPr>
                <w:color w:val="000000"/>
                <w:sz w:val="22"/>
                <w:szCs w:val="22"/>
              </w:rPr>
              <w:lastRenderedPageBreak/>
              <w:t>3</w:t>
            </w:r>
            <w:r w:rsidRPr="00343B1B">
              <w:rPr>
                <w:color w:val="000000"/>
                <w:sz w:val="22"/>
                <w:szCs w:val="22"/>
              </w:rPr>
              <w:t>.</w:t>
            </w:r>
            <w:r>
              <w:rPr>
                <w:color w:val="000000"/>
                <w:sz w:val="22"/>
                <w:szCs w:val="22"/>
              </w:rPr>
              <w:t>6</w:t>
            </w:r>
            <w:r w:rsidRPr="00343B1B">
              <w:rPr>
                <w:color w:val="000000"/>
                <w:sz w:val="22"/>
                <w:szCs w:val="22"/>
              </w:rPr>
              <w:t>.</w:t>
            </w:r>
          </w:p>
        </w:tc>
        <w:tc>
          <w:tcPr>
            <w:tcW w:w="3686" w:type="dxa"/>
            <w:shd w:val="clear" w:color="auto" w:fill="auto"/>
          </w:tcPr>
          <w:p w:rsidR="00F177EE" w:rsidRPr="00343B1B" w:rsidRDefault="00F177EE" w:rsidP="00F177EE">
            <w:pPr>
              <w:rPr>
                <w:color w:val="0070C0"/>
                <w:sz w:val="22"/>
                <w:szCs w:val="22"/>
              </w:rPr>
            </w:pPr>
            <w:r>
              <w:rPr>
                <w:sz w:val="22"/>
                <w:szCs w:val="22"/>
              </w:rPr>
              <w:t>I</w:t>
            </w:r>
            <w:r w:rsidRPr="00B87B06">
              <w:rPr>
                <w:sz w:val="22"/>
                <w:szCs w:val="22"/>
              </w:rPr>
              <w:t xml:space="preserve">dentificēt un analizēt statistikas datus par mērķa grupas nevienlīdzību mājokļa pieejamībā (EU-SILC dati par mājokļa atstumtību, mājsaimniecību budžeta apsekojuma dati, Ekonomikas ministrijas administratīvie dati par </w:t>
            </w:r>
            <w:r w:rsidRPr="00913765">
              <w:rPr>
                <w:rStyle w:val="Strong"/>
                <w:b w:val="0"/>
                <w:color w:val="000000"/>
                <w:sz w:val="22"/>
                <w:szCs w:val="22"/>
                <w:bdr w:val="none" w:sz="0" w:space="0" w:color="auto" w:frame="1"/>
              </w:rPr>
              <w:t>pašvaldību palīdzību dzīvokļa jautājumu risināšanā</w:t>
            </w:r>
            <w:r w:rsidRPr="00913765">
              <w:rPr>
                <w:b/>
                <w:bCs/>
                <w:sz w:val="22"/>
                <w:szCs w:val="22"/>
              </w:rPr>
              <w:t>,</w:t>
            </w:r>
            <w:r w:rsidRPr="00B87B06">
              <w:rPr>
                <w:bCs/>
                <w:sz w:val="22"/>
                <w:szCs w:val="22"/>
              </w:rPr>
              <w:t xml:space="preserve"> </w:t>
            </w:r>
            <w:r w:rsidRPr="00B87B06">
              <w:rPr>
                <w:sz w:val="22"/>
                <w:szCs w:val="22"/>
              </w:rPr>
              <w:t>Labklājības ministrijas administratīvie dati par dzīvokļa pabalstu u.c.)</w:t>
            </w:r>
            <w:r w:rsidRPr="00343B1B">
              <w:rPr>
                <w:color w:val="000000"/>
                <w:sz w:val="22"/>
                <w:szCs w:val="22"/>
              </w:rPr>
              <w:t xml:space="preserve"> (TS 3.</w:t>
            </w:r>
            <w:r>
              <w:rPr>
                <w:color w:val="000000"/>
                <w:sz w:val="22"/>
                <w:szCs w:val="22"/>
              </w:rPr>
              <w:t>9</w:t>
            </w:r>
            <w:r w:rsidRPr="00343B1B">
              <w:rPr>
                <w:color w:val="000000"/>
                <w:sz w:val="22"/>
                <w:szCs w:val="22"/>
              </w:rPr>
              <w:t>.1.</w:t>
            </w:r>
            <w:r>
              <w:rPr>
                <w:color w:val="000000"/>
                <w:sz w:val="22"/>
                <w:szCs w:val="22"/>
              </w:rPr>
              <w:t>2</w:t>
            </w:r>
            <w:r w:rsidRPr="00343B1B">
              <w:rPr>
                <w:color w:val="000000"/>
                <w:sz w:val="22"/>
                <w:szCs w:val="22"/>
              </w:rPr>
              <w:t>.</w:t>
            </w:r>
            <w:r>
              <w:rPr>
                <w:color w:val="000000"/>
                <w:sz w:val="22"/>
                <w:szCs w:val="22"/>
              </w:rPr>
              <w:t>1</w:t>
            </w:r>
            <w:r w:rsidRPr="00343B1B">
              <w:rPr>
                <w:color w:val="000000"/>
                <w:sz w:val="22"/>
                <w:szCs w:val="22"/>
              </w:rPr>
              <w:t>. punkts)</w:t>
            </w:r>
          </w:p>
        </w:tc>
        <w:tc>
          <w:tcPr>
            <w:tcW w:w="2551" w:type="dxa"/>
            <w:shd w:val="clear" w:color="auto" w:fill="auto"/>
          </w:tcPr>
          <w:p w:rsidR="00F177EE" w:rsidRPr="00184C85" w:rsidRDefault="00F177EE" w:rsidP="00F177EE">
            <w:pPr>
              <w:rPr>
                <w:sz w:val="22"/>
                <w:szCs w:val="22"/>
              </w:rPr>
            </w:pPr>
            <w:r w:rsidRPr="00184C85">
              <w:rPr>
                <w:sz w:val="22"/>
                <w:szCs w:val="22"/>
              </w:rPr>
              <w:t>Statistikas datu analīze</w:t>
            </w:r>
          </w:p>
        </w:tc>
        <w:tc>
          <w:tcPr>
            <w:tcW w:w="3050" w:type="dxa"/>
            <w:shd w:val="clear" w:color="auto" w:fill="auto"/>
          </w:tcPr>
          <w:p w:rsidR="00F177EE" w:rsidRPr="00343B1B" w:rsidRDefault="00F177EE" w:rsidP="00F177EE">
            <w:pPr>
              <w:jc w:val="left"/>
              <w:rPr>
                <w:sz w:val="22"/>
                <w:szCs w:val="22"/>
              </w:rPr>
            </w:pPr>
            <w:r>
              <w:rPr>
                <w:sz w:val="22"/>
                <w:szCs w:val="22"/>
              </w:rPr>
              <w:t>2.3. Statistikas datu un apsekojumu datu atlases un kvalitātes kritēriji mājokļa jomā</w:t>
            </w:r>
          </w:p>
        </w:tc>
      </w:tr>
      <w:tr w:rsidR="00F177EE" w:rsidRPr="00343B1B" w:rsidTr="00A36A64">
        <w:tc>
          <w:tcPr>
            <w:tcW w:w="675" w:type="dxa"/>
            <w:shd w:val="clear" w:color="auto" w:fill="auto"/>
          </w:tcPr>
          <w:p w:rsidR="00F177EE" w:rsidRPr="00343B1B" w:rsidRDefault="00F177EE" w:rsidP="00F177EE">
            <w:pPr>
              <w:rPr>
                <w:color w:val="000000"/>
                <w:sz w:val="22"/>
                <w:szCs w:val="22"/>
              </w:rPr>
            </w:pPr>
            <w:r>
              <w:rPr>
                <w:color w:val="000000"/>
                <w:sz w:val="22"/>
                <w:szCs w:val="22"/>
              </w:rPr>
              <w:t>3</w:t>
            </w:r>
            <w:r w:rsidRPr="00343B1B">
              <w:rPr>
                <w:color w:val="000000"/>
                <w:sz w:val="22"/>
                <w:szCs w:val="22"/>
              </w:rPr>
              <w:t>.</w:t>
            </w:r>
            <w:r>
              <w:rPr>
                <w:color w:val="000000"/>
                <w:sz w:val="22"/>
                <w:szCs w:val="22"/>
              </w:rPr>
              <w:t>7</w:t>
            </w:r>
            <w:r w:rsidRPr="00343B1B">
              <w:rPr>
                <w:color w:val="000000"/>
                <w:sz w:val="22"/>
                <w:szCs w:val="22"/>
              </w:rPr>
              <w:t>.</w:t>
            </w:r>
          </w:p>
        </w:tc>
        <w:tc>
          <w:tcPr>
            <w:tcW w:w="3686" w:type="dxa"/>
            <w:shd w:val="clear" w:color="auto" w:fill="auto"/>
          </w:tcPr>
          <w:p w:rsidR="00F177EE" w:rsidRDefault="00F177EE" w:rsidP="00F177EE">
            <w:pPr>
              <w:rPr>
                <w:sz w:val="22"/>
                <w:szCs w:val="22"/>
              </w:rPr>
            </w:pPr>
            <w:r>
              <w:rPr>
                <w:sz w:val="22"/>
                <w:szCs w:val="22"/>
              </w:rPr>
              <w:t>V</w:t>
            </w:r>
            <w:r w:rsidRPr="00B87B06">
              <w:rPr>
                <w:sz w:val="22"/>
                <w:szCs w:val="22"/>
              </w:rPr>
              <w:t>eikt datu kvalitātes analīzi</w:t>
            </w:r>
            <w:r>
              <w:rPr>
                <w:sz w:val="22"/>
                <w:szCs w:val="22"/>
              </w:rPr>
              <w:t>, ietverot šādus aspektus:</w:t>
            </w:r>
          </w:p>
          <w:p w:rsidR="00F177EE" w:rsidRPr="00E04360" w:rsidRDefault="00F177EE" w:rsidP="005C07F3">
            <w:pPr>
              <w:pStyle w:val="ListParagraph"/>
              <w:numPr>
                <w:ilvl w:val="0"/>
                <w:numId w:val="7"/>
              </w:numPr>
              <w:spacing w:line="276" w:lineRule="auto"/>
              <w:ind w:left="317" w:hanging="317"/>
              <w:rPr>
                <w:sz w:val="22"/>
                <w:szCs w:val="22"/>
              </w:rPr>
            </w:pPr>
            <w:r w:rsidRPr="00E04360">
              <w:rPr>
                <w:sz w:val="22"/>
                <w:szCs w:val="22"/>
              </w:rPr>
              <w:t>datu pieejamība</w:t>
            </w:r>
            <w:r>
              <w:rPr>
                <w:sz w:val="22"/>
                <w:szCs w:val="22"/>
              </w:rPr>
              <w:t xml:space="preserve"> (t.sk. trūkstošie dati)</w:t>
            </w:r>
            <w:r w:rsidRPr="00E04360">
              <w:rPr>
                <w:sz w:val="22"/>
                <w:szCs w:val="22"/>
              </w:rPr>
              <w:t xml:space="preserve">, </w:t>
            </w:r>
          </w:p>
          <w:p w:rsidR="00F177EE" w:rsidRPr="00E04360" w:rsidRDefault="00F177EE" w:rsidP="005C07F3">
            <w:pPr>
              <w:pStyle w:val="ListParagraph"/>
              <w:numPr>
                <w:ilvl w:val="0"/>
                <w:numId w:val="7"/>
              </w:numPr>
              <w:spacing w:line="276" w:lineRule="auto"/>
              <w:ind w:left="317" w:hanging="317"/>
              <w:rPr>
                <w:sz w:val="22"/>
                <w:szCs w:val="22"/>
              </w:rPr>
            </w:pPr>
            <w:r w:rsidRPr="00E04360">
              <w:rPr>
                <w:sz w:val="22"/>
                <w:szCs w:val="22"/>
              </w:rPr>
              <w:t>pieejamības veids un formāts (kādos griezumos, kam un uz kādiem nosacījumiem dati ir vai nav pieejami),</w:t>
            </w:r>
          </w:p>
          <w:p w:rsidR="00F177EE" w:rsidRPr="00E04360" w:rsidRDefault="00F177EE" w:rsidP="005C07F3">
            <w:pPr>
              <w:pStyle w:val="ListParagraph"/>
              <w:numPr>
                <w:ilvl w:val="0"/>
                <w:numId w:val="7"/>
              </w:numPr>
              <w:spacing w:line="276" w:lineRule="auto"/>
              <w:ind w:left="317" w:hanging="317"/>
              <w:rPr>
                <w:sz w:val="22"/>
                <w:szCs w:val="22"/>
              </w:rPr>
            </w:pPr>
            <w:r w:rsidRPr="00E04360">
              <w:rPr>
                <w:sz w:val="22"/>
                <w:szCs w:val="22"/>
              </w:rPr>
              <w:t xml:space="preserve">publicēšanas regularitāte un veids, </w:t>
            </w:r>
          </w:p>
          <w:p w:rsidR="00F177EE" w:rsidRPr="00E04360" w:rsidRDefault="00F177EE" w:rsidP="005C07F3">
            <w:pPr>
              <w:pStyle w:val="ListParagraph"/>
              <w:numPr>
                <w:ilvl w:val="0"/>
                <w:numId w:val="7"/>
              </w:numPr>
              <w:spacing w:line="276" w:lineRule="auto"/>
              <w:ind w:left="317" w:hanging="317"/>
              <w:rPr>
                <w:sz w:val="22"/>
                <w:szCs w:val="22"/>
              </w:rPr>
            </w:pPr>
            <w:r w:rsidRPr="00E04360">
              <w:rPr>
                <w:sz w:val="22"/>
                <w:szCs w:val="22"/>
              </w:rPr>
              <w:t xml:space="preserve">datu iegūšanas/vākšanas metodes un avoti, </w:t>
            </w:r>
          </w:p>
          <w:p w:rsidR="00F177EE" w:rsidRPr="00E04360" w:rsidRDefault="00F177EE" w:rsidP="005C07F3">
            <w:pPr>
              <w:pStyle w:val="ListParagraph"/>
              <w:numPr>
                <w:ilvl w:val="0"/>
                <w:numId w:val="7"/>
              </w:numPr>
              <w:spacing w:line="276" w:lineRule="auto"/>
              <w:ind w:left="317" w:hanging="317"/>
              <w:rPr>
                <w:sz w:val="22"/>
                <w:szCs w:val="22"/>
              </w:rPr>
            </w:pPr>
            <w:r w:rsidRPr="00E04360">
              <w:rPr>
                <w:sz w:val="22"/>
                <w:szCs w:val="22"/>
              </w:rPr>
              <w:t xml:space="preserve">mērķa populācija un izlašu, kur attiecināms, apjoms, </w:t>
            </w:r>
          </w:p>
          <w:p w:rsidR="00F177EE" w:rsidRPr="00E04360" w:rsidRDefault="00F177EE" w:rsidP="005C07F3">
            <w:pPr>
              <w:pStyle w:val="ListParagraph"/>
              <w:numPr>
                <w:ilvl w:val="0"/>
                <w:numId w:val="7"/>
              </w:numPr>
              <w:spacing w:line="276" w:lineRule="auto"/>
              <w:ind w:left="317" w:hanging="317"/>
              <w:rPr>
                <w:sz w:val="22"/>
                <w:szCs w:val="22"/>
              </w:rPr>
            </w:pPr>
            <w:r w:rsidRPr="00E04360">
              <w:rPr>
                <w:sz w:val="22"/>
                <w:szCs w:val="22"/>
              </w:rPr>
              <w:t xml:space="preserve">datu definīcijas, </w:t>
            </w:r>
          </w:p>
          <w:p w:rsidR="00F177EE" w:rsidRPr="00E04360" w:rsidRDefault="00F177EE" w:rsidP="005C07F3">
            <w:pPr>
              <w:pStyle w:val="ListParagraph"/>
              <w:numPr>
                <w:ilvl w:val="0"/>
                <w:numId w:val="7"/>
              </w:numPr>
              <w:spacing w:line="276" w:lineRule="auto"/>
              <w:ind w:left="317" w:hanging="317"/>
              <w:rPr>
                <w:sz w:val="22"/>
                <w:szCs w:val="22"/>
              </w:rPr>
            </w:pPr>
            <w:r w:rsidRPr="00E04360">
              <w:rPr>
                <w:sz w:val="22"/>
                <w:szCs w:val="22"/>
              </w:rPr>
              <w:t>datu aprēķināšanas metodes,</w:t>
            </w:r>
          </w:p>
          <w:p w:rsidR="00F177EE" w:rsidRDefault="00F177EE" w:rsidP="005C07F3">
            <w:pPr>
              <w:pStyle w:val="ListParagraph"/>
              <w:numPr>
                <w:ilvl w:val="0"/>
                <w:numId w:val="7"/>
              </w:numPr>
              <w:spacing w:line="276" w:lineRule="auto"/>
              <w:ind w:left="317" w:hanging="317"/>
              <w:rPr>
                <w:sz w:val="22"/>
                <w:szCs w:val="22"/>
              </w:rPr>
            </w:pPr>
            <w:r w:rsidRPr="00E04360">
              <w:rPr>
                <w:sz w:val="22"/>
                <w:szCs w:val="22"/>
              </w:rPr>
              <w:t xml:space="preserve">datu salīdzināmība, </w:t>
            </w:r>
          </w:p>
          <w:p w:rsidR="00F177EE" w:rsidRPr="00A36A64" w:rsidRDefault="00F177EE" w:rsidP="005C07F3">
            <w:pPr>
              <w:pStyle w:val="ListParagraph"/>
              <w:numPr>
                <w:ilvl w:val="0"/>
                <w:numId w:val="7"/>
              </w:numPr>
              <w:spacing w:line="276" w:lineRule="auto"/>
              <w:ind w:left="317" w:hanging="317"/>
              <w:rPr>
                <w:color w:val="000000"/>
                <w:sz w:val="22"/>
                <w:szCs w:val="22"/>
              </w:rPr>
            </w:pPr>
            <w:r>
              <w:rPr>
                <w:sz w:val="22"/>
                <w:szCs w:val="22"/>
              </w:rPr>
              <w:t>d</w:t>
            </w:r>
            <w:r w:rsidRPr="00E04360">
              <w:rPr>
                <w:sz w:val="22"/>
                <w:szCs w:val="22"/>
              </w:rPr>
              <w:t>atu kvalitāte</w:t>
            </w:r>
            <w:r w:rsidRPr="00B87B06">
              <w:rPr>
                <w:sz w:val="22"/>
                <w:szCs w:val="22"/>
              </w:rPr>
              <w:t xml:space="preserve"> </w:t>
            </w:r>
            <w:r w:rsidRPr="00343B1B">
              <w:rPr>
                <w:color w:val="000000"/>
                <w:sz w:val="22"/>
                <w:szCs w:val="22"/>
              </w:rPr>
              <w:t>(TS 3.</w:t>
            </w:r>
            <w:r>
              <w:rPr>
                <w:color w:val="000000"/>
                <w:sz w:val="22"/>
                <w:szCs w:val="22"/>
              </w:rPr>
              <w:t>9</w:t>
            </w:r>
            <w:r w:rsidRPr="00343B1B">
              <w:rPr>
                <w:color w:val="000000"/>
                <w:sz w:val="22"/>
                <w:szCs w:val="22"/>
              </w:rPr>
              <w:t>.1.</w:t>
            </w:r>
            <w:r>
              <w:rPr>
                <w:color w:val="000000"/>
                <w:sz w:val="22"/>
                <w:szCs w:val="22"/>
              </w:rPr>
              <w:t>3</w:t>
            </w:r>
            <w:r w:rsidRPr="00343B1B">
              <w:rPr>
                <w:color w:val="000000"/>
                <w:sz w:val="22"/>
                <w:szCs w:val="22"/>
              </w:rPr>
              <w:t>. punkts)</w:t>
            </w:r>
            <w:r>
              <w:rPr>
                <w:color w:val="000000"/>
                <w:sz w:val="22"/>
                <w:szCs w:val="22"/>
              </w:rPr>
              <w:t>.</w:t>
            </w:r>
          </w:p>
        </w:tc>
        <w:tc>
          <w:tcPr>
            <w:tcW w:w="2551" w:type="dxa"/>
            <w:shd w:val="clear" w:color="auto" w:fill="auto"/>
          </w:tcPr>
          <w:p w:rsidR="00F177EE" w:rsidRDefault="00F177EE" w:rsidP="00F177EE">
            <w:pPr>
              <w:rPr>
                <w:sz w:val="22"/>
                <w:szCs w:val="22"/>
              </w:rPr>
            </w:pPr>
            <w:r w:rsidRPr="00184C85">
              <w:rPr>
                <w:sz w:val="22"/>
                <w:szCs w:val="22"/>
              </w:rPr>
              <w:t>Statistikas datu analīze</w:t>
            </w:r>
          </w:p>
          <w:p w:rsidR="00F177EE" w:rsidRPr="00184C85" w:rsidRDefault="00F177EE" w:rsidP="00F177EE">
            <w:pPr>
              <w:rPr>
                <w:sz w:val="22"/>
                <w:szCs w:val="22"/>
              </w:rPr>
            </w:pPr>
          </w:p>
        </w:tc>
        <w:tc>
          <w:tcPr>
            <w:tcW w:w="3050" w:type="dxa"/>
            <w:shd w:val="clear" w:color="auto" w:fill="auto"/>
          </w:tcPr>
          <w:p w:rsidR="00F177EE" w:rsidRPr="00343B1B" w:rsidRDefault="00F177EE" w:rsidP="00F177EE">
            <w:pPr>
              <w:jc w:val="left"/>
              <w:rPr>
                <w:sz w:val="22"/>
                <w:szCs w:val="22"/>
              </w:rPr>
            </w:pPr>
            <w:r>
              <w:rPr>
                <w:sz w:val="22"/>
                <w:szCs w:val="22"/>
              </w:rPr>
              <w:t>2.3. Statistikas datu un apsekojumu datu atlases un kvalitātes kritēriji mājokļa jomā</w:t>
            </w:r>
          </w:p>
        </w:tc>
      </w:tr>
      <w:tr w:rsidR="00F177EE" w:rsidRPr="00343B1B" w:rsidTr="00A36A64">
        <w:tc>
          <w:tcPr>
            <w:tcW w:w="675" w:type="dxa"/>
            <w:shd w:val="clear" w:color="auto" w:fill="auto"/>
          </w:tcPr>
          <w:p w:rsidR="00F177EE" w:rsidRPr="00343B1B" w:rsidRDefault="00F177EE" w:rsidP="00F177EE">
            <w:pPr>
              <w:rPr>
                <w:sz w:val="22"/>
                <w:szCs w:val="22"/>
              </w:rPr>
            </w:pPr>
            <w:r>
              <w:rPr>
                <w:sz w:val="22"/>
                <w:szCs w:val="22"/>
              </w:rPr>
              <w:t>3.8.</w:t>
            </w:r>
          </w:p>
        </w:tc>
        <w:tc>
          <w:tcPr>
            <w:tcW w:w="3686" w:type="dxa"/>
            <w:shd w:val="clear" w:color="auto" w:fill="auto"/>
          </w:tcPr>
          <w:p w:rsidR="00F177EE" w:rsidRPr="00343B1B" w:rsidRDefault="00F177EE" w:rsidP="00F177EE">
            <w:pPr>
              <w:rPr>
                <w:color w:val="000000"/>
                <w:sz w:val="22"/>
                <w:szCs w:val="22"/>
              </w:rPr>
            </w:pPr>
            <w:r>
              <w:rPr>
                <w:sz w:val="22"/>
                <w:szCs w:val="22"/>
              </w:rPr>
              <w:t>I</w:t>
            </w:r>
            <w:r w:rsidRPr="00B87B06">
              <w:rPr>
                <w:sz w:val="22"/>
                <w:szCs w:val="22"/>
              </w:rPr>
              <w:t>dentificēt, kuri no datiem turpmāk būtu izmantojami nevienlīdzības mājokļa pieejamības jomā turpmākai izvērtēšanai un kāda papildus datu vākšana šim nolūkam būtu nepieciešama</w:t>
            </w:r>
            <w:r>
              <w:rPr>
                <w:sz w:val="22"/>
                <w:szCs w:val="22"/>
              </w:rPr>
              <w:t xml:space="preserve"> </w:t>
            </w:r>
            <w:r w:rsidRPr="00343B1B">
              <w:rPr>
                <w:color w:val="000000"/>
                <w:sz w:val="22"/>
                <w:szCs w:val="22"/>
              </w:rPr>
              <w:t>(TS 3.</w:t>
            </w:r>
            <w:r>
              <w:rPr>
                <w:color w:val="000000"/>
                <w:sz w:val="22"/>
                <w:szCs w:val="22"/>
              </w:rPr>
              <w:t>10.2</w:t>
            </w:r>
            <w:r w:rsidRPr="00343B1B">
              <w:rPr>
                <w:color w:val="000000"/>
                <w:sz w:val="22"/>
                <w:szCs w:val="22"/>
              </w:rPr>
              <w:t>. punkts)</w:t>
            </w:r>
          </w:p>
        </w:tc>
        <w:tc>
          <w:tcPr>
            <w:tcW w:w="2551" w:type="dxa"/>
            <w:shd w:val="clear" w:color="auto" w:fill="auto"/>
          </w:tcPr>
          <w:p w:rsidR="00F177EE" w:rsidRDefault="00F177EE" w:rsidP="00F177EE">
            <w:pPr>
              <w:rPr>
                <w:sz w:val="22"/>
                <w:szCs w:val="22"/>
              </w:rPr>
            </w:pPr>
            <w:r w:rsidRPr="00184C85">
              <w:rPr>
                <w:sz w:val="22"/>
                <w:szCs w:val="22"/>
              </w:rPr>
              <w:t>Statistikas datu analīze</w:t>
            </w:r>
          </w:p>
          <w:p w:rsidR="00F177EE" w:rsidRPr="00184C85" w:rsidRDefault="00F177EE" w:rsidP="00F177EE">
            <w:pPr>
              <w:rPr>
                <w:sz w:val="22"/>
                <w:szCs w:val="22"/>
              </w:rPr>
            </w:pPr>
          </w:p>
        </w:tc>
        <w:tc>
          <w:tcPr>
            <w:tcW w:w="3050" w:type="dxa"/>
            <w:shd w:val="clear" w:color="auto" w:fill="auto"/>
          </w:tcPr>
          <w:p w:rsidR="00F177EE" w:rsidRPr="00343B1B" w:rsidRDefault="00F177EE" w:rsidP="00F177EE">
            <w:pPr>
              <w:jc w:val="left"/>
              <w:rPr>
                <w:sz w:val="22"/>
                <w:szCs w:val="22"/>
              </w:rPr>
            </w:pPr>
            <w:r>
              <w:rPr>
                <w:sz w:val="22"/>
                <w:szCs w:val="22"/>
              </w:rPr>
              <w:t>2.3. Statistikas datu un apsekojumu datu atlases un kvalitātes kritēriji mājokļa jomā</w:t>
            </w:r>
          </w:p>
        </w:tc>
      </w:tr>
      <w:tr w:rsidR="00F177EE" w:rsidRPr="00343B1B" w:rsidTr="00A36A64">
        <w:tc>
          <w:tcPr>
            <w:tcW w:w="675" w:type="dxa"/>
            <w:shd w:val="clear" w:color="auto" w:fill="auto"/>
          </w:tcPr>
          <w:p w:rsidR="00F177EE" w:rsidRPr="00343B1B" w:rsidRDefault="00F177EE" w:rsidP="00F177EE">
            <w:pPr>
              <w:rPr>
                <w:sz w:val="22"/>
                <w:szCs w:val="22"/>
              </w:rPr>
            </w:pPr>
            <w:r>
              <w:rPr>
                <w:sz w:val="22"/>
                <w:szCs w:val="22"/>
              </w:rPr>
              <w:t>3.9</w:t>
            </w:r>
            <w:r w:rsidRPr="00343B1B">
              <w:rPr>
                <w:sz w:val="22"/>
                <w:szCs w:val="22"/>
              </w:rPr>
              <w:t>.</w:t>
            </w:r>
          </w:p>
        </w:tc>
        <w:tc>
          <w:tcPr>
            <w:tcW w:w="3686" w:type="dxa"/>
            <w:shd w:val="clear" w:color="auto" w:fill="auto"/>
          </w:tcPr>
          <w:p w:rsidR="00F177EE" w:rsidRPr="00275358" w:rsidRDefault="00F177EE" w:rsidP="00F177EE">
            <w:pPr>
              <w:rPr>
                <w:color w:val="000000"/>
                <w:sz w:val="22"/>
                <w:szCs w:val="22"/>
              </w:rPr>
            </w:pPr>
            <w:r w:rsidRPr="00275358">
              <w:rPr>
                <w:sz w:val="22"/>
                <w:szCs w:val="22"/>
              </w:rPr>
              <w:t xml:space="preserve">Sagatavot secinājumus par nevienlīdzību mājokļa jomā attiecībā uz </w:t>
            </w:r>
            <w:r>
              <w:rPr>
                <w:sz w:val="22"/>
                <w:szCs w:val="22"/>
              </w:rPr>
              <w:t xml:space="preserve">TS 3.9. punktā definētajām </w:t>
            </w:r>
            <w:r w:rsidRPr="00275358">
              <w:rPr>
                <w:sz w:val="22"/>
                <w:szCs w:val="22"/>
              </w:rPr>
              <w:t xml:space="preserve">mērķa grupām </w:t>
            </w:r>
            <w:r w:rsidRPr="00275358">
              <w:rPr>
                <w:color w:val="000000"/>
                <w:sz w:val="22"/>
                <w:szCs w:val="22"/>
              </w:rPr>
              <w:t>(TS 3.10.1. punkts):</w:t>
            </w:r>
          </w:p>
          <w:p w:rsidR="00F177EE" w:rsidRDefault="00F177EE" w:rsidP="00F177EE">
            <w:pPr>
              <w:rPr>
                <w:color w:val="000000"/>
                <w:sz w:val="22"/>
                <w:szCs w:val="22"/>
              </w:rPr>
            </w:pPr>
          </w:p>
          <w:p w:rsidR="00F177EE" w:rsidRPr="006316FA" w:rsidRDefault="00F177EE" w:rsidP="00F177EE">
            <w:pPr>
              <w:rPr>
                <w:color w:val="000000"/>
                <w:sz w:val="22"/>
                <w:szCs w:val="22"/>
              </w:rPr>
            </w:pPr>
          </w:p>
        </w:tc>
        <w:tc>
          <w:tcPr>
            <w:tcW w:w="2551" w:type="dxa"/>
            <w:shd w:val="clear" w:color="auto" w:fill="auto"/>
          </w:tcPr>
          <w:p w:rsidR="00F177EE" w:rsidRPr="00A36A64" w:rsidRDefault="00F177EE" w:rsidP="00F177EE">
            <w:pPr>
              <w:rPr>
                <w:sz w:val="22"/>
                <w:szCs w:val="22"/>
              </w:rPr>
            </w:pPr>
            <w:r w:rsidRPr="00081058">
              <w:rPr>
                <w:sz w:val="22"/>
                <w:szCs w:val="22"/>
              </w:rPr>
              <w:t>Integrēta analīze (dokumentu analīzes, statistikas datu analīzes, ekspertu interviju un fokusa grupu diskusiju rezultātu integrēts novērtējums)</w:t>
            </w:r>
          </w:p>
        </w:tc>
        <w:tc>
          <w:tcPr>
            <w:tcW w:w="3050" w:type="dxa"/>
            <w:shd w:val="clear" w:color="auto" w:fill="auto"/>
          </w:tcPr>
          <w:p w:rsidR="00F177EE" w:rsidRDefault="00F177EE" w:rsidP="00F177EE">
            <w:pPr>
              <w:rPr>
                <w:sz w:val="22"/>
                <w:szCs w:val="22"/>
              </w:rPr>
            </w:pPr>
            <w:r>
              <w:rPr>
                <w:sz w:val="22"/>
                <w:szCs w:val="22"/>
              </w:rPr>
              <w:t xml:space="preserve">Papildus citiem instrumentiem, kas izmantoti 3.1.-3.8. uzdevumu izpildē: </w:t>
            </w:r>
          </w:p>
          <w:p w:rsidR="00F177EE" w:rsidRDefault="00F177EE" w:rsidP="00F177EE">
            <w:pPr>
              <w:rPr>
                <w:sz w:val="22"/>
                <w:szCs w:val="22"/>
              </w:rPr>
            </w:pPr>
            <w:r>
              <w:rPr>
                <w:sz w:val="22"/>
                <w:szCs w:val="22"/>
              </w:rPr>
              <w:t>3.2. Fokusa grupu diskusiju vadlīnijas</w:t>
            </w:r>
          </w:p>
          <w:p w:rsidR="00F177EE" w:rsidRPr="00343B1B" w:rsidRDefault="00F177EE" w:rsidP="00F177EE">
            <w:pPr>
              <w:rPr>
                <w:sz w:val="22"/>
                <w:szCs w:val="22"/>
              </w:rPr>
            </w:pPr>
          </w:p>
        </w:tc>
      </w:tr>
      <w:tr w:rsidR="00F177EE" w:rsidRPr="00343B1B" w:rsidTr="00A36A64">
        <w:tc>
          <w:tcPr>
            <w:tcW w:w="675" w:type="dxa"/>
            <w:shd w:val="clear" w:color="auto" w:fill="auto"/>
          </w:tcPr>
          <w:p w:rsidR="00F177EE" w:rsidRPr="00343B1B" w:rsidRDefault="00F177EE" w:rsidP="00F177EE">
            <w:pPr>
              <w:rPr>
                <w:sz w:val="22"/>
                <w:szCs w:val="22"/>
              </w:rPr>
            </w:pPr>
            <w:r>
              <w:rPr>
                <w:sz w:val="22"/>
                <w:szCs w:val="22"/>
              </w:rPr>
              <w:t>3.10.</w:t>
            </w:r>
          </w:p>
        </w:tc>
        <w:tc>
          <w:tcPr>
            <w:tcW w:w="3686" w:type="dxa"/>
            <w:shd w:val="clear" w:color="auto" w:fill="auto"/>
          </w:tcPr>
          <w:p w:rsidR="00F177EE" w:rsidRPr="00313549" w:rsidRDefault="00F177EE" w:rsidP="00F177EE">
            <w:pPr>
              <w:rPr>
                <w:sz w:val="22"/>
                <w:szCs w:val="22"/>
              </w:rPr>
            </w:pPr>
            <w:r>
              <w:rPr>
                <w:sz w:val="22"/>
                <w:szCs w:val="22"/>
              </w:rPr>
              <w:t>S</w:t>
            </w:r>
            <w:r w:rsidRPr="00B87B06">
              <w:rPr>
                <w:sz w:val="22"/>
                <w:szCs w:val="22"/>
              </w:rPr>
              <w:t xml:space="preserve">agatavot rekomendācijas (atbilstoši </w:t>
            </w:r>
            <w:r>
              <w:rPr>
                <w:sz w:val="22"/>
                <w:szCs w:val="22"/>
              </w:rPr>
              <w:t>TS norādītājai</w:t>
            </w:r>
            <w:r w:rsidRPr="00B87B06">
              <w:rPr>
                <w:sz w:val="22"/>
                <w:szCs w:val="22"/>
              </w:rPr>
              <w:t xml:space="preserve"> struktūrai) par nepieciešamajiem uzlabojumiem (t.sk. normatīvo aktu pilnveidi) rīcībpolitikā nevienlīdzības mājokļa jomā  mazināšanai</w:t>
            </w:r>
            <w:r>
              <w:rPr>
                <w:sz w:val="22"/>
                <w:szCs w:val="22"/>
              </w:rPr>
              <w:t xml:space="preserve"> </w:t>
            </w:r>
            <w:r w:rsidRPr="00343B1B">
              <w:rPr>
                <w:color w:val="000000"/>
                <w:sz w:val="22"/>
                <w:szCs w:val="22"/>
              </w:rPr>
              <w:t>(TS 3.</w:t>
            </w:r>
            <w:r>
              <w:rPr>
                <w:color w:val="000000"/>
                <w:sz w:val="22"/>
                <w:szCs w:val="22"/>
              </w:rPr>
              <w:t>10.4</w:t>
            </w:r>
            <w:r w:rsidRPr="00343B1B">
              <w:rPr>
                <w:color w:val="000000"/>
                <w:sz w:val="22"/>
                <w:szCs w:val="22"/>
              </w:rPr>
              <w:t>. punkts)</w:t>
            </w:r>
          </w:p>
        </w:tc>
        <w:tc>
          <w:tcPr>
            <w:tcW w:w="2551" w:type="dxa"/>
            <w:shd w:val="clear" w:color="auto" w:fill="auto"/>
          </w:tcPr>
          <w:p w:rsidR="00F177EE" w:rsidRPr="00313549" w:rsidRDefault="00F177EE" w:rsidP="00F177EE">
            <w:pPr>
              <w:rPr>
                <w:sz w:val="22"/>
                <w:szCs w:val="22"/>
              </w:rPr>
            </w:pPr>
            <w:r w:rsidRPr="00240BC6">
              <w:rPr>
                <w:sz w:val="22"/>
                <w:szCs w:val="22"/>
              </w:rPr>
              <w:t>Integrēta analīze</w:t>
            </w:r>
            <w:r>
              <w:rPr>
                <w:sz w:val="22"/>
                <w:szCs w:val="22"/>
              </w:rPr>
              <w:t xml:space="preserve"> (dokumentu analīzes, statistikas datu analīzes, ekspertu interviju un fokusa grupu diskusiju rezultātu integrēts </w:t>
            </w:r>
            <w:r>
              <w:rPr>
                <w:sz w:val="22"/>
                <w:szCs w:val="22"/>
              </w:rPr>
              <w:lastRenderedPageBreak/>
              <w:t>novērtējums)</w:t>
            </w:r>
          </w:p>
        </w:tc>
        <w:tc>
          <w:tcPr>
            <w:tcW w:w="3050" w:type="dxa"/>
            <w:shd w:val="clear" w:color="auto" w:fill="auto"/>
          </w:tcPr>
          <w:p w:rsidR="00F177EE" w:rsidRDefault="00F177EE" w:rsidP="00F177EE">
            <w:pPr>
              <w:rPr>
                <w:sz w:val="22"/>
                <w:szCs w:val="22"/>
              </w:rPr>
            </w:pPr>
            <w:r>
              <w:rPr>
                <w:sz w:val="22"/>
                <w:szCs w:val="22"/>
              </w:rPr>
              <w:lastRenderedPageBreak/>
              <w:t xml:space="preserve">Papildus citiem instrumentiem, kas izmantoti 3.1.-3.8. uzdevumu izpildē: </w:t>
            </w:r>
          </w:p>
          <w:p w:rsidR="00F177EE" w:rsidRDefault="00F177EE" w:rsidP="00F177EE">
            <w:pPr>
              <w:rPr>
                <w:sz w:val="22"/>
                <w:szCs w:val="22"/>
              </w:rPr>
            </w:pPr>
            <w:r>
              <w:rPr>
                <w:sz w:val="22"/>
                <w:szCs w:val="22"/>
              </w:rPr>
              <w:t>3.2. Fokusa grupu diskusiju scenārijs</w:t>
            </w:r>
          </w:p>
          <w:p w:rsidR="00F177EE" w:rsidRPr="00343B1B" w:rsidRDefault="00F177EE" w:rsidP="00F177EE">
            <w:pPr>
              <w:rPr>
                <w:sz w:val="22"/>
                <w:szCs w:val="22"/>
              </w:rPr>
            </w:pPr>
          </w:p>
        </w:tc>
      </w:tr>
      <w:tr w:rsidR="00F177EE" w:rsidRPr="00343B1B" w:rsidTr="00A36A64">
        <w:tc>
          <w:tcPr>
            <w:tcW w:w="675" w:type="dxa"/>
            <w:shd w:val="clear" w:color="auto" w:fill="auto"/>
          </w:tcPr>
          <w:p w:rsidR="00F177EE" w:rsidRPr="00343B1B" w:rsidRDefault="00F177EE" w:rsidP="00F177EE">
            <w:pPr>
              <w:rPr>
                <w:sz w:val="22"/>
                <w:szCs w:val="22"/>
              </w:rPr>
            </w:pPr>
            <w:r>
              <w:rPr>
                <w:sz w:val="22"/>
                <w:szCs w:val="22"/>
              </w:rPr>
              <w:lastRenderedPageBreak/>
              <w:t>3.11.</w:t>
            </w:r>
          </w:p>
        </w:tc>
        <w:tc>
          <w:tcPr>
            <w:tcW w:w="3686" w:type="dxa"/>
            <w:shd w:val="clear" w:color="auto" w:fill="auto"/>
          </w:tcPr>
          <w:p w:rsidR="00F177EE" w:rsidRPr="00343B1B" w:rsidRDefault="00F177EE" w:rsidP="00F177EE">
            <w:pPr>
              <w:rPr>
                <w:color w:val="000000"/>
                <w:sz w:val="22"/>
                <w:szCs w:val="22"/>
              </w:rPr>
            </w:pPr>
            <w:r>
              <w:rPr>
                <w:sz w:val="22"/>
                <w:szCs w:val="22"/>
              </w:rPr>
              <w:t>I</w:t>
            </w:r>
            <w:r w:rsidRPr="00B87B06">
              <w:rPr>
                <w:sz w:val="22"/>
                <w:szCs w:val="22"/>
              </w:rPr>
              <w:t>zstrādāt priekšlikumu atbalsta mehānismam, norādot indikatīvu tam nepieciešamā finansējuma apjomu, lai noteiktu laiku pasargātu īrnieku, kuram nav trūcīgas vai maznodrošinātas personas statuss, un viņa ģimeni no izlikšanas no dzīvokļa, gadījumā, ja īrnieks vai īrnieka ģimene nokļuvusi nelabvēlīgā sociālā situācijā un īrniekam īslaicīgi nav iespējams samaksāt īri, tādējādi dodot īrniekam laiku situāciju sakārtot</w:t>
            </w:r>
            <w:r>
              <w:rPr>
                <w:sz w:val="22"/>
                <w:szCs w:val="22"/>
              </w:rPr>
              <w:t xml:space="preserve"> </w:t>
            </w:r>
            <w:r w:rsidRPr="00343B1B">
              <w:rPr>
                <w:color w:val="000000"/>
                <w:sz w:val="22"/>
                <w:szCs w:val="22"/>
              </w:rPr>
              <w:t>(TS 3.</w:t>
            </w:r>
            <w:r>
              <w:rPr>
                <w:color w:val="000000"/>
                <w:sz w:val="22"/>
                <w:szCs w:val="22"/>
              </w:rPr>
              <w:t>10.3</w:t>
            </w:r>
            <w:r w:rsidRPr="00343B1B">
              <w:rPr>
                <w:color w:val="000000"/>
                <w:sz w:val="22"/>
                <w:szCs w:val="22"/>
              </w:rPr>
              <w:t>. punkts)</w:t>
            </w:r>
          </w:p>
        </w:tc>
        <w:tc>
          <w:tcPr>
            <w:tcW w:w="2551" w:type="dxa"/>
            <w:shd w:val="clear" w:color="auto" w:fill="auto"/>
          </w:tcPr>
          <w:p w:rsidR="00F177EE" w:rsidRPr="00313549" w:rsidRDefault="00F177EE" w:rsidP="00F177EE">
            <w:pPr>
              <w:rPr>
                <w:sz w:val="22"/>
                <w:szCs w:val="22"/>
              </w:rPr>
            </w:pPr>
            <w:r w:rsidRPr="00240BC6">
              <w:rPr>
                <w:sz w:val="22"/>
                <w:szCs w:val="22"/>
              </w:rPr>
              <w:t>Integrēta analīze</w:t>
            </w:r>
            <w:r>
              <w:rPr>
                <w:sz w:val="22"/>
                <w:szCs w:val="22"/>
              </w:rPr>
              <w:t xml:space="preserve"> (dokumentu analīzes, statistikas datu analīzes, ekspertu interviju un fokusa grupu diskusiju rezultātu integrēts novērtējums)</w:t>
            </w:r>
          </w:p>
        </w:tc>
        <w:tc>
          <w:tcPr>
            <w:tcW w:w="3050" w:type="dxa"/>
            <w:shd w:val="clear" w:color="auto" w:fill="auto"/>
          </w:tcPr>
          <w:p w:rsidR="00F177EE" w:rsidRDefault="00F177EE" w:rsidP="00F177EE">
            <w:pPr>
              <w:rPr>
                <w:sz w:val="22"/>
                <w:szCs w:val="22"/>
              </w:rPr>
            </w:pPr>
            <w:r>
              <w:rPr>
                <w:sz w:val="22"/>
                <w:szCs w:val="22"/>
              </w:rPr>
              <w:t xml:space="preserve">Papildus citiem instrumentiem, kas izmantoti 3.1.-3.8. uzdevumu izpildē: </w:t>
            </w:r>
          </w:p>
          <w:p w:rsidR="00F177EE" w:rsidRDefault="00F177EE" w:rsidP="00F177EE">
            <w:pPr>
              <w:rPr>
                <w:sz w:val="22"/>
                <w:szCs w:val="22"/>
              </w:rPr>
            </w:pPr>
            <w:r>
              <w:rPr>
                <w:sz w:val="22"/>
                <w:szCs w:val="22"/>
              </w:rPr>
              <w:t>3.2. Fokusa grupu diskusiju scenārijs</w:t>
            </w:r>
          </w:p>
          <w:p w:rsidR="00F177EE" w:rsidRPr="00343B1B" w:rsidRDefault="00F177EE" w:rsidP="00F177EE">
            <w:pPr>
              <w:rPr>
                <w:sz w:val="22"/>
                <w:szCs w:val="22"/>
              </w:rPr>
            </w:pPr>
          </w:p>
        </w:tc>
      </w:tr>
    </w:tbl>
    <w:p w:rsidR="00F177EE" w:rsidRPr="00324B63" w:rsidRDefault="00F177EE" w:rsidP="00F177EE">
      <w:pPr>
        <w:rPr>
          <w:b/>
          <w:i/>
          <w:sz w:val="22"/>
          <w:szCs w:val="22"/>
        </w:rPr>
      </w:pPr>
    </w:p>
    <w:p w:rsidR="00F177EE" w:rsidRPr="00324B63" w:rsidRDefault="00F177EE" w:rsidP="004C2E87">
      <w:r w:rsidRPr="00324B63">
        <w:t xml:space="preserve">Attiecībā uz Izvērtējumu mājokļa jomā TS </w:t>
      </w:r>
      <w:r w:rsidR="008D050E" w:rsidRPr="00324B63">
        <w:t>tika</w:t>
      </w:r>
      <w:r w:rsidRPr="00324B63">
        <w:t xml:space="preserve"> noteikts analīzes perioda beigu punkts - 2018.</w:t>
      </w:r>
      <w:r w:rsidR="00DE1C08" w:rsidRPr="00324B63">
        <w:t xml:space="preserve"> </w:t>
      </w:r>
      <w:r w:rsidRPr="00324B63">
        <w:t>gada 1.</w:t>
      </w:r>
      <w:r w:rsidR="00DE1C08" w:rsidRPr="00324B63">
        <w:t xml:space="preserve"> </w:t>
      </w:r>
      <w:r w:rsidRPr="00324B63">
        <w:t xml:space="preserve">pusgads. Perioda sākuma atskaites punkts </w:t>
      </w:r>
      <w:r w:rsidR="00AF77CC" w:rsidRPr="00324B63">
        <w:t>(</w:t>
      </w:r>
      <w:r w:rsidR="000A3DA3" w:rsidRPr="00324B63">
        <w:t>2009.</w:t>
      </w:r>
      <w:r w:rsidR="00DE1C08" w:rsidRPr="00324B63">
        <w:t xml:space="preserve"> </w:t>
      </w:r>
      <w:r w:rsidR="005843E6" w:rsidRPr="00324B63">
        <w:t>gads</w:t>
      </w:r>
      <w:r w:rsidR="000A3DA3" w:rsidRPr="00324B63">
        <w:t>)</w:t>
      </w:r>
      <w:r w:rsidR="00AF77CC" w:rsidRPr="00324B63">
        <w:t xml:space="preserve"> </w:t>
      </w:r>
      <w:r w:rsidRPr="00324B63">
        <w:t>Izvērtējuma gaitā tik</w:t>
      </w:r>
      <w:r w:rsidR="008D050E" w:rsidRPr="00324B63">
        <w:t>a</w:t>
      </w:r>
      <w:r w:rsidRPr="00324B63">
        <w:t xml:space="preserve"> precizēts pēc būtības, kombinējot dažādu metožu (</w:t>
      </w:r>
      <w:r w:rsidR="000A3DA3" w:rsidRPr="00324B63">
        <w:t xml:space="preserve">statistiskas datu analīze, </w:t>
      </w:r>
      <w:r w:rsidRPr="00324B63">
        <w:t>dokumentu analīze, ekspertu intervijas) pielietojuma rezultātā iegūtās atziņas par noteiktu intervenču ietekmi uz pētāmo jautājumu.</w:t>
      </w:r>
      <w:r w:rsidR="008D050E" w:rsidRPr="00324B63">
        <w:t xml:space="preserve"> </w:t>
      </w:r>
    </w:p>
    <w:p w:rsidR="00F177EE" w:rsidRPr="00324B63" w:rsidRDefault="00F177EE" w:rsidP="00E10DA4">
      <w:pPr>
        <w:pStyle w:val="virsrakstslvl4"/>
      </w:pPr>
      <w:bookmarkStart w:id="1104" w:name="_Toc528761676"/>
      <w:bookmarkStart w:id="1105" w:name="_Toc528762839"/>
      <w:bookmarkStart w:id="1106" w:name="_Toc528768897"/>
      <w:bookmarkStart w:id="1107" w:name="_Toc528847624"/>
      <w:bookmarkStart w:id="1108" w:name="_Toc528930608"/>
      <w:bookmarkStart w:id="1109" w:name="_Toc529170556"/>
      <w:bookmarkStart w:id="1110" w:name="_Toc529176279"/>
      <w:bookmarkStart w:id="1111" w:name="_Toc529180107"/>
      <w:bookmarkStart w:id="1112" w:name="_Toc529180352"/>
      <w:bookmarkStart w:id="1113" w:name="_Toc531694127"/>
      <w:bookmarkStart w:id="1114" w:name="_Toc531856232"/>
      <w:bookmarkStart w:id="1115" w:name="_Toc531860021"/>
      <w:bookmarkStart w:id="1116" w:name="_Toc535738807"/>
      <w:bookmarkStart w:id="1117" w:name="_Toc535741805"/>
      <w:bookmarkStart w:id="1118" w:name="_Toc535742158"/>
      <w:bookmarkStart w:id="1119" w:name="_Toc535916141"/>
      <w:bookmarkStart w:id="1120" w:name="_Toc535922793"/>
      <w:bookmarkStart w:id="1121" w:name="_Toc535935096"/>
      <w:bookmarkStart w:id="1122" w:name="_Toc788708"/>
      <w:bookmarkStart w:id="1123" w:name="_Toc868888"/>
      <w:bookmarkStart w:id="1124" w:name="_Toc2761169"/>
      <w:bookmarkStart w:id="1125" w:name="_Toc2848276"/>
      <w:bookmarkStart w:id="1126" w:name="_Toc6219336"/>
      <w:bookmarkStart w:id="1127" w:name="_Toc6220279"/>
      <w:bookmarkStart w:id="1128" w:name="_Toc6841707"/>
      <w:r w:rsidRPr="00324B63">
        <w:t>Dokumentu analīze mājokļa jomā</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r w:rsidRPr="00324B63">
        <w:t xml:space="preserve"> </w:t>
      </w:r>
    </w:p>
    <w:p w:rsidR="00F177EE" w:rsidRPr="00324B63" w:rsidRDefault="00F177EE" w:rsidP="00E10DA4">
      <w:pPr>
        <w:pStyle w:val="under"/>
      </w:pPr>
      <w:bookmarkStart w:id="1129" w:name="_Toc2761170"/>
      <w:bookmarkStart w:id="1130" w:name="_Toc2848277"/>
      <w:bookmarkStart w:id="1131" w:name="_Toc6219337"/>
      <w:bookmarkStart w:id="1132" w:name="_Toc6220280"/>
      <w:bookmarkStart w:id="1133" w:name="_Toc6841708"/>
      <w:r w:rsidRPr="00324B63">
        <w:t>Uzdevumi:</w:t>
      </w:r>
      <w:bookmarkEnd w:id="1129"/>
      <w:bookmarkEnd w:id="1130"/>
      <w:bookmarkEnd w:id="1131"/>
      <w:bookmarkEnd w:id="1132"/>
      <w:bookmarkEnd w:id="1133"/>
      <w:r w:rsidRPr="00324B63">
        <w:t xml:space="preserve"> </w:t>
      </w:r>
    </w:p>
    <w:p w:rsidR="00F177EE" w:rsidRPr="00324B63" w:rsidRDefault="00F177EE" w:rsidP="004C2E87">
      <w:pPr>
        <w:pStyle w:val="ListParagraph"/>
        <w:spacing w:line="276" w:lineRule="auto"/>
        <w:jc w:val="both"/>
      </w:pPr>
      <w:r w:rsidRPr="00324B63">
        <w:t xml:space="preserve">3.1. Definēt nevienlīdzību mājokļa pieejamības jomā un to raksturojošos galvenos rādītājus atbilstoši ES apstiprinātajām definīcijām un indikatoriem. </w:t>
      </w:r>
    </w:p>
    <w:p w:rsidR="00F177EE" w:rsidRPr="00324B63" w:rsidRDefault="00F177EE" w:rsidP="004C2E87">
      <w:pPr>
        <w:pStyle w:val="ListParagraph"/>
        <w:spacing w:line="276" w:lineRule="auto"/>
        <w:jc w:val="both"/>
      </w:pPr>
      <w:r w:rsidRPr="00324B63">
        <w:t>3.2. Raksturot vispārējo situāciju mājokļa jomā (dzīvojamais fonds, mājokļu kvalitāte, īres cenas, ar mājokli saistīto pakalpojumu cenas u.c.), aprakstot galvenos izaicinājumus saistībā ar mājokļa un ar to saistīto pakalpojumu pieejamību.</w:t>
      </w:r>
    </w:p>
    <w:p w:rsidR="00F177EE" w:rsidRPr="00324B63" w:rsidRDefault="00F177EE" w:rsidP="004C2E87">
      <w:pPr>
        <w:rPr>
          <w:highlight w:val="yellow"/>
        </w:rPr>
      </w:pPr>
    </w:p>
    <w:p w:rsidR="00F177EE" w:rsidRDefault="00F177EE" w:rsidP="004C2E87">
      <w:r w:rsidRPr="00324B63">
        <w:t>Dokumentu analīzes mājokļa jomā rezultātā tik</w:t>
      </w:r>
      <w:r w:rsidR="00E70D96" w:rsidRPr="00324B63">
        <w:t>a</w:t>
      </w:r>
      <w:r w:rsidRPr="00324B63">
        <w:t xml:space="preserve"> identificēti galvenie nevienlīdzības mājokļa pieejamības jomā radītāji atbilstoši ES apstiprinātajām definīcijām un indikatoriem. Šī uzdevuma izpildē dokumentu analīze tik</w:t>
      </w:r>
      <w:r w:rsidR="00E70D96" w:rsidRPr="00324B63">
        <w:t>a</w:t>
      </w:r>
      <w:r w:rsidRPr="00324B63">
        <w:t xml:space="preserve"> kombinēta ar statistisko datu rādītāju aprakstošo analīzi. Iegūtie rādītāji un pazīmes tik</w:t>
      </w:r>
      <w:r w:rsidR="00E70D96" w:rsidRPr="00324B63">
        <w:t>a</w:t>
      </w:r>
      <w:r w:rsidRPr="00324B63">
        <w:t xml:space="preserve"> tālāk identificēti šīs jomas nacionālā līmeņa politikas plānošanas dokumentos (3.3. uzdevums), tālāk secīgi pētot, kuri no šiem rādītājiem ir aptverti jau konkrētos nacionālā un pašvaldību līmeņa tiesību aktos (3.4., 3.5.  uzdevumi). Visbeidzot noslēdzošais solis šajā analīzē </w:t>
      </w:r>
      <w:r w:rsidR="00E70D96" w:rsidRPr="00324B63">
        <w:t>bija</w:t>
      </w:r>
      <w:r w:rsidRPr="00324B63">
        <w:t xml:space="preserve"> identificēt, par kuriem no rādītājiem tiek vākti un apkopoti statistikas dati, t.sk.</w:t>
      </w:r>
      <w:r>
        <w:t xml:space="preserve"> novērtējot šo datu kvalitāti, lietderību un pielietojamību (3.6.-3.8. uzdevumi). </w:t>
      </w:r>
    </w:p>
    <w:p w:rsidR="00E70D96" w:rsidRDefault="00E70D96" w:rsidP="004C2E87">
      <w:pPr>
        <w:suppressAutoHyphens/>
        <w:autoSpaceDE w:val="0"/>
        <w:rPr>
          <w:color w:val="000000"/>
        </w:rPr>
      </w:pPr>
    </w:p>
    <w:p w:rsidR="00F177EE" w:rsidRDefault="00F177EE" w:rsidP="005A4E93">
      <w:pPr>
        <w:suppressAutoHyphens/>
        <w:autoSpaceDE w:val="0"/>
        <w:rPr>
          <w:color w:val="000000"/>
        </w:rPr>
      </w:pPr>
      <w:r>
        <w:rPr>
          <w:color w:val="000000"/>
        </w:rPr>
        <w:t>Dokumentu analīzes mājokļa jomā izpild</w:t>
      </w:r>
      <w:r w:rsidR="005A4E93">
        <w:rPr>
          <w:color w:val="000000"/>
        </w:rPr>
        <w:t xml:space="preserve">ē analizētie dokumenti ir iekļauti Izvērtējuma izmantotās literatūras un informācijas avotu sarakstā. </w:t>
      </w:r>
      <w:r>
        <w:rPr>
          <w:color w:val="000000"/>
        </w:rPr>
        <w:t>Dokumentu analīzes metode tik</w:t>
      </w:r>
      <w:r w:rsidR="00E70D96">
        <w:rPr>
          <w:color w:val="000000"/>
        </w:rPr>
        <w:t>a</w:t>
      </w:r>
      <w:r>
        <w:rPr>
          <w:color w:val="000000"/>
        </w:rPr>
        <w:t xml:space="preserve"> papildināta ar ekspertu intervijām, kuru mērķis </w:t>
      </w:r>
      <w:r w:rsidR="00E70D96">
        <w:rPr>
          <w:color w:val="000000"/>
        </w:rPr>
        <w:t>bija</w:t>
      </w:r>
      <w:r>
        <w:rPr>
          <w:color w:val="000000"/>
        </w:rPr>
        <w:t>, pirmkārt, iegūt padziļinātu izpratni un komentārus par dokumentu analīzes rezultātā identificēto situācijas raksturojumu</w:t>
      </w:r>
      <w:r w:rsidR="00E70D96">
        <w:rPr>
          <w:color w:val="000000"/>
        </w:rPr>
        <w:t xml:space="preserve"> un mājokļa pieejamības nevienlīdzības rādītājiem</w:t>
      </w:r>
      <w:r>
        <w:rPr>
          <w:color w:val="000000"/>
        </w:rPr>
        <w:t xml:space="preserve">, otrkārt, iegūt ieteikumus par papildu informācijas avotiem (pētījumiem, prezentācijām, darba grupu materiāliem u.tml.). Ekspertu interviju vadlīnijas skat. </w:t>
      </w:r>
      <w:r w:rsidR="00A36A64">
        <w:rPr>
          <w:color w:val="000000"/>
        </w:rPr>
        <w:t>3</w:t>
      </w:r>
      <w:r>
        <w:rPr>
          <w:color w:val="000000"/>
        </w:rPr>
        <w:t>. pielikumā.</w:t>
      </w:r>
    </w:p>
    <w:p w:rsidR="00F177EE" w:rsidRPr="00CE5272" w:rsidRDefault="00F177EE" w:rsidP="005A207F">
      <w:pPr>
        <w:pStyle w:val="virsrakstslvl3"/>
      </w:pPr>
      <w:bookmarkStart w:id="1134" w:name="_Toc528761677"/>
      <w:bookmarkStart w:id="1135" w:name="_Toc528762840"/>
      <w:bookmarkStart w:id="1136" w:name="_Toc528768898"/>
      <w:bookmarkStart w:id="1137" w:name="_Toc528847625"/>
      <w:bookmarkStart w:id="1138" w:name="_Toc528930609"/>
      <w:bookmarkStart w:id="1139" w:name="_Toc529170557"/>
      <w:bookmarkStart w:id="1140" w:name="_Toc529176280"/>
      <w:bookmarkStart w:id="1141" w:name="_Toc529180108"/>
      <w:bookmarkStart w:id="1142" w:name="_Toc529180353"/>
      <w:bookmarkStart w:id="1143" w:name="_Toc531694128"/>
      <w:bookmarkStart w:id="1144" w:name="_Toc531856233"/>
      <w:bookmarkStart w:id="1145" w:name="_Toc531860022"/>
      <w:bookmarkStart w:id="1146" w:name="_Toc535738808"/>
      <w:bookmarkStart w:id="1147" w:name="_Toc535741806"/>
      <w:bookmarkStart w:id="1148" w:name="_Toc535742159"/>
      <w:bookmarkStart w:id="1149" w:name="_Toc535916142"/>
      <w:bookmarkStart w:id="1150" w:name="_Toc535922794"/>
      <w:bookmarkStart w:id="1151" w:name="_Toc535935097"/>
      <w:bookmarkStart w:id="1152" w:name="_Toc788709"/>
      <w:bookmarkStart w:id="1153" w:name="_Toc868889"/>
      <w:r w:rsidRPr="00372A76">
        <w:lastRenderedPageBreak/>
        <w:t>Normatīvā regulējuma un politikas plānošanas dokumentu atlases un analīzes kritēriji mājokļa jomā</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rsidR="00F177EE" w:rsidRPr="00B87378" w:rsidRDefault="00F177EE" w:rsidP="00E10DA4">
      <w:pPr>
        <w:pStyle w:val="under"/>
      </w:pPr>
      <w:bookmarkStart w:id="1154" w:name="_Toc2761171"/>
      <w:bookmarkStart w:id="1155" w:name="_Toc2848278"/>
      <w:bookmarkStart w:id="1156" w:name="_Toc6219338"/>
      <w:bookmarkStart w:id="1157" w:name="_Toc6220281"/>
      <w:bookmarkStart w:id="1158" w:name="_Toc6841709"/>
      <w:r w:rsidRPr="00B87378">
        <w:t>Uzdevumi:</w:t>
      </w:r>
      <w:bookmarkEnd w:id="1154"/>
      <w:bookmarkEnd w:id="1155"/>
      <w:bookmarkEnd w:id="1156"/>
      <w:bookmarkEnd w:id="1157"/>
      <w:bookmarkEnd w:id="1158"/>
      <w:r w:rsidRPr="00B87378">
        <w:t xml:space="preserve"> </w:t>
      </w:r>
    </w:p>
    <w:p w:rsidR="00F177EE" w:rsidRPr="00D27DCA" w:rsidRDefault="00F177EE" w:rsidP="00E70D96">
      <w:pPr>
        <w:pStyle w:val="ListParagraph"/>
        <w:spacing w:line="276" w:lineRule="auto"/>
        <w:jc w:val="both"/>
      </w:pPr>
      <w:r w:rsidRPr="00D27DCA">
        <w:t>3.3. Identificēt politikas plānošanas dokumentos konstatētos ierobežojumus un trūkumus saistībā ar mājokļa pieejamību mērķa grupām un plānotos pasākumus konstatēto problēmu mazināšanai un/vai novēršanai</w:t>
      </w:r>
    </w:p>
    <w:p w:rsidR="00F177EE" w:rsidRPr="00D27DCA" w:rsidRDefault="00F177EE" w:rsidP="00E70D96">
      <w:pPr>
        <w:pStyle w:val="ListParagraph"/>
        <w:spacing w:line="276" w:lineRule="auto"/>
        <w:jc w:val="both"/>
      </w:pPr>
      <w:r w:rsidRPr="00D27DCA">
        <w:t xml:space="preserve">3.4. Aprakstīt tiesisko regulējumu saistībā ar valsts atbalstu mājokļa jautājumos un atbalsta saņēmēju mērķa grupām. </w:t>
      </w:r>
    </w:p>
    <w:p w:rsidR="00F177EE" w:rsidRDefault="00F177EE" w:rsidP="00F177EE"/>
    <w:p w:rsidR="00F177EE" w:rsidRDefault="00F177EE" w:rsidP="00F177EE">
      <w:r>
        <w:t xml:space="preserve">Politikas plānošanas dokumentu un normatīvo aktu </w:t>
      </w:r>
      <w:r w:rsidRPr="00AD3170">
        <w:t>atlase</w:t>
      </w:r>
      <w:r>
        <w:t xml:space="preserve"> un analīze</w:t>
      </w:r>
      <w:r w:rsidRPr="00AD3170">
        <w:t xml:space="preserve"> </w:t>
      </w:r>
      <w:r>
        <w:t xml:space="preserve">mājokļa </w:t>
      </w:r>
      <w:r w:rsidRPr="00AD3170">
        <w:t>jomā</w:t>
      </w:r>
      <w:r w:rsidRPr="0054539D">
        <w:t xml:space="preserve"> </w:t>
      </w:r>
      <w:r>
        <w:t>tik</w:t>
      </w:r>
      <w:r w:rsidR="00A708D6">
        <w:t>a</w:t>
      </w:r>
      <w:r>
        <w:t xml:space="preserve"> īstenota secīgos soļos:</w:t>
      </w:r>
    </w:p>
    <w:p w:rsidR="00F177EE" w:rsidRPr="0001242D" w:rsidRDefault="00F177EE" w:rsidP="00586F05">
      <w:pPr>
        <w:pStyle w:val="ListParagraph"/>
        <w:numPr>
          <w:ilvl w:val="0"/>
          <w:numId w:val="47"/>
        </w:numPr>
        <w:suppressAutoHyphens/>
        <w:autoSpaceDE w:val="0"/>
        <w:spacing w:line="276" w:lineRule="auto"/>
        <w:ind w:left="0" w:firstLine="360"/>
        <w:jc w:val="both"/>
      </w:pPr>
      <w:r w:rsidRPr="0001242D">
        <w:t>Tik</w:t>
      </w:r>
      <w:r w:rsidR="00A708D6">
        <w:t>a</w:t>
      </w:r>
      <w:r w:rsidRPr="0001242D">
        <w:t xml:space="preserve"> veikta politikas </w:t>
      </w:r>
      <w:r w:rsidRPr="009C5C9E">
        <w:rPr>
          <w:u w:val="single"/>
        </w:rPr>
        <w:t xml:space="preserve">plānošanas dokumentu </w:t>
      </w:r>
      <w:r>
        <w:rPr>
          <w:u w:val="single"/>
        </w:rPr>
        <w:t>mājokļa</w:t>
      </w:r>
      <w:r w:rsidRPr="009C5C9E">
        <w:rPr>
          <w:u w:val="single"/>
        </w:rPr>
        <w:t xml:space="preserve"> jomā atlase un sistematizēšana</w:t>
      </w:r>
      <w:r w:rsidRPr="0001242D">
        <w:t xml:space="preserve"> vienotā datnē.</w:t>
      </w:r>
      <w:r>
        <w:t xml:space="preserve"> Atlases mērķiem kā sākotnējais datu avots tik</w:t>
      </w:r>
      <w:r w:rsidR="00A708D6">
        <w:t>a</w:t>
      </w:r>
      <w:r>
        <w:t xml:space="preserve"> izmantota Ekonomikas ministrijas (EM) interneta vietne</w:t>
      </w:r>
      <w:r>
        <w:rPr>
          <w:rStyle w:val="FootnoteReference"/>
        </w:rPr>
        <w:footnoteReference w:id="381"/>
      </w:r>
      <w:r>
        <w:t>, kurā attīstības plānošanas dokumenti ir pieejami strukturētā veidā. Papildus tik</w:t>
      </w:r>
      <w:r w:rsidR="00A708D6">
        <w:t>a</w:t>
      </w:r>
      <w:r>
        <w:t xml:space="preserve"> izmantota arī politikas plānošanas dokumentu datu bāzes POLSIS un vortāls </w:t>
      </w:r>
      <w:hyperlink r:id="rId358" w:history="1">
        <w:r w:rsidRPr="004D62A5">
          <w:rPr>
            <w:rStyle w:val="Hyperlink"/>
          </w:rPr>
          <w:t>www.likumi.lv</w:t>
        </w:r>
      </w:hyperlink>
      <w:r>
        <w:t xml:space="preserve">. </w:t>
      </w:r>
    </w:p>
    <w:p w:rsidR="00F177EE" w:rsidRPr="0001242D" w:rsidRDefault="00F177EE" w:rsidP="00586F05">
      <w:pPr>
        <w:pStyle w:val="ListParagraph"/>
        <w:numPr>
          <w:ilvl w:val="0"/>
          <w:numId w:val="47"/>
        </w:numPr>
        <w:suppressAutoHyphens/>
        <w:autoSpaceDE w:val="0"/>
        <w:spacing w:line="276" w:lineRule="auto"/>
        <w:jc w:val="both"/>
      </w:pPr>
      <w:r w:rsidRPr="0001242D">
        <w:t>Tik</w:t>
      </w:r>
      <w:r w:rsidR="00A708D6">
        <w:t>a</w:t>
      </w:r>
      <w:r w:rsidRPr="0001242D">
        <w:t xml:space="preserve"> veikta secīga </w:t>
      </w:r>
      <w:r w:rsidRPr="00372A76">
        <w:rPr>
          <w:u w:val="single"/>
        </w:rPr>
        <w:t>politikas plānošanas dokumentu mājokļa jomā analīze</w:t>
      </w:r>
      <w:r w:rsidRPr="0001242D">
        <w:t>, lai identificētu:</w:t>
      </w:r>
    </w:p>
    <w:p w:rsidR="00F177EE" w:rsidRPr="0001242D" w:rsidRDefault="00F177EE" w:rsidP="00D03DA0">
      <w:pPr>
        <w:pStyle w:val="ListParagraph"/>
        <w:numPr>
          <w:ilvl w:val="0"/>
          <w:numId w:val="32"/>
        </w:numPr>
        <w:suppressAutoHyphens/>
        <w:autoSpaceDE w:val="0"/>
        <w:spacing w:line="276" w:lineRule="auto"/>
        <w:jc w:val="both"/>
      </w:pPr>
      <w:r w:rsidRPr="0001242D">
        <w:t xml:space="preserve">ierobežojumus un trūkumus saistībā ar </w:t>
      </w:r>
      <w:r>
        <w:t>mājokļa</w:t>
      </w:r>
      <w:r w:rsidRPr="0001242D">
        <w:t xml:space="preserve"> pieejamību mērķa grupām;</w:t>
      </w:r>
    </w:p>
    <w:p w:rsidR="00F177EE" w:rsidRDefault="00F177EE" w:rsidP="00D03DA0">
      <w:pPr>
        <w:pStyle w:val="ListParagraph"/>
        <w:numPr>
          <w:ilvl w:val="0"/>
          <w:numId w:val="32"/>
        </w:numPr>
        <w:suppressAutoHyphens/>
        <w:autoSpaceDE w:val="0"/>
        <w:spacing w:line="276" w:lineRule="auto"/>
        <w:jc w:val="both"/>
      </w:pPr>
      <w:r w:rsidRPr="0001242D">
        <w:t>dokumentos plānotos pasākumus konstatēto problēmu mazināšanai un/vai novēršanai</w:t>
      </w:r>
      <w:r>
        <w:t>.</w:t>
      </w:r>
    </w:p>
    <w:p w:rsidR="00F177EE" w:rsidRDefault="00F177EE" w:rsidP="00A708D6">
      <w:pPr>
        <w:suppressAutoHyphens/>
        <w:autoSpaceDE w:val="0"/>
        <w:rPr>
          <w:color w:val="000000"/>
        </w:rPr>
      </w:pPr>
      <w:r>
        <w:t>Politikas plānošanas dokumentu analīzes rezultāti papildin</w:t>
      </w:r>
      <w:r w:rsidR="00A708D6">
        <w:t>a</w:t>
      </w:r>
      <w:r>
        <w:t xml:space="preserve"> statistiskās datu analīzes rezultātus, veicot mērķa grupu situācijas analīzi mājokļa jomā. </w:t>
      </w:r>
    </w:p>
    <w:p w:rsidR="00F177EE" w:rsidRPr="005843E6" w:rsidRDefault="00F177EE" w:rsidP="00586F05">
      <w:pPr>
        <w:pStyle w:val="ListParagraph"/>
        <w:numPr>
          <w:ilvl w:val="0"/>
          <w:numId w:val="47"/>
        </w:numPr>
        <w:suppressAutoHyphens/>
        <w:autoSpaceDE w:val="0"/>
        <w:spacing w:line="276" w:lineRule="auto"/>
        <w:ind w:left="0" w:firstLine="360"/>
        <w:jc w:val="both"/>
      </w:pPr>
      <w:r>
        <w:t>T</w:t>
      </w:r>
      <w:r w:rsidRPr="0054539D">
        <w:t>ik</w:t>
      </w:r>
      <w:r w:rsidR="00A708D6">
        <w:t>a</w:t>
      </w:r>
      <w:r w:rsidRPr="0054539D">
        <w:t xml:space="preserve"> veikta</w:t>
      </w:r>
      <w:r>
        <w:t xml:space="preserve"> </w:t>
      </w:r>
      <w:r w:rsidRPr="002E7DD6">
        <w:rPr>
          <w:u w:val="single"/>
        </w:rPr>
        <w:t>normatīvo aktu atlase</w:t>
      </w:r>
      <w:r>
        <w:t xml:space="preserve"> – </w:t>
      </w:r>
      <w:r w:rsidRPr="0054539D">
        <w:t xml:space="preserve">identificēti </w:t>
      </w:r>
      <w:r>
        <w:t>normatīvie</w:t>
      </w:r>
      <w:r w:rsidRPr="0054539D">
        <w:t xml:space="preserve"> akti, kas </w:t>
      </w:r>
      <w:r w:rsidRPr="004D7A12">
        <w:t xml:space="preserve">regulē </w:t>
      </w:r>
      <w:r>
        <w:t>mājokļu politikas nozari (izveidots dokumentu saraksts). Normatīvo aktu atlase tik</w:t>
      </w:r>
      <w:r w:rsidR="00A708D6">
        <w:t>a</w:t>
      </w:r>
      <w:r>
        <w:t xml:space="preserve"> veikta, izmantojot EM interneta </w:t>
      </w:r>
      <w:r w:rsidRPr="005843E6">
        <w:t>vietni, kurā šīs jomas normatīvie akti ir pieejami strukturētā veidā</w:t>
      </w:r>
      <w:r w:rsidRPr="005843E6">
        <w:rPr>
          <w:rStyle w:val="FootnoteReference"/>
        </w:rPr>
        <w:footnoteReference w:id="382"/>
      </w:r>
      <w:r w:rsidRPr="005843E6">
        <w:t xml:space="preserve">. Identificētie normatīvie akti saraksta veidā </w:t>
      </w:r>
      <w:r w:rsidR="00A708D6" w:rsidRPr="005843E6">
        <w:t>ir</w:t>
      </w:r>
      <w:r w:rsidRPr="005843E6">
        <w:t xml:space="preserve"> iekļauti </w:t>
      </w:r>
      <w:r w:rsidR="005843E6" w:rsidRPr="005843E6">
        <w:t>Izvērtējuma 3.2. nodaļā.</w:t>
      </w:r>
    </w:p>
    <w:p w:rsidR="00F177EE" w:rsidRPr="00645457" w:rsidRDefault="00F177EE" w:rsidP="00586F05">
      <w:pPr>
        <w:pStyle w:val="ListParagraph"/>
        <w:numPr>
          <w:ilvl w:val="0"/>
          <w:numId w:val="47"/>
        </w:numPr>
        <w:suppressAutoHyphens/>
        <w:autoSpaceDE w:val="0"/>
        <w:spacing w:line="276" w:lineRule="auto"/>
        <w:ind w:left="0" w:firstLine="360"/>
        <w:jc w:val="both"/>
      </w:pPr>
      <w:r w:rsidRPr="00645457">
        <w:t>Tik</w:t>
      </w:r>
      <w:r w:rsidR="00A708D6" w:rsidRPr="00645457">
        <w:t>a</w:t>
      </w:r>
      <w:r w:rsidRPr="00645457">
        <w:t xml:space="preserve"> veikta secīga atlasīto </w:t>
      </w:r>
      <w:r w:rsidRPr="00645457">
        <w:rPr>
          <w:u w:val="single"/>
        </w:rPr>
        <w:t>nacionālā līmeņa normatīvo aktu analīze</w:t>
      </w:r>
      <w:r w:rsidRPr="00645457">
        <w:t xml:space="preserve"> ar mērķi sagatavot aprakstu par tiesisko regulējumu saistībā ar </w:t>
      </w:r>
      <w:r w:rsidRPr="00645457">
        <w:rPr>
          <w:u w:val="single"/>
        </w:rPr>
        <w:t>valsts atbalstu mājokļa jomā un atbalsta saņēmēju mērķa grupām</w:t>
      </w:r>
      <w:r w:rsidRPr="00645457">
        <w:t>. Šim nolūkam analīze tik</w:t>
      </w:r>
      <w:r w:rsidR="00A708D6" w:rsidRPr="00645457">
        <w:t>a</w:t>
      </w:r>
      <w:r w:rsidRPr="00645457">
        <w:t xml:space="preserve"> veikta pēc šādiem galvenajiem rādītājiem/ kritērijiem:  </w:t>
      </w:r>
    </w:p>
    <w:p w:rsidR="00F177EE" w:rsidRPr="00645457" w:rsidRDefault="00F177EE" w:rsidP="005C07F3">
      <w:pPr>
        <w:pStyle w:val="ListParagraph"/>
        <w:numPr>
          <w:ilvl w:val="0"/>
          <w:numId w:val="30"/>
        </w:numPr>
        <w:suppressAutoHyphens/>
        <w:autoSpaceDE w:val="0"/>
        <w:spacing w:line="276" w:lineRule="auto"/>
        <w:jc w:val="both"/>
      </w:pPr>
      <w:r w:rsidRPr="00645457">
        <w:t>tiesību aktā noteiktie atbalsta pasākumi;</w:t>
      </w:r>
    </w:p>
    <w:p w:rsidR="00F177EE" w:rsidRPr="00645457" w:rsidRDefault="00F177EE" w:rsidP="005C07F3">
      <w:pPr>
        <w:pStyle w:val="ListParagraph"/>
        <w:numPr>
          <w:ilvl w:val="0"/>
          <w:numId w:val="30"/>
        </w:numPr>
        <w:suppressAutoHyphens/>
        <w:autoSpaceDE w:val="0"/>
        <w:spacing w:line="276" w:lineRule="auto"/>
        <w:jc w:val="both"/>
      </w:pPr>
      <w:r w:rsidRPr="00645457">
        <w:t>mērķa grupas – iedzīvotāju grupas, kurām tiesību aktu normas paredz atbalstu mājokļa jomā;</w:t>
      </w:r>
    </w:p>
    <w:p w:rsidR="00F177EE" w:rsidRPr="00645457" w:rsidRDefault="00F177EE" w:rsidP="005C07F3">
      <w:pPr>
        <w:pStyle w:val="ListParagraph"/>
        <w:numPr>
          <w:ilvl w:val="0"/>
          <w:numId w:val="30"/>
        </w:numPr>
        <w:suppressAutoHyphens/>
        <w:autoSpaceDE w:val="0"/>
        <w:spacing w:line="276" w:lineRule="auto"/>
        <w:jc w:val="both"/>
      </w:pPr>
      <w:r w:rsidRPr="00645457">
        <w:t>ir/nav mērķēts atbalsts iedzīvotāju grupām ar augstākiem nabadzības riskiem;</w:t>
      </w:r>
    </w:p>
    <w:p w:rsidR="00F177EE" w:rsidRPr="00645457" w:rsidRDefault="00F177EE" w:rsidP="005C07F3">
      <w:pPr>
        <w:pStyle w:val="ListParagraph"/>
        <w:numPr>
          <w:ilvl w:val="0"/>
          <w:numId w:val="30"/>
        </w:numPr>
        <w:suppressAutoHyphens/>
        <w:autoSpaceDE w:val="0"/>
        <w:spacing w:line="276" w:lineRule="auto"/>
        <w:jc w:val="both"/>
      </w:pPr>
      <w:r w:rsidRPr="00645457">
        <w:t>mērķētā atbalsta veids iedzīvotāju grupām ar augstākiem nabadzības riskiem.</w:t>
      </w:r>
    </w:p>
    <w:p w:rsidR="00F177EE" w:rsidRDefault="00F177EE" w:rsidP="00F177EE">
      <w:pPr>
        <w:suppressAutoHyphens/>
        <w:autoSpaceDE w:val="0"/>
      </w:pPr>
      <w:r w:rsidRPr="005843E6">
        <w:t>Papildus normatīvajam aktiem kā datu avots tik</w:t>
      </w:r>
      <w:r w:rsidR="00B358A2" w:rsidRPr="005843E6">
        <w:t>a</w:t>
      </w:r>
      <w:r w:rsidRPr="005843E6">
        <w:t xml:space="preserve"> izmantotas arī šo tiesību aktu projektu anotācijas, kurās atrodama padziļināta informācija par konkrēto atbalsta pasākumu ieviešanas pamatojumu un plānoto ietekmi uz konkrētām mērķa grupām. Šīs zināšanas </w:t>
      </w:r>
      <w:r w:rsidR="00B358A2" w:rsidRPr="005843E6">
        <w:t>tika izmantotas</w:t>
      </w:r>
      <w:r w:rsidRPr="005843E6">
        <w:t>, lai kombinācijā ar statistisko datu analīzi noteiktu, vai un cik lielā mērā ieviestie atbalsta pasākumi ietekmē mērķa grupu situāciju mājokļa jomā.</w:t>
      </w:r>
      <w:r>
        <w:t xml:space="preserve"> </w:t>
      </w:r>
    </w:p>
    <w:p w:rsidR="00150700" w:rsidRDefault="00150700">
      <w:pPr>
        <w:spacing w:line="240" w:lineRule="auto"/>
        <w:jc w:val="left"/>
        <w:rPr>
          <w:rFonts w:asciiTheme="majorHAnsi" w:eastAsiaTheme="majorEastAsia" w:hAnsiTheme="majorHAnsi" w:cstheme="majorBidi"/>
          <w:b/>
          <w:bCs/>
          <w:i/>
          <w:color w:val="002060"/>
        </w:rPr>
      </w:pPr>
      <w:bookmarkStart w:id="1159" w:name="_Toc528761678"/>
      <w:bookmarkStart w:id="1160" w:name="_Toc528762841"/>
      <w:bookmarkStart w:id="1161" w:name="_Toc528768899"/>
      <w:bookmarkStart w:id="1162" w:name="_Toc528847626"/>
      <w:bookmarkStart w:id="1163" w:name="_Toc528930610"/>
      <w:bookmarkStart w:id="1164" w:name="_Toc529170558"/>
      <w:bookmarkStart w:id="1165" w:name="_Toc529176281"/>
      <w:bookmarkStart w:id="1166" w:name="_Toc529180109"/>
      <w:bookmarkStart w:id="1167" w:name="_Toc529180354"/>
      <w:bookmarkStart w:id="1168" w:name="_Toc531694129"/>
      <w:bookmarkStart w:id="1169" w:name="_Toc531856234"/>
      <w:bookmarkStart w:id="1170" w:name="_Toc531860023"/>
      <w:bookmarkStart w:id="1171" w:name="_Toc535738809"/>
      <w:bookmarkStart w:id="1172" w:name="_Toc535741807"/>
      <w:bookmarkStart w:id="1173" w:name="_Toc535742160"/>
      <w:bookmarkStart w:id="1174" w:name="_Toc535916143"/>
      <w:bookmarkStart w:id="1175" w:name="_Toc535922795"/>
      <w:bookmarkStart w:id="1176" w:name="_Toc535935098"/>
      <w:bookmarkStart w:id="1177" w:name="_Toc788710"/>
      <w:bookmarkStart w:id="1178" w:name="_Toc868890"/>
      <w:bookmarkStart w:id="1179" w:name="_Toc2761172"/>
      <w:bookmarkStart w:id="1180" w:name="_Toc2848279"/>
      <w:r>
        <w:br w:type="page"/>
      </w:r>
    </w:p>
    <w:p w:rsidR="00F177EE" w:rsidRPr="00B87378" w:rsidRDefault="00F177EE" w:rsidP="00E10DA4">
      <w:pPr>
        <w:pStyle w:val="virsrakstslvl4"/>
      </w:pPr>
      <w:bookmarkStart w:id="1181" w:name="_Toc6219339"/>
      <w:bookmarkStart w:id="1182" w:name="_Toc6220282"/>
      <w:bookmarkStart w:id="1183" w:name="_Toc6841710"/>
      <w:r w:rsidRPr="00B87378">
        <w:lastRenderedPageBreak/>
        <w:t>Pašvaldību saistošo noteikumu atlases un analīzes kritēriji mājokļa jomā</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p>
    <w:p w:rsidR="00F177EE" w:rsidRPr="00B87378" w:rsidRDefault="00F177EE" w:rsidP="00E10DA4">
      <w:pPr>
        <w:pStyle w:val="under"/>
      </w:pPr>
      <w:bookmarkStart w:id="1184" w:name="_Toc2761173"/>
      <w:bookmarkStart w:id="1185" w:name="_Toc2848280"/>
      <w:bookmarkStart w:id="1186" w:name="_Toc6219340"/>
      <w:bookmarkStart w:id="1187" w:name="_Toc6220283"/>
      <w:bookmarkStart w:id="1188" w:name="_Toc6841711"/>
      <w:r w:rsidRPr="007432E7">
        <w:t>Uzdevums</w:t>
      </w:r>
      <w:r w:rsidRPr="00B87378">
        <w:t>:</w:t>
      </w:r>
      <w:bookmarkEnd w:id="1184"/>
      <w:bookmarkEnd w:id="1185"/>
      <w:bookmarkEnd w:id="1186"/>
      <w:bookmarkEnd w:id="1187"/>
      <w:bookmarkEnd w:id="1188"/>
      <w:r w:rsidRPr="00B87378">
        <w:t xml:space="preserve"> </w:t>
      </w:r>
    </w:p>
    <w:p w:rsidR="00F177EE" w:rsidRPr="002442C0" w:rsidRDefault="00F177EE" w:rsidP="00B358A2">
      <w:pPr>
        <w:pStyle w:val="ListParagraph"/>
        <w:spacing w:line="276" w:lineRule="auto"/>
        <w:jc w:val="both"/>
      </w:pPr>
      <w:r>
        <w:t xml:space="preserve">3.5. </w:t>
      </w:r>
      <w:r w:rsidR="00B358A2">
        <w:t>A</w:t>
      </w:r>
      <w:r>
        <w:t xml:space="preserve">prakstīt tiesisko regulējumu saistībā ar </w:t>
      </w:r>
      <w:r w:rsidRPr="009D1AF4">
        <w:t>pašvaldību</w:t>
      </w:r>
      <w:r>
        <w:t xml:space="preserve"> atbalstu mājokļa jautājumos un atbalsta saņēmēju mērķa grupām </w:t>
      </w:r>
      <w:r w:rsidRPr="00CC0D3C">
        <w:rPr>
          <w:color w:val="000000"/>
        </w:rPr>
        <w:t>(TS 3.</w:t>
      </w:r>
      <w:r>
        <w:rPr>
          <w:color w:val="000000"/>
        </w:rPr>
        <w:t>9</w:t>
      </w:r>
      <w:r w:rsidRPr="00CC0D3C">
        <w:rPr>
          <w:color w:val="000000"/>
        </w:rPr>
        <w:t>.1.1.</w:t>
      </w:r>
      <w:r>
        <w:rPr>
          <w:color w:val="000000"/>
        </w:rPr>
        <w:t>3</w:t>
      </w:r>
      <w:r w:rsidRPr="00CC0D3C">
        <w:rPr>
          <w:color w:val="000000"/>
        </w:rPr>
        <w:t>. punkts)</w:t>
      </w:r>
      <w:r>
        <w:t xml:space="preserve">. </w:t>
      </w:r>
    </w:p>
    <w:p w:rsidR="00F177EE" w:rsidRDefault="00F177EE" w:rsidP="00F177EE"/>
    <w:p w:rsidR="00F177EE" w:rsidRPr="004704B0" w:rsidRDefault="00F177EE" w:rsidP="00F177EE">
      <w:r>
        <w:t xml:space="preserve">Tiesiskais regulējums saistībā ar pašvaldību atbalstu mājokļa jautājumos ir </w:t>
      </w:r>
      <w:r w:rsidRPr="00B2176A">
        <w:rPr>
          <w:u w:val="single"/>
        </w:rPr>
        <w:t>pašvaldību saistošie noteikumi un to grozījumi</w:t>
      </w:r>
      <w:r w:rsidRPr="000003F9">
        <w:t xml:space="preserve">. </w:t>
      </w:r>
      <w:r>
        <w:t xml:space="preserve">Dokumenta atbilstību mājokļa pieejamības jomai nosakāma atbilstoši mājokļa jomas, mājokļa pieejamības, mājokļa pieejamības no izdevumu viedokļa un </w:t>
      </w:r>
      <w:r w:rsidRPr="000003F9">
        <w:t>mājokļa pakalpojumu, materiālu un infrastruktūras pieejamības terminu skaidrojuma</w:t>
      </w:r>
      <w:r>
        <w:t>m Izvērtējuma kontekstā</w:t>
      </w:r>
      <w:r w:rsidRPr="000003F9">
        <w:t xml:space="preserve"> (sk. „Jēdzienu un terminu skaidrojums”). </w:t>
      </w:r>
    </w:p>
    <w:p w:rsidR="00F177EE" w:rsidRDefault="00F177EE" w:rsidP="00F177EE"/>
    <w:p w:rsidR="00F177EE" w:rsidRDefault="00F177EE" w:rsidP="00F177EE">
      <w:r>
        <w:t xml:space="preserve">Pašvaldību dokumentu analīze mājokļu pieejamības jomā </w:t>
      </w:r>
      <w:r w:rsidR="00B358A2">
        <w:t>tika īstenota</w:t>
      </w:r>
      <w:r>
        <w:t xml:space="preserve"> šādos secīgos soļos:</w:t>
      </w:r>
    </w:p>
    <w:p w:rsidR="00F177EE" w:rsidRDefault="00F177EE" w:rsidP="005C07F3">
      <w:pPr>
        <w:pStyle w:val="ListParagraph"/>
        <w:numPr>
          <w:ilvl w:val="0"/>
          <w:numId w:val="3"/>
        </w:numPr>
        <w:spacing w:line="276" w:lineRule="auto"/>
        <w:ind w:left="0" w:firstLine="349"/>
        <w:jc w:val="both"/>
      </w:pPr>
      <w:r>
        <w:t xml:space="preserve">Pašvaldības mājas lapā </w:t>
      </w:r>
      <w:r w:rsidR="00B358A2">
        <w:t>tika atrasta</w:t>
      </w:r>
      <w:r>
        <w:t xml:space="preserve"> sadaļ</w:t>
      </w:r>
      <w:r w:rsidR="00B358A2">
        <w:t>a</w:t>
      </w:r>
      <w:r>
        <w:t xml:space="preserve"> „Dokumenti” („Normatīvie dokumenti”). Dokumenti var būt strukturēti pēc jomām (piemēram, izglītība, kultūra, sociālā palīdzība u.c.), pēc gadiem (piemēram, 2017., 2016., 2015. un senāki), pēc atslēgas vārdiem, kas saistīti ar mājokļu jomu. </w:t>
      </w:r>
    </w:p>
    <w:p w:rsidR="00F177EE" w:rsidRDefault="00F177EE" w:rsidP="005C07F3">
      <w:pPr>
        <w:pStyle w:val="ListParagraph"/>
        <w:numPr>
          <w:ilvl w:val="0"/>
          <w:numId w:val="3"/>
        </w:numPr>
        <w:spacing w:line="276" w:lineRule="auto"/>
        <w:ind w:left="0" w:firstLine="349"/>
        <w:jc w:val="both"/>
      </w:pPr>
      <w:r>
        <w:t>Dokumentu primār</w:t>
      </w:r>
      <w:r w:rsidR="00B358A2">
        <w:t>ā</w:t>
      </w:r>
      <w:r>
        <w:t xml:space="preserve"> atlas</w:t>
      </w:r>
      <w:r w:rsidR="00B358A2">
        <w:t>e</w:t>
      </w:r>
      <w:r>
        <w:t xml:space="preserve"> </w:t>
      </w:r>
      <w:r w:rsidR="00B358A2">
        <w:t xml:space="preserve">tika </w:t>
      </w:r>
      <w:r>
        <w:t>veikt</w:t>
      </w:r>
      <w:r w:rsidR="00B358A2">
        <w:t>a</w:t>
      </w:r>
      <w:r>
        <w:t xml:space="preserve"> pēc tā nosaukumā ietvertajiem atslēgas vārdiem (mājoklis, dzīvoklis, dzīvojamā telpa, nekustamais īpašums, materiālā palīdzība (atbilstoši TS 3.9. punktā minētajām grupām).  </w:t>
      </w:r>
    </w:p>
    <w:p w:rsidR="00F177EE" w:rsidRDefault="00B358A2" w:rsidP="005C07F3">
      <w:pPr>
        <w:pStyle w:val="ListParagraph"/>
        <w:numPr>
          <w:ilvl w:val="0"/>
          <w:numId w:val="3"/>
        </w:numPr>
        <w:spacing w:line="276" w:lineRule="auto"/>
        <w:ind w:left="0" w:firstLine="349"/>
        <w:jc w:val="both"/>
      </w:pPr>
      <w:r>
        <w:t>Tika identificētas a</w:t>
      </w:r>
      <w:r w:rsidR="00F177EE">
        <w:t xml:space="preserve">tbalsta saņēmēju mērķa grupas – visas grupas, kuras ir </w:t>
      </w:r>
      <w:r>
        <w:t>norādītas</w:t>
      </w:r>
      <w:r w:rsidR="00F177EE">
        <w:t xml:space="preserve"> pašvaldību saistošajos noteikumos kā konkrēto atvieglojumu saņēmēju grupas neatkarīgi no TS 3.9. punktā minētajām grupām. At</w:t>
      </w:r>
      <w:r>
        <w:t>tiecībā uz  mērķa grupas pazīmi Izvērtējuma autori</w:t>
      </w:r>
      <w:r w:rsidR="00F177EE">
        <w:t xml:space="preserve"> </w:t>
      </w:r>
      <w:r>
        <w:t>iepazinās</w:t>
      </w:r>
      <w:r w:rsidR="00F177EE">
        <w:t xml:space="preserve"> arī ar tiem dokumentiem, kuru nosaukumā ir minēta kāda no TS 3.9. punktā minētajām grupām, lai pārbaudītu, vai dokuments ietver informāciju par atvieglojumiem/ atbalstu mājokļa jomā (piemēram, dokumenta </w:t>
      </w:r>
      <w:r w:rsidR="00F177EE" w:rsidRPr="004704B0">
        <w:t xml:space="preserve">nosaukums </w:t>
      </w:r>
      <w:r w:rsidR="00F177EE" w:rsidRPr="004704B0">
        <w:rPr>
          <w:i/>
        </w:rPr>
        <w:t>„</w:t>
      </w:r>
      <w:r w:rsidR="00F177EE" w:rsidRPr="004704B0">
        <w:rPr>
          <w:i/>
          <w:shd w:val="clear" w:color="auto" w:fill="FFFFFF"/>
        </w:rPr>
        <w:t>Par pašvaldības palīdzību bāreņiem un bez vecāku gādības palikušajiem bērniem, kuri ir ārpusģimenes aprūpē, kā arī bāreņiem un bez vecāku gādības palikušajiem bērniem pēc pilngadības sasniegšanas”</w:t>
      </w:r>
      <w:r w:rsidR="00F177EE" w:rsidRPr="004704B0">
        <w:rPr>
          <w:shd w:val="clear" w:color="auto" w:fill="FFFFFF"/>
        </w:rPr>
        <w:t>)</w:t>
      </w:r>
      <w:r w:rsidR="00F177EE">
        <w:t xml:space="preserve">. </w:t>
      </w:r>
    </w:p>
    <w:p w:rsidR="00F177EE" w:rsidRDefault="00B358A2" w:rsidP="005C07F3">
      <w:pPr>
        <w:pStyle w:val="ListParagraph"/>
        <w:numPr>
          <w:ilvl w:val="0"/>
          <w:numId w:val="3"/>
        </w:numPr>
        <w:spacing w:line="276" w:lineRule="auto"/>
        <w:ind w:left="0" w:firstLine="349"/>
        <w:jc w:val="both"/>
      </w:pPr>
      <w:r>
        <w:t>Tika veikta</w:t>
      </w:r>
      <w:r w:rsidR="00F177EE">
        <w:t xml:space="preserve"> katr</w:t>
      </w:r>
      <w:r>
        <w:t>a</w:t>
      </w:r>
      <w:r w:rsidR="00F177EE">
        <w:t xml:space="preserve"> atlasīt</w:t>
      </w:r>
      <w:r>
        <w:t>ā</w:t>
      </w:r>
      <w:r w:rsidR="00F177EE">
        <w:t xml:space="preserve"> dokumen</w:t>
      </w:r>
      <w:r>
        <w:t>ta izpēte</w:t>
      </w:r>
      <w:r w:rsidR="00F177EE">
        <w:t xml:space="preserve"> un veikt</w:t>
      </w:r>
      <w:r>
        <w:t>a</w:t>
      </w:r>
      <w:r w:rsidR="00F177EE">
        <w:t xml:space="preserve"> tā analīz</w:t>
      </w:r>
      <w:r>
        <w:t>e</w:t>
      </w:r>
      <w:r w:rsidR="00F177EE">
        <w:t>, nosakot (i) atvieglojuma saņēmēja mērķa grupu; (ii) atvieglojumu saņemšanas kritērijus; (iii) atvieglojuma veidu; (iv) atvieglojuma apmēru.</w:t>
      </w:r>
    </w:p>
    <w:p w:rsidR="00F177EE" w:rsidRDefault="00F177EE" w:rsidP="005C07F3">
      <w:pPr>
        <w:pStyle w:val="ListParagraph"/>
        <w:numPr>
          <w:ilvl w:val="0"/>
          <w:numId w:val="3"/>
        </w:numPr>
        <w:spacing w:line="276" w:lineRule="auto"/>
        <w:ind w:left="0" w:firstLine="349"/>
        <w:jc w:val="both"/>
      </w:pPr>
      <w:r>
        <w:t>Dokumentu analīze tik</w:t>
      </w:r>
      <w:r w:rsidR="00B358A2">
        <w:t>a</w:t>
      </w:r>
      <w:r>
        <w:t xml:space="preserve"> </w:t>
      </w:r>
      <w:r w:rsidR="00B358A2">
        <w:t>strukturēta</w:t>
      </w:r>
      <w:r>
        <w:t xml:space="preserve"> tabulas formā (sk. </w:t>
      </w:r>
      <w:r w:rsidR="0057729E">
        <w:t>4.6</w:t>
      </w:r>
      <w:r>
        <w:t>. tabulu) un uz tās bāzes tik</w:t>
      </w:r>
      <w:r w:rsidR="00B358A2">
        <w:t>a</w:t>
      </w:r>
      <w:r>
        <w:t xml:space="preserve"> sagatavots </w:t>
      </w:r>
      <w:r w:rsidR="00B358A2">
        <w:t>Gala ziņojuma 12.pielikums. Saturiski pašvaldību saistošo noteikumu analīzes rezultāti ir iekļauti 3.2.3. sadaļā</w:t>
      </w:r>
      <w:r>
        <w:t xml:space="preserve">. </w:t>
      </w:r>
    </w:p>
    <w:p w:rsidR="0057729E" w:rsidRDefault="0057729E" w:rsidP="0057729E">
      <w:pPr>
        <w:pStyle w:val="ListParagraph"/>
        <w:spacing w:line="276" w:lineRule="auto"/>
        <w:ind w:left="349"/>
        <w:jc w:val="both"/>
      </w:pPr>
    </w:p>
    <w:p w:rsidR="00150700" w:rsidRDefault="00150700">
      <w:pPr>
        <w:spacing w:line="240" w:lineRule="auto"/>
        <w:jc w:val="left"/>
        <w:rPr>
          <w:b/>
          <w:bCs/>
          <w:noProof/>
          <w:color w:val="244061" w:themeColor="accent1" w:themeShade="80"/>
          <w:szCs w:val="18"/>
        </w:rPr>
      </w:pPr>
      <w:bookmarkStart w:id="1189" w:name="_Toc2761174"/>
      <w:bookmarkStart w:id="1190" w:name="_Toc2848281"/>
      <w:r>
        <w:rPr>
          <w:noProof/>
        </w:rPr>
        <w:br w:type="page"/>
      </w:r>
    </w:p>
    <w:p w:rsidR="00F177EE" w:rsidRPr="007D6307" w:rsidRDefault="0057729E" w:rsidP="00C33A64">
      <w:pPr>
        <w:pStyle w:val="Caption"/>
      </w:pPr>
      <w:bookmarkStart w:id="1191" w:name="_Toc6219341"/>
      <w:bookmarkStart w:id="1192" w:name="_Toc6220284"/>
      <w:bookmarkStart w:id="1193" w:name="_Toc6841712"/>
      <w:r w:rsidRPr="006F5370">
        <w:lastRenderedPageBreak/>
        <w:t>4.6</w:t>
      </w:r>
      <w:r w:rsidR="00F177EE" w:rsidRPr="006F5370">
        <w:t>. tabula. Pašvaldību saistošo noteikumu analīzes struktūra mājokļa pieejamības jomā</w:t>
      </w:r>
      <w:bookmarkEnd w:id="1189"/>
      <w:bookmarkEnd w:id="1190"/>
      <w:bookmarkEnd w:id="1191"/>
      <w:bookmarkEnd w:id="1192"/>
      <w:bookmarkEnd w:id="1193"/>
    </w:p>
    <w:tbl>
      <w:tblPr>
        <w:tblW w:w="10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0"/>
        <w:gridCol w:w="1995"/>
        <w:gridCol w:w="2174"/>
        <w:gridCol w:w="1800"/>
        <w:gridCol w:w="1550"/>
        <w:gridCol w:w="1561"/>
      </w:tblGrid>
      <w:tr w:rsidR="00B358A2" w:rsidRPr="0088759D" w:rsidTr="0088759D">
        <w:trPr>
          <w:jc w:val="center"/>
        </w:trPr>
        <w:tc>
          <w:tcPr>
            <w:tcW w:w="1330" w:type="dxa"/>
            <w:shd w:val="clear" w:color="auto" w:fill="B8CCE4" w:themeFill="accent1" w:themeFillTint="66"/>
            <w:vAlign w:val="center"/>
          </w:tcPr>
          <w:p w:rsidR="00B358A2" w:rsidRPr="0088759D" w:rsidRDefault="00B358A2" w:rsidP="00B358A2">
            <w:pPr>
              <w:jc w:val="center"/>
              <w:rPr>
                <w:b/>
                <w:color w:val="002060"/>
                <w:sz w:val="22"/>
                <w:szCs w:val="22"/>
              </w:rPr>
            </w:pPr>
            <w:r w:rsidRPr="0088759D">
              <w:rPr>
                <w:b/>
                <w:color w:val="002060"/>
                <w:sz w:val="22"/>
                <w:szCs w:val="22"/>
              </w:rPr>
              <w:t>Pašvaldības nosaukums</w:t>
            </w:r>
          </w:p>
        </w:tc>
        <w:tc>
          <w:tcPr>
            <w:tcW w:w="1995" w:type="dxa"/>
            <w:shd w:val="clear" w:color="auto" w:fill="B8CCE4" w:themeFill="accent1" w:themeFillTint="66"/>
            <w:vAlign w:val="center"/>
          </w:tcPr>
          <w:p w:rsidR="00B358A2" w:rsidRPr="0088759D" w:rsidRDefault="00B358A2" w:rsidP="00B358A2">
            <w:pPr>
              <w:jc w:val="center"/>
              <w:rPr>
                <w:b/>
                <w:color w:val="002060"/>
                <w:sz w:val="22"/>
                <w:szCs w:val="22"/>
              </w:rPr>
            </w:pPr>
            <w:r w:rsidRPr="0088759D">
              <w:rPr>
                <w:b/>
                <w:color w:val="002060"/>
                <w:sz w:val="22"/>
                <w:szCs w:val="22"/>
              </w:rPr>
              <w:t>Tiesību akts, kurā noteikts atvieglojums un saite uz minēto tiesību aktu</w:t>
            </w:r>
          </w:p>
        </w:tc>
        <w:tc>
          <w:tcPr>
            <w:tcW w:w="2174" w:type="dxa"/>
            <w:shd w:val="clear" w:color="auto" w:fill="B8CCE4" w:themeFill="accent1" w:themeFillTint="66"/>
            <w:vAlign w:val="center"/>
          </w:tcPr>
          <w:p w:rsidR="00B358A2" w:rsidRPr="0088759D" w:rsidRDefault="00B358A2" w:rsidP="00B358A2">
            <w:pPr>
              <w:jc w:val="center"/>
              <w:rPr>
                <w:b/>
                <w:color w:val="002060"/>
                <w:sz w:val="22"/>
                <w:szCs w:val="22"/>
              </w:rPr>
            </w:pPr>
            <w:r w:rsidRPr="0088759D">
              <w:rPr>
                <w:b/>
                <w:color w:val="002060"/>
                <w:sz w:val="22"/>
                <w:szCs w:val="22"/>
              </w:rPr>
              <w:t>Atvieglojuma saņēmēja mērķa grupa vai atvieglojuma saņemšanas kritēriji</w:t>
            </w:r>
          </w:p>
        </w:tc>
        <w:tc>
          <w:tcPr>
            <w:tcW w:w="1800" w:type="dxa"/>
            <w:shd w:val="clear" w:color="auto" w:fill="B8CCE4" w:themeFill="accent1" w:themeFillTint="66"/>
            <w:vAlign w:val="center"/>
          </w:tcPr>
          <w:p w:rsidR="00B358A2" w:rsidRPr="0088759D" w:rsidRDefault="00B358A2" w:rsidP="00B358A2">
            <w:pPr>
              <w:jc w:val="center"/>
              <w:rPr>
                <w:b/>
                <w:color w:val="002060"/>
                <w:sz w:val="22"/>
                <w:szCs w:val="22"/>
              </w:rPr>
            </w:pPr>
            <w:r w:rsidRPr="0088759D">
              <w:rPr>
                <w:b/>
                <w:color w:val="002060"/>
                <w:sz w:val="22"/>
                <w:szCs w:val="22"/>
              </w:rPr>
              <w:t>Atvieglojuma veids</w:t>
            </w:r>
          </w:p>
        </w:tc>
        <w:tc>
          <w:tcPr>
            <w:tcW w:w="1550" w:type="dxa"/>
            <w:shd w:val="clear" w:color="auto" w:fill="B8CCE4" w:themeFill="accent1" w:themeFillTint="66"/>
            <w:vAlign w:val="center"/>
          </w:tcPr>
          <w:p w:rsidR="00B358A2" w:rsidRPr="0088759D" w:rsidRDefault="00B358A2" w:rsidP="00B358A2">
            <w:pPr>
              <w:jc w:val="center"/>
              <w:rPr>
                <w:b/>
                <w:color w:val="002060"/>
                <w:sz w:val="22"/>
                <w:szCs w:val="22"/>
              </w:rPr>
            </w:pPr>
            <w:r w:rsidRPr="0088759D">
              <w:rPr>
                <w:b/>
                <w:color w:val="002060"/>
                <w:sz w:val="22"/>
                <w:szCs w:val="22"/>
              </w:rPr>
              <w:t>Atvieglojuma apmērs</w:t>
            </w:r>
          </w:p>
        </w:tc>
        <w:tc>
          <w:tcPr>
            <w:tcW w:w="1561" w:type="dxa"/>
            <w:shd w:val="clear" w:color="auto" w:fill="B8CCE4" w:themeFill="accent1" w:themeFillTint="66"/>
            <w:vAlign w:val="center"/>
          </w:tcPr>
          <w:p w:rsidR="00B358A2" w:rsidRPr="0088759D" w:rsidRDefault="00B358A2" w:rsidP="00B358A2">
            <w:pPr>
              <w:jc w:val="center"/>
              <w:rPr>
                <w:b/>
                <w:color w:val="002060"/>
                <w:sz w:val="22"/>
                <w:szCs w:val="22"/>
              </w:rPr>
            </w:pPr>
            <w:r w:rsidRPr="0088759D">
              <w:rPr>
                <w:b/>
                <w:color w:val="002060"/>
                <w:sz w:val="22"/>
                <w:szCs w:val="22"/>
              </w:rPr>
              <w:t>Elektroniskā saite uz dokumentu</w:t>
            </w:r>
          </w:p>
        </w:tc>
      </w:tr>
      <w:tr w:rsidR="00B358A2" w:rsidRPr="00671056" w:rsidTr="00B358A2">
        <w:trPr>
          <w:jc w:val="center"/>
        </w:trPr>
        <w:tc>
          <w:tcPr>
            <w:tcW w:w="1330" w:type="dxa"/>
            <w:tcBorders>
              <w:top w:val="single" w:sz="4" w:space="0" w:color="auto"/>
              <w:left w:val="single" w:sz="4" w:space="0" w:color="auto"/>
              <w:bottom w:val="single" w:sz="4" w:space="0" w:color="auto"/>
              <w:right w:val="single" w:sz="4" w:space="0" w:color="auto"/>
            </w:tcBorders>
            <w:shd w:val="clear" w:color="auto" w:fill="auto"/>
          </w:tcPr>
          <w:p w:rsidR="00B358A2" w:rsidRPr="00671056" w:rsidRDefault="00B358A2" w:rsidP="00B358A2">
            <w:pPr>
              <w:rPr>
                <w:sz w:val="22"/>
                <w:szCs w:val="22"/>
              </w:rPr>
            </w:pPr>
            <w:r w:rsidRPr="00671056">
              <w:rPr>
                <w:sz w:val="22"/>
                <w:szCs w:val="22"/>
              </w:rPr>
              <w:t>Novada nosaukums</w:t>
            </w:r>
          </w:p>
        </w:tc>
        <w:tc>
          <w:tcPr>
            <w:tcW w:w="1995" w:type="dxa"/>
            <w:tcBorders>
              <w:top w:val="single" w:sz="4" w:space="0" w:color="auto"/>
              <w:left w:val="single" w:sz="4" w:space="0" w:color="auto"/>
              <w:bottom w:val="single" w:sz="4" w:space="0" w:color="auto"/>
              <w:right w:val="single" w:sz="4" w:space="0" w:color="auto"/>
            </w:tcBorders>
            <w:shd w:val="clear" w:color="auto" w:fill="auto"/>
          </w:tcPr>
          <w:p w:rsidR="00B358A2" w:rsidRPr="00671056" w:rsidRDefault="00B358A2" w:rsidP="00B358A2">
            <w:pPr>
              <w:jc w:val="left"/>
              <w:rPr>
                <w:sz w:val="22"/>
                <w:szCs w:val="22"/>
              </w:rPr>
            </w:pPr>
            <w:r w:rsidRPr="00671056">
              <w:rPr>
                <w:sz w:val="22"/>
                <w:szCs w:val="22"/>
              </w:rPr>
              <w:t>Saistošo noteikumu datums, numurs, nosaukums</w:t>
            </w:r>
            <w:r>
              <w:rPr>
                <w:sz w:val="22"/>
                <w:szCs w:val="22"/>
              </w:rPr>
              <w:t>.</w:t>
            </w:r>
          </w:p>
          <w:p w:rsidR="00B358A2" w:rsidRPr="00671056" w:rsidRDefault="00B358A2" w:rsidP="00B358A2">
            <w:pPr>
              <w:jc w:val="left"/>
              <w:rPr>
                <w:sz w:val="22"/>
                <w:szCs w:val="22"/>
              </w:rPr>
            </w:pPr>
            <w:r>
              <w:rPr>
                <w:sz w:val="22"/>
                <w:szCs w:val="22"/>
              </w:rPr>
              <w:t>Norādīti</w:t>
            </w:r>
            <w:r w:rsidRPr="00671056">
              <w:rPr>
                <w:sz w:val="22"/>
                <w:szCs w:val="22"/>
              </w:rPr>
              <w:t xml:space="preserve"> visi konkrētā dokumenta grozījumi, norādot to pieņemšanas datumu, numuru, spēkā stāšanās datumu.</w:t>
            </w:r>
          </w:p>
          <w:p w:rsidR="00B358A2" w:rsidRPr="00671056" w:rsidRDefault="00B358A2" w:rsidP="00B358A2">
            <w:pPr>
              <w:jc w:val="left"/>
              <w:rPr>
                <w:sz w:val="22"/>
                <w:szCs w:val="22"/>
              </w:rPr>
            </w:pPr>
            <w:r w:rsidRPr="00671056">
              <w:rPr>
                <w:sz w:val="22"/>
                <w:szCs w:val="22"/>
              </w:rPr>
              <w:t xml:space="preserve">Ja grozījumu saite ir atšķirīga no pamata dokumenta saites, arī tā </w:t>
            </w:r>
            <w:r>
              <w:rPr>
                <w:sz w:val="22"/>
                <w:szCs w:val="22"/>
              </w:rPr>
              <w:t>norādīta</w:t>
            </w:r>
            <w:r w:rsidRPr="00671056">
              <w:rPr>
                <w:sz w:val="22"/>
                <w:szCs w:val="22"/>
              </w:rPr>
              <w:t xml:space="preserve"> attiecīgajā kolonnā.</w:t>
            </w:r>
          </w:p>
        </w:tc>
        <w:tc>
          <w:tcPr>
            <w:tcW w:w="2174" w:type="dxa"/>
            <w:tcBorders>
              <w:top w:val="single" w:sz="4" w:space="0" w:color="auto"/>
              <w:left w:val="single" w:sz="4" w:space="0" w:color="auto"/>
              <w:bottom w:val="single" w:sz="4" w:space="0" w:color="auto"/>
              <w:right w:val="single" w:sz="4" w:space="0" w:color="auto"/>
            </w:tcBorders>
            <w:shd w:val="clear" w:color="auto" w:fill="auto"/>
          </w:tcPr>
          <w:p w:rsidR="00B358A2" w:rsidRPr="005843E6" w:rsidRDefault="00B358A2" w:rsidP="00B358A2">
            <w:pPr>
              <w:rPr>
                <w:sz w:val="22"/>
                <w:szCs w:val="22"/>
              </w:rPr>
            </w:pPr>
            <w:r w:rsidRPr="005843E6">
              <w:rPr>
                <w:sz w:val="22"/>
                <w:szCs w:val="22"/>
              </w:rPr>
              <w:t>Norādītas visas dokumentā identificētās mērķa grupas neatkarīgi no TS 3.7. punktā minētajām grupām.</w:t>
            </w:r>
          </w:p>
          <w:p w:rsidR="00B358A2" w:rsidRPr="005843E6" w:rsidRDefault="00B358A2" w:rsidP="00B358A2">
            <w:pPr>
              <w:rPr>
                <w:sz w:val="22"/>
                <w:szCs w:val="22"/>
              </w:rPr>
            </w:pPr>
            <w:r w:rsidRPr="005843E6">
              <w:rPr>
                <w:sz w:val="22"/>
                <w:szCs w:val="22"/>
              </w:rPr>
              <w:t xml:space="preserve">TS 3.7. punktā minētās grupas ir izceltas treknrakstā. </w:t>
            </w:r>
          </w:p>
          <w:p w:rsidR="00B358A2" w:rsidRPr="005843E6" w:rsidRDefault="00B358A2" w:rsidP="00B358A2">
            <w:pPr>
              <w:rPr>
                <w:sz w:val="22"/>
                <w:szCs w:val="22"/>
              </w:rPr>
            </w:pPr>
            <w:r w:rsidRPr="005843E6">
              <w:rPr>
                <w:sz w:val="22"/>
                <w:szCs w:val="22"/>
              </w:rPr>
              <w:t>Norādīti visi atvieglojuma saņemšanas kritēriji. Ja tie ir atšķirīgi dažādām mērķa grupām, tie skaidri identificējami (saikne starp mērķa grupu un atvieglojuma piešķiršanas kritēriju).</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358A2" w:rsidRPr="00671056" w:rsidRDefault="00B358A2" w:rsidP="00B358A2">
            <w:pPr>
              <w:rPr>
                <w:sz w:val="22"/>
                <w:szCs w:val="22"/>
              </w:rPr>
            </w:pPr>
            <w:r>
              <w:rPr>
                <w:sz w:val="22"/>
                <w:szCs w:val="22"/>
              </w:rPr>
              <w:t>Norādīti</w:t>
            </w:r>
            <w:r w:rsidRPr="00671056">
              <w:rPr>
                <w:sz w:val="22"/>
                <w:szCs w:val="22"/>
              </w:rPr>
              <w:t xml:space="preserve"> visi dokumentā minētie atvieglojumi tā, lai būtu saprotams, uz kuru mērķa grupu tie attiecas. </w:t>
            </w:r>
          </w:p>
        </w:tc>
        <w:tc>
          <w:tcPr>
            <w:tcW w:w="1550" w:type="dxa"/>
            <w:tcBorders>
              <w:top w:val="single" w:sz="4" w:space="0" w:color="auto"/>
              <w:left w:val="single" w:sz="4" w:space="0" w:color="auto"/>
              <w:bottom w:val="single" w:sz="4" w:space="0" w:color="auto"/>
              <w:right w:val="single" w:sz="4" w:space="0" w:color="auto"/>
            </w:tcBorders>
            <w:shd w:val="clear" w:color="auto" w:fill="auto"/>
          </w:tcPr>
          <w:p w:rsidR="00B358A2" w:rsidRPr="00671056" w:rsidRDefault="00B358A2" w:rsidP="00B358A2">
            <w:pPr>
              <w:rPr>
                <w:sz w:val="22"/>
                <w:szCs w:val="22"/>
              </w:rPr>
            </w:pPr>
            <w:r w:rsidRPr="00671056">
              <w:rPr>
                <w:sz w:val="22"/>
                <w:szCs w:val="22"/>
              </w:rPr>
              <w:t xml:space="preserve">Atvieglojuma apmērs </w:t>
            </w:r>
            <w:r>
              <w:rPr>
                <w:sz w:val="22"/>
                <w:szCs w:val="22"/>
              </w:rPr>
              <w:t>norādīts</w:t>
            </w:r>
            <w:r w:rsidRPr="00671056">
              <w:rPr>
                <w:sz w:val="22"/>
                <w:szCs w:val="22"/>
              </w:rPr>
              <w:t xml:space="preserve"> atbilstoši tam, kā tas ir norādīts dokumentā (naudas summas izteiksmē vai aprakstoši). </w:t>
            </w:r>
          </w:p>
        </w:tc>
        <w:tc>
          <w:tcPr>
            <w:tcW w:w="1561" w:type="dxa"/>
            <w:tcBorders>
              <w:top w:val="single" w:sz="4" w:space="0" w:color="auto"/>
              <w:left w:val="single" w:sz="4" w:space="0" w:color="auto"/>
              <w:bottom w:val="single" w:sz="4" w:space="0" w:color="auto"/>
              <w:right w:val="single" w:sz="4" w:space="0" w:color="auto"/>
            </w:tcBorders>
          </w:tcPr>
          <w:p w:rsidR="00B358A2" w:rsidRPr="005843E6" w:rsidRDefault="00B358A2" w:rsidP="00203A08">
            <w:pPr>
              <w:rPr>
                <w:sz w:val="22"/>
                <w:szCs w:val="22"/>
              </w:rPr>
            </w:pPr>
            <w:r w:rsidRPr="005843E6">
              <w:rPr>
                <w:sz w:val="22"/>
                <w:szCs w:val="22"/>
              </w:rPr>
              <w:t xml:space="preserve">Ja dokuments nav pieejams pašvaldības domes vai to struktūrvienību mājas lapā, norādīts tiesību akta ieguves veids. </w:t>
            </w:r>
          </w:p>
        </w:tc>
      </w:tr>
    </w:tbl>
    <w:p w:rsidR="00F177EE" w:rsidRPr="003B1F4E" w:rsidRDefault="00F177EE" w:rsidP="005A207F">
      <w:pPr>
        <w:pStyle w:val="virsrakstslvl3"/>
      </w:pPr>
      <w:bookmarkStart w:id="1194" w:name="_Toc528761679"/>
      <w:bookmarkStart w:id="1195" w:name="_Toc528762842"/>
      <w:bookmarkStart w:id="1196" w:name="_Toc528768900"/>
      <w:bookmarkStart w:id="1197" w:name="_Toc528847627"/>
      <w:bookmarkStart w:id="1198" w:name="_Toc528930611"/>
      <w:bookmarkStart w:id="1199" w:name="_Toc529170559"/>
      <w:bookmarkStart w:id="1200" w:name="_Toc529176282"/>
      <w:bookmarkStart w:id="1201" w:name="_Toc529180110"/>
      <w:bookmarkStart w:id="1202" w:name="_Toc529180355"/>
      <w:bookmarkStart w:id="1203" w:name="_Toc531694130"/>
      <w:bookmarkStart w:id="1204" w:name="_Toc531856235"/>
      <w:bookmarkStart w:id="1205" w:name="_Toc531860024"/>
      <w:bookmarkStart w:id="1206" w:name="_Toc535738810"/>
      <w:bookmarkStart w:id="1207" w:name="_Toc535741808"/>
      <w:bookmarkStart w:id="1208" w:name="_Toc535742161"/>
      <w:bookmarkStart w:id="1209" w:name="_Toc535916144"/>
      <w:bookmarkStart w:id="1210" w:name="_Toc535922796"/>
      <w:bookmarkStart w:id="1211" w:name="_Toc535935099"/>
      <w:bookmarkStart w:id="1212" w:name="_Toc788711"/>
      <w:bookmarkStart w:id="1213" w:name="_Toc868891"/>
      <w:r w:rsidRPr="001C17C1">
        <w:t>Statistikas datu un apsekojumu datu atlases un kvalitātes kritēriji mājokļa jomā</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rsidR="00F177EE" w:rsidRPr="00B87378" w:rsidRDefault="00F177EE" w:rsidP="00E10DA4">
      <w:pPr>
        <w:pStyle w:val="under"/>
      </w:pPr>
      <w:bookmarkStart w:id="1214" w:name="_Toc2761175"/>
      <w:bookmarkStart w:id="1215" w:name="_Toc2848282"/>
      <w:bookmarkStart w:id="1216" w:name="_Toc6219342"/>
      <w:bookmarkStart w:id="1217" w:name="_Toc6220285"/>
      <w:bookmarkStart w:id="1218" w:name="_Toc6841713"/>
      <w:r w:rsidRPr="00B87378">
        <w:t>Uzdevumi:</w:t>
      </w:r>
      <w:bookmarkEnd w:id="1214"/>
      <w:bookmarkEnd w:id="1215"/>
      <w:bookmarkEnd w:id="1216"/>
      <w:bookmarkEnd w:id="1217"/>
      <w:bookmarkEnd w:id="1218"/>
      <w:r w:rsidRPr="00B87378">
        <w:t xml:space="preserve"> </w:t>
      </w:r>
    </w:p>
    <w:p w:rsidR="00F177EE" w:rsidRPr="003D3671" w:rsidRDefault="00F177EE" w:rsidP="004C2E87">
      <w:pPr>
        <w:pStyle w:val="ListParagraph"/>
        <w:spacing w:line="276" w:lineRule="auto"/>
        <w:jc w:val="both"/>
      </w:pPr>
      <w:r w:rsidRPr="003D3671">
        <w:t>3.1. Definēt nevienlīdzību mājokļa pieejamības jomā un to raksturojošos galvenos rādītājus atbilstoši ES apstiprinātajām definīcijām un indikatoriem</w:t>
      </w:r>
      <w:r>
        <w:t>.</w:t>
      </w:r>
    </w:p>
    <w:p w:rsidR="00F177EE" w:rsidRPr="003D3671" w:rsidRDefault="00F177EE" w:rsidP="004C2E87">
      <w:pPr>
        <w:pStyle w:val="ListParagraph"/>
        <w:spacing w:line="276" w:lineRule="auto"/>
        <w:jc w:val="both"/>
      </w:pPr>
      <w:r w:rsidRPr="003D3671">
        <w:t>3.2. Raksturot vispārējo situāciju mājokļa jomā (dzīvojamais fonds, mājokļu kvalitāte, īres cenas, ar mājokli saistīto pakalpojumu cenas u.c.), aprakstot galvenos izaicinājumus saistībā ar mājokļa un ar to saistīto pakalpojumu pieejamību</w:t>
      </w:r>
      <w:r>
        <w:t>.</w:t>
      </w:r>
    </w:p>
    <w:p w:rsidR="00F177EE" w:rsidRPr="003D3671" w:rsidRDefault="00F177EE" w:rsidP="004C2E87">
      <w:pPr>
        <w:pStyle w:val="ListParagraph"/>
        <w:spacing w:line="276" w:lineRule="auto"/>
        <w:jc w:val="both"/>
      </w:pPr>
      <w:r w:rsidRPr="003D3671">
        <w:t xml:space="preserve">3.6. Identificēt un analizēt statistikas datus par mērķa grupas nevienlīdzību mājokļa pieejamībā (EU-SILC dati par mājokļa </w:t>
      </w:r>
      <w:r>
        <w:t>stāvokli</w:t>
      </w:r>
      <w:r w:rsidRPr="003D3671">
        <w:t xml:space="preserve">, mājsaimniecību budžeta apsekojuma dati, Ekonomikas ministrijas administratīvie dati par </w:t>
      </w:r>
      <w:r w:rsidRPr="003D3671">
        <w:rPr>
          <w:rStyle w:val="Strong"/>
          <w:b w:val="0"/>
          <w:color w:val="000000"/>
          <w:bdr w:val="none" w:sz="0" w:space="0" w:color="auto" w:frame="1"/>
        </w:rPr>
        <w:t>pašvaldību palīdzību dzīvokļa jautājumu risināšanā</w:t>
      </w:r>
      <w:r w:rsidRPr="005E64AF">
        <w:rPr>
          <w:bCs/>
        </w:rPr>
        <w:t>,</w:t>
      </w:r>
      <w:r w:rsidRPr="003D3671">
        <w:rPr>
          <w:bCs/>
        </w:rPr>
        <w:t xml:space="preserve"> </w:t>
      </w:r>
      <w:r w:rsidRPr="003D3671">
        <w:t>Labklājības ministrijas administratīvie dati par dzīvokļa pabalstu u.c.)</w:t>
      </w:r>
      <w:r>
        <w:t>.</w:t>
      </w:r>
    </w:p>
    <w:p w:rsidR="00F177EE" w:rsidRPr="00324B63" w:rsidRDefault="00F177EE" w:rsidP="004C2E87">
      <w:pPr>
        <w:pStyle w:val="ListParagraph"/>
        <w:spacing w:line="276" w:lineRule="auto"/>
        <w:jc w:val="both"/>
      </w:pPr>
      <w:r w:rsidRPr="00324B63">
        <w:t>3.7. Veikt datu kvalitātes analīzi.</w:t>
      </w:r>
    </w:p>
    <w:p w:rsidR="00F177EE" w:rsidRPr="00324B63" w:rsidRDefault="00F177EE" w:rsidP="004C2E87">
      <w:pPr>
        <w:pStyle w:val="ListParagraph"/>
        <w:spacing w:line="276" w:lineRule="auto"/>
        <w:jc w:val="both"/>
      </w:pPr>
      <w:r w:rsidRPr="00324B63">
        <w:t>3.8. Identificēt, kuri no datiem turpmāk būtu izmantojami nevienlīdzības mājokļa pieejamības jomā turpmākai izvērtēšanai un kāda papildus datu vākšana šim nolūkam būtu nepieciešama.</w:t>
      </w:r>
    </w:p>
    <w:p w:rsidR="00F177EE" w:rsidRPr="00324B63" w:rsidRDefault="00F177EE" w:rsidP="004C2E87">
      <w:pPr>
        <w:rPr>
          <w:highlight w:val="green"/>
        </w:rPr>
      </w:pPr>
    </w:p>
    <w:p w:rsidR="00F177EE" w:rsidRDefault="00F177EE" w:rsidP="004C2E87">
      <w:r w:rsidRPr="00324B63">
        <w:t xml:space="preserve">3.1. uzdevuma izpilde </w:t>
      </w:r>
      <w:r w:rsidR="00B358A2" w:rsidRPr="00324B63">
        <w:t>tika</w:t>
      </w:r>
      <w:r w:rsidRPr="00324B63">
        <w:t xml:space="preserve"> </w:t>
      </w:r>
      <w:r w:rsidR="00B358A2" w:rsidRPr="00324B63">
        <w:t xml:space="preserve">veikta </w:t>
      </w:r>
      <w:r w:rsidRPr="00324B63">
        <w:t>ciešā sasaistē ar dokumentu analīzi (sk. turpinājumā nākamo sadaļu). Veicot darba uzdevumus</w:t>
      </w:r>
      <w:r>
        <w:t xml:space="preserve"> saistībā ar statistikas datu analīzi, tik</w:t>
      </w:r>
      <w:r w:rsidR="00B358A2">
        <w:t>a</w:t>
      </w:r>
      <w:r>
        <w:t xml:space="preserve"> noteikts, vai Latvijā </w:t>
      </w:r>
      <w:r>
        <w:lastRenderedPageBreak/>
        <w:t>pieejamie un līdz šim izmantotie indikatori atbilst ES apstiprinātajām definīcijām un indikatoriem (sk. turpinājumā informāciju par to, kādi indikatori ir pieejami Latvijas situācijas analīzei).</w:t>
      </w:r>
    </w:p>
    <w:p w:rsidR="00830823" w:rsidRDefault="00830823" w:rsidP="004C2E87"/>
    <w:p w:rsidR="00F177EE" w:rsidRDefault="00F177EE" w:rsidP="004C2E87">
      <w:r>
        <w:t>3.2. uzdevuma izpildei tik</w:t>
      </w:r>
      <w:r w:rsidR="00DA1CC4">
        <w:t>a</w:t>
      </w:r>
      <w:r>
        <w:t xml:space="preserve"> meklēti un atlasīti dati, izvērtējot katra datu avota kvalitāti pēc šādiem </w:t>
      </w:r>
      <w:r w:rsidR="00DA1CC4">
        <w:t>kritērijiem</w:t>
      </w:r>
      <w:r>
        <w:t>:</w:t>
      </w:r>
    </w:p>
    <w:p w:rsidR="00F177EE" w:rsidRDefault="00F177EE" w:rsidP="003F469F">
      <w:pPr>
        <w:pStyle w:val="ListParagraph"/>
        <w:numPr>
          <w:ilvl w:val="0"/>
          <w:numId w:val="136"/>
        </w:numPr>
        <w:spacing w:line="276" w:lineRule="auto"/>
        <w:jc w:val="both"/>
      </w:pPr>
      <w:r w:rsidRPr="00043E0F">
        <w:t>Datu avota uzticamība un datu iegūšanu raksturojošās informācijas pārskatāmība:</w:t>
      </w:r>
    </w:p>
    <w:p w:rsidR="00F177EE" w:rsidRDefault="00F177EE" w:rsidP="00586F05">
      <w:pPr>
        <w:pStyle w:val="ListParagraph"/>
        <w:numPr>
          <w:ilvl w:val="1"/>
          <w:numId w:val="43"/>
        </w:numPr>
        <w:spacing w:line="276" w:lineRule="auto"/>
        <w:jc w:val="both"/>
      </w:pPr>
      <w:r>
        <w:t>Iestādes, kas veikusi datu vākšanu, profesionalitāte (likumā vai līgumā noteikts deleģējums vākt konkrētos datus, specializācija);</w:t>
      </w:r>
    </w:p>
    <w:p w:rsidR="00F177EE" w:rsidRDefault="00F177EE" w:rsidP="00586F05">
      <w:pPr>
        <w:pStyle w:val="ListParagraph"/>
        <w:numPr>
          <w:ilvl w:val="1"/>
          <w:numId w:val="43"/>
        </w:numPr>
        <w:spacing w:line="276" w:lineRule="auto"/>
        <w:jc w:val="both"/>
      </w:pPr>
      <w:r>
        <w:t>Pakāpe, kādā iestādei vai organizācijai ir pieejami visi dati par mērāmo jomu;</w:t>
      </w:r>
    </w:p>
    <w:p w:rsidR="00F177EE" w:rsidRDefault="00F177EE" w:rsidP="00586F05">
      <w:pPr>
        <w:pStyle w:val="ListParagraph"/>
        <w:numPr>
          <w:ilvl w:val="1"/>
          <w:numId w:val="43"/>
        </w:numPr>
        <w:spacing w:line="276" w:lineRule="auto"/>
        <w:jc w:val="both"/>
      </w:pPr>
      <w:r>
        <w:t>Datu vākšanas sākotnējais mērķis vai nolūks;</w:t>
      </w:r>
    </w:p>
    <w:p w:rsidR="00F177EE" w:rsidRDefault="00F177EE" w:rsidP="003F469F">
      <w:pPr>
        <w:pStyle w:val="ListParagraph"/>
        <w:numPr>
          <w:ilvl w:val="0"/>
          <w:numId w:val="136"/>
        </w:numPr>
        <w:spacing w:line="276" w:lineRule="auto"/>
        <w:jc w:val="both"/>
      </w:pPr>
      <w:r>
        <w:t>Iegūto datu kvalitāte:</w:t>
      </w:r>
    </w:p>
    <w:p w:rsidR="00F177EE" w:rsidRDefault="00F177EE" w:rsidP="00586F05">
      <w:pPr>
        <w:pStyle w:val="ListParagraph"/>
        <w:numPr>
          <w:ilvl w:val="1"/>
          <w:numId w:val="43"/>
        </w:numPr>
        <w:spacing w:line="276" w:lineRule="auto"/>
        <w:jc w:val="both"/>
      </w:pPr>
      <w:r>
        <w:t>Metodes, kādas ir pielietotas datu ieguvē, šo metožu priekšrocību un trūkumu izvērtējums (aptauju gadījumā: ģenerālā kopuma definīcija, izlases vienības definīcija, pielietotā izlases metode, aptaujas metode, sasniegto respondentu skaits un nerespondences rādītāji);</w:t>
      </w:r>
    </w:p>
    <w:p w:rsidR="00F177EE" w:rsidRDefault="00F177EE" w:rsidP="00586F05">
      <w:pPr>
        <w:pStyle w:val="ListParagraph"/>
        <w:numPr>
          <w:ilvl w:val="1"/>
          <w:numId w:val="43"/>
        </w:numPr>
        <w:spacing w:line="276" w:lineRule="auto"/>
        <w:jc w:val="both"/>
      </w:pPr>
      <w:r>
        <w:t>Mērījuma precizitāte (datu definīcija);</w:t>
      </w:r>
    </w:p>
    <w:p w:rsidR="00F177EE" w:rsidRDefault="00F177EE" w:rsidP="00586F05">
      <w:pPr>
        <w:pStyle w:val="ListParagraph"/>
        <w:numPr>
          <w:ilvl w:val="1"/>
          <w:numId w:val="43"/>
        </w:numPr>
        <w:spacing w:line="276" w:lineRule="auto"/>
        <w:jc w:val="both"/>
      </w:pPr>
      <w:r>
        <w:t>Mērījuma atbilstība izvērtējuma mērķim (t.sk. aptvertajam laika posmam);</w:t>
      </w:r>
    </w:p>
    <w:p w:rsidR="00F177EE" w:rsidRDefault="00F177EE" w:rsidP="003F469F">
      <w:pPr>
        <w:pStyle w:val="ListParagraph"/>
        <w:numPr>
          <w:ilvl w:val="0"/>
          <w:numId w:val="136"/>
        </w:numPr>
        <w:spacing w:line="276" w:lineRule="auto"/>
        <w:jc w:val="both"/>
      </w:pPr>
      <w:r>
        <w:t>Datu savietojamība:</w:t>
      </w:r>
    </w:p>
    <w:p w:rsidR="00F177EE" w:rsidRDefault="00F177EE" w:rsidP="00586F05">
      <w:pPr>
        <w:pStyle w:val="ListParagraph"/>
        <w:numPr>
          <w:ilvl w:val="1"/>
          <w:numId w:val="43"/>
        </w:numPr>
        <w:spacing w:line="276" w:lineRule="auto"/>
        <w:jc w:val="both"/>
      </w:pPr>
      <w:r>
        <w:t>Datu salīdzināmības iespējas laikā un telpā;</w:t>
      </w:r>
    </w:p>
    <w:p w:rsidR="00F177EE" w:rsidRDefault="00F177EE" w:rsidP="00586F05">
      <w:pPr>
        <w:pStyle w:val="ListParagraph"/>
        <w:numPr>
          <w:ilvl w:val="1"/>
          <w:numId w:val="43"/>
        </w:numPr>
        <w:spacing w:line="276" w:lineRule="auto"/>
        <w:jc w:val="both"/>
      </w:pPr>
      <w:r>
        <w:t>Mērīto indikatoru stabilitāte (mērīšanas tehnoloģijas nemainīgums);</w:t>
      </w:r>
    </w:p>
    <w:p w:rsidR="00F177EE" w:rsidRDefault="00F177EE" w:rsidP="00586F05">
      <w:pPr>
        <w:pStyle w:val="ListParagraph"/>
        <w:numPr>
          <w:ilvl w:val="1"/>
          <w:numId w:val="43"/>
        </w:numPr>
        <w:spacing w:line="276" w:lineRule="auto"/>
        <w:jc w:val="both"/>
      </w:pPr>
      <w:r>
        <w:t>Mērīto indikatoru jūtīgums pret sociālās situācijas (realitātes) izmaiņām;</w:t>
      </w:r>
    </w:p>
    <w:p w:rsidR="00F177EE" w:rsidRDefault="00F177EE" w:rsidP="00586F05">
      <w:pPr>
        <w:pStyle w:val="ListParagraph"/>
        <w:numPr>
          <w:ilvl w:val="1"/>
          <w:numId w:val="43"/>
        </w:numPr>
        <w:spacing w:line="276" w:lineRule="auto"/>
        <w:jc w:val="both"/>
      </w:pPr>
      <w:r>
        <w:t>Dažādu datu avotu un indikatoru spēja papildināt vienam otru (vai arī pārklāšanās/ dublēšanās);</w:t>
      </w:r>
    </w:p>
    <w:p w:rsidR="00F177EE" w:rsidRPr="00043E0F" w:rsidRDefault="00F177EE" w:rsidP="00586F05">
      <w:pPr>
        <w:pStyle w:val="ListParagraph"/>
        <w:numPr>
          <w:ilvl w:val="1"/>
          <w:numId w:val="43"/>
        </w:numPr>
        <w:spacing w:line="276" w:lineRule="auto"/>
        <w:jc w:val="both"/>
      </w:pPr>
      <w:r>
        <w:t>Dažādu datu avotu un indikatoru savietojamība kompleksas analīzes vajadzībām.</w:t>
      </w:r>
    </w:p>
    <w:p w:rsidR="00444B5C" w:rsidRDefault="00444B5C" w:rsidP="004C2E87">
      <w:pPr>
        <w:rPr>
          <w:highlight w:val="cyan"/>
        </w:rPr>
      </w:pPr>
    </w:p>
    <w:p w:rsidR="00F177EE" w:rsidRDefault="00F177EE" w:rsidP="004C2E87">
      <w:r w:rsidRPr="005A4E93">
        <w:t xml:space="preserve">Balstoties uz šiem kritērijiem, </w:t>
      </w:r>
      <w:r w:rsidR="00DA1CC4" w:rsidRPr="005A4E93">
        <w:t>tika</w:t>
      </w:r>
      <w:r w:rsidRPr="005A4E93">
        <w:t xml:space="preserve"> </w:t>
      </w:r>
      <w:r w:rsidR="005A4E93" w:rsidRPr="005A4E93">
        <w:t>izmantoti</w:t>
      </w:r>
      <w:r w:rsidRPr="005A4E93">
        <w:t xml:space="preserve"> šādi</w:t>
      </w:r>
      <w:r w:rsidR="005A4E93" w:rsidRPr="005A4E93">
        <w:t xml:space="preserve"> informācijas avoti</w:t>
      </w:r>
      <w:r w:rsidRPr="005A4E93">
        <w:t>:</w:t>
      </w:r>
    </w:p>
    <w:p w:rsidR="00F177EE" w:rsidRDefault="00F177EE" w:rsidP="00586F05">
      <w:pPr>
        <w:pStyle w:val="ListParagraph"/>
        <w:numPr>
          <w:ilvl w:val="0"/>
          <w:numId w:val="44"/>
        </w:numPr>
        <w:spacing w:line="276" w:lineRule="auto"/>
        <w:jc w:val="both"/>
      </w:pPr>
      <w:r w:rsidRPr="00C8734A">
        <w:t>CSP dati par dzīvojamo fondu (Tabulas: NEG01. Dzīvojamais fonds statistiskajos reģionos gada beigās (kopējā platība un kopējā platība uz vienu iedzīvotāju); NEG02. Dzīvojamā fonda aprēķinātā apsaimniekošanas maksa vidēji mēnesī reģionos (</w:t>
      </w:r>
      <w:r>
        <w:t xml:space="preserve">EUR </w:t>
      </w:r>
      <w:r w:rsidRPr="00C8734A">
        <w:t>centi par 1 m²));</w:t>
      </w:r>
    </w:p>
    <w:p w:rsidR="00F177EE" w:rsidRPr="00C8734A" w:rsidRDefault="00F177EE" w:rsidP="00586F05">
      <w:pPr>
        <w:pStyle w:val="ListParagraph"/>
        <w:numPr>
          <w:ilvl w:val="0"/>
          <w:numId w:val="44"/>
        </w:numPr>
        <w:spacing w:line="276" w:lineRule="auto"/>
        <w:jc w:val="both"/>
      </w:pPr>
      <w:r>
        <w:t>EU-SILC dati par mājokļa apstākļiem</w:t>
      </w:r>
      <w:r w:rsidR="005A4E93">
        <w:t>.</w:t>
      </w:r>
    </w:p>
    <w:p w:rsidR="005A4E93" w:rsidRDefault="005A4E93" w:rsidP="004C2E87"/>
    <w:p w:rsidR="00F177EE" w:rsidRDefault="00F177EE" w:rsidP="004C2E87">
      <w:r>
        <w:t xml:space="preserve">3.6. uzdevums </w:t>
      </w:r>
      <w:r w:rsidR="00DA1CC4">
        <w:t>paredzēja</w:t>
      </w:r>
      <w:r>
        <w:t xml:space="preserve"> i</w:t>
      </w:r>
      <w:r w:rsidRPr="00F84CEB">
        <w:t>dentificēt un analizēt statistikas datus par mērķa grupas nevienlīdzību mājokļa pieejamībā</w:t>
      </w:r>
      <w:r>
        <w:t>, kuru līdzīgi kā ar situāciju veselības aprūpes jomā ir iespējams raksturot no atšķirīgām perspektīvām:</w:t>
      </w:r>
    </w:p>
    <w:p w:rsidR="00F177EE" w:rsidRPr="00F84CEB" w:rsidRDefault="00F177EE" w:rsidP="00586F05">
      <w:pPr>
        <w:pStyle w:val="ListParagraph"/>
        <w:numPr>
          <w:ilvl w:val="0"/>
          <w:numId w:val="45"/>
        </w:numPr>
        <w:spacing w:line="276" w:lineRule="auto"/>
        <w:jc w:val="both"/>
      </w:pPr>
      <w:r w:rsidRPr="00F84CEB">
        <w:t>objektīvā (administratīvā) perspektīva: faktiskais pakalpojumu saņēmēju skaits dažādos griezumos (</w:t>
      </w:r>
      <w:r>
        <w:t>pašvaldību dzīvojamais fonds, piešķirtais atbalsts iedzīvotājiem</w:t>
      </w:r>
      <w:r w:rsidRPr="00F84CEB">
        <w:t xml:space="preserve"> u.tml.);</w:t>
      </w:r>
    </w:p>
    <w:p w:rsidR="00F177EE" w:rsidRPr="00D562CB" w:rsidRDefault="00F177EE" w:rsidP="00586F05">
      <w:pPr>
        <w:pStyle w:val="ListParagraph"/>
        <w:numPr>
          <w:ilvl w:val="0"/>
          <w:numId w:val="45"/>
        </w:numPr>
        <w:spacing w:line="276" w:lineRule="auto"/>
        <w:jc w:val="both"/>
      </w:pPr>
      <w:r w:rsidRPr="00F84CEB">
        <w:t xml:space="preserve">subjektīvā perspektīva: reālās vajadzības, </w:t>
      </w:r>
      <w:r>
        <w:t>mājokļa raksturojums no labiekārtošanas viedokļa u.tml.</w:t>
      </w:r>
    </w:p>
    <w:p w:rsidR="00F177EE" w:rsidRDefault="00F177EE" w:rsidP="004C2E87"/>
    <w:p w:rsidR="00F177EE" w:rsidRDefault="00DA1CC4" w:rsidP="004C2E87">
      <w:r>
        <w:t>Skatoties</w:t>
      </w:r>
      <w:r w:rsidR="00F177EE" w:rsidRPr="00B06113">
        <w:t xml:space="preserve"> detalizēti par mājokļa apstākļus raksturojošiem rādītājiem</w:t>
      </w:r>
      <w:r w:rsidR="00F177EE">
        <w:t xml:space="preserve"> no subjektīvās perspektīvas</w:t>
      </w:r>
      <w:r w:rsidR="00F177EE" w:rsidRPr="00B06113">
        <w:t>, EU-SILC 2016. gadā un 2017. gadā veiktais apsekojums ļauj raksturot 14 indikatorus, tostarp šādus aspektus:</w:t>
      </w:r>
    </w:p>
    <w:p w:rsidR="00F177EE" w:rsidRPr="00B06113" w:rsidRDefault="00DA1CC4" w:rsidP="00586F05">
      <w:pPr>
        <w:pStyle w:val="ListParagraph"/>
        <w:numPr>
          <w:ilvl w:val="0"/>
          <w:numId w:val="42"/>
        </w:numPr>
        <w:spacing w:line="276" w:lineRule="auto"/>
        <w:jc w:val="both"/>
      </w:pPr>
      <w:r>
        <w:t>m</w:t>
      </w:r>
      <w:r w:rsidR="00F177EE" w:rsidRPr="00B06113">
        <w:t>ājokļa tips (HH010);</w:t>
      </w:r>
    </w:p>
    <w:p w:rsidR="00F177EE" w:rsidRPr="00B06113" w:rsidRDefault="00DA1CC4" w:rsidP="00586F05">
      <w:pPr>
        <w:pStyle w:val="ListParagraph"/>
        <w:numPr>
          <w:ilvl w:val="0"/>
          <w:numId w:val="42"/>
        </w:numPr>
        <w:spacing w:line="276" w:lineRule="auto"/>
        <w:jc w:val="both"/>
      </w:pPr>
      <w:r>
        <w:lastRenderedPageBreak/>
        <w:t>m</w:t>
      </w:r>
      <w:r w:rsidR="00F177EE" w:rsidRPr="00B06113">
        <w:t>ājokļa īpašumtiesību statuss, t.sk., noteikt, vai mājsaimniecībai ir jāmaksā hipotekārais kredīts par mājokļa iegādi (HH021);</w:t>
      </w:r>
    </w:p>
    <w:p w:rsidR="00F177EE" w:rsidRPr="00B06113" w:rsidRDefault="00DA1CC4" w:rsidP="00586F05">
      <w:pPr>
        <w:pStyle w:val="ListParagraph"/>
        <w:numPr>
          <w:ilvl w:val="0"/>
          <w:numId w:val="42"/>
        </w:numPr>
        <w:spacing w:line="276" w:lineRule="auto"/>
        <w:jc w:val="both"/>
      </w:pPr>
      <w:r>
        <w:t>n</w:t>
      </w:r>
      <w:r w:rsidR="00F177EE" w:rsidRPr="00B06113">
        <w:t>epiemērotu dzīves apstākļu esamība mājoklī, piemēram, mitras sienas, tekošs jums u.tml. (HH040);</w:t>
      </w:r>
    </w:p>
    <w:p w:rsidR="00F177EE" w:rsidRPr="00B06113" w:rsidRDefault="00DA1CC4" w:rsidP="00586F05">
      <w:pPr>
        <w:pStyle w:val="ListParagraph"/>
        <w:numPr>
          <w:ilvl w:val="0"/>
          <w:numId w:val="42"/>
        </w:numPr>
        <w:spacing w:line="276" w:lineRule="auto"/>
        <w:jc w:val="both"/>
      </w:pPr>
      <w:r>
        <w:t>s</w:t>
      </w:r>
      <w:r w:rsidR="00F177EE" w:rsidRPr="00B06113">
        <w:t>pēja uzturēt mājoklī pietiekamu siltumu (HH050);</w:t>
      </w:r>
    </w:p>
    <w:p w:rsidR="00F177EE" w:rsidRPr="00B06113" w:rsidRDefault="00DA1CC4" w:rsidP="00586F05">
      <w:pPr>
        <w:pStyle w:val="ListParagraph"/>
        <w:numPr>
          <w:ilvl w:val="0"/>
          <w:numId w:val="42"/>
        </w:numPr>
        <w:spacing w:line="276" w:lineRule="auto"/>
        <w:jc w:val="both"/>
      </w:pPr>
      <w:r>
        <w:t>ī</w:t>
      </w:r>
      <w:r w:rsidR="00F177EE" w:rsidRPr="00B06113">
        <w:t>re attiecībā uz apdzīvoto mājokli (HH060);</w:t>
      </w:r>
    </w:p>
    <w:p w:rsidR="00F177EE" w:rsidRPr="00B06113" w:rsidRDefault="00DA1CC4" w:rsidP="00586F05">
      <w:pPr>
        <w:pStyle w:val="ListParagraph"/>
        <w:numPr>
          <w:ilvl w:val="0"/>
          <w:numId w:val="42"/>
        </w:numPr>
        <w:spacing w:line="276" w:lineRule="auto"/>
        <w:jc w:val="both"/>
      </w:pPr>
      <w:r>
        <w:t>h</w:t>
      </w:r>
      <w:r w:rsidR="00F177EE" w:rsidRPr="00B06113">
        <w:t>ipotekārā kredīta ikmēneša pamatsummas maksājumi (HH071);</w:t>
      </w:r>
    </w:p>
    <w:p w:rsidR="00F177EE" w:rsidRPr="00B06113" w:rsidRDefault="00DA1CC4" w:rsidP="00586F05">
      <w:pPr>
        <w:pStyle w:val="ListParagraph"/>
        <w:numPr>
          <w:ilvl w:val="0"/>
          <w:numId w:val="42"/>
        </w:numPr>
        <w:spacing w:line="276" w:lineRule="auto"/>
        <w:jc w:val="both"/>
      </w:pPr>
      <w:r>
        <w:t>m</w:t>
      </w:r>
      <w:r w:rsidR="00F177EE" w:rsidRPr="00B06113">
        <w:t>ājokļa ērtību līmenis, t.i., dušas/ vannas un tualetes esamība mājoklī tikai mājsaimniecības lietošanai (HH081, HH091);</w:t>
      </w:r>
    </w:p>
    <w:p w:rsidR="00F177EE" w:rsidRPr="00B06113" w:rsidRDefault="00DA1CC4" w:rsidP="00586F05">
      <w:pPr>
        <w:pStyle w:val="ListParagraph"/>
        <w:numPr>
          <w:ilvl w:val="0"/>
          <w:numId w:val="42"/>
        </w:numPr>
        <w:spacing w:line="276" w:lineRule="auto"/>
        <w:jc w:val="both"/>
      </w:pPr>
      <w:r>
        <w:t>p</w:t>
      </w:r>
      <w:r w:rsidR="00F177EE" w:rsidRPr="00B06113">
        <w:t>arādu esamība par hipotekārā kredīta vai īres maksājumiem (HS011);</w:t>
      </w:r>
    </w:p>
    <w:p w:rsidR="00F177EE" w:rsidRPr="00B06113" w:rsidRDefault="00DA1CC4" w:rsidP="00586F05">
      <w:pPr>
        <w:pStyle w:val="ListParagraph"/>
        <w:numPr>
          <w:ilvl w:val="0"/>
          <w:numId w:val="42"/>
        </w:numPr>
        <w:spacing w:line="276" w:lineRule="auto"/>
        <w:jc w:val="both"/>
      </w:pPr>
      <w:r>
        <w:t>p</w:t>
      </w:r>
      <w:r w:rsidR="00F177EE" w:rsidRPr="00B06113">
        <w:t>arādi par komunālo pakalpojumu maksājumiem (HS021);</w:t>
      </w:r>
    </w:p>
    <w:p w:rsidR="00F177EE" w:rsidRPr="00B06113" w:rsidRDefault="00DA1CC4" w:rsidP="00586F05">
      <w:pPr>
        <w:pStyle w:val="ListParagraph"/>
        <w:numPr>
          <w:ilvl w:val="0"/>
          <w:numId w:val="42"/>
        </w:numPr>
        <w:spacing w:line="276" w:lineRule="auto"/>
        <w:jc w:val="both"/>
      </w:pPr>
      <w:r>
        <w:t>p</w:t>
      </w:r>
      <w:r w:rsidR="00F177EE" w:rsidRPr="00B06113">
        <w:t>roblēmas saistībā ar mājokli, piemēram, dienasgaismas trūkums, troksnis kaimiņos, piesārņojums, noziedzība apkārtnē (HS160, HS170, HS180, HS190);</w:t>
      </w:r>
    </w:p>
    <w:p w:rsidR="00F177EE" w:rsidRPr="00B06113" w:rsidRDefault="00DA1CC4" w:rsidP="00586F05">
      <w:pPr>
        <w:pStyle w:val="ListParagraph"/>
        <w:numPr>
          <w:ilvl w:val="0"/>
          <w:numId w:val="42"/>
        </w:numPr>
        <w:spacing w:line="276" w:lineRule="auto"/>
        <w:jc w:val="both"/>
      </w:pPr>
      <w:r>
        <w:t>n</w:t>
      </w:r>
      <w:r w:rsidR="00F177EE" w:rsidRPr="00B06113">
        <w:t>olietotu mēbeļu aizstāšana (HD080).</w:t>
      </w:r>
    </w:p>
    <w:p w:rsidR="00F177EE" w:rsidRDefault="00F177EE" w:rsidP="004C2E87"/>
    <w:p w:rsidR="00F177EE" w:rsidRPr="00C06B3A" w:rsidRDefault="00F177EE" w:rsidP="004C2E87">
      <w:r w:rsidRPr="00C06B3A">
        <w:t xml:space="preserve">EU-SILC dati saistībā ar </w:t>
      </w:r>
      <w:r>
        <w:t>mājokļa</w:t>
      </w:r>
      <w:r w:rsidRPr="00C06B3A">
        <w:t xml:space="preserve"> jomu ļauj tos analizēt šķērsgriezumā ar mājsaimniecīb</w:t>
      </w:r>
      <w:r>
        <w:t>u</w:t>
      </w:r>
      <w:r w:rsidRPr="00C06B3A">
        <w:t xml:space="preserve"> </w:t>
      </w:r>
      <w:r>
        <w:t xml:space="preserve">raksturojošām pazīmēm, t.sk. </w:t>
      </w:r>
      <w:r w:rsidRPr="00C06B3A">
        <w:t>materiālās nenodrošinātības un nabadzības risku un ienākumu kvintilēm</w:t>
      </w:r>
      <w:r>
        <w:t xml:space="preserve"> (sk. zemāk arī sociāli demogrāfiskās grupas, kurās jāveic analīze)</w:t>
      </w:r>
      <w:r w:rsidRPr="00C06B3A">
        <w:t>.</w:t>
      </w:r>
      <w:r>
        <w:t xml:space="preserve"> </w:t>
      </w:r>
      <w:r w:rsidR="005843E6" w:rsidRPr="005843E6">
        <w:t>Balstoties uz statistikas datu</w:t>
      </w:r>
      <w:r w:rsidRPr="005843E6">
        <w:t xml:space="preserve"> analīzi, tik</w:t>
      </w:r>
      <w:r w:rsidR="00DA1CC4" w:rsidRPr="005843E6">
        <w:t>a</w:t>
      </w:r>
      <w:r w:rsidRPr="005843E6">
        <w:t xml:space="preserve"> noteikts, kurās mājsaimniecību grupās un kādā apmērā mājokļa pieejamība ir zemāka. Sasaistot šos datus ar dokumentu analīzes rezultātiem, </w:t>
      </w:r>
      <w:r w:rsidR="00DA1CC4" w:rsidRPr="005843E6">
        <w:t>tika</w:t>
      </w:r>
      <w:r w:rsidRPr="005843E6">
        <w:t xml:space="preserve"> analizēt</w:t>
      </w:r>
      <w:r w:rsidR="00DA1CC4" w:rsidRPr="005843E6">
        <w:t>s</w:t>
      </w:r>
      <w:r w:rsidRPr="005843E6">
        <w:t>, vai rīcībpolitikas iniciatīvas spēj sasniegt tās mājsaimniecību grupas, kuras atrodas lielākā apdraudējuma</w:t>
      </w:r>
      <w:r>
        <w:t xml:space="preserve"> situācijā.</w:t>
      </w:r>
    </w:p>
    <w:p w:rsidR="00DA1CC4" w:rsidRDefault="00DA1CC4" w:rsidP="004C2E87"/>
    <w:p w:rsidR="00F177EE" w:rsidRDefault="0057729E" w:rsidP="004C2E87">
      <w:r>
        <w:t>M</w:t>
      </w:r>
      <w:r w:rsidR="00F177EE">
        <w:t xml:space="preserve">ājokļa pieejamības </w:t>
      </w:r>
      <w:r w:rsidR="00F177EE" w:rsidRPr="0057729E">
        <w:rPr>
          <w:b/>
        </w:rPr>
        <w:t>statistikas datu analīze</w:t>
      </w:r>
      <w:r w:rsidR="00F177EE">
        <w:t xml:space="preserve"> </w:t>
      </w:r>
      <w:r w:rsidR="00DA1CC4">
        <w:t>tika veikta</w:t>
      </w:r>
      <w:r w:rsidR="00F177EE">
        <w:t xml:space="preserve"> grupās</w:t>
      </w:r>
      <w:r>
        <w:t>, kurās tas bija iespējams no datu pieejamības viedokļa</w:t>
      </w:r>
      <w:r w:rsidR="00F177EE">
        <w:t>:</w:t>
      </w:r>
    </w:p>
    <w:p w:rsidR="00F177EE" w:rsidRPr="000B6ADE" w:rsidRDefault="00F177EE" w:rsidP="00586F05">
      <w:pPr>
        <w:pStyle w:val="ListParagraph"/>
        <w:numPr>
          <w:ilvl w:val="0"/>
          <w:numId w:val="46"/>
        </w:numPr>
        <w:spacing w:line="276" w:lineRule="auto"/>
        <w:jc w:val="both"/>
      </w:pPr>
      <w:r w:rsidRPr="000B6ADE">
        <w:t>pirmspensijas un pensijas vecuma cilvēki;</w:t>
      </w:r>
    </w:p>
    <w:p w:rsidR="00F177EE" w:rsidRPr="000B6ADE" w:rsidRDefault="00F177EE" w:rsidP="00586F05">
      <w:pPr>
        <w:pStyle w:val="ListParagraph"/>
        <w:numPr>
          <w:ilvl w:val="0"/>
          <w:numId w:val="46"/>
        </w:numPr>
        <w:spacing w:line="276" w:lineRule="auto"/>
        <w:jc w:val="both"/>
      </w:pPr>
      <w:r w:rsidRPr="000B6ADE">
        <w:t xml:space="preserve">ģimenes ar bērniem, īpaši daudzbērnu un viena </w:t>
      </w:r>
      <w:r w:rsidR="00BA1727">
        <w:t xml:space="preserve">vecāka mājsaimniecības </w:t>
      </w:r>
      <w:r w:rsidRPr="000B6ADE">
        <w:t>(t.sk. ģimenes ar bērniem, kuriem ir funkcionēšanas ierobežojumi vai invaliditāte);</w:t>
      </w:r>
    </w:p>
    <w:p w:rsidR="00F177EE" w:rsidRPr="000B6ADE" w:rsidRDefault="00F177EE" w:rsidP="00586F05">
      <w:pPr>
        <w:pStyle w:val="ListParagraph"/>
        <w:numPr>
          <w:ilvl w:val="0"/>
          <w:numId w:val="46"/>
        </w:numPr>
        <w:spacing w:line="276" w:lineRule="auto"/>
        <w:jc w:val="both"/>
      </w:pPr>
      <w:r w:rsidRPr="000B6ADE">
        <w:t>trūcī</w:t>
      </w:r>
      <w:r w:rsidR="0057729E">
        <w:t>gās un maznodrošinātās personas.</w:t>
      </w:r>
    </w:p>
    <w:p w:rsidR="0057729E" w:rsidRPr="00324B63" w:rsidRDefault="0057729E" w:rsidP="004C2E87"/>
    <w:p w:rsidR="00F177EE" w:rsidRPr="00324B63" w:rsidRDefault="0057729E" w:rsidP="004C2E87">
      <w:r w:rsidRPr="00324B63">
        <w:t>Specifiskās</w:t>
      </w:r>
      <w:r w:rsidR="00F177EE" w:rsidRPr="00324B63">
        <w:t xml:space="preserve"> grupās mājokli raksturojošo datu pieejamība ir ierobežota (vai vispār nav identificēta). Šīs mērķa grupas ir:</w:t>
      </w:r>
    </w:p>
    <w:p w:rsidR="0057729E" w:rsidRPr="00324B63" w:rsidRDefault="0057729E" w:rsidP="00586F05">
      <w:pPr>
        <w:pStyle w:val="ListParagraph"/>
        <w:numPr>
          <w:ilvl w:val="0"/>
          <w:numId w:val="37"/>
        </w:numPr>
        <w:spacing w:line="276" w:lineRule="auto"/>
        <w:jc w:val="both"/>
      </w:pPr>
      <w:r w:rsidRPr="00324B63">
        <w:t>bezdarbnieki, īpaši ilgstošie bezdarbnieki;</w:t>
      </w:r>
    </w:p>
    <w:p w:rsidR="00F177EE" w:rsidRPr="00324B63" w:rsidRDefault="00F177EE" w:rsidP="00586F05">
      <w:pPr>
        <w:numPr>
          <w:ilvl w:val="0"/>
          <w:numId w:val="37"/>
        </w:numPr>
      </w:pPr>
      <w:r w:rsidRPr="00324B63">
        <w:t>internātskolu absolventi;</w:t>
      </w:r>
    </w:p>
    <w:p w:rsidR="00F177EE" w:rsidRPr="00F65AE6" w:rsidRDefault="00F177EE" w:rsidP="00586F05">
      <w:pPr>
        <w:numPr>
          <w:ilvl w:val="0"/>
          <w:numId w:val="37"/>
        </w:numPr>
      </w:pPr>
      <w:r w:rsidRPr="00324B63">
        <w:t>personas ar</w:t>
      </w:r>
      <w:r w:rsidRPr="00F65AE6">
        <w:t xml:space="preserve"> funkcionēšanas ierobežojumiem, tai skaitā personas ar invaliditāti (visas invaliditātes grupas un traucējumu veidi; bērni, darbspējas un virs darbspējas vecuma dzimumu griezumā);</w:t>
      </w:r>
    </w:p>
    <w:p w:rsidR="00F177EE" w:rsidRPr="00F65AE6" w:rsidRDefault="00F177EE" w:rsidP="00586F05">
      <w:pPr>
        <w:numPr>
          <w:ilvl w:val="0"/>
          <w:numId w:val="37"/>
        </w:numPr>
      </w:pPr>
      <w:r w:rsidRPr="00F65AE6">
        <w:t>vardarbībā cietušās personas,</w:t>
      </w:r>
    </w:p>
    <w:p w:rsidR="00F177EE" w:rsidRPr="00F65AE6" w:rsidRDefault="00F177EE" w:rsidP="00586F05">
      <w:pPr>
        <w:numPr>
          <w:ilvl w:val="0"/>
          <w:numId w:val="37"/>
        </w:numPr>
      </w:pPr>
      <w:r w:rsidRPr="00F65AE6">
        <w:t>bezpajumtnieki,</w:t>
      </w:r>
    </w:p>
    <w:p w:rsidR="00F177EE" w:rsidRPr="00F65AE6" w:rsidRDefault="00F177EE" w:rsidP="00586F05">
      <w:pPr>
        <w:numPr>
          <w:ilvl w:val="0"/>
          <w:numId w:val="37"/>
        </w:numPr>
      </w:pPr>
      <w:r w:rsidRPr="00F65AE6">
        <w:t>no ieslodzījuma vietām atbrīvotās personas,</w:t>
      </w:r>
    </w:p>
    <w:p w:rsidR="00F177EE" w:rsidRPr="00F65AE6" w:rsidRDefault="00F177EE" w:rsidP="00586F05">
      <w:pPr>
        <w:numPr>
          <w:ilvl w:val="0"/>
          <w:numId w:val="37"/>
        </w:numPr>
      </w:pPr>
      <w:r w:rsidRPr="00F65AE6">
        <w:t>romi,</w:t>
      </w:r>
    </w:p>
    <w:p w:rsidR="00F177EE" w:rsidRPr="00F65AE6" w:rsidRDefault="00F177EE" w:rsidP="00586F05">
      <w:pPr>
        <w:numPr>
          <w:ilvl w:val="0"/>
          <w:numId w:val="37"/>
        </w:numPr>
      </w:pPr>
      <w:r w:rsidRPr="00F65AE6">
        <w:t>starptautiskās aizsardzības personas.</w:t>
      </w:r>
    </w:p>
    <w:p w:rsidR="00F177EE" w:rsidRPr="004523D5" w:rsidRDefault="00F177EE" w:rsidP="004C2E87">
      <w:r>
        <w:lastRenderedPageBreak/>
        <w:t>Izvērtējuma izpildes gaitā tik</w:t>
      </w:r>
      <w:r w:rsidR="00EA5D52">
        <w:t>a</w:t>
      </w:r>
      <w:r>
        <w:t xml:space="preserve"> apzināti pēdējo desmit gadu ilgā laika posmā veiktie pētījumi, kas </w:t>
      </w:r>
      <w:r w:rsidR="00EA5D52">
        <w:t>sniedz</w:t>
      </w:r>
      <w:r>
        <w:t xml:space="preserve"> daļēju situācijas raksturojumu par nevienlīdzību mājokļa jomā iepriekš minētajām </w:t>
      </w:r>
      <w:r w:rsidR="0057729E">
        <w:t xml:space="preserve">specifiskajām </w:t>
      </w:r>
      <w:r>
        <w:t xml:space="preserve">mērķa grupām. </w:t>
      </w:r>
      <w:r w:rsidR="00EA5D52">
        <w:t>P</w:t>
      </w:r>
      <w:r>
        <w:t>apildu informācija tik</w:t>
      </w:r>
      <w:r w:rsidR="00EA5D52">
        <w:t>a</w:t>
      </w:r>
      <w:r>
        <w:t xml:space="preserve"> iegūta, </w:t>
      </w:r>
      <w:r w:rsidRPr="002229C6">
        <w:t>veicot intervijas ar ekspertiem,</w:t>
      </w:r>
      <w:r>
        <w:t xml:space="preserve"> kuru ietvaros</w:t>
      </w:r>
      <w:r w:rsidRPr="002229C6">
        <w:t xml:space="preserve"> tik</w:t>
      </w:r>
      <w:r w:rsidR="0057729E">
        <w:t>a</w:t>
      </w:r>
      <w:r w:rsidRPr="002229C6">
        <w:t xml:space="preserve"> apzināti </w:t>
      </w:r>
      <w:r w:rsidR="00EA5D52">
        <w:t>viņiem</w:t>
      </w:r>
      <w:r w:rsidRPr="002229C6">
        <w:t xml:space="preserve"> zināmi</w:t>
      </w:r>
      <w:r w:rsidR="00EA5D52">
        <w:t>e</w:t>
      </w:r>
      <w:r w:rsidRPr="002229C6">
        <w:t xml:space="preserve"> papildu datu avoti</w:t>
      </w:r>
      <w:r>
        <w:t xml:space="preserve">. </w:t>
      </w:r>
    </w:p>
    <w:p w:rsidR="00F177EE" w:rsidRDefault="00F177EE" w:rsidP="004C2E87"/>
    <w:p w:rsidR="00F177EE" w:rsidRPr="005470AD" w:rsidRDefault="00F177EE" w:rsidP="004C2E87">
      <w:r>
        <w:t>3.7., 3.8.</w:t>
      </w:r>
      <w:r w:rsidRPr="005470AD">
        <w:t xml:space="preserve"> uzdevum</w:t>
      </w:r>
      <w:r>
        <w:t>u</w:t>
      </w:r>
      <w:r w:rsidRPr="005470AD">
        <w:t xml:space="preserve"> izpilde paredz</w:t>
      </w:r>
      <w:r w:rsidR="006B48CB">
        <w:t>ēja</w:t>
      </w:r>
      <w:r w:rsidRPr="005470AD">
        <w:t xml:space="preserve"> veikt datu kvalitātes analīzi un identificēt, kuri no datiem turpmāk būtu izmantojami nevienlīdzības mājokļa pieejamības jomā turpmākai izvērtēšanai un</w:t>
      </w:r>
      <w:r w:rsidR="00150700">
        <w:t>/vai</w:t>
      </w:r>
      <w:r w:rsidRPr="005470AD">
        <w:t xml:space="preserve"> </w:t>
      </w:r>
      <w:r w:rsidRPr="00150700">
        <w:t>kāda papildus datu vākšana šim nolūkam būtu nepieciešama</w:t>
      </w:r>
      <w:r w:rsidR="001D60C5" w:rsidRPr="00150700">
        <w:rPr>
          <w:color w:val="000000"/>
        </w:rPr>
        <w:t xml:space="preserve"> </w:t>
      </w:r>
      <w:r w:rsidR="006B48CB" w:rsidRPr="00150700">
        <w:rPr>
          <w:color w:val="000000"/>
        </w:rPr>
        <w:t xml:space="preserve">(sk. </w:t>
      </w:r>
      <w:r w:rsidR="001D60C5" w:rsidRPr="00150700">
        <w:rPr>
          <w:color w:val="000000"/>
        </w:rPr>
        <w:t>3.3.9</w:t>
      </w:r>
      <w:r w:rsidR="006B48CB" w:rsidRPr="00150700">
        <w:rPr>
          <w:color w:val="000000"/>
        </w:rPr>
        <w:t xml:space="preserve">. </w:t>
      </w:r>
      <w:r w:rsidR="001D60C5" w:rsidRPr="00150700">
        <w:rPr>
          <w:color w:val="000000"/>
        </w:rPr>
        <w:t>sa</w:t>
      </w:r>
      <w:r w:rsidR="006B48CB" w:rsidRPr="00150700">
        <w:rPr>
          <w:color w:val="000000"/>
        </w:rPr>
        <w:t>daļu).</w:t>
      </w:r>
    </w:p>
    <w:p w:rsidR="00F177EE" w:rsidRPr="00B87378" w:rsidRDefault="00F177EE" w:rsidP="00E10DA4">
      <w:pPr>
        <w:pStyle w:val="virsrakstslvl4"/>
      </w:pPr>
      <w:bookmarkStart w:id="1219" w:name="_Toc528761680"/>
      <w:bookmarkStart w:id="1220" w:name="_Toc528762843"/>
      <w:bookmarkStart w:id="1221" w:name="_Toc528768901"/>
      <w:bookmarkStart w:id="1222" w:name="_Toc528847628"/>
      <w:bookmarkStart w:id="1223" w:name="_Toc528930612"/>
      <w:bookmarkStart w:id="1224" w:name="_Toc529170560"/>
      <w:bookmarkStart w:id="1225" w:name="_Toc529176283"/>
      <w:bookmarkStart w:id="1226" w:name="_Toc529180111"/>
      <w:bookmarkStart w:id="1227" w:name="_Toc529180356"/>
      <w:bookmarkStart w:id="1228" w:name="_Toc531694131"/>
      <w:bookmarkStart w:id="1229" w:name="_Toc531856236"/>
      <w:bookmarkStart w:id="1230" w:name="_Toc531860025"/>
      <w:bookmarkStart w:id="1231" w:name="_Toc535738811"/>
      <w:bookmarkStart w:id="1232" w:name="_Toc535741809"/>
      <w:bookmarkStart w:id="1233" w:name="_Toc535742162"/>
      <w:bookmarkStart w:id="1234" w:name="_Toc535916145"/>
      <w:bookmarkStart w:id="1235" w:name="_Toc535922797"/>
      <w:bookmarkStart w:id="1236" w:name="_Toc535935100"/>
      <w:bookmarkStart w:id="1237" w:name="_Toc788712"/>
      <w:bookmarkStart w:id="1238" w:name="_Toc868892"/>
      <w:bookmarkStart w:id="1239" w:name="_Toc2761176"/>
      <w:bookmarkStart w:id="1240" w:name="_Toc2848283"/>
      <w:bookmarkStart w:id="1241" w:name="_Toc6219343"/>
      <w:bookmarkStart w:id="1242" w:name="_Toc6220286"/>
      <w:bookmarkStart w:id="1243" w:name="_Toc6841714"/>
      <w:r w:rsidRPr="00B87378">
        <w:t>Ekspertu intervijas un fokusa grup</w:t>
      </w:r>
      <w:r w:rsidR="00D6730D" w:rsidRPr="00B87378">
        <w:t>as</w:t>
      </w:r>
      <w:r w:rsidRPr="00B87378">
        <w:t xml:space="preserve"> diskusija</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r w:rsidRPr="00B87378">
        <w:t xml:space="preserve"> </w:t>
      </w:r>
    </w:p>
    <w:p w:rsidR="00F177EE" w:rsidRPr="00B87378" w:rsidRDefault="00F177EE" w:rsidP="00C33A64">
      <w:pPr>
        <w:pStyle w:val="under"/>
      </w:pPr>
      <w:bookmarkStart w:id="1244" w:name="_Toc2761177"/>
      <w:bookmarkStart w:id="1245" w:name="_Toc2848284"/>
      <w:bookmarkStart w:id="1246" w:name="_Toc6219344"/>
      <w:bookmarkStart w:id="1247" w:name="_Toc6220287"/>
      <w:bookmarkStart w:id="1248" w:name="_Toc6841715"/>
      <w:r w:rsidRPr="00B87378">
        <w:t>Uzdevumi:</w:t>
      </w:r>
      <w:bookmarkEnd w:id="1244"/>
      <w:bookmarkEnd w:id="1245"/>
      <w:bookmarkEnd w:id="1246"/>
      <w:bookmarkEnd w:id="1247"/>
      <w:bookmarkEnd w:id="1248"/>
      <w:r w:rsidRPr="00B87378">
        <w:t xml:space="preserve"> </w:t>
      </w:r>
    </w:p>
    <w:p w:rsidR="00F177EE" w:rsidRPr="00275CE2" w:rsidRDefault="00F177EE" w:rsidP="006B48CB">
      <w:pPr>
        <w:pStyle w:val="ListParagraph"/>
        <w:spacing w:line="276" w:lineRule="auto"/>
        <w:jc w:val="both"/>
      </w:pPr>
      <w:r w:rsidRPr="00275CE2">
        <w:t>3.1. Definēt nevienlīdzību mājokļa pieejamības jomā un to raksturojošos galvenos rādītājus atbilstoši ES apstiprinātajām definīcijām un indikatoriem</w:t>
      </w:r>
    </w:p>
    <w:p w:rsidR="00F177EE" w:rsidRPr="00275CE2" w:rsidRDefault="00F177EE" w:rsidP="006B48CB">
      <w:pPr>
        <w:pStyle w:val="ListParagraph"/>
        <w:spacing w:line="276" w:lineRule="auto"/>
        <w:jc w:val="both"/>
      </w:pPr>
      <w:r w:rsidRPr="00275CE2">
        <w:t>3.2. Raksturot vispārējo situāciju mājokļa jomā, aprakstot galvenos izaicinājumus saistībā ar mājokļa un ar to saistīto pakalpojumu pieejamību</w:t>
      </w:r>
    </w:p>
    <w:p w:rsidR="00F177EE" w:rsidRPr="00275CE2" w:rsidRDefault="00F177EE" w:rsidP="006B48CB">
      <w:pPr>
        <w:pStyle w:val="ListParagraph"/>
        <w:spacing w:line="276" w:lineRule="auto"/>
        <w:jc w:val="both"/>
      </w:pPr>
      <w:r w:rsidRPr="00275CE2">
        <w:t>3.3. Identificēt politikas plānošanas dokumentos konstatētos ierobežojumus un trūkumus saistībā ar mājokļa pieejamību mērķa grupām un plānotos pasākumus konstatēto problēmu mazināšanai un/vai novēršanai</w:t>
      </w:r>
    </w:p>
    <w:p w:rsidR="00F177EE" w:rsidRPr="00275CE2" w:rsidRDefault="00F177EE" w:rsidP="006B48CB">
      <w:pPr>
        <w:pStyle w:val="ListParagraph"/>
        <w:spacing w:line="276" w:lineRule="auto"/>
        <w:jc w:val="both"/>
      </w:pPr>
      <w:r w:rsidRPr="00275CE2">
        <w:t>3.</w:t>
      </w:r>
      <w:r>
        <w:t>9</w:t>
      </w:r>
      <w:r w:rsidRPr="00275CE2">
        <w:t>.-3.1</w:t>
      </w:r>
      <w:r>
        <w:t>1</w:t>
      </w:r>
      <w:r w:rsidRPr="00275CE2">
        <w:t xml:space="preserve">. Integrēta analīze ar mērķi sagatavot secinājumus par nevienlīdzību mājokļa jomā un izstrādāt rekomendācijas tās mazināšanai. </w:t>
      </w:r>
    </w:p>
    <w:p w:rsidR="00F177EE" w:rsidRPr="00275CE2" w:rsidRDefault="00F177EE" w:rsidP="00F177EE">
      <w:pPr>
        <w:jc w:val="left"/>
        <w:rPr>
          <w:rFonts w:asciiTheme="majorHAnsi" w:eastAsiaTheme="majorEastAsia" w:hAnsiTheme="majorHAnsi" w:cstheme="majorBidi"/>
          <w:b/>
          <w:bCs/>
          <w:color w:val="4F81BD" w:themeColor="accent1"/>
        </w:rPr>
      </w:pPr>
    </w:p>
    <w:p w:rsidR="00F177EE" w:rsidRDefault="00F177EE" w:rsidP="00F177EE">
      <w:r w:rsidRPr="00B535B5">
        <w:t xml:space="preserve">Ekspertu interviju mērķis šo uzdevuma izpildē </w:t>
      </w:r>
      <w:r w:rsidR="006B48CB">
        <w:t>bija</w:t>
      </w:r>
      <w:r w:rsidRPr="00B535B5">
        <w:t xml:space="preserve"> iegūt kvalitatīvos datus padziļinātam rīcībpolitikas izvērtējumam par nevienlīdzību mājokļa jomā. </w:t>
      </w:r>
      <w:r w:rsidR="006B48CB">
        <w:t>K</w:t>
      </w:r>
      <w:r w:rsidRPr="00B535B5">
        <w:t xml:space="preserve">opumā </w:t>
      </w:r>
      <w:r w:rsidR="006B48CB">
        <w:t xml:space="preserve">tika </w:t>
      </w:r>
      <w:r w:rsidRPr="00B535B5">
        <w:t xml:space="preserve">intervēti </w:t>
      </w:r>
      <w:r w:rsidR="006B48CB">
        <w:t>9</w:t>
      </w:r>
      <w:r w:rsidRPr="00B535B5">
        <w:t xml:space="preserve"> eksperti, kuri ir specializējušies tieši mājokļu pieejamības jomā (</w:t>
      </w:r>
      <w:r w:rsidR="006B48CB">
        <w:t>ekspertu sarakstu sk. 2.pielikumā</w:t>
      </w:r>
      <w:r w:rsidRPr="00B535B5">
        <w:t>). Sekojot teorijā balstītās pieejas pielietojumam intervences ietekmes izvērtējumā, šie dati būtiski papildin</w:t>
      </w:r>
      <w:r w:rsidR="006B48CB">
        <w:t>a</w:t>
      </w:r>
      <w:r w:rsidRPr="00B535B5">
        <w:t xml:space="preserve"> dokumentu analīzes rezultātus. Tāpat ekspertu intervijas </w:t>
      </w:r>
      <w:r w:rsidR="006B48CB">
        <w:t>ir izmantotas arī kā</w:t>
      </w:r>
      <w:r w:rsidRPr="00B535B5">
        <w:t xml:space="preserve"> papildu datu avots statistikas datu ana</w:t>
      </w:r>
      <w:r w:rsidR="002217A1">
        <w:t xml:space="preserve">līzes rezultātu interpretācijai. Savukārt </w:t>
      </w:r>
      <w:r w:rsidRPr="00B535B5">
        <w:t xml:space="preserve">ekspertu viedoklis un pieredze par pieejamajiem datiem, to izmantošanas kompetenci un pielietojuma iespējām </w:t>
      </w:r>
      <w:r w:rsidR="002217A1">
        <w:t>sniedz</w:t>
      </w:r>
      <w:r w:rsidRPr="00B535B5">
        <w:t xml:space="preserve"> dziļāku izpratni par nepieciešamajiem datiem un to kvalitāti no lietotāju perspektīvas</w:t>
      </w:r>
      <w:r w:rsidR="0083731E">
        <w:t xml:space="preserve"> (ekspertu interviju jautājumu vadlīnijas sk. 3.pielikumā)</w:t>
      </w:r>
      <w:r w:rsidRPr="00B535B5">
        <w:t xml:space="preserve">. </w:t>
      </w:r>
      <w:r>
        <w:t xml:space="preserve">Ekspertu interviju rezultāti </w:t>
      </w:r>
      <w:r w:rsidR="002217A1">
        <w:t>ir</w:t>
      </w:r>
      <w:r>
        <w:t xml:space="preserve"> </w:t>
      </w:r>
      <w:r w:rsidR="002217A1">
        <w:t xml:space="preserve">integrēti Izvērtējuma saturā un </w:t>
      </w:r>
      <w:r>
        <w:t xml:space="preserve">apkopoti </w:t>
      </w:r>
      <w:r w:rsidR="002217A1">
        <w:t>6. pielikumā</w:t>
      </w:r>
      <w:r>
        <w:t xml:space="preserve"> „Ekspertu interviju rezultātu mājokļa pieejamības jomā apkopojums”. </w:t>
      </w:r>
    </w:p>
    <w:p w:rsidR="002217A1" w:rsidRDefault="002217A1" w:rsidP="00F177EE"/>
    <w:p w:rsidR="00F177EE" w:rsidRPr="006B4D95" w:rsidRDefault="00F177EE" w:rsidP="0083731E">
      <w:r w:rsidRPr="004A13FE">
        <w:t xml:space="preserve">3.1.-3.8. uzdevumu izpildes noslēgumā </w:t>
      </w:r>
      <w:r w:rsidR="0083731E">
        <w:t>tika rīkota</w:t>
      </w:r>
      <w:r w:rsidR="0083731E" w:rsidRPr="004A13FE">
        <w:t xml:space="preserve"> vien</w:t>
      </w:r>
      <w:r w:rsidR="0083731E">
        <w:t>a</w:t>
      </w:r>
      <w:r w:rsidR="0083731E" w:rsidRPr="004A13FE">
        <w:t xml:space="preserve"> FGD </w:t>
      </w:r>
      <w:r w:rsidRPr="004A13FE">
        <w:t xml:space="preserve">ar mājokļu politikas ekspertiem un speciālistiem. FGD mērķis </w:t>
      </w:r>
      <w:r w:rsidR="0083731E">
        <w:t xml:space="preserve">bija iepazīstināt ekspertus ar Izvērtējuma </w:t>
      </w:r>
      <w:r w:rsidR="0083731E" w:rsidRPr="004A13FE">
        <w:t>rezultātiem, apspriest tos un diskutēt par pētnieku izstrādāto galveno secinājumu un rekomendāciju projekt</w:t>
      </w:r>
      <w:r w:rsidR="008D6552">
        <w:t>u. Tādējādi tā ir vērtējama kā I</w:t>
      </w:r>
      <w:r w:rsidR="0083731E" w:rsidRPr="004A13FE">
        <w:t>zvērtējuma rezultātu aprobācijas metode.</w:t>
      </w:r>
      <w:r w:rsidR="0083731E">
        <w:t xml:space="preserve"> FGD organizēšana ietvēra secīgus soļus – dalībnieku saraksta saskaņošana ar Pasūtītāju, FGD jautājumu vadlīniju precizēšana, dalībnieku uzaicināšana, FGD moderēšana, FGD norises audio ieraksta transkribēšana, datu apstrāde un analīze. FGD rezultāti ir apkopoti 8. pielikumā „Fokusa grupas diskusijas mājokļu pieejamības jomā </w:t>
      </w:r>
      <w:r w:rsidR="00D6730D">
        <w:t>apkopojums</w:t>
      </w:r>
      <w:r w:rsidR="0083731E">
        <w:t>”, kā arī ņemti vērā, izstrādājot secinājumus par nevienlīdzības mazināšanu mājokļa pieejamības jomā.</w:t>
      </w:r>
    </w:p>
    <w:p w:rsidR="00F177EE" w:rsidRPr="00B87378" w:rsidRDefault="00F177EE" w:rsidP="00C33A64">
      <w:pPr>
        <w:pStyle w:val="virsrakstslvl4"/>
      </w:pPr>
      <w:bookmarkStart w:id="1249" w:name="_Toc528761681"/>
      <w:bookmarkStart w:id="1250" w:name="_Toc528762844"/>
      <w:bookmarkStart w:id="1251" w:name="_Toc528768902"/>
      <w:bookmarkStart w:id="1252" w:name="_Toc528847629"/>
      <w:bookmarkStart w:id="1253" w:name="_Toc528930613"/>
      <w:bookmarkStart w:id="1254" w:name="_Toc529170561"/>
      <w:bookmarkStart w:id="1255" w:name="_Toc529176284"/>
      <w:bookmarkStart w:id="1256" w:name="_Toc529180112"/>
      <w:bookmarkStart w:id="1257" w:name="_Toc529180357"/>
      <w:bookmarkStart w:id="1258" w:name="_Toc531694132"/>
      <w:bookmarkStart w:id="1259" w:name="_Toc531856237"/>
      <w:bookmarkStart w:id="1260" w:name="_Toc531860026"/>
      <w:bookmarkStart w:id="1261" w:name="_Toc535738812"/>
      <w:bookmarkStart w:id="1262" w:name="_Toc535741810"/>
      <w:bookmarkStart w:id="1263" w:name="_Toc535742163"/>
      <w:bookmarkStart w:id="1264" w:name="_Toc535916146"/>
      <w:bookmarkStart w:id="1265" w:name="_Toc535922798"/>
      <w:bookmarkStart w:id="1266" w:name="_Toc535935101"/>
      <w:bookmarkStart w:id="1267" w:name="_Toc788713"/>
      <w:bookmarkStart w:id="1268" w:name="_Toc868893"/>
      <w:bookmarkStart w:id="1269" w:name="_Toc2761178"/>
      <w:bookmarkStart w:id="1270" w:name="_Toc2848285"/>
      <w:bookmarkStart w:id="1271" w:name="_Toc6219345"/>
      <w:bookmarkStart w:id="1272" w:name="_Toc6220288"/>
      <w:bookmarkStart w:id="1273" w:name="_Toc6841716"/>
      <w:r w:rsidRPr="00B87378">
        <w:lastRenderedPageBreak/>
        <w:t>Integrēta analīze</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r w:rsidRPr="00B87378">
        <w:t xml:space="preserve"> </w:t>
      </w:r>
    </w:p>
    <w:p w:rsidR="00F177EE" w:rsidRPr="00324B63" w:rsidRDefault="00F177EE" w:rsidP="00C33A64">
      <w:pPr>
        <w:pStyle w:val="under"/>
        <w:rPr>
          <w:b/>
        </w:rPr>
      </w:pPr>
      <w:bookmarkStart w:id="1274" w:name="_Toc2761179"/>
      <w:bookmarkStart w:id="1275" w:name="_Toc2848286"/>
      <w:bookmarkStart w:id="1276" w:name="_Toc6219346"/>
      <w:bookmarkStart w:id="1277" w:name="_Toc6220289"/>
      <w:bookmarkStart w:id="1278" w:name="_Toc6841717"/>
      <w:r w:rsidRPr="007432E7">
        <w:t>Uzdevumi</w:t>
      </w:r>
      <w:r w:rsidRPr="00324B63">
        <w:t>:</w:t>
      </w:r>
      <w:bookmarkEnd w:id="1274"/>
      <w:bookmarkEnd w:id="1275"/>
      <w:bookmarkEnd w:id="1276"/>
      <w:bookmarkEnd w:id="1277"/>
      <w:bookmarkEnd w:id="1278"/>
      <w:r w:rsidRPr="00324B63">
        <w:t xml:space="preserve"> </w:t>
      </w:r>
    </w:p>
    <w:p w:rsidR="00F177EE" w:rsidRPr="00324B63" w:rsidRDefault="00F177EE" w:rsidP="00496284">
      <w:pPr>
        <w:pStyle w:val="ListParagraph"/>
        <w:spacing w:line="276" w:lineRule="auto"/>
        <w:jc w:val="both"/>
      </w:pPr>
      <w:r w:rsidRPr="00324B63">
        <w:t xml:space="preserve">3.9. Sagatavot secinājumus par nevienlīdzību mājokļa jomā attiecībā uz TS 3.9. punktā definētajām mērķa grupām. </w:t>
      </w:r>
    </w:p>
    <w:p w:rsidR="00F177EE" w:rsidRPr="00324B63" w:rsidRDefault="00F177EE" w:rsidP="00496284">
      <w:pPr>
        <w:pStyle w:val="ListParagraph"/>
        <w:spacing w:line="276" w:lineRule="auto"/>
        <w:jc w:val="both"/>
      </w:pPr>
      <w:r w:rsidRPr="00324B63">
        <w:t>3.10. Sagatavot rekomendācijas  par nepieciešamajiem uzlabojumiem (t.sk. normatīvo aktu pilnveidi) rīcībpolitikā nevienlīdzības mājokļa jomā mazināšanai.</w:t>
      </w:r>
    </w:p>
    <w:p w:rsidR="00F177EE" w:rsidRPr="00324B63" w:rsidRDefault="00F177EE" w:rsidP="00496284">
      <w:pPr>
        <w:pStyle w:val="ListParagraph"/>
        <w:spacing w:line="276" w:lineRule="auto"/>
        <w:jc w:val="both"/>
      </w:pPr>
      <w:r w:rsidRPr="00324B63">
        <w:t>3.11. Izstrādāt priekšlikumu atbalsta mehānismam, norādot indikatīvu tam nepieciešamā finansējuma apjomu, lai noteiktu laiku pasargātu īrnieku, kuram nav trūcīgas vai maznodrošinātas personas statuss, un viņa ģimeni no izlikšanas no dzīvokļa, gadījumā, ja īrnieks vai īrnieka ģimene nokļuvusi nelabvēlīgā sociālā situācijā un īrniekam īslaicīgi nav iespējams samaksāt īri, tādējādi dodot īrniekam laiku situāciju sakārtot.</w:t>
      </w:r>
    </w:p>
    <w:p w:rsidR="00F177EE" w:rsidRPr="00324B63" w:rsidRDefault="00F177EE" w:rsidP="00F177EE">
      <w:pPr>
        <w:jc w:val="left"/>
        <w:rPr>
          <w:rFonts w:asciiTheme="majorHAnsi" w:eastAsiaTheme="majorEastAsia" w:hAnsiTheme="majorHAnsi" w:cstheme="majorBidi"/>
          <w:b/>
          <w:bCs/>
          <w:sz w:val="26"/>
          <w:szCs w:val="26"/>
        </w:rPr>
      </w:pPr>
    </w:p>
    <w:p w:rsidR="00F177EE" w:rsidRDefault="00F177EE" w:rsidP="00F177EE">
      <w:r w:rsidRPr="00324B63">
        <w:t>Integrētā analīze paredz</w:t>
      </w:r>
      <w:r w:rsidR="0083731E" w:rsidRPr="00324B63">
        <w:t>ēja</w:t>
      </w:r>
      <w:r w:rsidRPr="00324B63">
        <w:t xml:space="preserve"> apkopot visu mājokļa pieejamības jomā veikto uzdevumu atziņas un</w:t>
      </w:r>
      <w:r w:rsidRPr="000176CF">
        <w:t xml:space="preserve"> secinājumus. </w:t>
      </w:r>
      <w:r w:rsidR="0083731E">
        <w:t>B</w:t>
      </w:r>
      <w:r w:rsidRPr="000176CF">
        <w:t>alstoties uz dokumentu analīzes, statistikas datu analīzes, ekspertu interviju un fokusa grupu diskusiju rezultātiem, tik</w:t>
      </w:r>
      <w:r w:rsidR="0083731E">
        <w:t>a</w:t>
      </w:r>
      <w:r w:rsidRPr="000176CF">
        <w:t xml:space="preserve"> sagatavoti secinājumi par nevienlīdzību </w:t>
      </w:r>
      <w:r>
        <w:t>mājokļu</w:t>
      </w:r>
      <w:r w:rsidRPr="000176CF">
        <w:t xml:space="preserve"> pieejamībā attiecībā uz TS 3.</w:t>
      </w:r>
      <w:r>
        <w:t>9</w:t>
      </w:r>
      <w:r w:rsidRPr="000176CF">
        <w:t xml:space="preserve">. punktā noteiktajām mērķa grupām un rekomendācijas par nepieciešamajiem uzlabojumiem (t.sk. normatīvo aktu pilnveidi) </w:t>
      </w:r>
      <w:r w:rsidRPr="00C23CA9">
        <w:t>rīcībpolitikā nevienlīdzības mājokļa jomā mazināšanai</w:t>
      </w:r>
      <w:r>
        <w:rPr>
          <w:color w:val="000000"/>
        </w:rPr>
        <w:t xml:space="preserve">. </w:t>
      </w:r>
      <w:r>
        <w:t>Integrētās analīzes rezultātā tik</w:t>
      </w:r>
      <w:r w:rsidR="0083731E">
        <w:t>a</w:t>
      </w:r>
      <w:r>
        <w:t xml:space="preserve"> arī izstrādāts priekšlikums</w:t>
      </w:r>
      <w:r w:rsidRPr="00C23CA9">
        <w:t xml:space="preserve"> atbalsta mehānismam, norādot indikatīvu tam nepieciešamā finansējuma apjomu, lai noteiktu laiku pasargātu īrnieku, kuram nav trūcīgas vai maznodrošinātas personas statuss, un viņa ģimeni no izlikšanas no dzīvokļa, gadījumā, ja īrnieks vai īrnieka ģimene nokļuvusi nelabvēlīgā sociālā situācijā un īrniekam īslaicīgi nav iespējams samaksāt īri, tādējādi dodot īrniekam laiku situāciju sakārtot</w:t>
      </w:r>
      <w:r>
        <w:t xml:space="preserve">. </w:t>
      </w:r>
    </w:p>
    <w:p w:rsidR="0083731E" w:rsidRDefault="0083731E" w:rsidP="00F177EE">
      <w:pPr>
        <w:sectPr w:rsidR="0083731E" w:rsidSect="00671056">
          <w:footerReference w:type="default" r:id="rId359"/>
          <w:pgSz w:w="11906" w:h="16838"/>
          <w:pgMar w:top="1440" w:right="1080" w:bottom="1440" w:left="1134" w:header="708" w:footer="708" w:gutter="0"/>
          <w:cols w:space="708"/>
          <w:titlePg/>
          <w:docGrid w:linePitch="360"/>
        </w:sectPr>
      </w:pPr>
    </w:p>
    <w:p w:rsidR="00A36A64" w:rsidRDefault="00A36A64" w:rsidP="004C1ABB">
      <w:pPr>
        <w:pStyle w:val="pielikumiem"/>
      </w:pPr>
      <w:bookmarkStart w:id="1279" w:name="_Toc6841718"/>
      <w:r>
        <w:lastRenderedPageBreak/>
        <w:t>pielikums. Ekspertu un fokusa grupu dalībnieku saraksts</w:t>
      </w:r>
      <w:bookmarkEnd w:id="1279"/>
    </w:p>
    <w:p w:rsidR="00A36A64" w:rsidRPr="00324B63" w:rsidRDefault="00A36A64" w:rsidP="00A36A64">
      <w:r w:rsidRPr="00EC1A1D">
        <w:t xml:space="preserve">Ekspertu interviju un fokusa grupu diskusiju </w:t>
      </w:r>
      <w:r w:rsidR="00E539A6">
        <w:t xml:space="preserve">(FGD) </w:t>
      </w:r>
      <w:r w:rsidRPr="00EC1A1D">
        <w:t>dalībnieku sarakstā ir iekļaut</w:t>
      </w:r>
      <w:r>
        <w:t>i</w:t>
      </w:r>
      <w:r w:rsidRPr="00EC1A1D">
        <w:t xml:space="preserve"> </w:t>
      </w:r>
      <w:r>
        <w:t>eksperti, kas piedalījās intervijās un fokusa grupu diskusijās. Saskaņā ar</w:t>
      </w:r>
      <w:r w:rsidRPr="00EC1A1D">
        <w:t xml:space="preserve"> </w:t>
      </w:r>
      <w:r>
        <w:t xml:space="preserve">Izvērtējuma metodoloģiju tika paredzēts veikt 20 ekspertu intervijas, aptverot ekspertus no visām trīs Izvērtējuma jomām (kopumā ir veiktas </w:t>
      </w:r>
      <w:r w:rsidRPr="00324B63">
        <w:t>25 intervijas ar 27 ekspertu piedalīšanos), kā arī organizēt divas fokusa grupu diskusijas ar 6-</w:t>
      </w:r>
      <w:r w:rsidR="00E539A6" w:rsidRPr="00324B63">
        <w:t>8</w:t>
      </w:r>
      <w:r w:rsidRPr="00324B63">
        <w:t xml:space="preserve"> dalībnieku piedalīšanos</w:t>
      </w:r>
      <w:r w:rsidR="00E539A6" w:rsidRPr="00324B63">
        <w:t xml:space="preserve"> katrā</w:t>
      </w:r>
      <w:r w:rsidRPr="00324B63">
        <w:t xml:space="preserve"> – vien</w:t>
      </w:r>
      <w:r w:rsidR="00E539A6" w:rsidRPr="00324B63">
        <w:t>a</w:t>
      </w:r>
      <w:r w:rsidRPr="00324B63">
        <w:t xml:space="preserve"> </w:t>
      </w:r>
      <w:r w:rsidR="00E539A6" w:rsidRPr="00324B63">
        <w:t>FGD</w:t>
      </w:r>
      <w:r w:rsidRPr="00324B63">
        <w:t xml:space="preserve"> mājokļa jomā un otra </w:t>
      </w:r>
      <w:r w:rsidR="00E539A6" w:rsidRPr="00324B63">
        <w:t>FGD</w:t>
      </w:r>
      <w:r w:rsidRPr="00324B63">
        <w:t xml:space="preserve"> nevienlīdzības veselības aprūpes jomā.  </w:t>
      </w:r>
    </w:p>
    <w:p w:rsidR="00A36A64" w:rsidRPr="00324B63" w:rsidRDefault="00A36A64" w:rsidP="00A36A64">
      <w:pPr>
        <w:jc w:val="left"/>
        <w:rPr>
          <w:b/>
          <w:i/>
        </w:rPr>
      </w:pPr>
    </w:p>
    <w:tbl>
      <w:tblPr>
        <w:tblW w:w="9601" w:type="dxa"/>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47"/>
        <w:gridCol w:w="5812"/>
        <w:gridCol w:w="1842"/>
      </w:tblGrid>
      <w:tr w:rsidR="00A36A64" w:rsidRPr="00C85EB4" w:rsidTr="00C85EB4">
        <w:trPr>
          <w:trHeight w:val="333"/>
        </w:trPr>
        <w:tc>
          <w:tcPr>
            <w:tcW w:w="1947" w:type="dxa"/>
          </w:tcPr>
          <w:p w:rsidR="00A36A64" w:rsidRPr="00C85EB4" w:rsidRDefault="00A36A64" w:rsidP="00A36A64">
            <w:pPr>
              <w:ind w:left="-38"/>
              <w:jc w:val="center"/>
              <w:rPr>
                <w:b/>
                <w:sz w:val="22"/>
                <w:szCs w:val="22"/>
              </w:rPr>
            </w:pPr>
            <w:r w:rsidRPr="00C85EB4">
              <w:rPr>
                <w:b/>
                <w:sz w:val="22"/>
                <w:szCs w:val="22"/>
              </w:rPr>
              <w:t>Vārds, uzvārds</w:t>
            </w:r>
          </w:p>
        </w:tc>
        <w:tc>
          <w:tcPr>
            <w:tcW w:w="5812" w:type="dxa"/>
          </w:tcPr>
          <w:p w:rsidR="00A36A64" w:rsidRPr="00C85EB4" w:rsidRDefault="00A36A64" w:rsidP="00A36A64">
            <w:pPr>
              <w:jc w:val="center"/>
              <w:rPr>
                <w:b/>
                <w:sz w:val="22"/>
                <w:szCs w:val="22"/>
              </w:rPr>
            </w:pPr>
            <w:r w:rsidRPr="00C85EB4">
              <w:rPr>
                <w:b/>
                <w:sz w:val="22"/>
                <w:szCs w:val="22"/>
              </w:rPr>
              <w:t>Amats</w:t>
            </w:r>
          </w:p>
        </w:tc>
        <w:tc>
          <w:tcPr>
            <w:tcW w:w="1842" w:type="dxa"/>
          </w:tcPr>
          <w:p w:rsidR="00A36A64" w:rsidRPr="00C85EB4" w:rsidRDefault="00A36A64" w:rsidP="00A36A64">
            <w:pPr>
              <w:ind w:left="-38"/>
              <w:jc w:val="center"/>
              <w:rPr>
                <w:b/>
                <w:sz w:val="22"/>
                <w:szCs w:val="22"/>
              </w:rPr>
            </w:pPr>
            <w:r w:rsidRPr="00C85EB4">
              <w:rPr>
                <w:b/>
                <w:sz w:val="22"/>
                <w:szCs w:val="22"/>
              </w:rPr>
              <w:t>Dalība intervijā/ FGD</w:t>
            </w:r>
          </w:p>
        </w:tc>
      </w:tr>
      <w:tr w:rsidR="00A36A64" w:rsidRPr="00615C75" w:rsidTr="0088759D">
        <w:trPr>
          <w:trHeight w:val="419"/>
        </w:trPr>
        <w:tc>
          <w:tcPr>
            <w:tcW w:w="9601" w:type="dxa"/>
            <w:gridSpan w:val="3"/>
            <w:shd w:val="clear" w:color="auto" w:fill="B8CCE4" w:themeFill="accent1" w:themeFillTint="66"/>
          </w:tcPr>
          <w:p w:rsidR="00A36A64" w:rsidRPr="00615C75" w:rsidRDefault="00A36A64" w:rsidP="00324B63">
            <w:pPr>
              <w:keepNext/>
              <w:jc w:val="center"/>
              <w:rPr>
                <w:b/>
                <w:color w:val="002060"/>
                <w:sz w:val="22"/>
                <w:szCs w:val="22"/>
              </w:rPr>
            </w:pPr>
            <w:r w:rsidRPr="00615C75">
              <w:rPr>
                <w:b/>
                <w:color w:val="002060"/>
                <w:sz w:val="22"/>
                <w:szCs w:val="22"/>
              </w:rPr>
              <w:t>VISPĀRĒJIE EKSPERTI</w:t>
            </w:r>
          </w:p>
        </w:tc>
      </w:tr>
      <w:tr w:rsidR="00A36A64" w:rsidRPr="00C85EB4" w:rsidTr="00C85EB4">
        <w:tc>
          <w:tcPr>
            <w:tcW w:w="1947" w:type="dxa"/>
            <w:tcBorders>
              <w:top w:val="single" w:sz="4" w:space="0" w:color="auto"/>
              <w:bottom w:val="single" w:sz="4" w:space="0" w:color="auto"/>
            </w:tcBorders>
          </w:tcPr>
          <w:p w:rsidR="00A36A64" w:rsidRPr="00C85EB4" w:rsidRDefault="00A36A64" w:rsidP="00A36A64">
            <w:pPr>
              <w:rPr>
                <w:sz w:val="22"/>
                <w:szCs w:val="22"/>
              </w:rPr>
            </w:pPr>
            <w:r w:rsidRPr="00C85EB4">
              <w:rPr>
                <w:sz w:val="22"/>
                <w:szCs w:val="22"/>
              </w:rPr>
              <w:t>Aino Salmiņš</w:t>
            </w:r>
          </w:p>
        </w:tc>
        <w:tc>
          <w:tcPr>
            <w:tcW w:w="5812" w:type="dxa"/>
            <w:tcBorders>
              <w:top w:val="single" w:sz="4" w:space="0" w:color="auto"/>
              <w:bottom w:val="single" w:sz="4" w:space="0" w:color="auto"/>
            </w:tcBorders>
          </w:tcPr>
          <w:p w:rsidR="00A36A64" w:rsidRPr="00C85EB4" w:rsidRDefault="00A36A64" w:rsidP="00A36A64">
            <w:pPr>
              <w:jc w:val="left"/>
              <w:rPr>
                <w:sz w:val="22"/>
                <w:szCs w:val="22"/>
              </w:rPr>
            </w:pPr>
            <w:r w:rsidRPr="00C85EB4">
              <w:rPr>
                <w:sz w:val="22"/>
                <w:szCs w:val="22"/>
              </w:rPr>
              <w:t>LPS padomnieks tautsaimniecības jautājumos</w:t>
            </w:r>
          </w:p>
        </w:tc>
        <w:tc>
          <w:tcPr>
            <w:tcW w:w="1842" w:type="dxa"/>
            <w:tcBorders>
              <w:top w:val="single" w:sz="4" w:space="0" w:color="auto"/>
              <w:bottom w:val="single" w:sz="4" w:space="0" w:color="auto"/>
            </w:tcBorders>
            <w:shd w:val="clear" w:color="auto" w:fill="auto"/>
          </w:tcPr>
          <w:p w:rsidR="00A36A64" w:rsidRPr="00C85EB4" w:rsidRDefault="00A36A64" w:rsidP="00A36A64">
            <w:pPr>
              <w:jc w:val="left"/>
              <w:rPr>
                <w:sz w:val="22"/>
                <w:szCs w:val="22"/>
              </w:rPr>
            </w:pPr>
            <w:r w:rsidRPr="00C85EB4">
              <w:rPr>
                <w:sz w:val="22"/>
                <w:szCs w:val="22"/>
              </w:rPr>
              <w:t>Intervija</w:t>
            </w:r>
          </w:p>
        </w:tc>
      </w:tr>
      <w:tr w:rsidR="00A36A64" w:rsidRPr="00C85EB4" w:rsidTr="00C85EB4">
        <w:trPr>
          <w:trHeight w:val="69"/>
        </w:trPr>
        <w:tc>
          <w:tcPr>
            <w:tcW w:w="1947" w:type="dxa"/>
            <w:tcBorders>
              <w:top w:val="single" w:sz="4" w:space="0" w:color="auto"/>
            </w:tcBorders>
          </w:tcPr>
          <w:p w:rsidR="00A36A64" w:rsidRPr="00C85EB4" w:rsidRDefault="00A36A64" w:rsidP="00A36A64">
            <w:pPr>
              <w:rPr>
                <w:sz w:val="22"/>
                <w:szCs w:val="22"/>
              </w:rPr>
            </w:pPr>
            <w:r w:rsidRPr="00C85EB4">
              <w:rPr>
                <w:sz w:val="22"/>
                <w:szCs w:val="22"/>
              </w:rPr>
              <w:t>Ilze Rudzīte</w:t>
            </w:r>
          </w:p>
        </w:tc>
        <w:tc>
          <w:tcPr>
            <w:tcW w:w="5812" w:type="dxa"/>
            <w:tcBorders>
              <w:top w:val="single" w:sz="4" w:space="0" w:color="auto"/>
            </w:tcBorders>
          </w:tcPr>
          <w:p w:rsidR="00A36A64" w:rsidRPr="00C85EB4" w:rsidRDefault="00A36A64" w:rsidP="00A36A64">
            <w:pPr>
              <w:jc w:val="left"/>
              <w:rPr>
                <w:sz w:val="22"/>
                <w:szCs w:val="22"/>
              </w:rPr>
            </w:pPr>
            <w:r w:rsidRPr="00C85EB4">
              <w:rPr>
                <w:sz w:val="22"/>
                <w:szCs w:val="22"/>
              </w:rPr>
              <w:t>LPS padomniece veselības un sociālajos jautājumos</w:t>
            </w:r>
          </w:p>
        </w:tc>
        <w:tc>
          <w:tcPr>
            <w:tcW w:w="1842" w:type="dxa"/>
            <w:tcBorders>
              <w:top w:val="single" w:sz="4" w:space="0" w:color="auto"/>
              <w:bottom w:val="nil"/>
            </w:tcBorders>
            <w:shd w:val="clear" w:color="auto" w:fill="auto"/>
          </w:tcPr>
          <w:p w:rsidR="00A36A64" w:rsidRPr="00C85EB4" w:rsidRDefault="00A36A64" w:rsidP="00A36A64">
            <w:pPr>
              <w:jc w:val="left"/>
              <w:rPr>
                <w:sz w:val="22"/>
                <w:szCs w:val="22"/>
              </w:rPr>
            </w:pPr>
            <w:r w:rsidRPr="00C85EB4">
              <w:rPr>
                <w:sz w:val="22"/>
                <w:szCs w:val="22"/>
              </w:rPr>
              <w:t>Intervija</w:t>
            </w:r>
          </w:p>
        </w:tc>
      </w:tr>
      <w:tr w:rsidR="00A36A64" w:rsidRPr="00C85EB4" w:rsidTr="00C85EB4">
        <w:trPr>
          <w:trHeight w:val="577"/>
        </w:trPr>
        <w:tc>
          <w:tcPr>
            <w:tcW w:w="1947" w:type="dxa"/>
          </w:tcPr>
          <w:p w:rsidR="00A36A64" w:rsidRPr="00C85EB4" w:rsidRDefault="00A36A64" w:rsidP="00A36A64">
            <w:pPr>
              <w:rPr>
                <w:sz w:val="22"/>
                <w:szCs w:val="22"/>
              </w:rPr>
            </w:pPr>
            <w:r w:rsidRPr="00C85EB4">
              <w:rPr>
                <w:sz w:val="22"/>
                <w:szCs w:val="22"/>
              </w:rPr>
              <w:t>Elīna Celmiņa</w:t>
            </w:r>
          </w:p>
        </w:tc>
        <w:tc>
          <w:tcPr>
            <w:tcW w:w="5812" w:type="dxa"/>
          </w:tcPr>
          <w:p w:rsidR="00A36A64" w:rsidRPr="00C85EB4" w:rsidRDefault="00A36A64" w:rsidP="00A36A64">
            <w:pPr>
              <w:jc w:val="left"/>
              <w:rPr>
                <w:sz w:val="22"/>
                <w:szCs w:val="22"/>
              </w:rPr>
            </w:pPr>
            <w:r w:rsidRPr="00C85EB4">
              <w:rPr>
                <w:sz w:val="22"/>
                <w:szCs w:val="22"/>
              </w:rPr>
              <w:t>LM Sociālās iekļaušanas politikas departamenta direktore</w:t>
            </w:r>
          </w:p>
        </w:tc>
        <w:tc>
          <w:tcPr>
            <w:tcW w:w="1842" w:type="dxa"/>
          </w:tcPr>
          <w:p w:rsidR="00A36A64" w:rsidRPr="00C85EB4" w:rsidRDefault="00A36A64" w:rsidP="00A36A64">
            <w:pPr>
              <w:jc w:val="left"/>
              <w:rPr>
                <w:sz w:val="22"/>
                <w:szCs w:val="22"/>
              </w:rPr>
            </w:pPr>
            <w:r w:rsidRPr="00C85EB4">
              <w:rPr>
                <w:sz w:val="22"/>
                <w:szCs w:val="22"/>
              </w:rPr>
              <w:t>Intervija</w:t>
            </w:r>
          </w:p>
        </w:tc>
      </w:tr>
      <w:tr w:rsidR="00A36A64" w:rsidRPr="00C85EB4" w:rsidTr="00C85EB4">
        <w:trPr>
          <w:trHeight w:val="150"/>
        </w:trPr>
        <w:tc>
          <w:tcPr>
            <w:tcW w:w="1947" w:type="dxa"/>
          </w:tcPr>
          <w:p w:rsidR="00A36A64" w:rsidRPr="00C85EB4" w:rsidRDefault="00A36A64" w:rsidP="00A36A64">
            <w:pPr>
              <w:rPr>
                <w:sz w:val="22"/>
                <w:szCs w:val="22"/>
              </w:rPr>
            </w:pPr>
            <w:r w:rsidRPr="00C85EB4">
              <w:rPr>
                <w:iCs/>
                <w:sz w:val="22"/>
                <w:szCs w:val="22"/>
              </w:rPr>
              <w:t>Ineta Rezevska</w:t>
            </w:r>
          </w:p>
        </w:tc>
        <w:tc>
          <w:tcPr>
            <w:tcW w:w="5812" w:type="dxa"/>
          </w:tcPr>
          <w:p w:rsidR="00A36A64" w:rsidRPr="00C85EB4" w:rsidRDefault="00A36A64" w:rsidP="00A36A64">
            <w:pPr>
              <w:jc w:val="left"/>
              <w:rPr>
                <w:sz w:val="22"/>
                <w:szCs w:val="22"/>
              </w:rPr>
            </w:pPr>
            <w:r w:rsidRPr="00C85EB4">
              <w:rPr>
                <w:sz w:val="22"/>
                <w:szCs w:val="22"/>
              </w:rPr>
              <w:t xml:space="preserve">Tiesībsarga birojs Sociālo, Ekonomisko un kultūras tiesību nodaļas vadītāja </w:t>
            </w:r>
          </w:p>
        </w:tc>
        <w:tc>
          <w:tcPr>
            <w:tcW w:w="1842" w:type="dxa"/>
          </w:tcPr>
          <w:p w:rsidR="00A36A64" w:rsidRPr="00C85EB4" w:rsidRDefault="00A36A64" w:rsidP="00A36A64">
            <w:pPr>
              <w:jc w:val="left"/>
              <w:rPr>
                <w:sz w:val="22"/>
                <w:szCs w:val="22"/>
              </w:rPr>
            </w:pPr>
            <w:r w:rsidRPr="00C85EB4">
              <w:rPr>
                <w:sz w:val="22"/>
                <w:szCs w:val="22"/>
              </w:rPr>
              <w:t>Intervija</w:t>
            </w:r>
          </w:p>
        </w:tc>
      </w:tr>
      <w:tr w:rsidR="00A36A64" w:rsidRPr="00C85EB4" w:rsidTr="00C85EB4">
        <w:trPr>
          <w:trHeight w:val="129"/>
        </w:trPr>
        <w:tc>
          <w:tcPr>
            <w:tcW w:w="1947" w:type="dxa"/>
          </w:tcPr>
          <w:p w:rsidR="00A36A64" w:rsidRPr="00C85EB4" w:rsidRDefault="00A36A64" w:rsidP="00A36A64">
            <w:pPr>
              <w:rPr>
                <w:sz w:val="22"/>
                <w:szCs w:val="22"/>
              </w:rPr>
            </w:pPr>
            <w:r w:rsidRPr="00C85EB4">
              <w:rPr>
                <w:iCs/>
                <w:sz w:val="22"/>
                <w:szCs w:val="22"/>
              </w:rPr>
              <w:t>Laila Grāvere</w:t>
            </w:r>
          </w:p>
        </w:tc>
        <w:tc>
          <w:tcPr>
            <w:tcW w:w="5812" w:type="dxa"/>
          </w:tcPr>
          <w:p w:rsidR="00A36A64" w:rsidRPr="00C85EB4" w:rsidRDefault="00A36A64" w:rsidP="00A36A64">
            <w:pPr>
              <w:jc w:val="left"/>
              <w:rPr>
                <w:sz w:val="22"/>
                <w:szCs w:val="22"/>
              </w:rPr>
            </w:pPr>
            <w:r w:rsidRPr="00C85EB4">
              <w:rPr>
                <w:sz w:val="22"/>
                <w:szCs w:val="22"/>
              </w:rPr>
              <w:t>Tiesībsarga birojs Sociālo, Bērnu tiesību nodaļas vadītāja</w:t>
            </w:r>
          </w:p>
        </w:tc>
        <w:tc>
          <w:tcPr>
            <w:tcW w:w="1842" w:type="dxa"/>
          </w:tcPr>
          <w:p w:rsidR="00A36A64" w:rsidRPr="00C85EB4" w:rsidRDefault="00A36A64" w:rsidP="00A36A64">
            <w:pPr>
              <w:jc w:val="left"/>
              <w:rPr>
                <w:sz w:val="22"/>
                <w:szCs w:val="22"/>
              </w:rPr>
            </w:pPr>
            <w:r w:rsidRPr="00C85EB4">
              <w:rPr>
                <w:sz w:val="22"/>
                <w:szCs w:val="22"/>
              </w:rPr>
              <w:t>Intervija</w:t>
            </w:r>
          </w:p>
        </w:tc>
      </w:tr>
      <w:tr w:rsidR="00A36A64" w:rsidRPr="00C85EB4" w:rsidTr="00C85EB4">
        <w:trPr>
          <w:trHeight w:val="393"/>
        </w:trPr>
        <w:tc>
          <w:tcPr>
            <w:tcW w:w="1947" w:type="dxa"/>
          </w:tcPr>
          <w:p w:rsidR="00A36A64" w:rsidRPr="00C85EB4" w:rsidRDefault="00A36A64" w:rsidP="00A36A64">
            <w:pPr>
              <w:rPr>
                <w:bCs/>
                <w:sz w:val="22"/>
                <w:szCs w:val="22"/>
              </w:rPr>
            </w:pPr>
            <w:r w:rsidRPr="00C85EB4">
              <w:rPr>
                <w:bCs/>
                <w:sz w:val="22"/>
                <w:szCs w:val="22"/>
              </w:rPr>
              <w:t>Viktorija Boļšakova</w:t>
            </w:r>
          </w:p>
        </w:tc>
        <w:tc>
          <w:tcPr>
            <w:tcW w:w="5812" w:type="dxa"/>
          </w:tcPr>
          <w:p w:rsidR="00A36A64" w:rsidRPr="00C85EB4" w:rsidRDefault="00A36A64" w:rsidP="00A36A64">
            <w:pPr>
              <w:jc w:val="left"/>
              <w:rPr>
                <w:sz w:val="22"/>
                <w:szCs w:val="22"/>
              </w:rPr>
            </w:pPr>
            <w:r w:rsidRPr="00C85EB4">
              <w:rPr>
                <w:sz w:val="22"/>
                <w:szCs w:val="22"/>
              </w:rPr>
              <w:t>LM Bērnu un ģimenes lietu politikas departamenta vecākā eksperte vardarbības jautājumos</w:t>
            </w:r>
          </w:p>
        </w:tc>
        <w:tc>
          <w:tcPr>
            <w:tcW w:w="1842" w:type="dxa"/>
          </w:tcPr>
          <w:p w:rsidR="00A36A64" w:rsidRPr="00C85EB4" w:rsidRDefault="00A36A64" w:rsidP="00A36A64">
            <w:pPr>
              <w:jc w:val="left"/>
              <w:rPr>
                <w:sz w:val="22"/>
                <w:szCs w:val="22"/>
              </w:rPr>
            </w:pPr>
            <w:r w:rsidRPr="00C85EB4">
              <w:rPr>
                <w:sz w:val="22"/>
                <w:szCs w:val="22"/>
              </w:rPr>
              <w:t>Intervija</w:t>
            </w:r>
          </w:p>
        </w:tc>
      </w:tr>
      <w:tr w:rsidR="00A36A64" w:rsidRPr="00C85EB4" w:rsidTr="00C85EB4">
        <w:trPr>
          <w:trHeight w:val="387"/>
        </w:trPr>
        <w:tc>
          <w:tcPr>
            <w:tcW w:w="1947" w:type="dxa"/>
          </w:tcPr>
          <w:p w:rsidR="00A36A64" w:rsidRPr="00C85EB4" w:rsidRDefault="00A36A64" w:rsidP="00A36A64">
            <w:pPr>
              <w:jc w:val="left"/>
              <w:rPr>
                <w:bCs/>
                <w:sz w:val="22"/>
                <w:szCs w:val="22"/>
              </w:rPr>
            </w:pPr>
            <w:r w:rsidRPr="00C85EB4">
              <w:rPr>
                <w:bCs/>
                <w:sz w:val="22"/>
                <w:szCs w:val="22"/>
              </w:rPr>
              <w:t>Elīna Ālere-Fogele</w:t>
            </w:r>
          </w:p>
        </w:tc>
        <w:tc>
          <w:tcPr>
            <w:tcW w:w="5812" w:type="dxa"/>
          </w:tcPr>
          <w:p w:rsidR="00A36A64" w:rsidRPr="00C85EB4" w:rsidRDefault="00A36A64" w:rsidP="00A36A64">
            <w:pPr>
              <w:jc w:val="left"/>
              <w:rPr>
                <w:bCs/>
                <w:sz w:val="22"/>
                <w:szCs w:val="22"/>
              </w:rPr>
            </w:pPr>
            <w:r w:rsidRPr="00C85EB4">
              <w:rPr>
                <w:sz w:val="22"/>
                <w:szCs w:val="22"/>
              </w:rPr>
              <w:t xml:space="preserve">Latvijas PretNabadzības tīkla </w:t>
            </w:r>
            <w:r w:rsidRPr="00C85EB4">
              <w:rPr>
                <w:i/>
                <w:sz w:val="22"/>
                <w:szCs w:val="22"/>
              </w:rPr>
              <w:t>(EAPN-Latvia</w:t>
            </w:r>
            <w:r w:rsidRPr="00C85EB4">
              <w:rPr>
                <w:sz w:val="22"/>
                <w:szCs w:val="22"/>
              </w:rPr>
              <w:t>)</w:t>
            </w:r>
            <w:r w:rsidRPr="00C85EB4">
              <w:rPr>
                <w:bCs/>
                <w:sz w:val="22"/>
                <w:szCs w:val="22"/>
              </w:rPr>
              <w:t xml:space="preserve"> valdes locekle</w:t>
            </w:r>
          </w:p>
        </w:tc>
        <w:tc>
          <w:tcPr>
            <w:tcW w:w="1842" w:type="dxa"/>
          </w:tcPr>
          <w:p w:rsidR="00A36A64" w:rsidRPr="00C85EB4" w:rsidRDefault="00A36A64" w:rsidP="00A36A64">
            <w:pPr>
              <w:jc w:val="left"/>
              <w:rPr>
                <w:sz w:val="22"/>
                <w:szCs w:val="22"/>
              </w:rPr>
            </w:pPr>
            <w:r w:rsidRPr="00C85EB4">
              <w:rPr>
                <w:sz w:val="22"/>
                <w:szCs w:val="22"/>
              </w:rPr>
              <w:t>Intervija</w:t>
            </w:r>
          </w:p>
        </w:tc>
      </w:tr>
      <w:tr w:rsidR="00A36A64" w:rsidRPr="00C85EB4" w:rsidTr="00C85EB4">
        <w:trPr>
          <w:trHeight w:val="387"/>
        </w:trPr>
        <w:tc>
          <w:tcPr>
            <w:tcW w:w="1947" w:type="dxa"/>
          </w:tcPr>
          <w:p w:rsidR="00A36A64" w:rsidRPr="00C85EB4" w:rsidRDefault="00A36A64" w:rsidP="00761672">
            <w:pPr>
              <w:rPr>
                <w:bCs/>
                <w:sz w:val="22"/>
                <w:szCs w:val="22"/>
              </w:rPr>
            </w:pPr>
            <w:r w:rsidRPr="00C85EB4">
              <w:rPr>
                <w:bCs/>
                <w:sz w:val="22"/>
                <w:szCs w:val="22"/>
              </w:rPr>
              <w:t>Daina Podziņa</w:t>
            </w:r>
          </w:p>
        </w:tc>
        <w:tc>
          <w:tcPr>
            <w:tcW w:w="5812" w:type="dxa"/>
          </w:tcPr>
          <w:p w:rsidR="00A36A64" w:rsidRPr="00C85EB4" w:rsidRDefault="00A36A64" w:rsidP="00A36A64">
            <w:pPr>
              <w:jc w:val="left"/>
              <w:rPr>
                <w:bCs/>
                <w:sz w:val="22"/>
                <w:szCs w:val="22"/>
              </w:rPr>
            </w:pPr>
            <w:r w:rsidRPr="00C85EB4">
              <w:rPr>
                <w:bCs/>
                <w:sz w:val="22"/>
                <w:szCs w:val="22"/>
              </w:rPr>
              <w:t>Biedrības „Apeirons” pārstāve</w:t>
            </w:r>
          </w:p>
        </w:tc>
        <w:tc>
          <w:tcPr>
            <w:tcW w:w="1842" w:type="dxa"/>
          </w:tcPr>
          <w:p w:rsidR="00A36A64" w:rsidRPr="00C85EB4" w:rsidRDefault="00A36A64" w:rsidP="00FE2A6C">
            <w:pPr>
              <w:jc w:val="left"/>
              <w:rPr>
                <w:sz w:val="22"/>
                <w:szCs w:val="22"/>
              </w:rPr>
            </w:pPr>
            <w:r w:rsidRPr="00C85EB4">
              <w:rPr>
                <w:sz w:val="22"/>
                <w:szCs w:val="22"/>
              </w:rPr>
              <w:t>Intervija</w:t>
            </w:r>
          </w:p>
        </w:tc>
      </w:tr>
      <w:tr w:rsidR="00A36A64" w:rsidRPr="00C85EB4" w:rsidTr="00C85EB4">
        <w:trPr>
          <w:trHeight w:val="387"/>
        </w:trPr>
        <w:tc>
          <w:tcPr>
            <w:tcW w:w="1947" w:type="dxa"/>
          </w:tcPr>
          <w:p w:rsidR="00A36A64" w:rsidRPr="00C85EB4" w:rsidRDefault="00A36A64" w:rsidP="00A36A64">
            <w:pPr>
              <w:rPr>
                <w:bCs/>
                <w:sz w:val="22"/>
                <w:szCs w:val="22"/>
              </w:rPr>
            </w:pPr>
            <w:r w:rsidRPr="00C85EB4">
              <w:rPr>
                <w:bCs/>
                <w:sz w:val="22"/>
                <w:szCs w:val="22"/>
              </w:rPr>
              <w:t>Gunta Anča</w:t>
            </w:r>
          </w:p>
        </w:tc>
        <w:tc>
          <w:tcPr>
            <w:tcW w:w="5812" w:type="dxa"/>
          </w:tcPr>
          <w:p w:rsidR="00A36A64" w:rsidRPr="00C85EB4" w:rsidRDefault="00A36A64" w:rsidP="00A36A64">
            <w:pPr>
              <w:jc w:val="left"/>
              <w:rPr>
                <w:bCs/>
                <w:sz w:val="22"/>
                <w:szCs w:val="22"/>
              </w:rPr>
            </w:pPr>
            <w:r w:rsidRPr="00C85EB4">
              <w:rPr>
                <w:bCs/>
                <w:sz w:val="22"/>
                <w:szCs w:val="22"/>
              </w:rPr>
              <w:t>Latvijas Cilvēku ar īpašām vajadzībām sadarbības organizācija SUSTENTO valdes priekšsēdētāja</w:t>
            </w:r>
          </w:p>
        </w:tc>
        <w:tc>
          <w:tcPr>
            <w:tcW w:w="1842" w:type="dxa"/>
          </w:tcPr>
          <w:p w:rsidR="00A36A64" w:rsidRPr="00C85EB4" w:rsidRDefault="00A36A64" w:rsidP="00A36A64">
            <w:pPr>
              <w:jc w:val="left"/>
              <w:rPr>
                <w:sz w:val="22"/>
                <w:szCs w:val="22"/>
              </w:rPr>
            </w:pPr>
            <w:r w:rsidRPr="00C85EB4">
              <w:rPr>
                <w:sz w:val="22"/>
                <w:szCs w:val="22"/>
              </w:rPr>
              <w:t>Intervija</w:t>
            </w:r>
          </w:p>
        </w:tc>
      </w:tr>
      <w:tr w:rsidR="00A36A64" w:rsidRPr="00615C75" w:rsidTr="0088759D">
        <w:trPr>
          <w:trHeight w:val="387"/>
        </w:trPr>
        <w:tc>
          <w:tcPr>
            <w:tcW w:w="9601" w:type="dxa"/>
            <w:gridSpan w:val="3"/>
            <w:tcBorders>
              <w:bottom w:val="single" w:sz="4" w:space="0" w:color="auto"/>
            </w:tcBorders>
            <w:shd w:val="clear" w:color="auto" w:fill="B8CCE4" w:themeFill="accent1" w:themeFillTint="66"/>
          </w:tcPr>
          <w:p w:rsidR="00A36A64" w:rsidRPr="00615C75" w:rsidRDefault="00A36A64" w:rsidP="00324B63">
            <w:pPr>
              <w:keepNext/>
              <w:jc w:val="center"/>
              <w:rPr>
                <w:color w:val="002060"/>
                <w:sz w:val="22"/>
                <w:szCs w:val="22"/>
              </w:rPr>
            </w:pPr>
            <w:r w:rsidRPr="00615C75">
              <w:rPr>
                <w:b/>
                <w:bCs/>
                <w:color w:val="002060"/>
                <w:sz w:val="22"/>
                <w:szCs w:val="22"/>
              </w:rPr>
              <w:t>VESELĪBAS APRŪPES</w:t>
            </w:r>
            <w:r w:rsidR="0053299E" w:rsidRPr="00615C75">
              <w:rPr>
                <w:b/>
                <w:bCs/>
                <w:color w:val="002060"/>
                <w:sz w:val="22"/>
                <w:szCs w:val="22"/>
              </w:rPr>
              <w:t xml:space="preserve"> JOMAS un SABIEDRĪBAS VESELĪBAS </w:t>
            </w:r>
            <w:r w:rsidRPr="00615C75">
              <w:rPr>
                <w:b/>
                <w:bCs/>
                <w:color w:val="002060"/>
                <w:sz w:val="22"/>
                <w:szCs w:val="22"/>
              </w:rPr>
              <w:t>JOMAS EKSPERTI</w:t>
            </w:r>
          </w:p>
        </w:tc>
      </w:tr>
      <w:tr w:rsidR="00E539A6" w:rsidRPr="00C85EB4" w:rsidTr="00C85EB4">
        <w:tc>
          <w:tcPr>
            <w:tcW w:w="1947" w:type="dxa"/>
          </w:tcPr>
          <w:p w:rsidR="00E539A6" w:rsidRPr="00C85EB4" w:rsidRDefault="00E539A6" w:rsidP="00A36A64">
            <w:pPr>
              <w:rPr>
                <w:sz w:val="22"/>
                <w:szCs w:val="22"/>
              </w:rPr>
            </w:pPr>
            <w:r w:rsidRPr="00C85EB4">
              <w:rPr>
                <w:sz w:val="22"/>
                <w:szCs w:val="22"/>
              </w:rPr>
              <w:t>Ineta Būmane</w:t>
            </w:r>
          </w:p>
        </w:tc>
        <w:tc>
          <w:tcPr>
            <w:tcW w:w="5812" w:type="dxa"/>
          </w:tcPr>
          <w:p w:rsidR="00E539A6" w:rsidRPr="00C85EB4" w:rsidRDefault="00E539A6" w:rsidP="00A36A64">
            <w:pPr>
              <w:jc w:val="left"/>
              <w:rPr>
                <w:sz w:val="22"/>
                <w:szCs w:val="22"/>
              </w:rPr>
            </w:pPr>
            <w:r w:rsidRPr="00C85EB4">
              <w:rPr>
                <w:sz w:val="22"/>
                <w:szCs w:val="22"/>
              </w:rPr>
              <w:t xml:space="preserve">VM, </w:t>
            </w:r>
            <w:r w:rsidRPr="00C85EB4">
              <w:rPr>
                <w:bCs/>
                <w:sz w:val="22"/>
                <w:szCs w:val="22"/>
              </w:rPr>
              <w:t>Veselības aprūpes organizācijas nodaļas vadītāja</w:t>
            </w:r>
          </w:p>
        </w:tc>
        <w:tc>
          <w:tcPr>
            <w:tcW w:w="1842" w:type="dxa"/>
          </w:tcPr>
          <w:p w:rsidR="00E539A6" w:rsidRPr="00C85EB4" w:rsidRDefault="00E539A6" w:rsidP="00D70ECD">
            <w:pPr>
              <w:jc w:val="left"/>
              <w:rPr>
                <w:sz w:val="22"/>
                <w:szCs w:val="22"/>
              </w:rPr>
            </w:pPr>
            <w:r w:rsidRPr="00C85EB4">
              <w:rPr>
                <w:sz w:val="22"/>
                <w:szCs w:val="22"/>
              </w:rPr>
              <w:t>Intervija</w:t>
            </w:r>
          </w:p>
        </w:tc>
      </w:tr>
      <w:tr w:rsidR="00E539A6" w:rsidRPr="00C85EB4" w:rsidTr="00C85EB4">
        <w:trPr>
          <w:trHeight w:val="139"/>
        </w:trPr>
        <w:tc>
          <w:tcPr>
            <w:tcW w:w="1947" w:type="dxa"/>
          </w:tcPr>
          <w:p w:rsidR="00E539A6" w:rsidRPr="00C85EB4" w:rsidRDefault="00E539A6" w:rsidP="00A36A64">
            <w:pPr>
              <w:rPr>
                <w:sz w:val="22"/>
                <w:szCs w:val="22"/>
              </w:rPr>
            </w:pPr>
            <w:r w:rsidRPr="00C85EB4">
              <w:rPr>
                <w:sz w:val="22"/>
                <w:szCs w:val="22"/>
              </w:rPr>
              <w:t>Laura Boltāne</w:t>
            </w:r>
          </w:p>
        </w:tc>
        <w:tc>
          <w:tcPr>
            <w:tcW w:w="5812" w:type="dxa"/>
          </w:tcPr>
          <w:p w:rsidR="00E539A6" w:rsidRPr="00C85EB4" w:rsidRDefault="00E539A6" w:rsidP="00A36A64">
            <w:pPr>
              <w:jc w:val="left"/>
              <w:rPr>
                <w:sz w:val="22"/>
                <w:szCs w:val="22"/>
              </w:rPr>
            </w:pPr>
            <w:r w:rsidRPr="00C85EB4">
              <w:rPr>
                <w:sz w:val="22"/>
                <w:szCs w:val="22"/>
              </w:rPr>
              <w:t xml:space="preserve">VM, </w:t>
            </w:r>
            <w:r w:rsidRPr="00C85EB4">
              <w:rPr>
                <w:bCs/>
                <w:sz w:val="22"/>
                <w:szCs w:val="22"/>
              </w:rPr>
              <w:t>Stratēģiskās plānošanas nodaļas vecākā eksperte</w:t>
            </w:r>
          </w:p>
        </w:tc>
        <w:tc>
          <w:tcPr>
            <w:tcW w:w="1842" w:type="dxa"/>
          </w:tcPr>
          <w:p w:rsidR="00E539A6" w:rsidRPr="00C85EB4" w:rsidRDefault="00E539A6" w:rsidP="00D70ECD">
            <w:pPr>
              <w:jc w:val="left"/>
              <w:rPr>
                <w:sz w:val="22"/>
                <w:szCs w:val="22"/>
              </w:rPr>
            </w:pPr>
            <w:r w:rsidRPr="00C85EB4">
              <w:rPr>
                <w:sz w:val="22"/>
                <w:szCs w:val="22"/>
              </w:rPr>
              <w:t>Intervija</w:t>
            </w:r>
            <w:r w:rsidR="00E85989" w:rsidRPr="00C85EB4">
              <w:rPr>
                <w:sz w:val="22"/>
                <w:szCs w:val="22"/>
              </w:rPr>
              <w:t>/ FGD</w:t>
            </w:r>
          </w:p>
        </w:tc>
      </w:tr>
      <w:tr w:rsidR="00E539A6" w:rsidRPr="00C85EB4" w:rsidTr="00C85EB4">
        <w:trPr>
          <w:trHeight w:val="139"/>
        </w:trPr>
        <w:tc>
          <w:tcPr>
            <w:tcW w:w="1947" w:type="dxa"/>
          </w:tcPr>
          <w:p w:rsidR="00E539A6" w:rsidRPr="00C85EB4" w:rsidRDefault="00E539A6" w:rsidP="00A36A64">
            <w:pPr>
              <w:rPr>
                <w:sz w:val="22"/>
                <w:szCs w:val="22"/>
              </w:rPr>
            </w:pPr>
            <w:r w:rsidRPr="00C85EB4">
              <w:rPr>
                <w:sz w:val="22"/>
                <w:szCs w:val="22"/>
              </w:rPr>
              <w:t>Valērija Muižniece-Briede</w:t>
            </w:r>
          </w:p>
        </w:tc>
        <w:tc>
          <w:tcPr>
            <w:tcW w:w="5812" w:type="dxa"/>
          </w:tcPr>
          <w:p w:rsidR="00E539A6" w:rsidRPr="00C85EB4" w:rsidRDefault="00E539A6" w:rsidP="006704A0">
            <w:pPr>
              <w:jc w:val="left"/>
              <w:rPr>
                <w:sz w:val="22"/>
                <w:szCs w:val="22"/>
              </w:rPr>
            </w:pPr>
            <w:r w:rsidRPr="00C85EB4">
              <w:rPr>
                <w:sz w:val="22"/>
                <w:szCs w:val="22"/>
              </w:rPr>
              <w:t xml:space="preserve">VM,  </w:t>
            </w:r>
            <w:r w:rsidR="006704A0" w:rsidRPr="006704A0">
              <w:rPr>
                <w:sz w:val="22"/>
                <w:szCs w:val="22"/>
              </w:rPr>
              <w:t>Veselības veicināšanas un atkarību profilakses nodaļa</w:t>
            </w:r>
            <w:r w:rsidR="006704A0">
              <w:rPr>
                <w:sz w:val="22"/>
                <w:szCs w:val="22"/>
              </w:rPr>
              <w:t>s</w:t>
            </w:r>
            <w:r w:rsidRPr="00C85EB4">
              <w:rPr>
                <w:sz w:val="22"/>
                <w:szCs w:val="22"/>
              </w:rPr>
              <w:t xml:space="preserve"> vecākā eksperte</w:t>
            </w:r>
          </w:p>
        </w:tc>
        <w:tc>
          <w:tcPr>
            <w:tcW w:w="1842" w:type="dxa"/>
          </w:tcPr>
          <w:p w:rsidR="00E539A6" w:rsidRPr="00C85EB4" w:rsidRDefault="00E539A6" w:rsidP="00D70ECD">
            <w:pPr>
              <w:jc w:val="left"/>
              <w:rPr>
                <w:sz w:val="22"/>
                <w:szCs w:val="22"/>
              </w:rPr>
            </w:pPr>
            <w:r w:rsidRPr="00C85EB4">
              <w:rPr>
                <w:sz w:val="22"/>
                <w:szCs w:val="22"/>
              </w:rPr>
              <w:t>Intervija</w:t>
            </w:r>
            <w:r w:rsidR="00E85989" w:rsidRPr="00C85EB4">
              <w:rPr>
                <w:sz w:val="22"/>
                <w:szCs w:val="22"/>
              </w:rPr>
              <w:t>/ FGD</w:t>
            </w:r>
          </w:p>
        </w:tc>
      </w:tr>
      <w:tr w:rsidR="00E85989" w:rsidRPr="00C85EB4" w:rsidTr="00C85EB4">
        <w:trPr>
          <w:trHeight w:val="118"/>
        </w:trPr>
        <w:tc>
          <w:tcPr>
            <w:tcW w:w="1947" w:type="dxa"/>
          </w:tcPr>
          <w:p w:rsidR="00E85989" w:rsidRPr="00C85EB4" w:rsidRDefault="00E85989" w:rsidP="007A47D8">
            <w:pPr>
              <w:jc w:val="left"/>
              <w:rPr>
                <w:sz w:val="22"/>
                <w:szCs w:val="22"/>
              </w:rPr>
            </w:pPr>
            <w:r w:rsidRPr="00C85EB4">
              <w:rPr>
                <w:sz w:val="22"/>
                <w:szCs w:val="22"/>
              </w:rPr>
              <w:t>Alisa Glotova</w:t>
            </w:r>
          </w:p>
        </w:tc>
        <w:tc>
          <w:tcPr>
            <w:tcW w:w="5812" w:type="dxa"/>
          </w:tcPr>
          <w:p w:rsidR="00E85989" w:rsidRPr="00C85EB4" w:rsidRDefault="00E85989" w:rsidP="007A47D8">
            <w:pPr>
              <w:jc w:val="left"/>
              <w:rPr>
                <w:sz w:val="22"/>
                <w:szCs w:val="22"/>
              </w:rPr>
            </w:pPr>
            <w:r w:rsidRPr="00C85EB4">
              <w:rPr>
                <w:sz w:val="22"/>
                <w:szCs w:val="22"/>
              </w:rPr>
              <w:t>VM, Veselības aprūpes organizācijas nodaļa, vecākā referente</w:t>
            </w:r>
          </w:p>
        </w:tc>
        <w:tc>
          <w:tcPr>
            <w:tcW w:w="1842" w:type="dxa"/>
          </w:tcPr>
          <w:p w:rsidR="00E85989" w:rsidRPr="00C85EB4" w:rsidRDefault="00E85989" w:rsidP="007A47D8">
            <w:pPr>
              <w:rPr>
                <w:sz w:val="22"/>
                <w:szCs w:val="22"/>
              </w:rPr>
            </w:pPr>
            <w:r w:rsidRPr="00C85EB4">
              <w:rPr>
                <w:sz w:val="22"/>
                <w:szCs w:val="22"/>
              </w:rPr>
              <w:t>FGD</w:t>
            </w:r>
          </w:p>
        </w:tc>
      </w:tr>
      <w:tr w:rsidR="00E539A6" w:rsidRPr="00C85EB4" w:rsidTr="00C85EB4">
        <w:trPr>
          <w:trHeight w:val="129"/>
        </w:trPr>
        <w:tc>
          <w:tcPr>
            <w:tcW w:w="1947" w:type="dxa"/>
          </w:tcPr>
          <w:p w:rsidR="00E539A6" w:rsidRPr="00C85EB4" w:rsidRDefault="00E539A6" w:rsidP="00A36A64">
            <w:pPr>
              <w:rPr>
                <w:sz w:val="22"/>
                <w:szCs w:val="22"/>
              </w:rPr>
            </w:pPr>
            <w:r w:rsidRPr="00C85EB4">
              <w:rPr>
                <w:sz w:val="22"/>
                <w:szCs w:val="22"/>
              </w:rPr>
              <w:t>Alda Reinika</w:t>
            </w:r>
          </w:p>
        </w:tc>
        <w:tc>
          <w:tcPr>
            <w:tcW w:w="5812" w:type="dxa"/>
          </w:tcPr>
          <w:p w:rsidR="00E539A6" w:rsidRPr="00C85EB4" w:rsidRDefault="00E539A6" w:rsidP="00A36A64">
            <w:pPr>
              <w:jc w:val="left"/>
              <w:rPr>
                <w:sz w:val="22"/>
                <w:szCs w:val="22"/>
              </w:rPr>
            </w:pPr>
            <w:r w:rsidRPr="00C85EB4">
              <w:rPr>
                <w:sz w:val="22"/>
                <w:szCs w:val="22"/>
              </w:rPr>
              <w:t>NVD, Ārstniecības pakalpojumu departamenta direktores vietniece</w:t>
            </w:r>
          </w:p>
        </w:tc>
        <w:tc>
          <w:tcPr>
            <w:tcW w:w="1842" w:type="dxa"/>
          </w:tcPr>
          <w:p w:rsidR="00E539A6" w:rsidRPr="00C85EB4" w:rsidRDefault="00E539A6" w:rsidP="00D70ECD">
            <w:pPr>
              <w:jc w:val="left"/>
              <w:rPr>
                <w:sz w:val="22"/>
                <w:szCs w:val="22"/>
              </w:rPr>
            </w:pPr>
            <w:r w:rsidRPr="00C85EB4">
              <w:rPr>
                <w:sz w:val="22"/>
                <w:szCs w:val="22"/>
              </w:rPr>
              <w:t>Intervija</w:t>
            </w:r>
            <w:r w:rsidR="00E85989" w:rsidRPr="00C85EB4">
              <w:rPr>
                <w:sz w:val="22"/>
                <w:szCs w:val="22"/>
              </w:rPr>
              <w:t>/ FGD</w:t>
            </w:r>
          </w:p>
        </w:tc>
      </w:tr>
      <w:tr w:rsidR="00E539A6" w:rsidRPr="00C85EB4" w:rsidTr="00C85EB4">
        <w:trPr>
          <w:trHeight w:val="129"/>
        </w:trPr>
        <w:tc>
          <w:tcPr>
            <w:tcW w:w="1947" w:type="dxa"/>
          </w:tcPr>
          <w:p w:rsidR="00E539A6" w:rsidRPr="00C85EB4" w:rsidRDefault="00761672" w:rsidP="00A36A64">
            <w:pPr>
              <w:rPr>
                <w:sz w:val="22"/>
                <w:szCs w:val="22"/>
              </w:rPr>
            </w:pPr>
            <w:r w:rsidRPr="00C85EB4">
              <w:rPr>
                <w:sz w:val="22"/>
                <w:szCs w:val="22"/>
              </w:rPr>
              <w:t>Ilze Straume</w:t>
            </w:r>
          </w:p>
        </w:tc>
        <w:tc>
          <w:tcPr>
            <w:tcW w:w="5812" w:type="dxa"/>
          </w:tcPr>
          <w:p w:rsidR="00E539A6" w:rsidRPr="00C85EB4" w:rsidRDefault="00E539A6" w:rsidP="00A36A64">
            <w:pPr>
              <w:jc w:val="left"/>
              <w:rPr>
                <w:sz w:val="22"/>
                <w:szCs w:val="22"/>
              </w:rPr>
            </w:pPr>
            <w:r w:rsidRPr="00C85EB4">
              <w:rPr>
                <w:sz w:val="22"/>
                <w:szCs w:val="22"/>
              </w:rPr>
              <w:t>SPKC, Veselības veicināšanas departamenta direktore</w:t>
            </w:r>
          </w:p>
        </w:tc>
        <w:tc>
          <w:tcPr>
            <w:tcW w:w="1842" w:type="dxa"/>
          </w:tcPr>
          <w:p w:rsidR="00E539A6" w:rsidRPr="00C85EB4" w:rsidRDefault="00E539A6" w:rsidP="00D70ECD">
            <w:pPr>
              <w:jc w:val="left"/>
              <w:rPr>
                <w:sz w:val="22"/>
                <w:szCs w:val="22"/>
              </w:rPr>
            </w:pPr>
            <w:r w:rsidRPr="00C85EB4">
              <w:rPr>
                <w:sz w:val="22"/>
                <w:szCs w:val="22"/>
              </w:rPr>
              <w:t>Intervija</w:t>
            </w:r>
          </w:p>
        </w:tc>
      </w:tr>
      <w:tr w:rsidR="00E539A6" w:rsidRPr="00C85EB4" w:rsidTr="00C85EB4">
        <w:tc>
          <w:tcPr>
            <w:tcW w:w="1947" w:type="dxa"/>
          </w:tcPr>
          <w:p w:rsidR="00E539A6" w:rsidRPr="00C85EB4" w:rsidRDefault="00E539A6" w:rsidP="00A36A64">
            <w:pPr>
              <w:rPr>
                <w:sz w:val="22"/>
                <w:szCs w:val="22"/>
              </w:rPr>
            </w:pPr>
            <w:r w:rsidRPr="00C85EB4">
              <w:rPr>
                <w:sz w:val="22"/>
                <w:szCs w:val="22"/>
              </w:rPr>
              <w:t>Pauls Princis</w:t>
            </w:r>
          </w:p>
        </w:tc>
        <w:tc>
          <w:tcPr>
            <w:tcW w:w="5812" w:type="dxa"/>
          </w:tcPr>
          <w:p w:rsidR="00E539A6" w:rsidRPr="00C85EB4" w:rsidRDefault="00E539A6" w:rsidP="00A36A64">
            <w:pPr>
              <w:jc w:val="left"/>
              <w:rPr>
                <w:sz w:val="22"/>
                <w:szCs w:val="22"/>
              </w:rPr>
            </w:pPr>
            <w:r w:rsidRPr="00C85EB4">
              <w:rPr>
                <w:sz w:val="22"/>
                <w:szCs w:val="22"/>
              </w:rPr>
              <w:t>Latvijas ģimenes ārstu asociācijas prezidents</w:t>
            </w:r>
          </w:p>
        </w:tc>
        <w:tc>
          <w:tcPr>
            <w:tcW w:w="1842" w:type="dxa"/>
          </w:tcPr>
          <w:p w:rsidR="00E539A6" w:rsidRPr="00C85EB4" w:rsidRDefault="00E539A6" w:rsidP="00D70ECD">
            <w:pPr>
              <w:jc w:val="left"/>
              <w:rPr>
                <w:sz w:val="22"/>
                <w:szCs w:val="22"/>
              </w:rPr>
            </w:pPr>
            <w:r w:rsidRPr="00C85EB4">
              <w:rPr>
                <w:sz w:val="22"/>
                <w:szCs w:val="22"/>
              </w:rPr>
              <w:t>Intervija</w:t>
            </w:r>
            <w:r w:rsidR="00FE2A6C" w:rsidRPr="00C85EB4">
              <w:rPr>
                <w:sz w:val="22"/>
                <w:szCs w:val="22"/>
              </w:rPr>
              <w:t>/ FGD</w:t>
            </w:r>
          </w:p>
        </w:tc>
      </w:tr>
      <w:tr w:rsidR="00E539A6" w:rsidRPr="00C85EB4" w:rsidTr="00C85EB4">
        <w:trPr>
          <w:trHeight w:val="118"/>
        </w:trPr>
        <w:tc>
          <w:tcPr>
            <w:tcW w:w="1947" w:type="dxa"/>
          </w:tcPr>
          <w:p w:rsidR="00E539A6" w:rsidRPr="00C85EB4" w:rsidRDefault="00E539A6" w:rsidP="00A36A64">
            <w:pPr>
              <w:rPr>
                <w:sz w:val="22"/>
                <w:szCs w:val="22"/>
              </w:rPr>
            </w:pPr>
            <w:r w:rsidRPr="00C85EB4">
              <w:rPr>
                <w:sz w:val="22"/>
                <w:szCs w:val="22"/>
              </w:rPr>
              <w:t>Daiga Behmane</w:t>
            </w:r>
          </w:p>
        </w:tc>
        <w:tc>
          <w:tcPr>
            <w:tcW w:w="5812" w:type="dxa"/>
          </w:tcPr>
          <w:p w:rsidR="00E539A6" w:rsidRPr="00C85EB4" w:rsidRDefault="00AD3EDD" w:rsidP="00A36A64">
            <w:pPr>
              <w:jc w:val="left"/>
              <w:rPr>
                <w:sz w:val="22"/>
                <w:szCs w:val="22"/>
              </w:rPr>
            </w:pPr>
            <w:hyperlink r:id="rId360" w:history="1">
              <w:r w:rsidR="00E539A6" w:rsidRPr="00C85EB4">
                <w:rPr>
                  <w:rStyle w:val="Hyperlink"/>
                  <w:color w:val="auto"/>
                  <w:sz w:val="22"/>
                  <w:szCs w:val="22"/>
                  <w:u w:val="none"/>
                </w:rPr>
                <w:t>Sabiedrības veselības institūts</w:t>
              </w:r>
            </w:hyperlink>
            <w:r w:rsidR="00E539A6" w:rsidRPr="00C85EB4">
              <w:rPr>
                <w:rStyle w:val="Hyperlink"/>
                <w:color w:val="auto"/>
                <w:sz w:val="22"/>
                <w:szCs w:val="22"/>
                <w:u w:val="none"/>
              </w:rPr>
              <w:t>, direktora vietniece</w:t>
            </w:r>
          </w:p>
        </w:tc>
        <w:tc>
          <w:tcPr>
            <w:tcW w:w="1842" w:type="dxa"/>
          </w:tcPr>
          <w:p w:rsidR="00E539A6" w:rsidRPr="00C85EB4" w:rsidRDefault="00E539A6" w:rsidP="00D70ECD">
            <w:pPr>
              <w:jc w:val="left"/>
              <w:rPr>
                <w:sz w:val="22"/>
                <w:szCs w:val="22"/>
              </w:rPr>
            </w:pPr>
            <w:r w:rsidRPr="00C85EB4">
              <w:rPr>
                <w:sz w:val="22"/>
                <w:szCs w:val="22"/>
              </w:rPr>
              <w:t>Intervija</w:t>
            </w:r>
          </w:p>
        </w:tc>
      </w:tr>
      <w:tr w:rsidR="00A36A64" w:rsidRPr="00C85EB4" w:rsidTr="00C85EB4">
        <w:trPr>
          <w:trHeight w:val="118"/>
        </w:trPr>
        <w:tc>
          <w:tcPr>
            <w:tcW w:w="1947" w:type="dxa"/>
          </w:tcPr>
          <w:p w:rsidR="00A36A64" w:rsidRPr="00C85EB4" w:rsidRDefault="00A36A64" w:rsidP="00A36A64">
            <w:pPr>
              <w:rPr>
                <w:sz w:val="22"/>
                <w:szCs w:val="22"/>
              </w:rPr>
            </w:pPr>
            <w:r w:rsidRPr="00C85EB4">
              <w:rPr>
                <w:sz w:val="22"/>
                <w:szCs w:val="22"/>
              </w:rPr>
              <w:t>Gunita Berķe</w:t>
            </w:r>
          </w:p>
        </w:tc>
        <w:tc>
          <w:tcPr>
            <w:tcW w:w="5812" w:type="dxa"/>
          </w:tcPr>
          <w:p w:rsidR="00A36A64" w:rsidRPr="00C85EB4" w:rsidRDefault="00A36A64" w:rsidP="00E539A6">
            <w:pPr>
              <w:jc w:val="left"/>
              <w:rPr>
                <w:sz w:val="22"/>
                <w:szCs w:val="22"/>
              </w:rPr>
            </w:pPr>
            <w:r w:rsidRPr="00C85EB4">
              <w:rPr>
                <w:sz w:val="22"/>
                <w:szCs w:val="22"/>
              </w:rPr>
              <w:t xml:space="preserve">NVO „Dzīvības koks” </w:t>
            </w:r>
          </w:p>
        </w:tc>
        <w:tc>
          <w:tcPr>
            <w:tcW w:w="1842" w:type="dxa"/>
          </w:tcPr>
          <w:p w:rsidR="00A36A64" w:rsidRPr="00C85EB4" w:rsidRDefault="00E539A6" w:rsidP="00A36A64">
            <w:pPr>
              <w:rPr>
                <w:sz w:val="22"/>
                <w:szCs w:val="22"/>
              </w:rPr>
            </w:pPr>
            <w:r w:rsidRPr="00C85EB4">
              <w:rPr>
                <w:sz w:val="22"/>
                <w:szCs w:val="22"/>
              </w:rPr>
              <w:t>Intervija</w:t>
            </w:r>
          </w:p>
        </w:tc>
      </w:tr>
      <w:tr w:rsidR="00E539A6" w:rsidRPr="00C85EB4" w:rsidTr="00C85EB4">
        <w:trPr>
          <w:trHeight w:val="118"/>
        </w:trPr>
        <w:tc>
          <w:tcPr>
            <w:tcW w:w="1947" w:type="dxa"/>
          </w:tcPr>
          <w:p w:rsidR="00E539A6" w:rsidRPr="00C85EB4" w:rsidRDefault="00E539A6" w:rsidP="00A36A64">
            <w:pPr>
              <w:jc w:val="left"/>
              <w:rPr>
                <w:sz w:val="22"/>
                <w:szCs w:val="22"/>
              </w:rPr>
            </w:pPr>
            <w:r w:rsidRPr="00C85EB4">
              <w:rPr>
                <w:sz w:val="22"/>
                <w:szCs w:val="22"/>
              </w:rPr>
              <w:t>Jevgēņijs Kalējs</w:t>
            </w:r>
          </w:p>
        </w:tc>
        <w:tc>
          <w:tcPr>
            <w:tcW w:w="5812" w:type="dxa"/>
          </w:tcPr>
          <w:p w:rsidR="00E539A6" w:rsidRPr="00C85EB4" w:rsidRDefault="00E539A6" w:rsidP="00A36A64">
            <w:pPr>
              <w:jc w:val="left"/>
              <w:rPr>
                <w:sz w:val="22"/>
                <w:szCs w:val="22"/>
              </w:rPr>
            </w:pPr>
            <w:r w:rsidRPr="00C85EB4">
              <w:rPr>
                <w:sz w:val="22"/>
                <w:szCs w:val="22"/>
              </w:rPr>
              <w:t>Latvijas slimnīcu biedrība</w:t>
            </w:r>
          </w:p>
        </w:tc>
        <w:tc>
          <w:tcPr>
            <w:tcW w:w="1842" w:type="dxa"/>
          </w:tcPr>
          <w:p w:rsidR="00E539A6" w:rsidRPr="00C85EB4" w:rsidRDefault="00E539A6" w:rsidP="00D70ECD">
            <w:pPr>
              <w:rPr>
                <w:sz w:val="22"/>
                <w:szCs w:val="22"/>
              </w:rPr>
            </w:pPr>
            <w:r w:rsidRPr="00C85EB4">
              <w:rPr>
                <w:sz w:val="22"/>
                <w:szCs w:val="22"/>
              </w:rPr>
              <w:t>Intervija</w:t>
            </w:r>
          </w:p>
        </w:tc>
      </w:tr>
      <w:tr w:rsidR="003D2972" w:rsidRPr="00C85EB4" w:rsidTr="00C85EB4">
        <w:trPr>
          <w:trHeight w:val="118"/>
        </w:trPr>
        <w:tc>
          <w:tcPr>
            <w:tcW w:w="1947" w:type="dxa"/>
          </w:tcPr>
          <w:p w:rsidR="003D2972" w:rsidRPr="00C85EB4" w:rsidRDefault="003D2972" w:rsidP="00A36A64">
            <w:pPr>
              <w:jc w:val="left"/>
              <w:rPr>
                <w:sz w:val="22"/>
                <w:szCs w:val="22"/>
              </w:rPr>
            </w:pPr>
            <w:r w:rsidRPr="00C85EB4">
              <w:rPr>
                <w:sz w:val="22"/>
                <w:szCs w:val="22"/>
              </w:rPr>
              <w:t>Kristīne Ķipēna</w:t>
            </w:r>
          </w:p>
        </w:tc>
        <w:tc>
          <w:tcPr>
            <w:tcW w:w="5812" w:type="dxa"/>
          </w:tcPr>
          <w:p w:rsidR="003D2972" w:rsidRPr="00C85EB4" w:rsidRDefault="003D2972" w:rsidP="00A36A64">
            <w:pPr>
              <w:jc w:val="left"/>
              <w:rPr>
                <w:sz w:val="22"/>
                <w:szCs w:val="22"/>
              </w:rPr>
            </w:pPr>
            <w:r w:rsidRPr="00C85EB4">
              <w:rPr>
                <w:sz w:val="22"/>
                <w:szCs w:val="22"/>
              </w:rPr>
              <w:t>Tieslietu minis</w:t>
            </w:r>
            <w:r w:rsidR="00AB0F5C" w:rsidRPr="00C85EB4">
              <w:rPr>
                <w:sz w:val="22"/>
                <w:szCs w:val="22"/>
              </w:rPr>
              <w:t>t</w:t>
            </w:r>
            <w:r w:rsidRPr="00C85EB4">
              <w:rPr>
                <w:sz w:val="22"/>
                <w:szCs w:val="22"/>
              </w:rPr>
              <w:t>rijas Kriminālsodu izpildes politikas nodaļas vadītāja</w:t>
            </w:r>
          </w:p>
        </w:tc>
        <w:tc>
          <w:tcPr>
            <w:tcW w:w="1842" w:type="dxa"/>
          </w:tcPr>
          <w:p w:rsidR="003D2972" w:rsidRPr="00C85EB4" w:rsidRDefault="003D2972" w:rsidP="00D70ECD">
            <w:pPr>
              <w:rPr>
                <w:sz w:val="22"/>
                <w:szCs w:val="22"/>
              </w:rPr>
            </w:pPr>
            <w:r w:rsidRPr="00C85EB4">
              <w:rPr>
                <w:sz w:val="22"/>
                <w:szCs w:val="22"/>
              </w:rPr>
              <w:t>Intervija</w:t>
            </w:r>
          </w:p>
        </w:tc>
      </w:tr>
      <w:tr w:rsidR="00FE2A6C" w:rsidRPr="00C85EB4" w:rsidTr="00C85EB4">
        <w:trPr>
          <w:trHeight w:val="118"/>
        </w:trPr>
        <w:tc>
          <w:tcPr>
            <w:tcW w:w="1947" w:type="dxa"/>
          </w:tcPr>
          <w:p w:rsidR="00FE2A6C" w:rsidRPr="00C85EB4" w:rsidRDefault="00FE2A6C" w:rsidP="00A36A64">
            <w:pPr>
              <w:jc w:val="left"/>
              <w:rPr>
                <w:sz w:val="22"/>
                <w:szCs w:val="22"/>
              </w:rPr>
            </w:pPr>
            <w:r w:rsidRPr="00C85EB4">
              <w:rPr>
                <w:sz w:val="22"/>
                <w:szCs w:val="22"/>
              </w:rPr>
              <w:t>Pēteris Leiškalns</w:t>
            </w:r>
          </w:p>
        </w:tc>
        <w:tc>
          <w:tcPr>
            <w:tcW w:w="5812" w:type="dxa"/>
          </w:tcPr>
          <w:p w:rsidR="00FE2A6C" w:rsidRPr="00C85EB4" w:rsidRDefault="003D2972" w:rsidP="00A36A64">
            <w:pPr>
              <w:jc w:val="left"/>
              <w:rPr>
                <w:sz w:val="22"/>
                <w:szCs w:val="22"/>
              </w:rPr>
            </w:pPr>
            <w:r w:rsidRPr="00C85EB4">
              <w:rPr>
                <w:sz w:val="22"/>
                <w:szCs w:val="22"/>
              </w:rPr>
              <w:t>LDDK, Sociālās drošības un veselības aprūpes eksperts</w:t>
            </w:r>
          </w:p>
        </w:tc>
        <w:tc>
          <w:tcPr>
            <w:tcW w:w="1842" w:type="dxa"/>
          </w:tcPr>
          <w:p w:rsidR="00FE2A6C" w:rsidRPr="00C85EB4" w:rsidRDefault="00FE2A6C" w:rsidP="00D70ECD">
            <w:pPr>
              <w:rPr>
                <w:sz w:val="22"/>
                <w:szCs w:val="22"/>
              </w:rPr>
            </w:pPr>
            <w:r w:rsidRPr="00C85EB4">
              <w:rPr>
                <w:sz w:val="22"/>
                <w:szCs w:val="22"/>
              </w:rPr>
              <w:t>FGD</w:t>
            </w:r>
          </w:p>
        </w:tc>
      </w:tr>
      <w:tr w:rsidR="00FE2A6C" w:rsidRPr="00C85EB4" w:rsidTr="00C85EB4">
        <w:trPr>
          <w:trHeight w:val="118"/>
        </w:trPr>
        <w:tc>
          <w:tcPr>
            <w:tcW w:w="1947" w:type="dxa"/>
          </w:tcPr>
          <w:p w:rsidR="00FE2A6C" w:rsidRPr="00C85EB4" w:rsidRDefault="00FE2A6C" w:rsidP="00FE2A6C">
            <w:pPr>
              <w:jc w:val="left"/>
              <w:rPr>
                <w:sz w:val="22"/>
                <w:szCs w:val="22"/>
              </w:rPr>
            </w:pPr>
            <w:r w:rsidRPr="00C85EB4">
              <w:rPr>
                <w:sz w:val="22"/>
                <w:szCs w:val="22"/>
              </w:rPr>
              <w:t>Daina Podziņa</w:t>
            </w:r>
          </w:p>
        </w:tc>
        <w:tc>
          <w:tcPr>
            <w:tcW w:w="5812" w:type="dxa"/>
          </w:tcPr>
          <w:p w:rsidR="00FE2A6C" w:rsidRPr="00C85EB4" w:rsidRDefault="00FE2A6C" w:rsidP="00FE2A6C">
            <w:pPr>
              <w:jc w:val="left"/>
              <w:rPr>
                <w:bCs/>
                <w:sz w:val="22"/>
                <w:szCs w:val="22"/>
              </w:rPr>
            </w:pPr>
            <w:r w:rsidRPr="00C85EB4">
              <w:rPr>
                <w:bCs/>
                <w:sz w:val="22"/>
                <w:szCs w:val="22"/>
              </w:rPr>
              <w:t>Biedrības „Apeirons” pārstāve</w:t>
            </w:r>
          </w:p>
        </w:tc>
        <w:tc>
          <w:tcPr>
            <w:tcW w:w="1842" w:type="dxa"/>
          </w:tcPr>
          <w:p w:rsidR="00FE2A6C" w:rsidRPr="00C85EB4" w:rsidRDefault="00FE2A6C" w:rsidP="00FE2A6C">
            <w:pPr>
              <w:rPr>
                <w:sz w:val="22"/>
                <w:szCs w:val="22"/>
              </w:rPr>
            </w:pPr>
            <w:r w:rsidRPr="00C85EB4">
              <w:rPr>
                <w:sz w:val="22"/>
                <w:szCs w:val="22"/>
              </w:rPr>
              <w:t>FGD</w:t>
            </w:r>
          </w:p>
        </w:tc>
      </w:tr>
      <w:tr w:rsidR="00FE2A6C" w:rsidRPr="00615C75" w:rsidTr="0088759D">
        <w:trPr>
          <w:trHeight w:val="322"/>
        </w:trPr>
        <w:tc>
          <w:tcPr>
            <w:tcW w:w="9601" w:type="dxa"/>
            <w:gridSpan w:val="3"/>
            <w:shd w:val="clear" w:color="auto" w:fill="B8CCE4" w:themeFill="accent1" w:themeFillTint="66"/>
          </w:tcPr>
          <w:p w:rsidR="00FE2A6C" w:rsidRPr="00615C75" w:rsidRDefault="00FE2A6C" w:rsidP="00324B63">
            <w:pPr>
              <w:keepNext/>
              <w:jc w:val="center"/>
              <w:rPr>
                <w:b/>
                <w:color w:val="002060"/>
                <w:sz w:val="22"/>
                <w:szCs w:val="22"/>
              </w:rPr>
            </w:pPr>
            <w:r w:rsidRPr="00615C75">
              <w:rPr>
                <w:b/>
                <w:color w:val="002060"/>
                <w:sz w:val="22"/>
                <w:szCs w:val="22"/>
              </w:rPr>
              <w:lastRenderedPageBreak/>
              <w:t>MĀJOKĻA JOMAS EKSPERTI</w:t>
            </w:r>
          </w:p>
        </w:tc>
      </w:tr>
      <w:tr w:rsidR="00FE2A6C" w:rsidRPr="00C85EB4" w:rsidTr="00C85EB4">
        <w:trPr>
          <w:trHeight w:val="405"/>
        </w:trPr>
        <w:tc>
          <w:tcPr>
            <w:tcW w:w="1947" w:type="dxa"/>
          </w:tcPr>
          <w:p w:rsidR="00FE2A6C" w:rsidRPr="00C85EB4" w:rsidRDefault="00FE2A6C" w:rsidP="00FE2A6C">
            <w:pPr>
              <w:rPr>
                <w:sz w:val="22"/>
                <w:szCs w:val="22"/>
              </w:rPr>
            </w:pPr>
            <w:r w:rsidRPr="00C85EB4">
              <w:rPr>
                <w:bCs/>
                <w:sz w:val="22"/>
                <w:szCs w:val="22"/>
              </w:rPr>
              <w:t>Māris Pūķis</w:t>
            </w:r>
          </w:p>
        </w:tc>
        <w:tc>
          <w:tcPr>
            <w:tcW w:w="5812" w:type="dxa"/>
          </w:tcPr>
          <w:p w:rsidR="00FE2A6C" w:rsidRPr="00C85EB4" w:rsidRDefault="00FE2A6C" w:rsidP="00FE2A6C">
            <w:pPr>
              <w:jc w:val="left"/>
              <w:rPr>
                <w:sz w:val="22"/>
                <w:szCs w:val="22"/>
              </w:rPr>
            </w:pPr>
            <w:r w:rsidRPr="00C85EB4">
              <w:rPr>
                <w:sz w:val="22"/>
                <w:szCs w:val="22"/>
              </w:rPr>
              <w:t xml:space="preserve">LPS vecākais padomnieks  </w:t>
            </w:r>
          </w:p>
        </w:tc>
        <w:tc>
          <w:tcPr>
            <w:tcW w:w="1842" w:type="dxa"/>
          </w:tcPr>
          <w:p w:rsidR="00FE2A6C" w:rsidRPr="00C85EB4" w:rsidRDefault="00FE2A6C" w:rsidP="00FE2A6C">
            <w:pPr>
              <w:rPr>
                <w:sz w:val="22"/>
                <w:szCs w:val="22"/>
              </w:rPr>
            </w:pPr>
            <w:r w:rsidRPr="00C85EB4">
              <w:rPr>
                <w:sz w:val="22"/>
                <w:szCs w:val="22"/>
              </w:rPr>
              <w:t>Intervija</w:t>
            </w:r>
          </w:p>
        </w:tc>
      </w:tr>
      <w:tr w:rsidR="00FE2A6C" w:rsidRPr="00C85EB4" w:rsidTr="00C85EB4">
        <w:trPr>
          <w:trHeight w:val="172"/>
        </w:trPr>
        <w:tc>
          <w:tcPr>
            <w:tcW w:w="1947" w:type="dxa"/>
          </w:tcPr>
          <w:p w:rsidR="00FE2A6C" w:rsidRPr="00C85EB4" w:rsidRDefault="00FE2A6C" w:rsidP="00FE2A6C">
            <w:pPr>
              <w:rPr>
                <w:sz w:val="22"/>
                <w:szCs w:val="22"/>
              </w:rPr>
            </w:pPr>
            <w:r w:rsidRPr="00C85EB4">
              <w:rPr>
                <w:sz w:val="22"/>
                <w:szCs w:val="22"/>
              </w:rPr>
              <w:t>Mārtiņš Auders</w:t>
            </w:r>
          </w:p>
        </w:tc>
        <w:tc>
          <w:tcPr>
            <w:tcW w:w="5812" w:type="dxa"/>
          </w:tcPr>
          <w:p w:rsidR="00FE2A6C" w:rsidRPr="00C85EB4" w:rsidRDefault="00FE2A6C" w:rsidP="007A47D8">
            <w:pPr>
              <w:jc w:val="left"/>
              <w:rPr>
                <w:sz w:val="22"/>
                <w:szCs w:val="22"/>
              </w:rPr>
            </w:pPr>
            <w:r w:rsidRPr="00C85EB4">
              <w:rPr>
                <w:sz w:val="22"/>
                <w:szCs w:val="22"/>
              </w:rPr>
              <w:t>EM Mājokļu politikas departaments</w:t>
            </w:r>
            <w:r w:rsidR="007A47D8" w:rsidRPr="00C85EB4">
              <w:rPr>
                <w:sz w:val="22"/>
                <w:szCs w:val="22"/>
              </w:rPr>
              <w:t>,</w:t>
            </w:r>
            <w:r w:rsidRPr="00C85EB4">
              <w:rPr>
                <w:sz w:val="22"/>
                <w:szCs w:val="22"/>
              </w:rPr>
              <w:t xml:space="preserve"> direktors </w:t>
            </w:r>
          </w:p>
        </w:tc>
        <w:tc>
          <w:tcPr>
            <w:tcW w:w="1842" w:type="dxa"/>
          </w:tcPr>
          <w:p w:rsidR="00FE2A6C" w:rsidRPr="00C85EB4" w:rsidRDefault="00FE2A6C" w:rsidP="007A47D8">
            <w:pPr>
              <w:rPr>
                <w:sz w:val="22"/>
                <w:szCs w:val="22"/>
              </w:rPr>
            </w:pPr>
            <w:r w:rsidRPr="00C85EB4">
              <w:rPr>
                <w:sz w:val="22"/>
                <w:szCs w:val="22"/>
              </w:rPr>
              <w:t>Intervija</w:t>
            </w:r>
          </w:p>
        </w:tc>
      </w:tr>
      <w:tr w:rsidR="00FE2A6C" w:rsidRPr="00C85EB4" w:rsidTr="00C85EB4">
        <w:trPr>
          <w:trHeight w:val="172"/>
        </w:trPr>
        <w:tc>
          <w:tcPr>
            <w:tcW w:w="1947" w:type="dxa"/>
          </w:tcPr>
          <w:p w:rsidR="00FE2A6C" w:rsidRPr="00C85EB4" w:rsidRDefault="00FE2A6C" w:rsidP="00FE2A6C">
            <w:pPr>
              <w:rPr>
                <w:sz w:val="22"/>
                <w:szCs w:val="22"/>
              </w:rPr>
            </w:pPr>
            <w:r w:rsidRPr="00C85EB4">
              <w:rPr>
                <w:sz w:val="22"/>
                <w:szCs w:val="22"/>
              </w:rPr>
              <w:t>Dace Vītola</w:t>
            </w:r>
          </w:p>
        </w:tc>
        <w:tc>
          <w:tcPr>
            <w:tcW w:w="5812" w:type="dxa"/>
          </w:tcPr>
          <w:p w:rsidR="00FE2A6C" w:rsidRPr="00C85EB4" w:rsidRDefault="00FE2A6C" w:rsidP="007A47D8">
            <w:pPr>
              <w:jc w:val="left"/>
              <w:rPr>
                <w:sz w:val="22"/>
                <w:szCs w:val="22"/>
              </w:rPr>
            </w:pPr>
            <w:r w:rsidRPr="00C85EB4">
              <w:rPr>
                <w:sz w:val="22"/>
                <w:szCs w:val="22"/>
              </w:rPr>
              <w:t>EM Mājokļu politikas departaments</w:t>
            </w:r>
            <w:r w:rsidR="007A47D8" w:rsidRPr="00C85EB4">
              <w:rPr>
                <w:sz w:val="22"/>
                <w:szCs w:val="22"/>
              </w:rPr>
              <w:t>,</w:t>
            </w:r>
            <w:r w:rsidRPr="00C85EB4">
              <w:rPr>
                <w:sz w:val="22"/>
                <w:szCs w:val="22"/>
              </w:rPr>
              <w:t xml:space="preserve"> direktora vietniece</w:t>
            </w:r>
          </w:p>
        </w:tc>
        <w:tc>
          <w:tcPr>
            <w:tcW w:w="1842" w:type="dxa"/>
          </w:tcPr>
          <w:p w:rsidR="00FE2A6C" w:rsidRPr="00C85EB4" w:rsidRDefault="00FE2A6C" w:rsidP="00FE2A6C">
            <w:pPr>
              <w:rPr>
                <w:sz w:val="22"/>
                <w:szCs w:val="22"/>
              </w:rPr>
            </w:pPr>
            <w:r w:rsidRPr="00C85EB4">
              <w:rPr>
                <w:sz w:val="22"/>
                <w:szCs w:val="22"/>
              </w:rPr>
              <w:t>Intervija</w:t>
            </w:r>
          </w:p>
        </w:tc>
      </w:tr>
      <w:tr w:rsidR="00C85EB4" w:rsidRPr="00C85EB4" w:rsidTr="00C85EB4">
        <w:trPr>
          <w:trHeight w:val="172"/>
        </w:trPr>
        <w:tc>
          <w:tcPr>
            <w:tcW w:w="1947" w:type="dxa"/>
          </w:tcPr>
          <w:p w:rsidR="00C85EB4" w:rsidRPr="00C85EB4" w:rsidRDefault="00C85EB4" w:rsidP="00C85EB4">
            <w:pPr>
              <w:rPr>
                <w:sz w:val="22"/>
                <w:szCs w:val="22"/>
              </w:rPr>
            </w:pPr>
            <w:r>
              <w:rPr>
                <w:sz w:val="22"/>
                <w:szCs w:val="22"/>
              </w:rPr>
              <w:t xml:space="preserve">Rūta Mājeniece </w:t>
            </w:r>
          </w:p>
        </w:tc>
        <w:tc>
          <w:tcPr>
            <w:tcW w:w="5812" w:type="dxa"/>
          </w:tcPr>
          <w:p w:rsidR="00C85EB4" w:rsidRPr="00C85EB4" w:rsidRDefault="00C85EB4" w:rsidP="00C85EB4">
            <w:pPr>
              <w:jc w:val="left"/>
              <w:rPr>
                <w:sz w:val="22"/>
                <w:szCs w:val="22"/>
              </w:rPr>
            </w:pPr>
            <w:r w:rsidRPr="00C85EB4">
              <w:rPr>
                <w:sz w:val="22"/>
                <w:szCs w:val="22"/>
              </w:rPr>
              <w:t xml:space="preserve">EM Mājokļu politikas departaments, </w:t>
            </w:r>
            <w:r>
              <w:rPr>
                <w:sz w:val="22"/>
                <w:szCs w:val="22"/>
              </w:rPr>
              <w:t>referente</w:t>
            </w:r>
          </w:p>
        </w:tc>
        <w:tc>
          <w:tcPr>
            <w:tcW w:w="1842" w:type="dxa"/>
          </w:tcPr>
          <w:p w:rsidR="00C85EB4" w:rsidRPr="00C85EB4" w:rsidRDefault="00C85EB4" w:rsidP="00C85EB4">
            <w:pPr>
              <w:rPr>
                <w:sz w:val="22"/>
                <w:szCs w:val="22"/>
              </w:rPr>
            </w:pPr>
            <w:r w:rsidRPr="00C85EB4">
              <w:rPr>
                <w:sz w:val="22"/>
                <w:szCs w:val="22"/>
              </w:rPr>
              <w:t>Intervija</w:t>
            </w:r>
          </w:p>
        </w:tc>
      </w:tr>
      <w:tr w:rsidR="00C85EB4" w:rsidRPr="00C85EB4" w:rsidTr="00C85EB4">
        <w:trPr>
          <w:trHeight w:val="182"/>
        </w:trPr>
        <w:tc>
          <w:tcPr>
            <w:tcW w:w="1947" w:type="dxa"/>
          </w:tcPr>
          <w:p w:rsidR="00C85EB4" w:rsidRPr="00C85EB4" w:rsidRDefault="00C85EB4" w:rsidP="00C85EB4">
            <w:pPr>
              <w:rPr>
                <w:sz w:val="22"/>
                <w:szCs w:val="22"/>
              </w:rPr>
            </w:pPr>
            <w:r w:rsidRPr="00C85EB4">
              <w:rPr>
                <w:sz w:val="22"/>
                <w:szCs w:val="22"/>
              </w:rPr>
              <w:t>Viktors Valainis</w:t>
            </w:r>
          </w:p>
        </w:tc>
        <w:tc>
          <w:tcPr>
            <w:tcW w:w="5812" w:type="dxa"/>
          </w:tcPr>
          <w:p w:rsidR="00C85EB4" w:rsidRPr="00C85EB4" w:rsidRDefault="00C85EB4" w:rsidP="00C85EB4">
            <w:pPr>
              <w:jc w:val="left"/>
              <w:rPr>
                <w:sz w:val="22"/>
                <w:szCs w:val="22"/>
              </w:rPr>
            </w:pPr>
            <w:r w:rsidRPr="00C85EB4">
              <w:rPr>
                <w:sz w:val="22"/>
                <w:szCs w:val="22"/>
              </w:rPr>
              <w:t>LLPA izpilddirektors</w:t>
            </w:r>
          </w:p>
        </w:tc>
        <w:tc>
          <w:tcPr>
            <w:tcW w:w="1842" w:type="dxa"/>
          </w:tcPr>
          <w:p w:rsidR="00C85EB4" w:rsidRPr="00C85EB4" w:rsidRDefault="00C85EB4" w:rsidP="00C85EB4">
            <w:pPr>
              <w:rPr>
                <w:sz w:val="22"/>
                <w:szCs w:val="22"/>
              </w:rPr>
            </w:pPr>
            <w:r w:rsidRPr="00C85EB4">
              <w:rPr>
                <w:sz w:val="22"/>
                <w:szCs w:val="22"/>
              </w:rPr>
              <w:t>Intervija</w:t>
            </w:r>
          </w:p>
        </w:tc>
      </w:tr>
      <w:tr w:rsidR="00C85EB4" w:rsidRPr="00C85EB4" w:rsidTr="00C85EB4">
        <w:tc>
          <w:tcPr>
            <w:tcW w:w="1947" w:type="dxa"/>
          </w:tcPr>
          <w:p w:rsidR="00C85EB4" w:rsidRPr="00C85EB4" w:rsidRDefault="00C85EB4" w:rsidP="00C85EB4">
            <w:pPr>
              <w:rPr>
                <w:sz w:val="22"/>
                <w:szCs w:val="22"/>
              </w:rPr>
            </w:pPr>
            <w:r w:rsidRPr="00C85EB4">
              <w:rPr>
                <w:bCs/>
                <w:sz w:val="22"/>
                <w:szCs w:val="22"/>
              </w:rPr>
              <w:t>Mārīte Javorska</w:t>
            </w:r>
          </w:p>
        </w:tc>
        <w:tc>
          <w:tcPr>
            <w:tcW w:w="5812" w:type="dxa"/>
          </w:tcPr>
          <w:p w:rsidR="00C85EB4" w:rsidRPr="00C85EB4" w:rsidRDefault="00C85EB4" w:rsidP="00C85EB4">
            <w:pPr>
              <w:jc w:val="left"/>
              <w:rPr>
                <w:sz w:val="22"/>
                <w:szCs w:val="22"/>
              </w:rPr>
            </w:pPr>
            <w:r w:rsidRPr="00C85EB4">
              <w:rPr>
                <w:sz w:val="22"/>
                <w:szCs w:val="22"/>
              </w:rPr>
              <w:t>RD Mājokļu un vides departamenta Dzīvokļu pārvaldes priekšniece</w:t>
            </w:r>
          </w:p>
        </w:tc>
        <w:tc>
          <w:tcPr>
            <w:tcW w:w="1842" w:type="dxa"/>
          </w:tcPr>
          <w:p w:rsidR="00C85EB4" w:rsidRPr="00C85EB4" w:rsidRDefault="00C85EB4" w:rsidP="00C85EB4">
            <w:pPr>
              <w:rPr>
                <w:sz w:val="22"/>
                <w:szCs w:val="22"/>
              </w:rPr>
            </w:pPr>
            <w:r w:rsidRPr="00C85EB4">
              <w:rPr>
                <w:sz w:val="22"/>
                <w:szCs w:val="22"/>
              </w:rPr>
              <w:t>Intervija</w:t>
            </w:r>
          </w:p>
        </w:tc>
      </w:tr>
      <w:tr w:rsidR="00C85EB4" w:rsidRPr="00C85EB4" w:rsidTr="00C85EB4">
        <w:trPr>
          <w:trHeight w:val="128"/>
        </w:trPr>
        <w:tc>
          <w:tcPr>
            <w:tcW w:w="1947" w:type="dxa"/>
          </w:tcPr>
          <w:p w:rsidR="00C85EB4" w:rsidRPr="00C85EB4" w:rsidRDefault="00C85EB4" w:rsidP="00C85EB4">
            <w:pPr>
              <w:rPr>
                <w:sz w:val="22"/>
                <w:szCs w:val="22"/>
              </w:rPr>
            </w:pPr>
            <w:r w:rsidRPr="00C85EB4">
              <w:rPr>
                <w:sz w:val="22"/>
                <w:szCs w:val="22"/>
              </w:rPr>
              <w:t>Lauris Pastars</w:t>
            </w:r>
          </w:p>
        </w:tc>
        <w:tc>
          <w:tcPr>
            <w:tcW w:w="5812" w:type="dxa"/>
          </w:tcPr>
          <w:p w:rsidR="00C85EB4" w:rsidRPr="00C85EB4" w:rsidRDefault="00C85EB4" w:rsidP="00C85EB4">
            <w:pPr>
              <w:jc w:val="left"/>
              <w:rPr>
                <w:sz w:val="22"/>
                <w:szCs w:val="22"/>
              </w:rPr>
            </w:pPr>
            <w:r w:rsidRPr="00C85EB4">
              <w:rPr>
                <w:sz w:val="22"/>
                <w:szCs w:val="22"/>
              </w:rPr>
              <w:t>Preiļu Labklājības pārvaldes direktors</w:t>
            </w:r>
          </w:p>
        </w:tc>
        <w:tc>
          <w:tcPr>
            <w:tcW w:w="1842" w:type="dxa"/>
          </w:tcPr>
          <w:p w:rsidR="00C85EB4" w:rsidRPr="00C85EB4" w:rsidRDefault="00C85EB4" w:rsidP="00C85EB4">
            <w:pPr>
              <w:rPr>
                <w:sz w:val="22"/>
                <w:szCs w:val="22"/>
              </w:rPr>
            </w:pPr>
            <w:r w:rsidRPr="00C85EB4">
              <w:rPr>
                <w:sz w:val="22"/>
                <w:szCs w:val="22"/>
              </w:rPr>
              <w:t>Intervija</w:t>
            </w:r>
          </w:p>
        </w:tc>
      </w:tr>
      <w:tr w:rsidR="00C85EB4" w:rsidRPr="00C85EB4" w:rsidTr="00C85EB4">
        <w:trPr>
          <w:trHeight w:val="115"/>
        </w:trPr>
        <w:tc>
          <w:tcPr>
            <w:tcW w:w="1947" w:type="dxa"/>
            <w:tcBorders>
              <w:top w:val="single" w:sz="4" w:space="0" w:color="auto"/>
              <w:left w:val="single" w:sz="4" w:space="0" w:color="auto"/>
              <w:bottom w:val="single" w:sz="4" w:space="0" w:color="auto"/>
              <w:right w:val="single" w:sz="4" w:space="0" w:color="auto"/>
            </w:tcBorders>
          </w:tcPr>
          <w:p w:rsidR="00C85EB4" w:rsidRPr="00C85EB4" w:rsidRDefault="00C85EB4" w:rsidP="00C85EB4">
            <w:pPr>
              <w:rPr>
                <w:sz w:val="22"/>
                <w:szCs w:val="22"/>
              </w:rPr>
            </w:pPr>
            <w:r w:rsidRPr="00C85EB4">
              <w:rPr>
                <w:sz w:val="22"/>
                <w:szCs w:val="22"/>
              </w:rPr>
              <w:t>Maruta Bubene</w:t>
            </w:r>
          </w:p>
        </w:tc>
        <w:tc>
          <w:tcPr>
            <w:tcW w:w="5812" w:type="dxa"/>
            <w:tcBorders>
              <w:top w:val="single" w:sz="4" w:space="0" w:color="auto"/>
              <w:left w:val="single" w:sz="4" w:space="0" w:color="auto"/>
              <w:bottom w:val="single" w:sz="4" w:space="0" w:color="auto"/>
              <w:right w:val="single" w:sz="4" w:space="0" w:color="auto"/>
            </w:tcBorders>
          </w:tcPr>
          <w:p w:rsidR="00C85EB4" w:rsidRPr="00C85EB4" w:rsidRDefault="00C85EB4" w:rsidP="00C85EB4">
            <w:pPr>
              <w:jc w:val="left"/>
              <w:rPr>
                <w:sz w:val="22"/>
                <w:szCs w:val="22"/>
              </w:rPr>
            </w:pPr>
            <w:r w:rsidRPr="00C85EB4">
              <w:rPr>
                <w:sz w:val="22"/>
                <w:szCs w:val="22"/>
              </w:rPr>
              <w:t>RD Labklājības departaments, Rīgas patversme, vecākā sociālā darbiniece</w:t>
            </w:r>
          </w:p>
        </w:tc>
        <w:tc>
          <w:tcPr>
            <w:tcW w:w="1842" w:type="dxa"/>
            <w:tcBorders>
              <w:top w:val="single" w:sz="4" w:space="0" w:color="auto"/>
              <w:left w:val="single" w:sz="4" w:space="0" w:color="auto"/>
              <w:bottom w:val="single" w:sz="4" w:space="0" w:color="auto"/>
              <w:right w:val="single" w:sz="4" w:space="0" w:color="auto"/>
            </w:tcBorders>
          </w:tcPr>
          <w:p w:rsidR="00C85EB4" w:rsidRPr="00C85EB4" w:rsidRDefault="00C85EB4" w:rsidP="00C85EB4">
            <w:pPr>
              <w:rPr>
                <w:sz w:val="22"/>
                <w:szCs w:val="22"/>
              </w:rPr>
            </w:pPr>
            <w:r w:rsidRPr="00C85EB4">
              <w:rPr>
                <w:sz w:val="22"/>
                <w:szCs w:val="22"/>
              </w:rPr>
              <w:t>Intervija</w:t>
            </w:r>
          </w:p>
        </w:tc>
      </w:tr>
      <w:tr w:rsidR="00C85EB4" w:rsidRPr="00C85EB4" w:rsidTr="00C85EB4">
        <w:trPr>
          <w:trHeight w:val="182"/>
        </w:trPr>
        <w:tc>
          <w:tcPr>
            <w:tcW w:w="1947" w:type="dxa"/>
          </w:tcPr>
          <w:p w:rsidR="00C85EB4" w:rsidRPr="00C85EB4" w:rsidRDefault="00C85EB4" w:rsidP="00C85EB4">
            <w:pPr>
              <w:rPr>
                <w:sz w:val="22"/>
                <w:szCs w:val="22"/>
              </w:rPr>
            </w:pPr>
            <w:r w:rsidRPr="00C85EB4">
              <w:rPr>
                <w:sz w:val="22"/>
                <w:szCs w:val="22"/>
              </w:rPr>
              <w:t>Varis Putniņš</w:t>
            </w:r>
          </w:p>
        </w:tc>
        <w:tc>
          <w:tcPr>
            <w:tcW w:w="5812" w:type="dxa"/>
          </w:tcPr>
          <w:p w:rsidR="00C85EB4" w:rsidRPr="00C85EB4" w:rsidRDefault="00C85EB4" w:rsidP="00C85EB4">
            <w:pPr>
              <w:jc w:val="left"/>
              <w:rPr>
                <w:sz w:val="22"/>
                <w:szCs w:val="22"/>
              </w:rPr>
            </w:pPr>
            <w:r w:rsidRPr="00C85EB4">
              <w:rPr>
                <w:sz w:val="22"/>
                <w:szCs w:val="22"/>
              </w:rPr>
              <w:t>VARAM Reģionālās attīstības plānošanas nodaļa, vecākais referents</w:t>
            </w:r>
          </w:p>
        </w:tc>
        <w:tc>
          <w:tcPr>
            <w:tcW w:w="1842" w:type="dxa"/>
          </w:tcPr>
          <w:p w:rsidR="00C85EB4" w:rsidRPr="00C85EB4" w:rsidRDefault="00C85EB4" w:rsidP="00C85EB4">
            <w:pPr>
              <w:rPr>
                <w:sz w:val="22"/>
                <w:szCs w:val="22"/>
              </w:rPr>
            </w:pPr>
            <w:r w:rsidRPr="00C85EB4">
              <w:rPr>
                <w:sz w:val="22"/>
                <w:szCs w:val="22"/>
              </w:rPr>
              <w:t>Intervija/FGD</w:t>
            </w:r>
          </w:p>
        </w:tc>
      </w:tr>
      <w:tr w:rsidR="00C85EB4" w:rsidRPr="00C85EB4" w:rsidTr="00C85EB4">
        <w:trPr>
          <w:trHeight w:val="115"/>
        </w:trPr>
        <w:tc>
          <w:tcPr>
            <w:tcW w:w="1947" w:type="dxa"/>
          </w:tcPr>
          <w:p w:rsidR="00C85EB4" w:rsidRPr="00C85EB4" w:rsidRDefault="00C85EB4" w:rsidP="00C85EB4">
            <w:pPr>
              <w:rPr>
                <w:sz w:val="22"/>
                <w:szCs w:val="22"/>
              </w:rPr>
            </w:pPr>
            <w:r w:rsidRPr="00C85EB4">
              <w:rPr>
                <w:sz w:val="22"/>
                <w:szCs w:val="22"/>
              </w:rPr>
              <w:t xml:space="preserve">Iveta Sietiņsone </w:t>
            </w:r>
          </w:p>
        </w:tc>
        <w:tc>
          <w:tcPr>
            <w:tcW w:w="5812" w:type="dxa"/>
          </w:tcPr>
          <w:p w:rsidR="00C85EB4" w:rsidRPr="00C85EB4" w:rsidRDefault="00C85EB4" w:rsidP="00C85EB4">
            <w:pPr>
              <w:jc w:val="left"/>
              <w:rPr>
                <w:sz w:val="22"/>
                <w:szCs w:val="22"/>
              </w:rPr>
            </w:pPr>
            <w:r w:rsidRPr="00C85EB4">
              <w:rPr>
                <w:sz w:val="22"/>
                <w:szCs w:val="22"/>
              </w:rPr>
              <w:t>Cēsu Sociālā dienesta direktore </w:t>
            </w:r>
          </w:p>
        </w:tc>
        <w:tc>
          <w:tcPr>
            <w:tcW w:w="1842" w:type="dxa"/>
          </w:tcPr>
          <w:p w:rsidR="00C85EB4" w:rsidRPr="00C85EB4" w:rsidRDefault="00C85EB4" w:rsidP="00C85EB4">
            <w:pPr>
              <w:rPr>
                <w:sz w:val="22"/>
                <w:szCs w:val="22"/>
              </w:rPr>
            </w:pPr>
            <w:r w:rsidRPr="00C85EB4">
              <w:rPr>
                <w:sz w:val="22"/>
                <w:szCs w:val="22"/>
              </w:rPr>
              <w:t>Intervija/ FGD</w:t>
            </w:r>
          </w:p>
        </w:tc>
      </w:tr>
      <w:tr w:rsidR="00C85EB4" w:rsidRPr="00C85EB4" w:rsidTr="00C85EB4">
        <w:trPr>
          <w:trHeight w:val="115"/>
        </w:trPr>
        <w:tc>
          <w:tcPr>
            <w:tcW w:w="1947" w:type="dxa"/>
            <w:tcBorders>
              <w:top w:val="single" w:sz="4" w:space="0" w:color="auto"/>
              <w:left w:val="single" w:sz="4" w:space="0" w:color="auto"/>
              <w:bottom w:val="single" w:sz="4" w:space="0" w:color="auto"/>
              <w:right w:val="single" w:sz="4" w:space="0" w:color="auto"/>
            </w:tcBorders>
          </w:tcPr>
          <w:p w:rsidR="00C85EB4" w:rsidRPr="00C85EB4" w:rsidRDefault="00C85EB4" w:rsidP="00C85EB4">
            <w:pPr>
              <w:rPr>
                <w:sz w:val="22"/>
                <w:szCs w:val="22"/>
              </w:rPr>
            </w:pPr>
            <w:r w:rsidRPr="00C85EB4">
              <w:rPr>
                <w:sz w:val="22"/>
                <w:szCs w:val="22"/>
              </w:rPr>
              <w:t>Pēteris Leiškalns</w:t>
            </w:r>
          </w:p>
        </w:tc>
        <w:tc>
          <w:tcPr>
            <w:tcW w:w="5812" w:type="dxa"/>
            <w:tcBorders>
              <w:top w:val="single" w:sz="4" w:space="0" w:color="auto"/>
              <w:left w:val="single" w:sz="4" w:space="0" w:color="auto"/>
              <w:bottom w:val="single" w:sz="4" w:space="0" w:color="auto"/>
              <w:right w:val="single" w:sz="4" w:space="0" w:color="auto"/>
            </w:tcBorders>
          </w:tcPr>
          <w:p w:rsidR="00C85EB4" w:rsidRPr="00C85EB4" w:rsidRDefault="00C85EB4" w:rsidP="00C85EB4">
            <w:pPr>
              <w:jc w:val="left"/>
              <w:rPr>
                <w:sz w:val="22"/>
                <w:szCs w:val="22"/>
              </w:rPr>
            </w:pPr>
            <w:r w:rsidRPr="00C85EB4">
              <w:rPr>
                <w:sz w:val="22"/>
                <w:szCs w:val="22"/>
              </w:rPr>
              <w:t>LDDK, Sociālās drošības un veselības aprūpes eksperts</w:t>
            </w:r>
          </w:p>
        </w:tc>
        <w:tc>
          <w:tcPr>
            <w:tcW w:w="1842" w:type="dxa"/>
            <w:tcBorders>
              <w:top w:val="single" w:sz="4" w:space="0" w:color="auto"/>
              <w:left w:val="single" w:sz="4" w:space="0" w:color="auto"/>
              <w:bottom w:val="single" w:sz="4" w:space="0" w:color="auto"/>
              <w:right w:val="single" w:sz="4" w:space="0" w:color="auto"/>
            </w:tcBorders>
          </w:tcPr>
          <w:p w:rsidR="00C85EB4" w:rsidRPr="00C85EB4" w:rsidRDefault="00C85EB4" w:rsidP="00C85EB4">
            <w:pPr>
              <w:rPr>
                <w:sz w:val="22"/>
                <w:szCs w:val="22"/>
              </w:rPr>
            </w:pPr>
            <w:r w:rsidRPr="00C85EB4">
              <w:rPr>
                <w:sz w:val="22"/>
                <w:szCs w:val="22"/>
              </w:rPr>
              <w:t>FGD</w:t>
            </w:r>
          </w:p>
        </w:tc>
      </w:tr>
      <w:tr w:rsidR="00C85EB4" w:rsidRPr="00C85EB4" w:rsidTr="00C85EB4">
        <w:trPr>
          <w:trHeight w:val="115"/>
        </w:trPr>
        <w:tc>
          <w:tcPr>
            <w:tcW w:w="1947" w:type="dxa"/>
            <w:tcBorders>
              <w:top w:val="single" w:sz="4" w:space="0" w:color="auto"/>
              <w:left w:val="single" w:sz="4" w:space="0" w:color="auto"/>
              <w:bottom w:val="single" w:sz="4" w:space="0" w:color="auto"/>
              <w:right w:val="single" w:sz="4" w:space="0" w:color="auto"/>
            </w:tcBorders>
          </w:tcPr>
          <w:p w:rsidR="00C85EB4" w:rsidRPr="00C85EB4" w:rsidRDefault="00C85EB4" w:rsidP="00C85EB4">
            <w:pPr>
              <w:rPr>
                <w:sz w:val="22"/>
                <w:szCs w:val="22"/>
              </w:rPr>
            </w:pPr>
            <w:r w:rsidRPr="00C85EB4">
              <w:rPr>
                <w:sz w:val="22"/>
                <w:szCs w:val="22"/>
              </w:rPr>
              <w:t>Daina Podziņa</w:t>
            </w:r>
          </w:p>
        </w:tc>
        <w:tc>
          <w:tcPr>
            <w:tcW w:w="5812" w:type="dxa"/>
            <w:tcBorders>
              <w:top w:val="single" w:sz="4" w:space="0" w:color="auto"/>
              <w:left w:val="single" w:sz="4" w:space="0" w:color="auto"/>
              <w:bottom w:val="single" w:sz="4" w:space="0" w:color="auto"/>
              <w:right w:val="single" w:sz="4" w:space="0" w:color="auto"/>
            </w:tcBorders>
          </w:tcPr>
          <w:p w:rsidR="00C85EB4" w:rsidRPr="00C85EB4" w:rsidRDefault="00C85EB4" w:rsidP="00C85EB4">
            <w:pPr>
              <w:jc w:val="left"/>
              <w:rPr>
                <w:bCs/>
                <w:sz w:val="22"/>
                <w:szCs w:val="22"/>
              </w:rPr>
            </w:pPr>
            <w:r w:rsidRPr="00C85EB4">
              <w:rPr>
                <w:bCs/>
                <w:sz w:val="22"/>
                <w:szCs w:val="22"/>
              </w:rPr>
              <w:t>Biedrības „Apeirons” pārstāve</w:t>
            </w:r>
          </w:p>
        </w:tc>
        <w:tc>
          <w:tcPr>
            <w:tcW w:w="1842" w:type="dxa"/>
            <w:tcBorders>
              <w:top w:val="single" w:sz="4" w:space="0" w:color="auto"/>
              <w:left w:val="single" w:sz="4" w:space="0" w:color="auto"/>
              <w:bottom w:val="single" w:sz="4" w:space="0" w:color="auto"/>
              <w:right w:val="single" w:sz="4" w:space="0" w:color="auto"/>
            </w:tcBorders>
          </w:tcPr>
          <w:p w:rsidR="00C85EB4" w:rsidRPr="00C85EB4" w:rsidRDefault="00C85EB4" w:rsidP="00C85EB4">
            <w:pPr>
              <w:rPr>
                <w:sz w:val="22"/>
                <w:szCs w:val="22"/>
              </w:rPr>
            </w:pPr>
            <w:r w:rsidRPr="00C85EB4">
              <w:rPr>
                <w:sz w:val="22"/>
                <w:szCs w:val="22"/>
              </w:rPr>
              <w:t>FGD</w:t>
            </w:r>
          </w:p>
        </w:tc>
      </w:tr>
      <w:tr w:rsidR="00C85EB4" w:rsidRPr="00C85EB4" w:rsidTr="00C85EB4">
        <w:trPr>
          <w:trHeight w:val="115"/>
        </w:trPr>
        <w:tc>
          <w:tcPr>
            <w:tcW w:w="1947" w:type="dxa"/>
            <w:tcBorders>
              <w:top w:val="single" w:sz="4" w:space="0" w:color="auto"/>
              <w:left w:val="single" w:sz="4" w:space="0" w:color="auto"/>
              <w:bottom w:val="single" w:sz="4" w:space="0" w:color="auto"/>
              <w:right w:val="single" w:sz="4" w:space="0" w:color="auto"/>
            </w:tcBorders>
          </w:tcPr>
          <w:p w:rsidR="00C85EB4" w:rsidRPr="00C85EB4" w:rsidRDefault="00C85EB4" w:rsidP="00C85EB4">
            <w:pPr>
              <w:rPr>
                <w:sz w:val="22"/>
                <w:szCs w:val="22"/>
              </w:rPr>
            </w:pPr>
            <w:r w:rsidRPr="00C85EB4">
              <w:rPr>
                <w:sz w:val="22"/>
                <w:szCs w:val="22"/>
              </w:rPr>
              <w:t>Sarmīte Ivbule</w:t>
            </w:r>
          </w:p>
        </w:tc>
        <w:tc>
          <w:tcPr>
            <w:tcW w:w="5812" w:type="dxa"/>
            <w:tcBorders>
              <w:top w:val="single" w:sz="4" w:space="0" w:color="auto"/>
              <w:left w:val="single" w:sz="4" w:space="0" w:color="auto"/>
              <w:bottom w:val="single" w:sz="4" w:space="0" w:color="auto"/>
              <w:right w:val="single" w:sz="4" w:space="0" w:color="auto"/>
            </w:tcBorders>
          </w:tcPr>
          <w:p w:rsidR="00C85EB4" w:rsidRPr="00C85EB4" w:rsidRDefault="00C85EB4" w:rsidP="00C85EB4">
            <w:pPr>
              <w:jc w:val="left"/>
              <w:rPr>
                <w:bCs/>
                <w:sz w:val="22"/>
                <w:szCs w:val="22"/>
              </w:rPr>
            </w:pPr>
            <w:r w:rsidRPr="00C85EB4">
              <w:rPr>
                <w:bCs/>
                <w:sz w:val="22"/>
                <w:szCs w:val="22"/>
              </w:rPr>
              <w:t xml:space="preserve">RD </w:t>
            </w:r>
            <w:r w:rsidRPr="00C85EB4">
              <w:rPr>
                <w:sz w:val="22"/>
                <w:szCs w:val="22"/>
              </w:rPr>
              <w:t>Mājokļu un vides departamenta Dzīvokļu pārvaldes Reģistru nodaļas vadītāja</w:t>
            </w:r>
          </w:p>
        </w:tc>
        <w:tc>
          <w:tcPr>
            <w:tcW w:w="1842" w:type="dxa"/>
            <w:tcBorders>
              <w:top w:val="single" w:sz="4" w:space="0" w:color="auto"/>
              <w:left w:val="single" w:sz="4" w:space="0" w:color="auto"/>
              <w:bottom w:val="single" w:sz="4" w:space="0" w:color="auto"/>
              <w:right w:val="single" w:sz="4" w:space="0" w:color="auto"/>
            </w:tcBorders>
          </w:tcPr>
          <w:p w:rsidR="00C85EB4" w:rsidRPr="00C85EB4" w:rsidRDefault="00C85EB4" w:rsidP="00C85EB4">
            <w:pPr>
              <w:rPr>
                <w:sz w:val="22"/>
                <w:szCs w:val="22"/>
              </w:rPr>
            </w:pPr>
            <w:r w:rsidRPr="00C85EB4">
              <w:rPr>
                <w:sz w:val="22"/>
                <w:szCs w:val="22"/>
              </w:rPr>
              <w:t>FGD</w:t>
            </w:r>
          </w:p>
        </w:tc>
      </w:tr>
      <w:tr w:rsidR="00C85EB4" w:rsidRPr="00C85EB4" w:rsidTr="00C85EB4">
        <w:trPr>
          <w:trHeight w:val="115"/>
        </w:trPr>
        <w:tc>
          <w:tcPr>
            <w:tcW w:w="1947" w:type="dxa"/>
            <w:tcBorders>
              <w:top w:val="single" w:sz="4" w:space="0" w:color="auto"/>
              <w:left w:val="single" w:sz="4" w:space="0" w:color="auto"/>
              <w:bottom w:val="single" w:sz="4" w:space="0" w:color="auto"/>
              <w:right w:val="single" w:sz="4" w:space="0" w:color="auto"/>
            </w:tcBorders>
          </w:tcPr>
          <w:p w:rsidR="00C85EB4" w:rsidRPr="00C85EB4" w:rsidRDefault="00C85EB4" w:rsidP="00C85EB4">
            <w:pPr>
              <w:rPr>
                <w:sz w:val="22"/>
                <w:szCs w:val="22"/>
              </w:rPr>
            </w:pPr>
            <w:r w:rsidRPr="00C85EB4">
              <w:rPr>
                <w:sz w:val="22"/>
                <w:szCs w:val="22"/>
              </w:rPr>
              <w:t>Tatjana Caune</w:t>
            </w:r>
          </w:p>
        </w:tc>
        <w:tc>
          <w:tcPr>
            <w:tcW w:w="5812" w:type="dxa"/>
            <w:tcBorders>
              <w:top w:val="single" w:sz="4" w:space="0" w:color="auto"/>
              <w:left w:val="single" w:sz="4" w:space="0" w:color="auto"/>
              <w:bottom w:val="single" w:sz="4" w:space="0" w:color="auto"/>
              <w:right w:val="single" w:sz="4" w:space="0" w:color="auto"/>
            </w:tcBorders>
          </w:tcPr>
          <w:p w:rsidR="00C85EB4" w:rsidRPr="00C85EB4" w:rsidRDefault="00C85EB4" w:rsidP="00C85EB4">
            <w:pPr>
              <w:rPr>
                <w:sz w:val="22"/>
                <w:szCs w:val="22"/>
              </w:rPr>
            </w:pPr>
            <w:r w:rsidRPr="00C85EB4">
              <w:rPr>
                <w:sz w:val="22"/>
                <w:szCs w:val="22"/>
              </w:rPr>
              <w:t>Tiesībsarga birojs, Bērnu tiesību nodaļas vecākā juriste</w:t>
            </w:r>
          </w:p>
        </w:tc>
        <w:tc>
          <w:tcPr>
            <w:tcW w:w="1842" w:type="dxa"/>
            <w:tcBorders>
              <w:top w:val="single" w:sz="4" w:space="0" w:color="auto"/>
              <w:left w:val="single" w:sz="4" w:space="0" w:color="auto"/>
              <w:bottom w:val="single" w:sz="4" w:space="0" w:color="auto"/>
              <w:right w:val="single" w:sz="4" w:space="0" w:color="auto"/>
            </w:tcBorders>
          </w:tcPr>
          <w:p w:rsidR="00C85EB4" w:rsidRPr="00C85EB4" w:rsidRDefault="00C85EB4" w:rsidP="00C85EB4">
            <w:pPr>
              <w:rPr>
                <w:sz w:val="22"/>
                <w:szCs w:val="22"/>
              </w:rPr>
            </w:pPr>
            <w:r w:rsidRPr="00C85EB4">
              <w:rPr>
                <w:sz w:val="22"/>
                <w:szCs w:val="22"/>
              </w:rPr>
              <w:t>FGD</w:t>
            </w:r>
          </w:p>
        </w:tc>
      </w:tr>
      <w:tr w:rsidR="00C85EB4" w:rsidRPr="00C85EB4" w:rsidTr="00C85EB4">
        <w:trPr>
          <w:trHeight w:val="115"/>
        </w:trPr>
        <w:tc>
          <w:tcPr>
            <w:tcW w:w="1947" w:type="dxa"/>
            <w:tcBorders>
              <w:top w:val="single" w:sz="4" w:space="0" w:color="auto"/>
              <w:left w:val="single" w:sz="4" w:space="0" w:color="auto"/>
              <w:bottom w:val="single" w:sz="4" w:space="0" w:color="auto"/>
              <w:right w:val="single" w:sz="4" w:space="0" w:color="auto"/>
            </w:tcBorders>
          </w:tcPr>
          <w:p w:rsidR="00C85EB4" w:rsidRPr="00C85EB4" w:rsidRDefault="00C85EB4" w:rsidP="00C85EB4">
            <w:pPr>
              <w:rPr>
                <w:sz w:val="22"/>
                <w:szCs w:val="22"/>
              </w:rPr>
            </w:pPr>
            <w:r w:rsidRPr="00C85EB4">
              <w:rPr>
                <w:bCs/>
                <w:sz w:val="22"/>
                <w:szCs w:val="22"/>
              </w:rPr>
              <w:t>Ieva Arklone</w:t>
            </w:r>
          </w:p>
        </w:tc>
        <w:tc>
          <w:tcPr>
            <w:tcW w:w="5812" w:type="dxa"/>
            <w:tcBorders>
              <w:top w:val="single" w:sz="4" w:space="0" w:color="auto"/>
              <w:left w:val="single" w:sz="4" w:space="0" w:color="auto"/>
              <w:bottom w:val="single" w:sz="4" w:space="0" w:color="auto"/>
              <w:right w:val="single" w:sz="4" w:space="0" w:color="auto"/>
            </w:tcBorders>
            <w:vAlign w:val="center"/>
          </w:tcPr>
          <w:p w:rsidR="00C85EB4" w:rsidRPr="00C85EB4" w:rsidRDefault="00C85EB4" w:rsidP="00C85EB4">
            <w:pPr>
              <w:jc w:val="left"/>
              <w:rPr>
                <w:sz w:val="22"/>
                <w:szCs w:val="22"/>
              </w:rPr>
            </w:pPr>
            <w:r w:rsidRPr="00C85EB4">
              <w:rPr>
                <w:sz w:val="22"/>
                <w:szCs w:val="22"/>
              </w:rPr>
              <w:t>Tiesībsarga birojs, Sociālo, ekonomisko un kultūras tiesību nodaļas juridiskā padomniece</w:t>
            </w:r>
          </w:p>
        </w:tc>
        <w:tc>
          <w:tcPr>
            <w:tcW w:w="1842" w:type="dxa"/>
            <w:tcBorders>
              <w:top w:val="single" w:sz="4" w:space="0" w:color="auto"/>
              <w:left w:val="single" w:sz="4" w:space="0" w:color="auto"/>
              <w:bottom w:val="single" w:sz="4" w:space="0" w:color="auto"/>
              <w:right w:val="single" w:sz="4" w:space="0" w:color="auto"/>
            </w:tcBorders>
          </w:tcPr>
          <w:p w:rsidR="00C85EB4" w:rsidRPr="00C85EB4" w:rsidRDefault="00C85EB4" w:rsidP="00C85EB4">
            <w:pPr>
              <w:rPr>
                <w:sz w:val="22"/>
                <w:szCs w:val="22"/>
              </w:rPr>
            </w:pPr>
            <w:r w:rsidRPr="00C85EB4">
              <w:rPr>
                <w:sz w:val="22"/>
                <w:szCs w:val="22"/>
              </w:rPr>
              <w:t>FGD</w:t>
            </w:r>
          </w:p>
        </w:tc>
      </w:tr>
      <w:tr w:rsidR="00C85EB4" w:rsidRPr="00C85EB4" w:rsidTr="00C85EB4">
        <w:trPr>
          <w:trHeight w:val="115"/>
        </w:trPr>
        <w:tc>
          <w:tcPr>
            <w:tcW w:w="1947" w:type="dxa"/>
            <w:tcBorders>
              <w:top w:val="single" w:sz="4" w:space="0" w:color="auto"/>
              <w:left w:val="single" w:sz="4" w:space="0" w:color="auto"/>
              <w:bottom w:val="single" w:sz="4" w:space="0" w:color="auto"/>
              <w:right w:val="single" w:sz="4" w:space="0" w:color="auto"/>
            </w:tcBorders>
          </w:tcPr>
          <w:p w:rsidR="00C85EB4" w:rsidRPr="00C85EB4" w:rsidRDefault="00C85EB4" w:rsidP="00C85EB4">
            <w:pPr>
              <w:rPr>
                <w:sz w:val="22"/>
                <w:szCs w:val="22"/>
              </w:rPr>
            </w:pPr>
            <w:r w:rsidRPr="00C85EB4">
              <w:rPr>
                <w:sz w:val="22"/>
                <w:szCs w:val="22"/>
              </w:rPr>
              <w:t>Inese Zīle</w:t>
            </w:r>
          </w:p>
        </w:tc>
        <w:tc>
          <w:tcPr>
            <w:tcW w:w="5812" w:type="dxa"/>
            <w:tcBorders>
              <w:top w:val="single" w:sz="4" w:space="0" w:color="auto"/>
              <w:left w:val="single" w:sz="4" w:space="0" w:color="auto"/>
              <w:bottom w:val="single" w:sz="4" w:space="0" w:color="auto"/>
              <w:right w:val="single" w:sz="4" w:space="0" w:color="auto"/>
            </w:tcBorders>
          </w:tcPr>
          <w:p w:rsidR="00C85EB4" w:rsidRPr="00C85EB4" w:rsidRDefault="00C85EB4" w:rsidP="00C85EB4">
            <w:pPr>
              <w:jc w:val="left"/>
              <w:rPr>
                <w:sz w:val="22"/>
                <w:szCs w:val="22"/>
              </w:rPr>
            </w:pPr>
            <w:r w:rsidRPr="00C85EB4">
              <w:rPr>
                <w:sz w:val="22"/>
                <w:szCs w:val="22"/>
              </w:rPr>
              <w:t>ALTUM valdes locekle</w:t>
            </w:r>
          </w:p>
        </w:tc>
        <w:tc>
          <w:tcPr>
            <w:tcW w:w="1842" w:type="dxa"/>
            <w:tcBorders>
              <w:top w:val="single" w:sz="4" w:space="0" w:color="auto"/>
              <w:left w:val="single" w:sz="4" w:space="0" w:color="auto"/>
              <w:bottom w:val="single" w:sz="4" w:space="0" w:color="auto"/>
              <w:right w:val="single" w:sz="4" w:space="0" w:color="auto"/>
            </w:tcBorders>
          </w:tcPr>
          <w:p w:rsidR="00C85EB4" w:rsidRPr="00C85EB4" w:rsidRDefault="00C85EB4" w:rsidP="00C85EB4">
            <w:pPr>
              <w:rPr>
                <w:sz w:val="22"/>
                <w:szCs w:val="22"/>
              </w:rPr>
            </w:pPr>
            <w:r w:rsidRPr="00C85EB4">
              <w:rPr>
                <w:sz w:val="22"/>
                <w:szCs w:val="22"/>
              </w:rPr>
              <w:t>FGD</w:t>
            </w:r>
          </w:p>
        </w:tc>
      </w:tr>
      <w:tr w:rsidR="00C85EB4" w:rsidRPr="00C85EB4" w:rsidTr="00C85EB4">
        <w:trPr>
          <w:trHeight w:val="115"/>
        </w:trPr>
        <w:tc>
          <w:tcPr>
            <w:tcW w:w="1947" w:type="dxa"/>
            <w:tcBorders>
              <w:top w:val="single" w:sz="4" w:space="0" w:color="auto"/>
              <w:left w:val="single" w:sz="4" w:space="0" w:color="auto"/>
              <w:bottom w:val="single" w:sz="4" w:space="0" w:color="auto"/>
              <w:right w:val="single" w:sz="4" w:space="0" w:color="auto"/>
            </w:tcBorders>
          </w:tcPr>
          <w:p w:rsidR="00C85EB4" w:rsidRPr="00C85EB4" w:rsidRDefault="00C85EB4" w:rsidP="00C85EB4">
            <w:pPr>
              <w:rPr>
                <w:sz w:val="22"/>
                <w:szCs w:val="22"/>
              </w:rPr>
            </w:pPr>
            <w:r w:rsidRPr="00C85EB4">
              <w:rPr>
                <w:sz w:val="22"/>
                <w:szCs w:val="22"/>
              </w:rPr>
              <w:t xml:space="preserve">Gatis Sniedziņš </w:t>
            </w:r>
          </w:p>
        </w:tc>
        <w:tc>
          <w:tcPr>
            <w:tcW w:w="5812" w:type="dxa"/>
            <w:tcBorders>
              <w:top w:val="single" w:sz="4" w:space="0" w:color="auto"/>
              <w:left w:val="single" w:sz="4" w:space="0" w:color="auto"/>
              <w:bottom w:val="single" w:sz="4" w:space="0" w:color="auto"/>
              <w:right w:val="single" w:sz="4" w:space="0" w:color="auto"/>
            </w:tcBorders>
          </w:tcPr>
          <w:p w:rsidR="00C85EB4" w:rsidRPr="00C85EB4" w:rsidRDefault="00C85EB4" w:rsidP="00C85EB4">
            <w:pPr>
              <w:jc w:val="left"/>
              <w:rPr>
                <w:bCs/>
                <w:sz w:val="22"/>
                <w:szCs w:val="22"/>
              </w:rPr>
            </w:pPr>
            <w:r w:rsidRPr="00C85EB4">
              <w:rPr>
                <w:sz w:val="22"/>
                <w:szCs w:val="22"/>
              </w:rPr>
              <w:t xml:space="preserve">ALTUM  </w:t>
            </w:r>
          </w:p>
        </w:tc>
        <w:tc>
          <w:tcPr>
            <w:tcW w:w="1842" w:type="dxa"/>
            <w:tcBorders>
              <w:top w:val="single" w:sz="4" w:space="0" w:color="auto"/>
              <w:left w:val="single" w:sz="4" w:space="0" w:color="auto"/>
              <w:bottom w:val="single" w:sz="4" w:space="0" w:color="auto"/>
              <w:right w:val="single" w:sz="4" w:space="0" w:color="auto"/>
            </w:tcBorders>
          </w:tcPr>
          <w:p w:rsidR="00C85EB4" w:rsidRPr="00C85EB4" w:rsidRDefault="00C85EB4" w:rsidP="00C85EB4">
            <w:pPr>
              <w:rPr>
                <w:sz w:val="22"/>
                <w:szCs w:val="22"/>
              </w:rPr>
            </w:pPr>
            <w:r w:rsidRPr="00C85EB4">
              <w:rPr>
                <w:sz w:val="22"/>
                <w:szCs w:val="22"/>
              </w:rPr>
              <w:t>FGD</w:t>
            </w:r>
          </w:p>
        </w:tc>
      </w:tr>
    </w:tbl>
    <w:p w:rsidR="00A36A64" w:rsidRDefault="00A36A64">
      <w:pPr>
        <w:jc w:val="left"/>
        <w:rPr>
          <w:rFonts w:asciiTheme="majorHAnsi" w:eastAsiaTheme="majorEastAsia" w:hAnsiTheme="majorHAnsi" w:cstheme="majorBidi"/>
          <w:b/>
          <w:i/>
          <w:color w:val="002060"/>
          <w:sz w:val="28"/>
        </w:rPr>
      </w:pPr>
      <w:r>
        <w:br w:type="page"/>
      </w:r>
    </w:p>
    <w:p w:rsidR="00B8337B" w:rsidRDefault="00B8337B" w:rsidP="004C1ABB">
      <w:pPr>
        <w:pStyle w:val="pielikumiem"/>
      </w:pPr>
      <w:bookmarkStart w:id="1280" w:name="_Toc6841719"/>
      <w:r w:rsidRPr="00775EB0">
        <w:lastRenderedPageBreak/>
        <w:t>pielikums. Ekspertu interviju vadlīnijas</w:t>
      </w:r>
      <w:bookmarkEnd w:id="1280"/>
    </w:p>
    <w:p w:rsidR="00775EB0" w:rsidRPr="007D6307" w:rsidRDefault="00775EB0" w:rsidP="00C33A64">
      <w:pPr>
        <w:pStyle w:val="virsrakstslvl4"/>
      </w:pPr>
      <w:bookmarkStart w:id="1281" w:name="_Toc2761182"/>
      <w:bookmarkStart w:id="1282" w:name="_Toc2848289"/>
      <w:bookmarkStart w:id="1283" w:name="_Toc6219349"/>
      <w:bookmarkStart w:id="1284" w:name="_Toc6220292"/>
      <w:bookmarkStart w:id="1285" w:name="_Toc6841720"/>
      <w:r w:rsidRPr="00B87378">
        <w:t>Ievads</w:t>
      </w:r>
      <w:bookmarkEnd w:id="1281"/>
      <w:bookmarkEnd w:id="1282"/>
      <w:bookmarkEnd w:id="1283"/>
      <w:bookmarkEnd w:id="1284"/>
      <w:bookmarkEnd w:id="1285"/>
    </w:p>
    <w:p w:rsidR="00EB56BE" w:rsidRPr="00EB56BE" w:rsidRDefault="00775EB0" w:rsidP="00064C1E">
      <w:pPr>
        <w:rPr>
          <w:rFonts w:eastAsiaTheme="majorEastAsia" w:cstheme="majorBidi"/>
          <w:bCs/>
          <w:i/>
          <w:szCs w:val="26"/>
        </w:rPr>
      </w:pPr>
      <w:r w:rsidRPr="00EB56BE">
        <w:rPr>
          <w:i/>
        </w:rPr>
        <w:t xml:space="preserve">Ievada daļā katrs eksperts </w:t>
      </w:r>
      <w:r w:rsidR="008C46CD">
        <w:rPr>
          <w:i/>
        </w:rPr>
        <w:t>kā Izvērtējuma dalībnieks</w:t>
      </w:r>
      <w:r w:rsidRPr="00EB56BE">
        <w:rPr>
          <w:i/>
        </w:rPr>
        <w:t xml:space="preserve"> </w:t>
      </w:r>
      <w:r w:rsidR="002B7B11">
        <w:rPr>
          <w:i/>
        </w:rPr>
        <w:t>tika</w:t>
      </w:r>
      <w:r w:rsidRPr="00EB56BE">
        <w:rPr>
          <w:i/>
        </w:rPr>
        <w:t xml:space="preserve"> iepazīstināts ar Izvērtējuma </w:t>
      </w:r>
      <w:r w:rsidRPr="00EB56BE">
        <w:rPr>
          <w:rFonts w:eastAsiaTheme="majorEastAsia" w:cstheme="majorBidi"/>
          <w:bCs/>
          <w:i/>
          <w:szCs w:val="26"/>
        </w:rPr>
        <w:t xml:space="preserve">mērķi un galvenajiem uzdevumiem, intervijas norises kārtību, t.sk. audioieraksta veikšanu, intervijas paredzamo ilgumu, intervētāja lomu. Pirms intervijas sākuma eksperts </w:t>
      </w:r>
      <w:r w:rsidR="002B7B11">
        <w:rPr>
          <w:rFonts w:eastAsiaTheme="majorEastAsia" w:cstheme="majorBidi"/>
          <w:bCs/>
          <w:i/>
          <w:szCs w:val="26"/>
        </w:rPr>
        <w:t>tika</w:t>
      </w:r>
      <w:r w:rsidRPr="00EB56BE">
        <w:rPr>
          <w:rFonts w:eastAsiaTheme="majorEastAsia" w:cstheme="majorBidi"/>
          <w:bCs/>
          <w:i/>
          <w:szCs w:val="26"/>
        </w:rPr>
        <w:t xml:space="preserve"> aicināts parakstīt apliecinājumu par piekrišanu dalībai Izvērtējumā. Pēc vajadzības </w:t>
      </w:r>
      <w:r w:rsidR="00EB56BE" w:rsidRPr="00EB56BE">
        <w:rPr>
          <w:rFonts w:eastAsiaTheme="majorEastAsia" w:cstheme="majorBidi"/>
          <w:bCs/>
          <w:i/>
          <w:szCs w:val="26"/>
        </w:rPr>
        <w:t>intervētājs</w:t>
      </w:r>
      <w:r w:rsidRPr="00EB56BE">
        <w:rPr>
          <w:rFonts w:eastAsiaTheme="majorEastAsia" w:cstheme="majorBidi"/>
          <w:bCs/>
          <w:i/>
          <w:szCs w:val="26"/>
        </w:rPr>
        <w:t xml:space="preserve"> sniedz atbildes uz </w:t>
      </w:r>
      <w:r w:rsidR="00EB56BE" w:rsidRPr="00EB56BE">
        <w:rPr>
          <w:rFonts w:eastAsiaTheme="majorEastAsia" w:cstheme="majorBidi"/>
          <w:bCs/>
          <w:i/>
          <w:szCs w:val="26"/>
        </w:rPr>
        <w:t>eksperta</w:t>
      </w:r>
      <w:r w:rsidRPr="00EB56BE">
        <w:rPr>
          <w:rFonts w:eastAsiaTheme="majorEastAsia" w:cstheme="majorBidi"/>
          <w:bCs/>
          <w:i/>
          <w:szCs w:val="26"/>
        </w:rPr>
        <w:t xml:space="preserve"> jautājumiem par </w:t>
      </w:r>
      <w:r w:rsidR="00EB56BE" w:rsidRPr="00EB56BE">
        <w:rPr>
          <w:rFonts w:eastAsiaTheme="majorEastAsia" w:cstheme="majorBidi"/>
          <w:bCs/>
          <w:i/>
          <w:szCs w:val="26"/>
        </w:rPr>
        <w:t>intervijas</w:t>
      </w:r>
      <w:r w:rsidRPr="00EB56BE">
        <w:rPr>
          <w:rFonts w:eastAsiaTheme="majorEastAsia" w:cstheme="majorBidi"/>
          <w:bCs/>
          <w:i/>
          <w:szCs w:val="26"/>
        </w:rPr>
        <w:t xml:space="preserve"> norisi un rezultātu izmantošanu. </w:t>
      </w:r>
    </w:p>
    <w:p w:rsidR="00EB56BE" w:rsidRDefault="00EB56BE" w:rsidP="00064C1E">
      <w:pPr>
        <w:rPr>
          <w:rFonts w:eastAsiaTheme="majorEastAsia" w:cstheme="majorBidi"/>
          <w:bCs/>
          <w:szCs w:val="26"/>
        </w:rPr>
      </w:pPr>
    </w:p>
    <w:p w:rsidR="00EB56BE" w:rsidRDefault="00EB56BE" w:rsidP="00064C1E">
      <w:pPr>
        <w:rPr>
          <w:rFonts w:eastAsiaTheme="majorEastAsia" w:cstheme="majorBidi"/>
          <w:bCs/>
          <w:szCs w:val="26"/>
        </w:rPr>
      </w:pPr>
      <w:r>
        <w:rPr>
          <w:rFonts w:eastAsiaTheme="majorEastAsia" w:cstheme="majorBidi"/>
          <w:bCs/>
          <w:szCs w:val="26"/>
        </w:rPr>
        <w:t xml:space="preserve">Pastāstiet, lūdzu, kāda ir Jūsu kompetence un profesionālās darbības pieredzes ilgums konkrētajā jomā [sociālā politika, sociālā atstumtības un nabadzība, veselības aprūpe, mājokļa joma]? Ar kādām [sociālās, veselības aprūpes, mājokļa] politikas mērķa grupām Jūs ikdienā strādājat? </w:t>
      </w:r>
    </w:p>
    <w:p w:rsidR="00EB56BE" w:rsidRPr="007D6307" w:rsidRDefault="00EB56BE" w:rsidP="00C33A64">
      <w:pPr>
        <w:pStyle w:val="virsrakstslvl3"/>
      </w:pPr>
      <w:bookmarkStart w:id="1286" w:name="_Toc2761183"/>
      <w:bookmarkStart w:id="1287" w:name="_Toc2848290"/>
      <w:bookmarkStart w:id="1288" w:name="_Toc6219350"/>
      <w:bookmarkStart w:id="1289" w:name="_Toc6220293"/>
      <w:bookmarkStart w:id="1290" w:name="_Toc6841721"/>
      <w:r w:rsidRPr="007432E7">
        <w:t>Intervijas</w:t>
      </w:r>
      <w:r w:rsidRPr="007D6307">
        <w:t xml:space="preserve"> pamata daļa – jautājumi</w:t>
      </w:r>
      <w:r w:rsidR="00E35B09" w:rsidRPr="007D6307">
        <w:t>/ galvenās jautājumu tēmas</w:t>
      </w:r>
      <w:bookmarkEnd w:id="1286"/>
      <w:bookmarkEnd w:id="1287"/>
      <w:bookmarkEnd w:id="1288"/>
      <w:bookmarkEnd w:id="1289"/>
      <w:bookmarkEnd w:id="1290"/>
    </w:p>
    <w:p w:rsidR="00EB56BE" w:rsidRPr="00EB56BE" w:rsidRDefault="00EB56BE" w:rsidP="00064C1E">
      <w:pPr>
        <w:rPr>
          <w:rFonts w:eastAsiaTheme="majorEastAsia" w:cstheme="majorBidi"/>
          <w:bCs/>
          <w:i/>
          <w:szCs w:val="26"/>
        </w:rPr>
      </w:pPr>
      <w:r w:rsidRPr="00EB56BE">
        <w:rPr>
          <w:rFonts w:eastAsiaTheme="majorEastAsia" w:cstheme="majorBidi"/>
          <w:bCs/>
          <w:i/>
          <w:szCs w:val="26"/>
        </w:rPr>
        <w:t>Ekspertu interviju jautājumu daļa ir strukturēta atbilstoši Izvērtējuma jomām. Intervētāja uzdevums ir atlasīt un uzdot tos jautājumus, kuri atbilst eksperta kompetencei</w:t>
      </w:r>
      <w:r>
        <w:rPr>
          <w:rFonts w:eastAsiaTheme="majorEastAsia" w:cstheme="majorBidi"/>
          <w:bCs/>
          <w:i/>
          <w:szCs w:val="26"/>
        </w:rPr>
        <w:t>, kā arī uzdot precizējošus jautājumus atbilstoši eksperta stāstījumam</w:t>
      </w:r>
      <w:r w:rsidRPr="00EB56BE">
        <w:rPr>
          <w:rFonts w:eastAsiaTheme="majorEastAsia" w:cstheme="majorBidi"/>
          <w:bCs/>
          <w:i/>
          <w:szCs w:val="26"/>
        </w:rPr>
        <w:t xml:space="preserve">. </w:t>
      </w:r>
    </w:p>
    <w:p w:rsidR="00EB56BE" w:rsidRDefault="00EB56BE" w:rsidP="00064C1E">
      <w:pPr>
        <w:rPr>
          <w:rFonts w:eastAsiaTheme="majorEastAsia" w:cstheme="majorBidi"/>
          <w:b/>
          <w:bCs/>
          <w:szCs w:val="26"/>
        </w:rPr>
      </w:pPr>
    </w:p>
    <w:p w:rsidR="00EB56BE" w:rsidRPr="00324B63" w:rsidRDefault="00EB56BE" w:rsidP="00C33A64">
      <w:pPr>
        <w:pStyle w:val="Style3"/>
      </w:pPr>
      <w:bookmarkStart w:id="1291" w:name="_Toc2761184"/>
      <w:bookmarkStart w:id="1292" w:name="_Toc2848291"/>
      <w:bookmarkStart w:id="1293" w:name="_Toc6219351"/>
      <w:bookmarkStart w:id="1294" w:name="_Toc6220294"/>
      <w:bookmarkStart w:id="1295" w:name="_Toc6841722"/>
      <w:r w:rsidRPr="007432E7">
        <w:t>SOCIĀLĀS</w:t>
      </w:r>
      <w:r w:rsidRPr="00324B63">
        <w:t xml:space="preserve"> ATSTUMTĪBAS UN NABADZĪBAS MAZINĀŠANAS JOMA</w:t>
      </w:r>
      <w:bookmarkEnd w:id="1291"/>
      <w:bookmarkEnd w:id="1292"/>
      <w:bookmarkEnd w:id="1293"/>
      <w:bookmarkEnd w:id="1294"/>
      <w:bookmarkEnd w:id="1295"/>
    </w:p>
    <w:p w:rsidR="00EB56BE" w:rsidRDefault="00EB56BE" w:rsidP="00064C1E">
      <w:pPr>
        <w:rPr>
          <w:rFonts w:eastAsiaTheme="majorEastAsia" w:cstheme="majorBidi"/>
          <w:bCs/>
          <w:szCs w:val="26"/>
        </w:rPr>
      </w:pPr>
    </w:p>
    <w:p w:rsidR="00C5634D" w:rsidRPr="0011539A" w:rsidRDefault="00C5634D" w:rsidP="00064C1E">
      <w:pPr>
        <w:rPr>
          <w:rFonts w:eastAsiaTheme="majorEastAsia"/>
          <w:bCs/>
        </w:rPr>
      </w:pPr>
      <w:r w:rsidRPr="0011539A">
        <w:rPr>
          <w:rFonts w:eastAsiaTheme="majorEastAsia"/>
          <w:bCs/>
        </w:rPr>
        <w:t xml:space="preserve">Pastāstiet, lūdzu, kāda ir Jūsu </w:t>
      </w:r>
      <w:r w:rsidRPr="00C5634D">
        <w:rPr>
          <w:rFonts w:eastAsiaTheme="majorEastAsia"/>
          <w:bCs/>
        </w:rPr>
        <w:t>kompetence un profesionālās darbības pieredzes ilgums</w:t>
      </w:r>
      <w:r w:rsidRPr="0011539A">
        <w:rPr>
          <w:rFonts w:eastAsiaTheme="majorEastAsia"/>
          <w:bCs/>
        </w:rPr>
        <w:t xml:space="preserve"> </w:t>
      </w:r>
      <w:r>
        <w:rPr>
          <w:rFonts w:eastAsiaTheme="majorEastAsia"/>
          <w:bCs/>
        </w:rPr>
        <w:t>sociālās politikas nozarē</w:t>
      </w:r>
      <w:r w:rsidRPr="0011539A">
        <w:rPr>
          <w:rFonts w:eastAsiaTheme="majorEastAsia"/>
          <w:bCs/>
        </w:rPr>
        <w:t xml:space="preserve">? Ar kādām </w:t>
      </w:r>
      <w:r>
        <w:rPr>
          <w:rFonts w:eastAsiaTheme="majorEastAsia"/>
          <w:bCs/>
        </w:rPr>
        <w:t>sociālās aizsardzības politikas</w:t>
      </w:r>
      <w:r w:rsidRPr="0011539A">
        <w:rPr>
          <w:rFonts w:eastAsiaTheme="majorEastAsia"/>
          <w:bCs/>
        </w:rPr>
        <w:t xml:space="preserve"> mērķa grupām Jūs ikdienā strādājat? </w:t>
      </w:r>
    </w:p>
    <w:p w:rsidR="00C5634D" w:rsidRDefault="00C5634D" w:rsidP="00064C1E">
      <w:pPr>
        <w:rPr>
          <w:rFonts w:eastAsiaTheme="majorEastAsia" w:cstheme="majorBidi"/>
          <w:bCs/>
          <w:szCs w:val="26"/>
        </w:rPr>
      </w:pPr>
    </w:p>
    <w:p w:rsidR="00C5634D" w:rsidRDefault="00C5634D" w:rsidP="00064C1E">
      <w:pPr>
        <w:rPr>
          <w:rFonts w:eastAsiaTheme="majorEastAsia" w:cstheme="majorBidi"/>
          <w:bCs/>
          <w:i/>
          <w:szCs w:val="26"/>
        </w:rPr>
      </w:pPr>
      <w:r>
        <w:rPr>
          <w:rFonts w:eastAsiaTheme="majorEastAsia" w:cstheme="majorBidi"/>
          <w:bCs/>
          <w:szCs w:val="26"/>
        </w:rPr>
        <w:t xml:space="preserve">Raksturojiet, lūdzu, nozīmīgākās izmaiņas tiesību aktos, kas veiktas 2015., 2016. gadā un ir bijušas vērstas uz nabadzības, sociālās atstumtības un/vai ienākumu nevienlīdzības samazināšanu, palielinot iedzīvotāju rīcībā esošos tiešos un netiešos ienākumus! </w:t>
      </w:r>
    </w:p>
    <w:p w:rsidR="00C5634D" w:rsidRDefault="00C5634D" w:rsidP="00064C1E">
      <w:pPr>
        <w:rPr>
          <w:rFonts w:eastAsiaTheme="majorEastAsia" w:cstheme="majorBidi"/>
          <w:bCs/>
          <w:i/>
          <w:szCs w:val="26"/>
        </w:rPr>
      </w:pPr>
    </w:p>
    <w:p w:rsidR="00C5634D" w:rsidRDefault="00C5634D" w:rsidP="00064C1E">
      <w:pPr>
        <w:rPr>
          <w:rFonts w:eastAsiaTheme="majorEastAsia" w:cstheme="majorBidi"/>
          <w:bCs/>
          <w:i/>
          <w:szCs w:val="26"/>
        </w:rPr>
      </w:pPr>
      <w:r>
        <w:rPr>
          <w:rFonts w:eastAsiaTheme="majorEastAsia" w:cstheme="majorBidi"/>
          <w:bCs/>
          <w:szCs w:val="26"/>
        </w:rPr>
        <w:t>Balstoties uz Jūsu pieredzi un novērojumiem, kādu ietekmi šīs izmaiņas ir radījušas uz nabadzības, sociālās atstumtības un ienākumu nevienlīdzības situāciju kopumā un konkrētām mērķa grupām?</w:t>
      </w:r>
      <w:r>
        <w:rPr>
          <w:rFonts w:eastAsiaTheme="majorEastAsia" w:cstheme="majorBidi"/>
          <w:bCs/>
          <w:i/>
          <w:szCs w:val="26"/>
        </w:rPr>
        <w:t xml:space="preserve"> </w:t>
      </w:r>
    </w:p>
    <w:p w:rsidR="00C5634D" w:rsidRDefault="00C5634D" w:rsidP="00064C1E">
      <w:pPr>
        <w:rPr>
          <w:rFonts w:eastAsiaTheme="majorEastAsia" w:cstheme="majorBidi"/>
          <w:bCs/>
          <w:i/>
          <w:szCs w:val="26"/>
        </w:rPr>
      </w:pPr>
    </w:p>
    <w:p w:rsidR="00C5634D" w:rsidRPr="001D455C" w:rsidRDefault="00C5634D" w:rsidP="00064C1E">
      <w:pPr>
        <w:rPr>
          <w:rFonts w:eastAsiaTheme="majorEastAsia" w:cstheme="majorBidi"/>
          <w:bCs/>
          <w:szCs w:val="26"/>
        </w:rPr>
      </w:pPr>
      <w:r>
        <w:rPr>
          <w:rFonts w:eastAsiaTheme="majorEastAsia" w:cstheme="majorBidi"/>
          <w:bCs/>
          <w:szCs w:val="26"/>
        </w:rPr>
        <w:t>Vai ir bijušas kādas, Jūsuprāt, atbalstāmas ieceres izmaiņu veikšanai, taču kuras tā arī netika virzītas tālāk? Kādas tieši? Kādi bija iemesli tam, kāpēc tās netika virzītas tālākai izstrādei un ieviešanai?</w:t>
      </w:r>
    </w:p>
    <w:p w:rsidR="00C5634D" w:rsidRDefault="00C5634D" w:rsidP="00064C1E">
      <w:pPr>
        <w:rPr>
          <w:rFonts w:eastAsiaTheme="majorEastAsia" w:cstheme="majorBidi"/>
          <w:bCs/>
          <w:i/>
          <w:szCs w:val="26"/>
        </w:rPr>
      </w:pPr>
    </w:p>
    <w:p w:rsidR="00C5634D" w:rsidRPr="00D44090" w:rsidRDefault="00C5634D" w:rsidP="00064C1E">
      <w:pPr>
        <w:rPr>
          <w:rFonts w:eastAsiaTheme="majorEastAsia" w:cstheme="majorBidi"/>
          <w:bCs/>
          <w:szCs w:val="26"/>
        </w:rPr>
      </w:pPr>
      <w:r>
        <w:rPr>
          <w:rFonts w:eastAsiaTheme="majorEastAsia" w:cstheme="majorBidi"/>
          <w:bCs/>
          <w:szCs w:val="26"/>
        </w:rPr>
        <w:t xml:space="preserve">Kuras no mērķa grupām, Jūsuprāt, ir visvairāk pakļautas sociālās atstumtības, nabadzības un ienākumu nevienlīdzības riskam? Lūdzu, pamatojiet, savu viedokli, kāpēc tā? </w:t>
      </w:r>
    </w:p>
    <w:p w:rsidR="00C5634D" w:rsidRDefault="00C5634D" w:rsidP="00064C1E">
      <w:pPr>
        <w:rPr>
          <w:rFonts w:eastAsiaTheme="majorEastAsia" w:cstheme="majorBidi"/>
          <w:bCs/>
          <w:i/>
          <w:szCs w:val="26"/>
        </w:rPr>
      </w:pPr>
    </w:p>
    <w:p w:rsidR="00C5634D" w:rsidRDefault="00C5634D" w:rsidP="00064C1E">
      <w:pPr>
        <w:rPr>
          <w:rFonts w:eastAsiaTheme="majorEastAsia" w:cstheme="majorBidi"/>
          <w:bCs/>
          <w:szCs w:val="26"/>
        </w:rPr>
      </w:pPr>
      <w:r>
        <w:rPr>
          <w:rFonts w:eastAsiaTheme="majorEastAsia" w:cstheme="majorBidi"/>
          <w:bCs/>
          <w:szCs w:val="26"/>
        </w:rPr>
        <w:t>Kādi, Jūsuprāt, būtu nepieciešamie uzlabojumi rīcībpolitikā (t.sk. normatīvajos aktos) nabadzības un sociālās atstumtības mazināšanai?</w:t>
      </w:r>
    </w:p>
    <w:p w:rsidR="00C5634D" w:rsidRDefault="00C5634D" w:rsidP="00064C1E">
      <w:pPr>
        <w:rPr>
          <w:rFonts w:eastAsiaTheme="majorEastAsia" w:cstheme="majorBidi"/>
          <w:bCs/>
          <w:szCs w:val="26"/>
        </w:rPr>
      </w:pPr>
    </w:p>
    <w:p w:rsidR="00C5634D" w:rsidRPr="00BE216A" w:rsidRDefault="00C5634D" w:rsidP="00064C1E">
      <w:pPr>
        <w:rPr>
          <w:rFonts w:eastAsiaTheme="majorEastAsia" w:cstheme="majorBidi"/>
          <w:bCs/>
          <w:szCs w:val="26"/>
        </w:rPr>
      </w:pPr>
      <w:r w:rsidRPr="00BE216A">
        <w:rPr>
          <w:rFonts w:eastAsiaTheme="majorEastAsia" w:cstheme="majorBidi"/>
          <w:bCs/>
          <w:szCs w:val="26"/>
        </w:rPr>
        <w:t>Vadoties no Jūsu novērojumiem, vai situācija Latvijā nabadzības un sociālās atstumtības jomā mainās</w:t>
      </w:r>
      <w:r>
        <w:rPr>
          <w:rFonts w:eastAsiaTheme="majorEastAsia" w:cstheme="majorBidi"/>
          <w:bCs/>
          <w:szCs w:val="26"/>
        </w:rPr>
        <w:t xml:space="preserve"> (vai paliek nemainīga)</w:t>
      </w:r>
      <w:r w:rsidRPr="00BE216A">
        <w:rPr>
          <w:rFonts w:eastAsiaTheme="majorEastAsia" w:cstheme="majorBidi"/>
          <w:bCs/>
          <w:szCs w:val="26"/>
        </w:rPr>
        <w:t xml:space="preserve">? </w:t>
      </w:r>
      <w:r>
        <w:rPr>
          <w:rFonts w:eastAsiaTheme="majorEastAsia" w:cstheme="majorBidi"/>
          <w:bCs/>
          <w:szCs w:val="26"/>
        </w:rPr>
        <w:t>Kas mainās? Kurām mērķa grupām? Balstoties uz kādu informāciju (datiem), Jūs izdarāt šos secinājumus?</w:t>
      </w:r>
    </w:p>
    <w:p w:rsidR="00C5634D" w:rsidRDefault="00C5634D" w:rsidP="00064C1E">
      <w:pPr>
        <w:rPr>
          <w:rFonts w:eastAsiaTheme="majorEastAsia" w:cstheme="majorBidi"/>
          <w:bCs/>
          <w:i/>
          <w:szCs w:val="26"/>
        </w:rPr>
      </w:pPr>
      <w:r>
        <w:rPr>
          <w:rFonts w:eastAsiaTheme="majorEastAsia" w:cstheme="majorBidi"/>
          <w:bCs/>
          <w:szCs w:val="26"/>
        </w:rPr>
        <w:lastRenderedPageBreak/>
        <w:t>Kādus sociālo atstumtību, nabadzību un nevienlīdzību raksturojošos statistiskos rādītājus Jūs parasti izmantojat savā darbā? Kādas kopumā dati Jums ir vajadzīgi, lai vērtētu situāciju nabadzības un sociālās atstumtības jomā?</w:t>
      </w:r>
    </w:p>
    <w:p w:rsidR="00C5634D" w:rsidRDefault="00C5634D" w:rsidP="00064C1E">
      <w:pPr>
        <w:rPr>
          <w:rFonts w:eastAsiaTheme="majorEastAsia" w:cstheme="majorBidi"/>
          <w:bCs/>
          <w:szCs w:val="26"/>
        </w:rPr>
      </w:pPr>
    </w:p>
    <w:p w:rsidR="00C5634D" w:rsidRDefault="00C5634D" w:rsidP="00064C1E">
      <w:pPr>
        <w:rPr>
          <w:rFonts w:eastAsiaTheme="majorEastAsia" w:cstheme="majorBidi"/>
          <w:bCs/>
          <w:szCs w:val="26"/>
        </w:rPr>
      </w:pPr>
      <w:r>
        <w:rPr>
          <w:rFonts w:eastAsiaTheme="majorEastAsia" w:cstheme="majorBidi"/>
          <w:bCs/>
          <w:szCs w:val="26"/>
        </w:rPr>
        <w:t xml:space="preserve">Kāda ir šo datu pieejamība un kvalitāte? Kā Jūs vērtējat to aprēķināšanas metodoloģijas atbilstību Latvijas situācijai? </w:t>
      </w:r>
    </w:p>
    <w:p w:rsidR="00C5634D" w:rsidRDefault="00C5634D" w:rsidP="00064C1E">
      <w:pPr>
        <w:rPr>
          <w:rFonts w:eastAsiaTheme="majorEastAsia" w:cstheme="majorBidi"/>
          <w:bCs/>
          <w:szCs w:val="26"/>
        </w:rPr>
      </w:pPr>
    </w:p>
    <w:p w:rsidR="00C5634D" w:rsidRDefault="00C5634D" w:rsidP="00064C1E">
      <w:pPr>
        <w:rPr>
          <w:rFonts w:eastAsiaTheme="majorEastAsia" w:cstheme="majorBidi"/>
          <w:bCs/>
          <w:szCs w:val="26"/>
        </w:rPr>
      </w:pPr>
      <w:r>
        <w:rPr>
          <w:rFonts w:eastAsiaTheme="majorEastAsia" w:cstheme="majorBidi"/>
          <w:bCs/>
          <w:szCs w:val="26"/>
        </w:rPr>
        <w:t>Kāda veida dati Jums trūkst? Kā šie dati varētu būt iegūstami? Vai esat jebkad mēģinājuši ierosināt šādu datu vākšanu?</w:t>
      </w:r>
    </w:p>
    <w:p w:rsidR="00C5634D" w:rsidRDefault="00C5634D" w:rsidP="00064C1E">
      <w:pPr>
        <w:rPr>
          <w:rFonts w:eastAsiaTheme="majorEastAsia" w:cstheme="majorBidi"/>
          <w:bCs/>
          <w:szCs w:val="26"/>
        </w:rPr>
      </w:pPr>
    </w:p>
    <w:p w:rsidR="00C5634D" w:rsidRPr="00FB59BF" w:rsidRDefault="00C5634D" w:rsidP="00064C1E">
      <w:pPr>
        <w:rPr>
          <w:rFonts w:eastAsiaTheme="majorEastAsia" w:cstheme="majorBidi"/>
          <w:bCs/>
          <w:i/>
          <w:szCs w:val="26"/>
        </w:rPr>
      </w:pPr>
      <w:r w:rsidRPr="00FB59BF">
        <w:rPr>
          <w:rFonts w:eastAsiaTheme="majorEastAsia" w:cstheme="majorBidi"/>
          <w:bCs/>
          <w:i/>
          <w:szCs w:val="26"/>
        </w:rPr>
        <w:t xml:space="preserve">Izvērtēt, kādus datus eksperts </w:t>
      </w:r>
      <w:r w:rsidRPr="00FB59BF">
        <w:rPr>
          <w:rFonts w:eastAsiaTheme="majorEastAsia" w:cstheme="majorBidi"/>
          <w:bCs/>
          <w:i/>
          <w:szCs w:val="26"/>
          <w:u w:val="single"/>
        </w:rPr>
        <w:t>neizmanto</w:t>
      </w:r>
      <w:r w:rsidRPr="00FB59BF">
        <w:rPr>
          <w:rFonts w:eastAsiaTheme="majorEastAsia" w:cstheme="majorBidi"/>
          <w:bCs/>
          <w:i/>
          <w:szCs w:val="26"/>
        </w:rPr>
        <w:t xml:space="preserve"> savā darbā un jautāt:</w:t>
      </w:r>
    </w:p>
    <w:p w:rsidR="00C5634D" w:rsidRDefault="00C5634D" w:rsidP="00064C1E">
      <w:pPr>
        <w:rPr>
          <w:rFonts w:eastAsiaTheme="majorEastAsia" w:cstheme="majorBidi"/>
          <w:bCs/>
          <w:szCs w:val="26"/>
        </w:rPr>
      </w:pPr>
      <w:r>
        <w:rPr>
          <w:rFonts w:eastAsiaTheme="majorEastAsia" w:cstheme="majorBidi"/>
          <w:bCs/>
          <w:szCs w:val="26"/>
        </w:rPr>
        <w:t>Kāpēc Jūs savā darbā neizmantojat ... (nosaukt rādītāju)?</w:t>
      </w:r>
    </w:p>
    <w:p w:rsidR="00C5634D" w:rsidRDefault="00C5634D" w:rsidP="00064C1E">
      <w:pPr>
        <w:rPr>
          <w:rFonts w:eastAsiaTheme="majorEastAsia" w:cstheme="majorBidi"/>
          <w:bCs/>
          <w:szCs w:val="26"/>
        </w:rPr>
      </w:pPr>
    </w:p>
    <w:p w:rsidR="00C5634D" w:rsidRDefault="00C5634D" w:rsidP="004C2E87">
      <w:pPr>
        <w:rPr>
          <w:rFonts w:eastAsiaTheme="majorEastAsia" w:cstheme="majorBidi"/>
          <w:bCs/>
          <w:szCs w:val="26"/>
        </w:rPr>
      </w:pPr>
      <w:r w:rsidRPr="001225AA">
        <w:rPr>
          <w:rFonts w:eastAsiaTheme="majorEastAsia" w:cstheme="majorBidi"/>
          <w:bCs/>
          <w:szCs w:val="26"/>
        </w:rPr>
        <w:t>Rādītāji, par kura lietošanu noteikti ir jāpārliecinās intervijas ietvaros (visus aprēķina CSP):</w:t>
      </w:r>
    </w:p>
    <w:p w:rsidR="00C5634D" w:rsidRPr="001225AA" w:rsidRDefault="00C5634D" w:rsidP="003F469F">
      <w:pPr>
        <w:pStyle w:val="ListParagraph"/>
        <w:numPr>
          <w:ilvl w:val="0"/>
          <w:numId w:val="68"/>
        </w:numPr>
        <w:spacing w:line="276" w:lineRule="auto"/>
        <w:jc w:val="both"/>
        <w:rPr>
          <w:rFonts w:eastAsiaTheme="majorEastAsia" w:cstheme="majorBidi"/>
          <w:bCs/>
          <w:szCs w:val="26"/>
        </w:rPr>
      </w:pPr>
      <w:r w:rsidRPr="001225AA">
        <w:rPr>
          <w:rFonts w:eastAsiaTheme="majorEastAsia" w:cstheme="majorBidi"/>
          <w:bCs/>
          <w:szCs w:val="26"/>
        </w:rPr>
        <w:t>S80/S20 kvintiļu attiecību indekss;</w:t>
      </w:r>
    </w:p>
    <w:p w:rsidR="00C5634D" w:rsidRPr="001225AA" w:rsidRDefault="00C5634D" w:rsidP="003F469F">
      <w:pPr>
        <w:pStyle w:val="ListParagraph"/>
        <w:numPr>
          <w:ilvl w:val="0"/>
          <w:numId w:val="68"/>
        </w:numPr>
        <w:spacing w:line="276" w:lineRule="auto"/>
        <w:jc w:val="both"/>
        <w:rPr>
          <w:rFonts w:eastAsiaTheme="majorEastAsia" w:cstheme="majorBidi"/>
          <w:bCs/>
          <w:szCs w:val="26"/>
        </w:rPr>
      </w:pPr>
      <w:r w:rsidRPr="001225AA">
        <w:rPr>
          <w:rFonts w:eastAsiaTheme="majorEastAsia" w:cstheme="majorBidi"/>
          <w:bCs/>
          <w:szCs w:val="26"/>
        </w:rPr>
        <w:t>Džini koeficients;</w:t>
      </w:r>
    </w:p>
    <w:p w:rsidR="00C5634D" w:rsidRPr="001225AA" w:rsidRDefault="00C5634D" w:rsidP="003F469F">
      <w:pPr>
        <w:pStyle w:val="ListParagraph"/>
        <w:numPr>
          <w:ilvl w:val="0"/>
          <w:numId w:val="68"/>
        </w:numPr>
        <w:spacing w:line="276" w:lineRule="auto"/>
        <w:jc w:val="both"/>
        <w:rPr>
          <w:rFonts w:eastAsiaTheme="majorEastAsia" w:cstheme="majorBidi"/>
          <w:bCs/>
          <w:szCs w:val="26"/>
        </w:rPr>
      </w:pPr>
      <w:r w:rsidRPr="001225AA">
        <w:rPr>
          <w:rFonts w:eastAsiaTheme="majorEastAsia" w:cstheme="majorBidi"/>
          <w:bCs/>
          <w:szCs w:val="26"/>
        </w:rPr>
        <w:t>Nabadzības riska slieksnis;</w:t>
      </w:r>
    </w:p>
    <w:p w:rsidR="00C5634D" w:rsidRPr="001225AA" w:rsidRDefault="00C5634D" w:rsidP="003F469F">
      <w:pPr>
        <w:pStyle w:val="ListParagraph"/>
        <w:numPr>
          <w:ilvl w:val="0"/>
          <w:numId w:val="68"/>
        </w:numPr>
        <w:spacing w:line="276" w:lineRule="auto"/>
        <w:jc w:val="both"/>
        <w:rPr>
          <w:rFonts w:eastAsiaTheme="majorEastAsia" w:cstheme="majorBidi"/>
          <w:bCs/>
          <w:szCs w:val="26"/>
        </w:rPr>
      </w:pPr>
      <w:r w:rsidRPr="001225AA">
        <w:rPr>
          <w:rFonts w:eastAsiaTheme="majorEastAsia" w:cstheme="majorBidi"/>
          <w:bCs/>
          <w:szCs w:val="26"/>
        </w:rPr>
        <w:t>Nabadzības riska indekss;</w:t>
      </w:r>
    </w:p>
    <w:p w:rsidR="00C5634D" w:rsidRPr="001225AA" w:rsidRDefault="00C5634D" w:rsidP="003F469F">
      <w:pPr>
        <w:pStyle w:val="ListParagraph"/>
        <w:numPr>
          <w:ilvl w:val="0"/>
          <w:numId w:val="68"/>
        </w:numPr>
        <w:spacing w:line="276" w:lineRule="auto"/>
        <w:jc w:val="both"/>
        <w:rPr>
          <w:rFonts w:eastAsiaTheme="majorEastAsia" w:cstheme="majorBidi"/>
          <w:bCs/>
          <w:szCs w:val="26"/>
        </w:rPr>
      </w:pPr>
      <w:r w:rsidRPr="001225AA">
        <w:rPr>
          <w:rFonts w:eastAsiaTheme="majorEastAsia" w:cstheme="majorBidi"/>
          <w:bCs/>
          <w:szCs w:val="26"/>
        </w:rPr>
        <w:t>Materiālās nenodrošinātības indekss;</w:t>
      </w:r>
    </w:p>
    <w:p w:rsidR="00C5634D" w:rsidRPr="001225AA" w:rsidRDefault="00C5634D" w:rsidP="003F469F">
      <w:pPr>
        <w:pStyle w:val="ListParagraph"/>
        <w:numPr>
          <w:ilvl w:val="0"/>
          <w:numId w:val="68"/>
        </w:numPr>
        <w:spacing w:line="276" w:lineRule="auto"/>
        <w:jc w:val="both"/>
        <w:rPr>
          <w:rFonts w:eastAsiaTheme="majorEastAsia" w:cstheme="majorBidi"/>
          <w:bCs/>
          <w:szCs w:val="26"/>
        </w:rPr>
      </w:pPr>
      <w:r w:rsidRPr="001225AA">
        <w:rPr>
          <w:rFonts w:eastAsiaTheme="majorEastAsia" w:cstheme="majorBidi"/>
          <w:bCs/>
          <w:szCs w:val="26"/>
        </w:rPr>
        <w:t>Dziļas materiālās nenodrošinātības indekss;</w:t>
      </w:r>
    </w:p>
    <w:p w:rsidR="00C5634D" w:rsidRPr="001225AA" w:rsidRDefault="00C5634D" w:rsidP="003F469F">
      <w:pPr>
        <w:pStyle w:val="ListParagraph"/>
        <w:numPr>
          <w:ilvl w:val="0"/>
          <w:numId w:val="68"/>
        </w:numPr>
        <w:spacing w:line="276" w:lineRule="auto"/>
        <w:jc w:val="both"/>
        <w:rPr>
          <w:rFonts w:eastAsiaTheme="majorEastAsia" w:cstheme="majorBidi"/>
          <w:bCs/>
          <w:szCs w:val="26"/>
        </w:rPr>
      </w:pPr>
      <w:r w:rsidRPr="001225AA">
        <w:rPr>
          <w:rFonts w:eastAsiaTheme="majorEastAsia" w:cstheme="majorBidi"/>
          <w:bCs/>
          <w:szCs w:val="26"/>
        </w:rPr>
        <w:t>Ekonomiskā spriedze.</w:t>
      </w:r>
    </w:p>
    <w:p w:rsidR="00C5634D" w:rsidRDefault="00C5634D" w:rsidP="00064C1E">
      <w:pPr>
        <w:rPr>
          <w:rFonts w:eastAsiaTheme="majorEastAsia" w:cstheme="majorBidi"/>
          <w:bCs/>
          <w:szCs w:val="26"/>
        </w:rPr>
      </w:pPr>
    </w:p>
    <w:p w:rsidR="00EB56BE" w:rsidRPr="00B87378" w:rsidRDefault="00EB56BE" w:rsidP="00C33A64">
      <w:pPr>
        <w:pStyle w:val="capsunderitalic"/>
      </w:pPr>
      <w:bookmarkStart w:id="1296" w:name="_Toc2761185"/>
      <w:bookmarkStart w:id="1297" w:name="_Toc2848292"/>
      <w:bookmarkStart w:id="1298" w:name="_Toc6219352"/>
      <w:bookmarkStart w:id="1299" w:name="_Toc6220295"/>
      <w:bookmarkStart w:id="1300" w:name="_Toc6841723"/>
      <w:r w:rsidRPr="00B87378">
        <w:t xml:space="preserve">VESELĪBAS </w:t>
      </w:r>
      <w:r w:rsidRPr="007432E7">
        <w:t>APRŪPES</w:t>
      </w:r>
      <w:r w:rsidRPr="00B87378">
        <w:t xml:space="preserve"> JOMA</w:t>
      </w:r>
      <w:bookmarkEnd w:id="1296"/>
      <w:bookmarkEnd w:id="1297"/>
      <w:bookmarkEnd w:id="1298"/>
      <w:bookmarkEnd w:id="1299"/>
      <w:bookmarkEnd w:id="1300"/>
    </w:p>
    <w:p w:rsidR="00EB56BE" w:rsidRDefault="00EB56BE" w:rsidP="00064C1E">
      <w:pPr>
        <w:rPr>
          <w:rFonts w:eastAsiaTheme="majorEastAsia" w:cstheme="majorBidi"/>
          <w:bCs/>
          <w:szCs w:val="26"/>
        </w:rPr>
      </w:pPr>
    </w:p>
    <w:p w:rsidR="00C5634D" w:rsidRDefault="00C5634D" w:rsidP="004C2E87">
      <w:pPr>
        <w:rPr>
          <w:rFonts w:eastAsiaTheme="majorEastAsia" w:cstheme="majorBidi"/>
          <w:bCs/>
          <w:szCs w:val="26"/>
        </w:rPr>
      </w:pPr>
      <w:r>
        <w:rPr>
          <w:rFonts w:eastAsiaTheme="majorEastAsia" w:cstheme="majorBidi"/>
          <w:bCs/>
          <w:szCs w:val="26"/>
        </w:rPr>
        <w:t xml:space="preserve">Raksturojiet, lūdzu, galvenās problēmas saistībā ar veselības aprūpes pakalpojumu pieejamību, efektivitāti un lietderību atbilstoši Jūsu profesionālās darbības jomai un kompetencei! Kuras no minētajām problēmām Jūs vērtējat kā prioritāras? Kāpēc? </w:t>
      </w:r>
    </w:p>
    <w:p w:rsidR="00C5634D" w:rsidRDefault="00C5634D" w:rsidP="004C2E87">
      <w:pPr>
        <w:rPr>
          <w:rFonts w:eastAsiaTheme="majorEastAsia" w:cstheme="majorBidi"/>
          <w:bCs/>
          <w:szCs w:val="26"/>
        </w:rPr>
      </w:pPr>
    </w:p>
    <w:p w:rsidR="00C5634D" w:rsidRDefault="00C5634D" w:rsidP="004C2E87">
      <w:pPr>
        <w:rPr>
          <w:rFonts w:eastAsiaTheme="majorEastAsia" w:cstheme="majorBidi"/>
          <w:bCs/>
          <w:szCs w:val="26"/>
        </w:rPr>
      </w:pPr>
      <w:r>
        <w:rPr>
          <w:rFonts w:eastAsiaTheme="majorEastAsia" w:cstheme="majorBidi"/>
          <w:bCs/>
          <w:szCs w:val="26"/>
        </w:rPr>
        <w:t xml:space="preserve">Turpinājumā es Jums nosaukšu vairākas </w:t>
      </w:r>
      <w:r w:rsidRPr="00C5634D">
        <w:rPr>
          <w:rFonts w:eastAsiaTheme="majorEastAsia" w:cstheme="majorBidi"/>
          <w:bCs/>
          <w:szCs w:val="26"/>
        </w:rPr>
        <w:t>problēmas</w:t>
      </w:r>
      <w:r>
        <w:rPr>
          <w:rFonts w:eastAsiaTheme="majorEastAsia" w:cstheme="majorBidi"/>
          <w:bCs/>
          <w:szCs w:val="26"/>
        </w:rPr>
        <w:t xml:space="preserve">, kuras tiek minētas kā raksturīgas Latvijas veselības aprūpes sistēmai. Lūdzu, sniedziet savu komentāru par to, cik aktuāla, Jūsuprāt, ir šī problēma, vai tā ir pietiekami apzināta Latvijā, vai rīcībpolitika šobrīd ir virzīta uz tās risināšanu, vai Jums ir kādi ieteikumi šīs problēmas risināšanai? </w:t>
      </w:r>
    </w:p>
    <w:p w:rsidR="00C5634D" w:rsidRPr="00032278" w:rsidRDefault="00C5634D" w:rsidP="003F469F">
      <w:pPr>
        <w:pStyle w:val="ListParagraph"/>
        <w:numPr>
          <w:ilvl w:val="0"/>
          <w:numId w:val="69"/>
        </w:numPr>
        <w:spacing w:line="276" w:lineRule="auto"/>
        <w:jc w:val="both"/>
        <w:rPr>
          <w:rFonts w:eastAsiaTheme="majorEastAsia" w:cstheme="majorBidi"/>
          <w:bCs/>
          <w:szCs w:val="26"/>
        </w:rPr>
      </w:pPr>
      <w:r w:rsidRPr="00032278">
        <w:rPr>
          <w:rFonts w:eastAsiaTheme="majorEastAsia" w:cstheme="majorBidi"/>
          <w:bCs/>
          <w:szCs w:val="26"/>
        </w:rPr>
        <w:t>Eksistē infrastruktūras, aprīkojuma, gultasvietu noslodzes pārpalikums, kas rada slogu veselības aprūpes sistēmai;</w:t>
      </w:r>
    </w:p>
    <w:p w:rsidR="00C5634D" w:rsidRPr="00032278" w:rsidRDefault="00C5634D" w:rsidP="003F469F">
      <w:pPr>
        <w:pStyle w:val="ListParagraph"/>
        <w:numPr>
          <w:ilvl w:val="0"/>
          <w:numId w:val="69"/>
        </w:numPr>
        <w:spacing w:line="276" w:lineRule="auto"/>
        <w:jc w:val="both"/>
        <w:rPr>
          <w:rFonts w:eastAsiaTheme="majorEastAsia" w:cstheme="majorBidi"/>
          <w:bCs/>
          <w:szCs w:val="26"/>
        </w:rPr>
      </w:pPr>
      <w:r w:rsidRPr="00032278">
        <w:rPr>
          <w:rFonts w:eastAsiaTheme="majorEastAsia" w:cstheme="majorBidi"/>
          <w:bCs/>
          <w:szCs w:val="26"/>
        </w:rPr>
        <w:t>Līdzšinējais finansējuma modelis nav veicinājis Sabiedrības veselības pamatnostādņu mērķu sasniegšanu</w:t>
      </w:r>
      <w:r>
        <w:rPr>
          <w:rFonts w:eastAsiaTheme="majorEastAsia" w:cstheme="majorBidi"/>
          <w:bCs/>
          <w:szCs w:val="26"/>
        </w:rPr>
        <w:t xml:space="preserve"> (</w:t>
      </w:r>
      <w:r w:rsidRPr="00C62B61">
        <w:rPr>
          <w:rFonts w:eastAsiaTheme="majorEastAsia" w:cstheme="majorBidi"/>
          <w:bCs/>
          <w:i/>
          <w:szCs w:val="26"/>
        </w:rPr>
        <w:t>ja nepieciešams, precizēt:</w:t>
      </w:r>
      <w:r>
        <w:rPr>
          <w:rFonts w:eastAsiaTheme="majorEastAsia" w:cstheme="majorBidi"/>
          <w:bCs/>
          <w:szCs w:val="26"/>
        </w:rPr>
        <w:t xml:space="preserve"> sirds, onkoloģisko slimību samazināšanu, uzlabojis mātes un bērna veselību, garīgo veselību)</w:t>
      </w:r>
      <w:r w:rsidRPr="00032278">
        <w:rPr>
          <w:rFonts w:eastAsiaTheme="majorEastAsia" w:cstheme="majorBidi"/>
          <w:bCs/>
          <w:szCs w:val="26"/>
        </w:rPr>
        <w:t>;</w:t>
      </w:r>
    </w:p>
    <w:p w:rsidR="00C5634D" w:rsidRPr="00032278" w:rsidRDefault="00C5634D" w:rsidP="003F469F">
      <w:pPr>
        <w:pStyle w:val="ListParagraph"/>
        <w:numPr>
          <w:ilvl w:val="0"/>
          <w:numId w:val="69"/>
        </w:numPr>
        <w:spacing w:line="276" w:lineRule="auto"/>
        <w:jc w:val="both"/>
        <w:rPr>
          <w:rFonts w:eastAsiaTheme="majorEastAsia" w:cstheme="majorBidi"/>
          <w:bCs/>
          <w:szCs w:val="26"/>
        </w:rPr>
      </w:pPr>
      <w:r w:rsidRPr="00032278">
        <w:rPr>
          <w:rFonts w:eastAsiaTheme="majorEastAsia" w:cstheme="majorBidi"/>
          <w:bCs/>
          <w:szCs w:val="26"/>
        </w:rPr>
        <w:t>Līdzšinējais finansējuma modelis neņem vērā pacienta ārstēšanas sarežģītības līmeni;</w:t>
      </w:r>
    </w:p>
    <w:p w:rsidR="00C5634D" w:rsidRPr="00032278" w:rsidRDefault="00C5634D" w:rsidP="003F469F">
      <w:pPr>
        <w:pStyle w:val="ListParagraph"/>
        <w:numPr>
          <w:ilvl w:val="0"/>
          <w:numId w:val="69"/>
        </w:numPr>
        <w:spacing w:line="276" w:lineRule="auto"/>
        <w:jc w:val="both"/>
        <w:rPr>
          <w:rFonts w:eastAsiaTheme="majorEastAsia" w:cstheme="majorBidi"/>
          <w:bCs/>
          <w:szCs w:val="26"/>
        </w:rPr>
      </w:pPr>
      <w:r w:rsidRPr="00032278">
        <w:rPr>
          <w:rFonts w:eastAsiaTheme="majorEastAsia" w:cstheme="majorBidi"/>
          <w:bCs/>
          <w:szCs w:val="26"/>
        </w:rPr>
        <w:t xml:space="preserve">Latvijā nepastāv vienota pieeja veselības aprūpei, netiek ievērotas </w:t>
      </w:r>
      <w:r w:rsidRPr="00C62B61">
        <w:rPr>
          <w:rFonts w:eastAsiaTheme="majorEastAsia" w:cstheme="majorBidi"/>
          <w:bCs/>
          <w:szCs w:val="26"/>
          <w:u w:val="single"/>
        </w:rPr>
        <w:t>vienotas</w:t>
      </w:r>
      <w:r w:rsidRPr="00032278">
        <w:rPr>
          <w:rFonts w:eastAsiaTheme="majorEastAsia" w:cstheme="majorBidi"/>
          <w:bCs/>
          <w:szCs w:val="26"/>
        </w:rPr>
        <w:t xml:space="preserve"> klīniskās (ārstēšanas) vadlīnijas;</w:t>
      </w:r>
    </w:p>
    <w:p w:rsidR="00C5634D" w:rsidRPr="00032278" w:rsidRDefault="00C5634D" w:rsidP="003F469F">
      <w:pPr>
        <w:pStyle w:val="ListParagraph"/>
        <w:numPr>
          <w:ilvl w:val="0"/>
          <w:numId w:val="69"/>
        </w:numPr>
        <w:spacing w:line="276" w:lineRule="auto"/>
        <w:jc w:val="both"/>
        <w:rPr>
          <w:rFonts w:eastAsiaTheme="majorEastAsia" w:cstheme="majorBidi"/>
          <w:bCs/>
          <w:szCs w:val="26"/>
        </w:rPr>
      </w:pPr>
      <w:r w:rsidRPr="00032278">
        <w:rPr>
          <w:rFonts w:eastAsiaTheme="majorEastAsia" w:cstheme="majorBidi"/>
          <w:bCs/>
          <w:szCs w:val="26"/>
        </w:rPr>
        <w:t>Pacienti ar augstas sarežģītības slimībām tiek ārstēti slimnīcās, kuru infrastruktūra tam nav piemērota un kuras personālam nav pietiekamas pieredzes attiecīgo slimību ārstniecībā.</w:t>
      </w:r>
    </w:p>
    <w:p w:rsidR="00C5634D" w:rsidRDefault="00C5634D" w:rsidP="004C2E87">
      <w:pPr>
        <w:rPr>
          <w:rFonts w:eastAsiaTheme="majorEastAsia" w:cstheme="majorBidi"/>
          <w:bCs/>
          <w:szCs w:val="26"/>
        </w:rPr>
      </w:pPr>
    </w:p>
    <w:p w:rsidR="00C5634D" w:rsidRPr="00C5634D" w:rsidRDefault="00C5634D" w:rsidP="004C2E87">
      <w:pPr>
        <w:rPr>
          <w:rFonts w:eastAsiaTheme="majorEastAsia" w:cstheme="majorBidi"/>
          <w:bCs/>
          <w:szCs w:val="26"/>
        </w:rPr>
      </w:pPr>
      <w:r>
        <w:rPr>
          <w:rFonts w:eastAsiaTheme="majorEastAsia" w:cstheme="majorBidi"/>
          <w:bCs/>
          <w:szCs w:val="26"/>
        </w:rPr>
        <w:lastRenderedPageBreak/>
        <w:t xml:space="preserve">Kuras no </w:t>
      </w:r>
      <w:r w:rsidRPr="00C5634D">
        <w:rPr>
          <w:rFonts w:eastAsiaTheme="majorEastAsia" w:cstheme="majorBidi"/>
          <w:bCs/>
          <w:szCs w:val="26"/>
        </w:rPr>
        <w:t>mērķa grupām, Jūsuprāt</w:t>
      </w:r>
      <w:r>
        <w:rPr>
          <w:rFonts w:eastAsiaTheme="majorEastAsia" w:cstheme="majorBidi"/>
          <w:bCs/>
          <w:szCs w:val="26"/>
        </w:rPr>
        <w:t xml:space="preserve">, ir visvairāk pakļautas nevienlīdzības veselības aprūpes </w:t>
      </w:r>
      <w:r w:rsidRPr="00C5634D">
        <w:rPr>
          <w:rFonts w:eastAsiaTheme="majorEastAsia" w:cstheme="majorBidi"/>
          <w:bCs/>
          <w:szCs w:val="26"/>
        </w:rPr>
        <w:t xml:space="preserve">pieejamības jomā riskam? Lūdzu, pamatojiet, savu viedokli, kāpēc tā? </w:t>
      </w:r>
    </w:p>
    <w:p w:rsidR="00C5634D" w:rsidRPr="00C5634D" w:rsidRDefault="00C5634D" w:rsidP="004C2E87">
      <w:pPr>
        <w:rPr>
          <w:rFonts w:eastAsiaTheme="majorEastAsia" w:cstheme="majorBidi"/>
          <w:bCs/>
          <w:szCs w:val="26"/>
        </w:rPr>
      </w:pPr>
    </w:p>
    <w:p w:rsidR="00C5634D" w:rsidRPr="00C5634D" w:rsidRDefault="00C5634D" w:rsidP="004C2E87">
      <w:pPr>
        <w:rPr>
          <w:rFonts w:eastAsiaTheme="majorEastAsia" w:cstheme="majorBidi"/>
          <w:bCs/>
          <w:i/>
          <w:szCs w:val="26"/>
        </w:rPr>
      </w:pPr>
      <w:r w:rsidRPr="00C5634D">
        <w:rPr>
          <w:rFonts w:eastAsiaTheme="majorEastAsia" w:cstheme="majorBidi"/>
          <w:bCs/>
          <w:szCs w:val="26"/>
        </w:rPr>
        <w:t xml:space="preserve">Lūdzu, komentējiet, citu mērķa grupu situāciju – galvenās problēmas un atbalsta pasākumus šīm grupām – veselības aprūpes pakalpojumu pieejamības jomā! </w:t>
      </w:r>
      <w:r w:rsidRPr="00C5634D">
        <w:rPr>
          <w:rFonts w:eastAsiaTheme="majorEastAsia" w:cstheme="majorBidi"/>
          <w:bCs/>
          <w:i/>
          <w:szCs w:val="26"/>
        </w:rPr>
        <w:t xml:space="preserve">Ekspertam tiek iedota kartīte </w:t>
      </w:r>
      <w:r w:rsidRPr="00C5634D">
        <w:rPr>
          <w:rFonts w:eastAsiaTheme="majorEastAsia" w:cstheme="majorBidi"/>
          <w:bCs/>
          <w:i/>
          <w:szCs w:val="26"/>
          <w:u w:val="single"/>
        </w:rPr>
        <w:t>(un nosaukt pa vienai)</w:t>
      </w:r>
      <w:r w:rsidRPr="00C5634D">
        <w:rPr>
          <w:rFonts w:eastAsiaTheme="majorEastAsia" w:cstheme="majorBidi"/>
          <w:bCs/>
          <w:i/>
          <w:szCs w:val="26"/>
        </w:rPr>
        <w:t xml:space="preserve"> ar visām TS 3.7. punktā noteiktajām mērķa grupām.</w:t>
      </w:r>
    </w:p>
    <w:p w:rsidR="00C5634D" w:rsidRPr="00C5634D" w:rsidRDefault="00C5634D" w:rsidP="00586F05">
      <w:pPr>
        <w:pStyle w:val="ListParagraph"/>
        <w:numPr>
          <w:ilvl w:val="0"/>
          <w:numId w:val="41"/>
        </w:numPr>
        <w:spacing w:line="276" w:lineRule="auto"/>
        <w:jc w:val="both"/>
      </w:pPr>
      <w:r w:rsidRPr="00C5634D">
        <w:t>pirmspensijas un pensijas vecuma cilvēki;</w:t>
      </w:r>
    </w:p>
    <w:p w:rsidR="00C5634D" w:rsidRPr="00C5634D" w:rsidRDefault="00C5634D" w:rsidP="00586F05">
      <w:pPr>
        <w:pStyle w:val="ListParagraph"/>
        <w:numPr>
          <w:ilvl w:val="0"/>
          <w:numId w:val="41"/>
        </w:numPr>
        <w:spacing w:line="276" w:lineRule="auto"/>
        <w:jc w:val="both"/>
      </w:pPr>
      <w:r w:rsidRPr="00C5634D">
        <w:t>ģimenes ar bērniem, īpaši daudzbērnu un nepilnās ģimenes (t.sk. ģimenes ar bērniem, kuriem ir funkcionēšanas ierobežojumi vai invaliditāte);</w:t>
      </w:r>
    </w:p>
    <w:p w:rsidR="00C5634D" w:rsidRPr="00C5634D" w:rsidRDefault="00C5634D" w:rsidP="00586F05">
      <w:pPr>
        <w:pStyle w:val="ListParagraph"/>
        <w:numPr>
          <w:ilvl w:val="0"/>
          <w:numId w:val="41"/>
        </w:numPr>
        <w:spacing w:line="276" w:lineRule="auto"/>
        <w:jc w:val="both"/>
      </w:pPr>
      <w:r w:rsidRPr="00C5634D">
        <w:t>bezdarbnieki, īpaši ilgstošie bezdarbnieki;</w:t>
      </w:r>
    </w:p>
    <w:p w:rsidR="00C5634D" w:rsidRPr="00C5634D" w:rsidRDefault="00C5634D" w:rsidP="00586F05">
      <w:pPr>
        <w:pStyle w:val="ListParagraph"/>
        <w:numPr>
          <w:ilvl w:val="0"/>
          <w:numId w:val="41"/>
        </w:numPr>
        <w:spacing w:line="276" w:lineRule="auto"/>
        <w:jc w:val="both"/>
      </w:pPr>
      <w:r w:rsidRPr="00C5634D">
        <w:t>trūcīgās un maznodrošinātās personas;</w:t>
      </w:r>
    </w:p>
    <w:p w:rsidR="00C5634D" w:rsidRPr="00C5634D" w:rsidRDefault="00C5634D" w:rsidP="00586F05">
      <w:pPr>
        <w:pStyle w:val="ListParagraph"/>
        <w:numPr>
          <w:ilvl w:val="0"/>
          <w:numId w:val="41"/>
        </w:numPr>
        <w:spacing w:line="276" w:lineRule="auto"/>
        <w:jc w:val="both"/>
      </w:pPr>
      <w:r w:rsidRPr="00C5634D">
        <w:t>personas ar funkcionēšanas ierobežojumiem, tai skaitā personas ar invaliditāti (visas invaliditātes grupas un traucējumu veidi; bērni, darbspējas un virs darbspējas vecuma dzimumu griezumā);</w:t>
      </w:r>
    </w:p>
    <w:p w:rsidR="00C5634D" w:rsidRPr="00C5634D" w:rsidRDefault="00C5634D" w:rsidP="00586F05">
      <w:pPr>
        <w:pStyle w:val="ListParagraph"/>
        <w:numPr>
          <w:ilvl w:val="0"/>
          <w:numId w:val="41"/>
        </w:numPr>
        <w:spacing w:line="276" w:lineRule="auto"/>
        <w:jc w:val="both"/>
      </w:pPr>
      <w:r w:rsidRPr="00C5634D">
        <w:t>lauku teritorijās dzīvojošie;</w:t>
      </w:r>
    </w:p>
    <w:p w:rsidR="00C5634D" w:rsidRPr="00C5634D" w:rsidRDefault="00C5634D" w:rsidP="00586F05">
      <w:pPr>
        <w:pStyle w:val="ListParagraph"/>
        <w:numPr>
          <w:ilvl w:val="0"/>
          <w:numId w:val="41"/>
        </w:numPr>
        <w:spacing w:line="276" w:lineRule="auto"/>
        <w:jc w:val="both"/>
      </w:pPr>
      <w:r w:rsidRPr="00C5634D">
        <w:t>vardarbībā cietušās personas, t.sk. cilvēktirdzniecības upuri;</w:t>
      </w:r>
    </w:p>
    <w:p w:rsidR="00C5634D" w:rsidRPr="00C5634D" w:rsidRDefault="00C5634D" w:rsidP="00586F05">
      <w:pPr>
        <w:pStyle w:val="ListParagraph"/>
        <w:numPr>
          <w:ilvl w:val="0"/>
          <w:numId w:val="41"/>
        </w:numPr>
        <w:spacing w:line="276" w:lineRule="auto"/>
        <w:jc w:val="both"/>
      </w:pPr>
      <w:r w:rsidRPr="00C5634D">
        <w:t>bezpajumtnieki;</w:t>
      </w:r>
    </w:p>
    <w:p w:rsidR="00C5634D" w:rsidRPr="00C5634D" w:rsidRDefault="00C5634D" w:rsidP="00586F05">
      <w:pPr>
        <w:pStyle w:val="ListParagraph"/>
        <w:numPr>
          <w:ilvl w:val="0"/>
          <w:numId w:val="41"/>
        </w:numPr>
        <w:spacing w:line="276" w:lineRule="auto"/>
        <w:jc w:val="both"/>
      </w:pPr>
      <w:r w:rsidRPr="00C5634D">
        <w:t>no ieslodzījuma vietām atbrīvotās personas;</w:t>
      </w:r>
    </w:p>
    <w:p w:rsidR="00C5634D" w:rsidRPr="00C5634D" w:rsidRDefault="00C5634D" w:rsidP="00586F05">
      <w:pPr>
        <w:pStyle w:val="ListParagraph"/>
        <w:numPr>
          <w:ilvl w:val="0"/>
          <w:numId w:val="41"/>
        </w:numPr>
        <w:spacing w:line="276" w:lineRule="auto"/>
        <w:jc w:val="both"/>
      </w:pPr>
      <w:r w:rsidRPr="00C5634D">
        <w:t>romi;</w:t>
      </w:r>
    </w:p>
    <w:p w:rsidR="00C5634D" w:rsidRPr="00C5634D" w:rsidRDefault="00C5634D" w:rsidP="00586F05">
      <w:pPr>
        <w:pStyle w:val="ListParagraph"/>
        <w:numPr>
          <w:ilvl w:val="0"/>
          <w:numId w:val="41"/>
        </w:numPr>
        <w:spacing w:line="276" w:lineRule="auto"/>
        <w:jc w:val="both"/>
      </w:pPr>
      <w:r w:rsidRPr="00C5634D">
        <w:t>patvēruma meklētāji, bēgļi un personas ar alternatīvo statusu.</w:t>
      </w:r>
    </w:p>
    <w:p w:rsidR="00C5634D" w:rsidRPr="00C5634D" w:rsidRDefault="00C5634D" w:rsidP="004C2E87">
      <w:pPr>
        <w:rPr>
          <w:rFonts w:eastAsiaTheme="majorEastAsia" w:cstheme="majorBidi"/>
          <w:bCs/>
          <w:szCs w:val="26"/>
        </w:rPr>
      </w:pPr>
    </w:p>
    <w:p w:rsidR="00C5634D" w:rsidRPr="00C5634D" w:rsidRDefault="00C5634D" w:rsidP="004C2E87">
      <w:pPr>
        <w:rPr>
          <w:rFonts w:eastAsiaTheme="majorEastAsia" w:cstheme="majorBidi"/>
          <w:bCs/>
          <w:szCs w:val="26"/>
        </w:rPr>
      </w:pPr>
      <w:r w:rsidRPr="00C5634D">
        <w:rPr>
          <w:rFonts w:eastAsiaTheme="majorEastAsia" w:cstheme="majorBidi"/>
          <w:bCs/>
          <w:szCs w:val="26"/>
        </w:rPr>
        <w:t xml:space="preserve">Kādi, Jūsuprāt, būtu nepieciešamie uzlabojumi (t.sk. normatīvajos aktos) un pasākumi nevienlīdzību veselības aprūpes pieejamībā mazināšanai? Kādi ir šķēršļi šo uzlabojumu un pasākumu ieviešanai? </w:t>
      </w:r>
    </w:p>
    <w:p w:rsidR="00C5634D" w:rsidRPr="00C5634D" w:rsidRDefault="00C5634D" w:rsidP="004C2E87">
      <w:pPr>
        <w:rPr>
          <w:rFonts w:eastAsiaTheme="majorEastAsia" w:cstheme="majorBidi"/>
          <w:bCs/>
          <w:szCs w:val="26"/>
        </w:rPr>
      </w:pPr>
    </w:p>
    <w:p w:rsidR="00C5634D" w:rsidRPr="00C5634D" w:rsidRDefault="00C5634D" w:rsidP="004C2E87">
      <w:pPr>
        <w:rPr>
          <w:rFonts w:eastAsiaTheme="majorEastAsia" w:cstheme="majorBidi"/>
          <w:bCs/>
          <w:szCs w:val="26"/>
        </w:rPr>
      </w:pPr>
      <w:r w:rsidRPr="00C5634D">
        <w:rPr>
          <w:rFonts w:eastAsiaTheme="majorEastAsia" w:cstheme="majorBidi"/>
          <w:bCs/>
          <w:szCs w:val="26"/>
        </w:rPr>
        <w:t xml:space="preserve">Kā Jūs vērtējat veselības aprūpes reformu (konceptuāls ziņojums „Par veselības aprūpes sistēmas reformu”) un </w:t>
      </w:r>
      <w:r w:rsidRPr="00C5634D">
        <w:rPr>
          <w:rFonts w:eastAsiaTheme="majorEastAsia" w:cstheme="majorBidi"/>
          <w:bCs/>
          <w:szCs w:val="26"/>
          <w:u w:val="single"/>
        </w:rPr>
        <w:t>jauno</w:t>
      </w:r>
      <w:r w:rsidRPr="00C5634D">
        <w:rPr>
          <w:rFonts w:eastAsiaTheme="majorEastAsia" w:cstheme="majorBidi"/>
          <w:bCs/>
          <w:szCs w:val="26"/>
        </w:rPr>
        <w:t xml:space="preserve"> veselības aprūpes finansēšanas likumu? Cik lielā mērā tā, Jūsuprāt, ļaus risināt (a) veselības aprūpes pieejamības problēmu un (b) mazināt nevienlīdzību veselības aprūpes pieejamībā? Kurās jomās tā ļauj risināt problēmas? Kurās nē? Vai ir kādas problēmas/ zema veselības aprūpes pakalpojumu pieejamība, kura šajā dokumentā ir ignorēta?</w:t>
      </w:r>
    </w:p>
    <w:p w:rsidR="00C5634D" w:rsidRPr="00C5634D" w:rsidRDefault="00C5634D" w:rsidP="004C2E87">
      <w:pPr>
        <w:rPr>
          <w:rFonts w:eastAsiaTheme="majorEastAsia" w:cstheme="majorBidi"/>
          <w:bCs/>
          <w:i/>
          <w:szCs w:val="26"/>
        </w:rPr>
      </w:pPr>
    </w:p>
    <w:p w:rsidR="00C5634D" w:rsidRPr="00C5634D" w:rsidRDefault="00C5634D" w:rsidP="004C2E87">
      <w:pPr>
        <w:rPr>
          <w:rFonts w:eastAsiaTheme="majorEastAsia" w:cstheme="majorBidi"/>
          <w:bCs/>
          <w:szCs w:val="26"/>
        </w:rPr>
      </w:pPr>
      <w:r w:rsidRPr="00C5634D">
        <w:rPr>
          <w:rFonts w:eastAsiaTheme="majorEastAsia" w:cstheme="majorBidi"/>
          <w:bCs/>
          <w:szCs w:val="26"/>
        </w:rPr>
        <w:t xml:space="preserve">Kādus datus par veselības aprūpes jomu (piemēram, iedzīvotāju veselības stāvokli, personālu raksturojošos u.c. statistiskos rādītājus) Jūs parasti izmantojat savā darbā? </w:t>
      </w:r>
    </w:p>
    <w:p w:rsidR="00C5634D" w:rsidRDefault="00C5634D" w:rsidP="004C2E87">
      <w:pPr>
        <w:rPr>
          <w:rFonts w:eastAsiaTheme="majorEastAsia" w:cstheme="majorBidi"/>
          <w:bCs/>
          <w:szCs w:val="26"/>
        </w:rPr>
      </w:pPr>
    </w:p>
    <w:p w:rsidR="00C5634D" w:rsidRDefault="00C5634D" w:rsidP="004C2E87">
      <w:pPr>
        <w:rPr>
          <w:rFonts w:eastAsiaTheme="majorEastAsia" w:cstheme="majorBidi"/>
          <w:bCs/>
          <w:szCs w:val="26"/>
        </w:rPr>
      </w:pPr>
      <w:r w:rsidRPr="00A6219C">
        <w:rPr>
          <w:rFonts w:eastAsiaTheme="majorEastAsia" w:cstheme="majorBidi"/>
          <w:bCs/>
          <w:i/>
          <w:szCs w:val="26"/>
        </w:rPr>
        <w:t>Pārliecināties, vai iespējams nošķirt vismaz šādus datu turētājus: Centrālā statistikas pārvalde (CSP), Nacionālais veselības dienests (NVD) un Slimību profilakses un kontroles centrs (SPKC), kā arī citi avoti.</w:t>
      </w:r>
    </w:p>
    <w:p w:rsidR="00C5634D" w:rsidRDefault="00C5634D" w:rsidP="004C2E87">
      <w:pPr>
        <w:rPr>
          <w:rFonts w:eastAsiaTheme="majorEastAsia" w:cstheme="majorBidi"/>
          <w:bCs/>
          <w:szCs w:val="26"/>
        </w:rPr>
      </w:pPr>
    </w:p>
    <w:p w:rsidR="00C5634D" w:rsidRDefault="00C5634D" w:rsidP="00C33A64">
      <w:bookmarkStart w:id="1301" w:name="_Toc2761186"/>
      <w:bookmarkStart w:id="1302" w:name="_Toc2848293"/>
      <w:bookmarkStart w:id="1303" w:name="_Toc6219353"/>
      <w:bookmarkStart w:id="1304" w:name="_Toc6220296"/>
      <w:bookmarkStart w:id="1305" w:name="_Toc6841724"/>
      <w:r>
        <w:t>Kādi kopumā dati Jums ir vajadzīgi, lai vērtētu situāciju veselības aprūpes jomā?</w:t>
      </w:r>
      <w:bookmarkEnd w:id="1301"/>
      <w:bookmarkEnd w:id="1302"/>
      <w:bookmarkEnd w:id="1303"/>
      <w:bookmarkEnd w:id="1304"/>
      <w:bookmarkEnd w:id="1305"/>
      <w:r>
        <w:t xml:space="preserve"> </w:t>
      </w:r>
    </w:p>
    <w:p w:rsidR="00C5634D" w:rsidRDefault="00C5634D" w:rsidP="004C2E87">
      <w:pPr>
        <w:rPr>
          <w:rFonts w:eastAsiaTheme="majorEastAsia" w:cstheme="majorBidi"/>
          <w:bCs/>
          <w:szCs w:val="26"/>
        </w:rPr>
      </w:pPr>
    </w:p>
    <w:p w:rsidR="00C5634D" w:rsidRDefault="00C5634D" w:rsidP="004C2E87">
      <w:pPr>
        <w:rPr>
          <w:rFonts w:eastAsiaTheme="majorEastAsia" w:cstheme="majorBidi"/>
          <w:bCs/>
          <w:szCs w:val="26"/>
        </w:rPr>
      </w:pPr>
      <w:r>
        <w:rPr>
          <w:rFonts w:eastAsiaTheme="majorEastAsia" w:cstheme="majorBidi"/>
          <w:bCs/>
          <w:szCs w:val="26"/>
        </w:rPr>
        <w:t xml:space="preserve">Kāda ir šo datu pieejamība un kvalitāte? Kādas ir kopumā Jūsu profesionālās vajadzības attiecībā uz datiem šajās jomās? Kā Jūs vērtējat to aprēķināšanas metodoloģijas atbilstību Latvijas situācijai? </w:t>
      </w:r>
    </w:p>
    <w:p w:rsidR="00C5634D" w:rsidRDefault="00C5634D" w:rsidP="004C2E87">
      <w:pPr>
        <w:rPr>
          <w:rFonts w:eastAsiaTheme="majorEastAsia" w:cstheme="majorBidi"/>
          <w:bCs/>
          <w:szCs w:val="26"/>
        </w:rPr>
      </w:pPr>
    </w:p>
    <w:p w:rsidR="00C5634D" w:rsidRPr="00324B63" w:rsidRDefault="00C5634D" w:rsidP="004C2E87">
      <w:pPr>
        <w:rPr>
          <w:rFonts w:eastAsiaTheme="majorEastAsia" w:cstheme="majorBidi"/>
          <w:bCs/>
          <w:szCs w:val="26"/>
        </w:rPr>
      </w:pPr>
      <w:r>
        <w:rPr>
          <w:rFonts w:eastAsiaTheme="majorEastAsia" w:cstheme="majorBidi"/>
          <w:bCs/>
          <w:szCs w:val="26"/>
        </w:rPr>
        <w:lastRenderedPageBreak/>
        <w:t xml:space="preserve">Kāda veida dati Jums trūkst? Kā šie dati varētu būt iegūstami? Vai esat jebkad mēģinājuši ierosināt </w:t>
      </w:r>
      <w:r w:rsidRPr="00324B63">
        <w:rPr>
          <w:rFonts w:eastAsiaTheme="majorEastAsia" w:cstheme="majorBidi"/>
          <w:bCs/>
          <w:szCs w:val="26"/>
        </w:rPr>
        <w:t>šādu datu vākšanu?</w:t>
      </w:r>
    </w:p>
    <w:p w:rsidR="00C5634D" w:rsidRPr="00324B63" w:rsidRDefault="00C5634D" w:rsidP="004C2E87"/>
    <w:p w:rsidR="00C5634D" w:rsidRPr="00324B63" w:rsidRDefault="00C5634D" w:rsidP="004C2E87">
      <w:pPr>
        <w:rPr>
          <w:rFonts w:eastAsiaTheme="majorEastAsia" w:cstheme="majorBidi"/>
          <w:bCs/>
          <w:i/>
          <w:szCs w:val="26"/>
        </w:rPr>
      </w:pPr>
      <w:r w:rsidRPr="00324B63">
        <w:rPr>
          <w:rFonts w:eastAsiaTheme="majorEastAsia" w:cstheme="majorBidi"/>
          <w:bCs/>
          <w:i/>
          <w:szCs w:val="26"/>
        </w:rPr>
        <w:t xml:space="preserve">Izvērtēt, kādus datus eksperts </w:t>
      </w:r>
      <w:r w:rsidRPr="00324B63">
        <w:rPr>
          <w:rFonts w:eastAsiaTheme="majorEastAsia" w:cstheme="majorBidi"/>
          <w:bCs/>
          <w:i/>
          <w:szCs w:val="26"/>
          <w:u w:val="single"/>
        </w:rPr>
        <w:t>neizmanto</w:t>
      </w:r>
      <w:r w:rsidRPr="00324B63">
        <w:rPr>
          <w:rFonts w:eastAsiaTheme="majorEastAsia" w:cstheme="majorBidi"/>
          <w:bCs/>
          <w:i/>
          <w:szCs w:val="26"/>
        </w:rPr>
        <w:t xml:space="preserve"> savā darbā un jautāt:</w:t>
      </w:r>
    </w:p>
    <w:p w:rsidR="00C5634D" w:rsidRPr="00324B63" w:rsidRDefault="00C5634D" w:rsidP="004C2E87">
      <w:pPr>
        <w:rPr>
          <w:rFonts w:eastAsiaTheme="majorEastAsia" w:cstheme="majorBidi"/>
          <w:bCs/>
          <w:szCs w:val="26"/>
        </w:rPr>
      </w:pPr>
      <w:r w:rsidRPr="00324B63">
        <w:rPr>
          <w:rFonts w:eastAsiaTheme="majorEastAsia" w:cstheme="majorBidi"/>
          <w:bCs/>
          <w:szCs w:val="26"/>
        </w:rPr>
        <w:t>Kāpēc Jūs savā darbā neizmantojat ... (</w:t>
      </w:r>
      <w:r w:rsidRPr="00324B63">
        <w:rPr>
          <w:rFonts w:eastAsiaTheme="majorEastAsia" w:cstheme="majorBidi"/>
          <w:bCs/>
          <w:i/>
          <w:szCs w:val="26"/>
        </w:rPr>
        <w:t>nosaukt datu avotu</w:t>
      </w:r>
      <w:r w:rsidRPr="00324B63">
        <w:rPr>
          <w:rFonts w:eastAsiaTheme="majorEastAsia" w:cstheme="majorBidi"/>
          <w:bCs/>
          <w:szCs w:val="26"/>
        </w:rPr>
        <w:t>)?</w:t>
      </w:r>
    </w:p>
    <w:p w:rsidR="00C5634D" w:rsidRPr="00324B63" w:rsidRDefault="00C5634D" w:rsidP="003F469F">
      <w:pPr>
        <w:pStyle w:val="ListParagraph"/>
        <w:numPr>
          <w:ilvl w:val="0"/>
          <w:numId w:val="67"/>
        </w:numPr>
        <w:spacing w:line="276" w:lineRule="auto"/>
        <w:jc w:val="both"/>
        <w:rPr>
          <w:rFonts w:eastAsiaTheme="majorEastAsia" w:cstheme="majorBidi"/>
          <w:bCs/>
          <w:szCs w:val="26"/>
        </w:rPr>
      </w:pPr>
      <w:r w:rsidRPr="00324B63">
        <w:t>CSP datus par iedzīvotāju veselības pašnovērtējumu (balstoties uz EU-SILC);</w:t>
      </w:r>
    </w:p>
    <w:p w:rsidR="00BA27C7" w:rsidRPr="00324B63" w:rsidRDefault="00C5634D" w:rsidP="003F469F">
      <w:pPr>
        <w:pStyle w:val="ListParagraph"/>
        <w:numPr>
          <w:ilvl w:val="0"/>
          <w:numId w:val="67"/>
        </w:numPr>
        <w:spacing w:line="276" w:lineRule="auto"/>
        <w:jc w:val="both"/>
        <w:rPr>
          <w:rFonts w:eastAsiaTheme="majorEastAsia" w:cstheme="majorBidi"/>
          <w:bCs/>
          <w:szCs w:val="26"/>
        </w:rPr>
      </w:pPr>
      <w:r w:rsidRPr="00324B63">
        <w:t>SPKC pasūtīto apsekojumu rezultātus (piemēram, par iedzīvotāju veselību ietekmējošiem ieradumiem, atkarību izraisošo vielu lietošanu)?</w:t>
      </w:r>
    </w:p>
    <w:p w:rsidR="00EB56BE" w:rsidRPr="00324B63" w:rsidRDefault="00EB56BE" w:rsidP="00064C1E">
      <w:pPr>
        <w:rPr>
          <w:rFonts w:eastAsiaTheme="majorEastAsia" w:cstheme="majorBidi"/>
          <w:bCs/>
          <w:szCs w:val="26"/>
        </w:rPr>
      </w:pPr>
    </w:p>
    <w:p w:rsidR="00EB56BE" w:rsidRPr="00324B63" w:rsidRDefault="00EB56BE" w:rsidP="00C33A64">
      <w:pPr>
        <w:pStyle w:val="capsunderitalic"/>
      </w:pPr>
      <w:bookmarkStart w:id="1306" w:name="_Toc2761187"/>
      <w:bookmarkStart w:id="1307" w:name="_Toc2848294"/>
      <w:bookmarkStart w:id="1308" w:name="_Toc6219354"/>
      <w:bookmarkStart w:id="1309" w:name="_Toc6220297"/>
      <w:bookmarkStart w:id="1310" w:name="_Toc6841725"/>
      <w:r w:rsidRPr="007432E7">
        <w:t>MĀJOKĻU</w:t>
      </w:r>
      <w:r w:rsidRPr="00324B63">
        <w:t xml:space="preserve"> </w:t>
      </w:r>
      <w:r w:rsidR="004131F5" w:rsidRPr="00324B63">
        <w:t>JOMA</w:t>
      </w:r>
      <w:bookmarkEnd w:id="1306"/>
      <w:bookmarkEnd w:id="1307"/>
      <w:bookmarkEnd w:id="1308"/>
      <w:bookmarkEnd w:id="1309"/>
      <w:bookmarkEnd w:id="1310"/>
    </w:p>
    <w:p w:rsidR="00EB56BE" w:rsidRPr="00324B63" w:rsidRDefault="00EB56BE" w:rsidP="004C2E87">
      <w:pPr>
        <w:rPr>
          <w:rFonts w:eastAsiaTheme="majorEastAsia" w:cstheme="majorBidi"/>
          <w:bCs/>
          <w:szCs w:val="26"/>
        </w:rPr>
      </w:pPr>
    </w:p>
    <w:p w:rsidR="00DF6940" w:rsidRPr="00324B63" w:rsidRDefault="00DF6940" w:rsidP="004C2E87">
      <w:pPr>
        <w:rPr>
          <w:rFonts w:eastAsiaTheme="majorEastAsia"/>
          <w:bCs/>
        </w:rPr>
      </w:pPr>
      <w:r w:rsidRPr="00324B63">
        <w:rPr>
          <w:rFonts w:eastAsiaTheme="majorEastAsia"/>
          <w:bCs/>
        </w:rPr>
        <w:t xml:space="preserve">Pastāstiet, lūdzu, kāda ir Jūsu kompetence un profesionālās darbības pieredzes ilgums mājokļa nozarē? Ar kādām mājokļa nozares mērķa grupām Jūs ikdienā strādājat? </w:t>
      </w:r>
    </w:p>
    <w:p w:rsidR="00DF6940" w:rsidRPr="00324B63" w:rsidRDefault="00DF6940" w:rsidP="004C2E87">
      <w:pPr>
        <w:rPr>
          <w:bCs/>
        </w:rPr>
      </w:pPr>
    </w:p>
    <w:p w:rsidR="00DF6940" w:rsidRPr="00DF6940" w:rsidRDefault="00DF6940" w:rsidP="004C2E87">
      <w:pPr>
        <w:rPr>
          <w:bCs/>
        </w:rPr>
      </w:pPr>
      <w:r w:rsidRPr="00DF6940">
        <w:rPr>
          <w:bCs/>
        </w:rPr>
        <w:t xml:space="preserve">Raksturojiet, lūdzu, galvenos izaicinājumu un problēmas saistībā ar mājokļa un ar to saistīto pakalpojumu pieejamību atbilstoši Jūsu profesionālās darbības jomai un kompetencei! Kuras no minētajām problēmām Jūs vērtējat kā prioritāras? Kāpēc? </w:t>
      </w:r>
    </w:p>
    <w:p w:rsidR="00DF6940" w:rsidRPr="00DF6940" w:rsidRDefault="00DF6940" w:rsidP="004C2E87">
      <w:pPr>
        <w:rPr>
          <w:bCs/>
        </w:rPr>
      </w:pPr>
    </w:p>
    <w:p w:rsidR="00DF6940" w:rsidRPr="00DF6940" w:rsidRDefault="00DF6940" w:rsidP="004C2E87">
      <w:pPr>
        <w:rPr>
          <w:bCs/>
        </w:rPr>
      </w:pPr>
      <w:r w:rsidRPr="00DF6940">
        <w:rPr>
          <w:bCs/>
        </w:rPr>
        <w:t xml:space="preserve">Kuras no mērķa grupām, Jūsuprāt, ir visvairāk pakļautas nevienlīdzības mājokļu pieejamības jomā riskam? Lūdzu, pamatojiet, savu viedokli, kāpēc tā? </w:t>
      </w:r>
    </w:p>
    <w:p w:rsidR="00DF6940" w:rsidRPr="00DF6940" w:rsidRDefault="00DF6940" w:rsidP="004C2E87">
      <w:pPr>
        <w:rPr>
          <w:bCs/>
        </w:rPr>
      </w:pPr>
    </w:p>
    <w:p w:rsidR="00DF6940" w:rsidRDefault="00DF6940" w:rsidP="004C2E87">
      <w:pPr>
        <w:rPr>
          <w:bCs/>
          <w:i/>
        </w:rPr>
      </w:pPr>
      <w:r w:rsidRPr="00D218CC">
        <w:rPr>
          <w:bCs/>
        </w:rPr>
        <w:t xml:space="preserve">Lūdzu, komentējiet, citu mērķa grupu situāciju – galvenās problēmas un atbalsta pasākumus šīm grupām – mājokļa un ar to saistīto pakalpojumu pieejamības jomā! </w:t>
      </w:r>
      <w:r w:rsidRPr="00D218CC">
        <w:rPr>
          <w:bCs/>
          <w:i/>
        </w:rPr>
        <w:t>Ekspertam tiek iedota kartīte ar visām TS 3.9. punktā noteiktajām mērķa grupām.</w:t>
      </w:r>
    </w:p>
    <w:p w:rsidR="00DF6940" w:rsidRPr="00FC4349" w:rsidRDefault="00DF6940" w:rsidP="00586F05">
      <w:pPr>
        <w:numPr>
          <w:ilvl w:val="0"/>
          <w:numId w:val="49"/>
        </w:numPr>
        <w:suppressAutoHyphens/>
        <w:autoSpaceDE w:val="0"/>
        <w:rPr>
          <w:color w:val="000000"/>
        </w:rPr>
      </w:pPr>
      <w:r w:rsidRPr="00FC4349">
        <w:rPr>
          <w:color w:val="000000"/>
        </w:rPr>
        <w:t>pirmspensijas un pensijas vecuma cilvēki;</w:t>
      </w:r>
    </w:p>
    <w:p w:rsidR="00DF6940" w:rsidRPr="00FC4349" w:rsidRDefault="00DF6940" w:rsidP="00586F05">
      <w:pPr>
        <w:numPr>
          <w:ilvl w:val="0"/>
          <w:numId w:val="49"/>
        </w:numPr>
        <w:suppressAutoHyphens/>
        <w:autoSpaceDE w:val="0"/>
        <w:rPr>
          <w:color w:val="000000"/>
        </w:rPr>
      </w:pPr>
      <w:r w:rsidRPr="00FC4349">
        <w:rPr>
          <w:color w:val="000000"/>
        </w:rPr>
        <w:t xml:space="preserve">ģimenes ar bērniem, īpaši daudzbērnu un viena </w:t>
      </w:r>
      <w:r w:rsidR="00BA1727">
        <w:t xml:space="preserve">vecāka mājsaimniecības </w:t>
      </w:r>
      <w:r w:rsidRPr="00FC4349">
        <w:rPr>
          <w:color w:val="000000"/>
        </w:rPr>
        <w:t>(t.sk. ģimenes ar bērniem, kuriem ir funkcionēšanas ierobežojumi vai invaliditāte);</w:t>
      </w:r>
    </w:p>
    <w:p w:rsidR="00DF6940" w:rsidRPr="00FC4349" w:rsidRDefault="00DF6940" w:rsidP="00586F05">
      <w:pPr>
        <w:numPr>
          <w:ilvl w:val="0"/>
          <w:numId w:val="49"/>
        </w:numPr>
        <w:suppressAutoHyphens/>
        <w:autoSpaceDE w:val="0"/>
        <w:rPr>
          <w:color w:val="000000"/>
        </w:rPr>
      </w:pPr>
      <w:r w:rsidRPr="00FC4349">
        <w:rPr>
          <w:color w:val="000000"/>
        </w:rPr>
        <w:t>bezdarbnieki, īpaši ilgstošie bezdarbnieki;</w:t>
      </w:r>
    </w:p>
    <w:p w:rsidR="00DF6940" w:rsidRPr="00FC4349" w:rsidRDefault="00DF6940" w:rsidP="00586F05">
      <w:pPr>
        <w:numPr>
          <w:ilvl w:val="0"/>
          <w:numId w:val="49"/>
        </w:numPr>
        <w:suppressAutoHyphens/>
        <w:autoSpaceDE w:val="0"/>
        <w:rPr>
          <w:color w:val="000000"/>
        </w:rPr>
      </w:pPr>
      <w:r w:rsidRPr="00FC4349">
        <w:rPr>
          <w:color w:val="000000"/>
        </w:rPr>
        <w:t>trūcīgās un maznodrošinātās personas;</w:t>
      </w:r>
    </w:p>
    <w:p w:rsidR="00DF6940" w:rsidRPr="00FC4349" w:rsidRDefault="00DF6940" w:rsidP="00586F05">
      <w:pPr>
        <w:numPr>
          <w:ilvl w:val="0"/>
          <w:numId w:val="49"/>
        </w:numPr>
        <w:suppressAutoHyphens/>
        <w:autoSpaceDE w:val="0"/>
        <w:rPr>
          <w:color w:val="000000"/>
        </w:rPr>
      </w:pPr>
      <w:r w:rsidRPr="00FC4349">
        <w:rPr>
          <w:color w:val="000000"/>
        </w:rPr>
        <w:t>internātskolu absolventi;</w:t>
      </w:r>
    </w:p>
    <w:p w:rsidR="00DF6940" w:rsidRPr="00FC4349" w:rsidRDefault="00DF6940" w:rsidP="00586F05">
      <w:pPr>
        <w:numPr>
          <w:ilvl w:val="0"/>
          <w:numId w:val="49"/>
        </w:numPr>
        <w:suppressAutoHyphens/>
        <w:autoSpaceDE w:val="0"/>
        <w:rPr>
          <w:color w:val="000000"/>
        </w:rPr>
      </w:pPr>
      <w:r w:rsidRPr="00FC4349">
        <w:rPr>
          <w:color w:val="000000"/>
        </w:rPr>
        <w:t>personas ar funkcionēšanas ierobežojumiem, tai skaitā personas ar invaliditāti (visas invaliditātes grupas un traucējumu veidi; bērni, darbspējas un virs darbspējas vecuma dzimumu griezumā);</w:t>
      </w:r>
    </w:p>
    <w:p w:rsidR="00DF6940" w:rsidRPr="00FC4349" w:rsidRDefault="00DF6940" w:rsidP="00586F05">
      <w:pPr>
        <w:numPr>
          <w:ilvl w:val="0"/>
          <w:numId w:val="49"/>
        </w:numPr>
        <w:suppressAutoHyphens/>
        <w:autoSpaceDE w:val="0"/>
        <w:rPr>
          <w:color w:val="000000"/>
        </w:rPr>
      </w:pPr>
      <w:r w:rsidRPr="00FC4349">
        <w:rPr>
          <w:color w:val="000000"/>
        </w:rPr>
        <w:t>vardarbībā cietušās personas, tai skaitā cilvēktirdzniecības upuri;</w:t>
      </w:r>
    </w:p>
    <w:p w:rsidR="00DF6940" w:rsidRPr="00FC4349" w:rsidRDefault="00DF6940" w:rsidP="00586F05">
      <w:pPr>
        <w:numPr>
          <w:ilvl w:val="0"/>
          <w:numId w:val="49"/>
        </w:numPr>
        <w:suppressAutoHyphens/>
        <w:autoSpaceDE w:val="0"/>
        <w:rPr>
          <w:color w:val="000000"/>
        </w:rPr>
      </w:pPr>
      <w:r w:rsidRPr="00FC4349">
        <w:rPr>
          <w:color w:val="000000"/>
        </w:rPr>
        <w:t>bezpajumtnieki;</w:t>
      </w:r>
    </w:p>
    <w:p w:rsidR="00DF6940" w:rsidRPr="00FC4349" w:rsidRDefault="00DF6940" w:rsidP="00586F05">
      <w:pPr>
        <w:numPr>
          <w:ilvl w:val="0"/>
          <w:numId w:val="49"/>
        </w:numPr>
        <w:suppressAutoHyphens/>
        <w:autoSpaceDE w:val="0"/>
        <w:rPr>
          <w:color w:val="000000"/>
        </w:rPr>
      </w:pPr>
      <w:r w:rsidRPr="00FC4349">
        <w:rPr>
          <w:color w:val="000000"/>
        </w:rPr>
        <w:t>no ieslodzījuma vietām atbrīvotās personas;</w:t>
      </w:r>
    </w:p>
    <w:p w:rsidR="00DF6940" w:rsidRPr="00FC4349" w:rsidRDefault="00DF6940" w:rsidP="00586F05">
      <w:pPr>
        <w:numPr>
          <w:ilvl w:val="0"/>
          <w:numId w:val="49"/>
        </w:numPr>
        <w:suppressAutoHyphens/>
        <w:autoSpaceDE w:val="0"/>
        <w:rPr>
          <w:color w:val="000000"/>
        </w:rPr>
      </w:pPr>
      <w:r w:rsidRPr="00FC4349">
        <w:rPr>
          <w:color w:val="000000"/>
        </w:rPr>
        <w:t>romi;</w:t>
      </w:r>
    </w:p>
    <w:p w:rsidR="00DF6940" w:rsidRPr="00FC4349" w:rsidRDefault="00DF6940" w:rsidP="00586F05">
      <w:pPr>
        <w:numPr>
          <w:ilvl w:val="0"/>
          <w:numId w:val="49"/>
        </w:numPr>
        <w:suppressAutoHyphens/>
        <w:autoSpaceDE w:val="0"/>
        <w:rPr>
          <w:bCs/>
        </w:rPr>
      </w:pPr>
      <w:r w:rsidRPr="00FC4349">
        <w:t>patvēruma meklētāji, bēgļi un personas ar alternatīvo statusu.</w:t>
      </w:r>
    </w:p>
    <w:p w:rsidR="00DF6940" w:rsidRPr="00C40271" w:rsidRDefault="00DF6940" w:rsidP="004C2E87">
      <w:pPr>
        <w:rPr>
          <w:bCs/>
          <w:i/>
        </w:rPr>
      </w:pPr>
    </w:p>
    <w:p w:rsidR="00DF6940" w:rsidRPr="00C40271" w:rsidRDefault="00DF6940" w:rsidP="004C2E87">
      <w:pPr>
        <w:rPr>
          <w:bCs/>
          <w:i/>
        </w:rPr>
      </w:pPr>
      <w:r w:rsidRPr="00C40271">
        <w:rPr>
          <w:bCs/>
        </w:rPr>
        <w:t xml:space="preserve">Kādas politikas iniciatīvas Jūs vērtējat kā tādas, kuras līdz šim ir atstājušas vērā ņemamu ietekmi uz nevienlīdzību mājokļa jomā (gan to mazinot, gan veicinot)? Uz kādām tieši mērķa grupām? </w:t>
      </w:r>
      <w:r w:rsidRPr="00C40271">
        <w:rPr>
          <w:bCs/>
          <w:i/>
        </w:rPr>
        <w:t xml:space="preserve">Kā piemēru var minēt Mājokļu atbalsta programmu ģimenēm un jaunajiem speciālistiem (ALTUM). </w:t>
      </w:r>
    </w:p>
    <w:p w:rsidR="00DF6940" w:rsidRPr="00C40271" w:rsidRDefault="00DF6940" w:rsidP="004C2E87">
      <w:pPr>
        <w:rPr>
          <w:bCs/>
        </w:rPr>
      </w:pPr>
    </w:p>
    <w:p w:rsidR="00DF6940" w:rsidRPr="00C40271" w:rsidRDefault="00DF6940" w:rsidP="004C2E87">
      <w:pPr>
        <w:rPr>
          <w:bCs/>
        </w:rPr>
      </w:pPr>
      <w:r w:rsidRPr="00C40271">
        <w:rPr>
          <w:bCs/>
        </w:rPr>
        <w:lastRenderedPageBreak/>
        <w:t xml:space="preserve">Kā Jūs vērtējat likumprojektu „Dzīvojamo telpu īres likums”? Kāda varētu būt tā ietekme uz nevienlīdzības mājokļa pieejamības jomā mazināšanu? Uz kādu problēmu risināšanu tas ir vērsts? Kuru mērķa grupu situācija tā ietekmē varētu uzlaboties? Kādus Jūs saskatāt riskus šajā tiesību akta projektā noteikto atbalsta pasākumu ieviešanā? Kādas Jūs saskatāt alternatīvas? </w:t>
      </w:r>
    </w:p>
    <w:p w:rsidR="00DF6940" w:rsidRPr="00C40271" w:rsidRDefault="00DF6940" w:rsidP="004C2E87">
      <w:pPr>
        <w:rPr>
          <w:bCs/>
        </w:rPr>
      </w:pPr>
    </w:p>
    <w:p w:rsidR="00DF6940" w:rsidRPr="00DF6940" w:rsidRDefault="00DF6940" w:rsidP="004C2E87">
      <w:pPr>
        <w:rPr>
          <w:bCs/>
        </w:rPr>
      </w:pPr>
      <w:r w:rsidRPr="00DF6940">
        <w:rPr>
          <w:bCs/>
        </w:rPr>
        <w:t xml:space="preserve">Kādi, Jūsuprāt, būtu nepieciešamie uzlabojumi rīcībpolitikā (t.sk. normatīvajos aktos) nevienlīdzības mazināšanai mājokļa jomā? Kādi ir šķēršļi šo uzlabojumu ieviešanai? </w:t>
      </w:r>
    </w:p>
    <w:p w:rsidR="00DF6940" w:rsidRPr="00DF6940" w:rsidRDefault="00DF6940" w:rsidP="004C2E87">
      <w:pPr>
        <w:rPr>
          <w:bCs/>
        </w:rPr>
      </w:pPr>
    </w:p>
    <w:p w:rsidR="00DF6940" w:rsidRPr="00DF6940" w:rsidRDefault="00DF6940" w:rsidP="004C2E87">
      <w:pPr>
        <w:rPr>
          <w:bCs/>
        </w:rPr>
      </w:pPr>
      <w:r w:rsidRPr="00DF6940">
        <w:rPr>
          <w:bCs/>
        </w:rPr>
        <w:t xml:space="preserve">Likums „Par palīdzību dzīvokļa jautājumu risināšanā” regulē mājokļu (dzīvokļu) pieejamības dažādus aspektus – nosaka personas, kurām sniedzama pašvaldības palīdzība, un palīdzības veidus dzīvokļa jautājumu risināšanai. Vai šajā likumā ir nepieciešamas kādas izmaiņas ar mērķi mazināt nevienlīdzību mājokļa jomā? Ja jā, kādas? </w:t>
      </w:r>
    </w:p>
    <w:p w:rsidR="00DF6940" w:rsidRPr="00DF6940" w:rsidRDefault="00DF6940" w:rsidP="004C2E87">
      <w:pPr>
        <w:rPr>
          <w:bCs/>
        </w:rPr>
      </w:pPr>
    </w:p>
    <w:p w:rsidR="00DF6940" w:rsidRPr="00DF6940" w:rsidRDefault="00DF6940" w:rsidP="004C2E87">
      <w:pPr>
        <w:rPr>
          <w:bCs/>
          <w:i/>
        </w:rPr>
      </w:pPr>
      <w:r w:rsidRPr="00DF6940">
        <w:rPr>
          <w:bCs/>
          <w:i/>
          <w:u w:val="single"/>
        </w:rPr>
        <w:t>Ekonomikas ministrijas pārstāvjiem</w:t>
      </w:r>
      <w:r w:rsidRPr="00DF6940">
        <w:rPr>
          <w:bCs/>
          <w:i/>
        </w:rPr>
        <w:t xml:space="preserve">: </w:t>
      </w:r>
      <w:r w:rsidRPr="00DF6940">
        <w:rPr>
          <w:bCs/>
        </w:rPr>
        <w:t xml:space="preserve">Kāpēc līdz šim nav izdevies izstrādāt un pieņemt mājokļu politikas pamatnostādnes? Kādā stadijā šobrīd ir mājokļu politikas pamatnostādnes? </w:t>
      </w:r>
      <w:r w:rsidRPr="00DF6940">
        <w:rPr>
          <w:i/>
        </w:rPr>
        <w:t>NAP 2014-2020 īstenošanas uzraudzības ziņojumā (2017) norādīts, ka „EM mājokļu politikas pamatnostādnes plāno izstrādāt jau 2018. gada otrajā pusē”</w:t>
      </w:r>
      <w:r w:rsidRPr="00DF6940">
        <w:rPr>
          <w:rStyle w:val="FootnoteReference"/>
          <w:i/>
          <w:sz w:val="20"/>
          <w:szCs w:val="20"/>
        </w:rPr>
        <w:footnoteReference w:id="383"/>
      </w:r>
    </w:p>
    <w:p w:rsidR="00DF6940" w:rsidRPr="00DF6940" w:rsidRDefault="00DF6940" w:rsidP="004C2E87">
      <w:pPr>
        <w:rPr>
          <w:bCs/>
        </w:rPr>
      </w:pPr>
    </w:p>
    <w:p w:rsidR="00DF6940" w:rsidRPr="00C40271" w:rsidRDefault="00DF6940" w:rsidP="004C2E87">
      <w:pPr>
        <w:rPr>
          <w:bCs/>
        </w:rPr>
      </w:pPr>
      <w:r w:rsidRPr="00DF6940">
        <w:rPr>
          <w:bCs/>
        </w:rPr>
        <w:t>Kāds ir Jūsu skatījums par valsts un pašvaldību funkciju sadalījumu mājokļa jomā? Vai šajā</w:t>
      </w:r>
      <w:r w:rsidRPr="00C40271">
        <w:rPr>
          <w:bCs/>
        </w:rPr>
        <w:t xml:space="preserve"> ziņā būtu nepieciešamas kādas izmaiņas? Ja jā, kādas un kāpēc? Kā šīs izmaiņas sekmētu nevienlīdzības mazināšanu mājokļa jomā? </w:t>
      </w:r>
    </w:p>
    <w:p w:rsidR="004A2FAD" w:rsidRDefault="004A2FAD" w:rsidP="004C2E87">
      <w:pPr>
        <w:rPr>
          <w:bCs/>
          <w:i/>
        </w:rPr>
      </w:pPr>
    </w:p>
    <w:p w:rsidR="00DF6940" w:rsidRPr="00C40271" w:rsidRDefault="00DF6940" w:rsidP="004C2E87">
      <w:pPr>
        <w:rPr>
          <w:bCs/>
          <w:i/>
        </w:rPr>
      </w:pPr>
      <w:r w:rsidRPr="00C40271">
        <w:rPr>
          <w:bCs/>
          <w:i/>
        </w:rPr>
        <w:t>Intervijas turpinājumā ekspertiem lūgts paust savu viedokli un skaidrojumu par konkrētiem rādītājiem, kas raksturo situāciju mājokļu pieejamības jomā kopumā un nevienlīdzību mājokļa pieejamības jomā.</w:t>
      </w:r>
    </w:p>
    <w:p w:rsidR="00DF6940" w:rsidRPr="00C40271" w:rsidRDefault="00DF6940" w:rsidP="004C2E87">
      <w:pPr>
        <w:rPr>
          <w:bCs/>
          <w:i/>
        </w:rPr>
      </w:pPr>
    </w:p>
    <w:p w:rsidR="00DF6940" w:rsidRPr="00C40271" w:rsidRDefault="00DF6940" w:rsidP="004C2E87">
      <w:pPr>
        <w:rPr>
          <w:bCs/>
        </w:rPr>
      </w:pPr>
      <w:r w:rsidRPr="00C40271">
        <w:rPr>
          <w:bCs/>
        </w:rPr>
        <w:t xml:space="preserve">Kā Jūs definētu nevienlīdzību mājokļa pieejamības jomā? Kādi rādītāji/ kritēriji to nosaka/raksturo? </w:t>
      </w:r>
    </w:p>
    <w:p w:rsidR="00DF6940" w:rsidRPr="00C40271" w:rsidRDefault="00DF6940" w:rsidP="004C2E87">
      <w:pPr>
        <w:rPr>
          <w:bCs/>
          <w:i/>
        </w:rPr>
      </w:pPr>
      <w:r w:rsidRPr="00C40271">
        <w:rPr>
          <w:bCs/>
          <w:i/>
        </w:rPr>
        <w:t xml:space="preserve">Pētnieku piedāvāto nevienlīdzības mājokļa jomā definīciju skaidrot pēc eksperta sniegtās atbildes uz jautājumu. </w:t>
      </w:r>
    </w:p>
    <w:p w:rsidR="00DF6940" w:rsidRPr="00C40271" w:rsidRDefault="00DF6940" w:rsidP="004C2E87">
      <w:pPr>
        <w:rPr>
          <w:bCs/>
          <w:i/>
        </w:rPr>
      </w:pPr>
    </w:p>
    <w:p w:rsidR="00DF6940" w:rsidRPr="00C40271" w:rsidRDefault="00DF6940" w:rsidP="004C2E87">
      <w:pPr>
        <w:rPr>
          <w:bCs/>
          <w:i/>
        </w:rPr>
      </w:pPr>
      <w:r w:rsidRPr="00DF6940">
        <w:rPr>
          <w:i/>
        </w:rPr>
        <w:t>[Nevienlīdzība mājokļu jomā nozīmē tiesību uz pienācīgu mājokli ierobežošanu vai neievērošanu.</w:t>
      </w:r>
      <w:r w:rsidRPr="00C40271">
        <w:rPr>
          <w:i/>
        </w:rPr>
        <w:t xml:space="preserve"> Mājoklis ir </w:t>
      </w:r>
      <w:r w:rsidRPr="00C40271">
        <w:rPr>
          <w:i/>
          <w:shd w:val="clear" w:color="auto" w:fill="FFFFFF"/>
        </w:rPr>
        <w:t xml:space="preserve">ēka vai ēkas daļa, kurā mājsaimniecība dzīvo visa gada garumā un kas atbilst tiesību aktos noteiktajiem dzīvošanai derīgas telpas kritērijiem. Tiesības uz pienācīgu mājokli aptver šādus pamata jeb primāros elementus - </w:t>
      </w:r>
      <w:r w:rsidRPr="00C40271">
        <w:rPr>
          <w:i/>
        </w:rPr>
        <w:t>mājokļa fiziska pieejamība, mājokļa izdevumi attiecībā pret personas/ mājsaimniecības ienākumiem, mājokļa kvalitāte un labiekārtotība, mājokļa platība un lielums, kā arī papildu jeb sekundāros elementus - mājokļa telpiskā</w:t>
      </w:r>
      <w:r w:rsidR="008D4165">
        <w:rPr>
          <w:i/>
        </w:rPr>
        <w:t>/ ģeogrāfiskā</w:t>
      </w:r>
      <w:r w:rsidRPr="00C40271">
        <w:rPr>
          <w:i/>
        </w:rPr>
        <w:t xml:space="preserve"> segregācija, mājokļa atrašanās vietas vides faktori, mājokļa sociālā pieejamība.</w:t>
      </w:r>
      <w:r w:rsidR="00FC4349">
        <w:rPr>
          <w:i/>
        </w:rPr>
        <w:t xml:space="preserve"> </w:t>
      </w:r>
      <w:r w:rsidRPr="00C40271">
        <w:rPr>
          <w:bCs/>
          <w:i/>
        </w:rPr>
        <w:t>Nevienlīdzība mājokļu jomā ir tieši saistīta ar ienākumu nevienlīdzību. Divi galvenie nevienlīdzību mājokļa jomā raksturojošie rādītāji ir (1) izdevumi par mājokli un (2) mājokļa kvalitāte/ labiekārtotība.</w:t>
      </w:r>
      <w:r w:rsidR="00FC4349">
        <w:rPr>
          <w:bCs/>
          <w:i/>
        </w:rPr>
        <w:t>]</w:t>
      </w:r>
      <w:r w:rsidRPr="00C40271">
        <w:rPr>
          <w:bCs/>
          <w:i/>
        </w:rPr>
        <w:t xml:space="preserve"> </w:t>
      </w:r>
    </w:p>
    <w:p w:rsidR="00DF6940" w:rsidRPr="00C40271" w:rsidRDefault="00DF6940" w:rsidP="00064C1E">
      <w:pPr>
        <w:rPr>
          <w:bCs/>
        </w:rPr>
      </w:pPr>
    </w:p>
    <w:p w:rsidR="00DF6940" w:rsidRPr="00DF6940" w:rsidRDefault="00DF6940" w:rsidP="004C2E87">
      <w:r w:rsidRPr="00DF6940">
        <w:lastRenderedPageBreak/>
        <w:t xml:space="preserve">Balstoties uz veikto dokumentu analīzi, ir noteikti rādītāji, kas raksturo personas tiesību uz mājokli ievērošanu un attiecīgi vienlīdzīgas iespējas mājokļu jomā: </w:t>
      </w:r>
    </w:p>
    <w:p w:rsidR="00DF6940" w:rsidRPr="00C40271" w:rsidRDefault="00DF6940" w:rsidP="003F469F">
      <w:pPr>
        <w:pStyle w:val="ListParagraph"/>
        <w:numPr>
          <w:ilvl w:val="0"/>
          <w:numId w:val="138"/>
        </w:numPr>
        <w:spacing w:line="276" w:lineRule="auto"/>
        <w:jc w:val="both"/>
      </w:pPr>
      <w:r w:rsidRPr="00C40271">
        <w:t>mājokļa infrastruktūras (dzīvojamā fonda) pieejamība;</w:t>
      </w:r>
    </w:p>
    <w:p w:rsidR="00DF6940" w:rsidRPr="00C40271" w:rsidRDefault="00DF6940" w:rsidP="003F469F">
      <w:pPr>
        <w:pStyle w:val="ListParagraph"/>
        <w:numPr>
          <w:ilvl w:val="0"/>
          <w:numId w:val="138"/>
        </w:numPr>
        <w:spacing w:line="276" w:lineRule="auto"/>
        <w:jc w:val="both"/>
      </w:pPr>
      <w:r w:rsidRPr="00C40271">
        <w:t>mājokļa stāvoklis/kvalitāte (sienas, jumts u.tml.);</w:t>
      </w:r>
    </w:p>
    <w:p w:rsidR="00DF6940" w:rsidRPr="00C40271" w:rsidRDefault="00DF6940" w:rsidP="003F469F">
      <w:pPr>
        <w:pStyle w:val="ListParagraph"/>
        <w:numPr>
          <w:ilvl w:val="0"/>
          <w:numId w:val="138"/>
        </w:numPr>
        <w:spacing w:line="276" w:lineRule="auto"/>
        <w:jc w:val="both"/>
      </w:pPr>
      <w:r w:rsidRPr="00C40271">
        <w:t>mājokļa labiekārtotība (ūdensvads, karstais ūdens, kanalizācija, siltumapgāde, elektrība);</w:t>
      </w:r>
    </w:p>
    <w:p w:rsidR="00DF6940" w:rsidRPr="00C40271" w:rsidRDefault="00DF6940" w:rsidP="003F469F">
      <w:pPr>
        <w:pStyle w:val="ListParagraph"/>
        <w:numPr>
          <w:ilvl w:val="0"/>
          <w:numId w:val="138"/>
        </w:numPr>
        <w:spacing w:line="276" w:lineRule="auto"/>
        <w:jc w:val="both"/>
      </w:pPr>
      <w:r w:rsidRPr="00C40271">
        <w:t xml:space="preserve">mājokļa izdevumi (īres izdevumi, hipotekārā kredīta izdevumi, izdevumi par siltumu, elektrību, ūdeni u.tml.); </w:t>
      </w:r>
    </w:p>
    <w:p w:rsidR="00DF6940" w:rsidRPr="00C40271" w:rsidRDefault="00DF6940" w:rsidP="003F469F">
      <w:pPr>
        <w:pStyle w:val="ListParagraph"/>
        <w:numPr>
          <w:ilvl w:val="0"/>
          <w:numId w:val="138"/>
        </w:numPr>
        <w:spacing w:line="276" w:lineRule="auto"/>
        <w:jc w:val="both"/>
      </w:pPr>
      <w:r w:rsidRPr="00C40271">
        <w:t>mājokļa telpiskā</w:t>
      </w:r>
      <w:r w:rsidR="008D4165">
        <w:t>/ ģeogrāfiskā</w:t>
      </w:r>
      <w:r w:rsidRPr="00C40271">
        <w:t xml:space="preserve"> segregācija – ierobežota citu pamata pakalpojumu (veselības aprūpe, izglītība, sabiedriskais transports) pieejamība;</w:t>
      </w:r>
    </w:p>
    <w:p w:rsidR="00DF6940" w:rsidRPr="00C40271" w:rsidRDefault="00DF6940" w:rsidP="003F469F">
      <w:pPr>
        <w:pStyle w:val="ListParagraph"/>
        <w:numPr>
          <w:ilvl w:val="0"/>
          <w:numId w:val="138"/>
        </w:numPr>
        <w:spacing w:line="276" w:lineRule="auto"/>
        <w:jc w:val="both"/>
      </w:pPr>
      <w:r w:rsidRPr="00C40271">
        <w:t>mājokļa atrašanās vietas apkārtējās vides faktori (gaisa kvalitāte, trokšņa līmenis, dienas gaismas trūkums);</w:t>
      </w:r>
    </w:p>
    <w:p w:rsidR="00DF6940" w:rsidRPr="00C40271" w:rsidRDefault="00DF6940" w:rsidP="003F469F">
      <w:pPr>
        <w:pStyle w:val="ListParagraph"/>
        <w:numPr>
          <w:ilvl w:val="0"/>
          <w:numId w:val="138"/>
        </w:numPr>
        <w:spacing w:line="276" w:lineRule="auto"/>
        <w:jc w:val="both"/>
      </w:pPr>
      <w:r w:rsidRPr="00C40271">
        <w:t>mājokļa platība un lielums (dzīvojamās telpas platība uz vienu personu, istabu skaits uz vienu personu mājoklī);</w:t>
      </w:r>
    </w:p>
    <w:p w:rsidR="00DF6940" w:rsidRPr="00C40271" w:rsidRDefault="00DF6940" w:rsidP="003F469F">
      <w:pPr>
        <w:pStyle w:val="ListParagraph"/>
        <w:numPr>
          <w:ilvl w:val="0"/>
          <w:numId w:val="138"/>
        </w:numPr>
        <w:spacing w:line="276" w:lineRule="auto"/>
        <w:jc w:val="both"/>
      </w:pPr>
      <w:r w:rsidRPr="00C40271">
        <w:t>mājokļu pieejamības sociālie faktori (mājokļu īpašnieku un kaimiņu diskriminējoša attieksme pret noteiktām sociālām grupām, kā arī pazeminātas sociālās prasmes noteiktām sociālajām grupām).</w:t>
      </w:r>
    </w:p>
    <w:p w:rsidR="00DF6940" w:rsidRPr="00C40271" w:rsidRDefault="00DF6940" w:rsidP="00064C1E">
      <w:pPr>
        <w:ind w:left="360"/>
        <w:jc w:val="left"/>
      </w:pPr>
    </w:p>
    <w:p w:rsidR="00DF6940" w:rsidRPr="00C40271" w:rsidRDefault="00DF6940" w:rsidP="004C2E87">
      <w:pPr>
        <w:rPr>
          <w:bCs/>
        </w:rPr>
      </w:pPr>
      <w:r w:rsidRPr="00C40271">
        <w:rPr>
          <w:bCs/>
        </w:rPr>
        <w:t xml:space="preserve">Lūdzu, sniedziet savu viedokli par piedāvātajiem rādītājiem, kas raksturo nevienlīdzību mājokļa pieejamības jomā! Kuri no tiem, Jūsuprāt, nav piemēroti šīs jomas novērtējumam un kuri ir piemēroti? Kāpēc? </w:t>
      </w:r>
    </w:p>
    <w:p w:rsidR="00DF6940" w:rsidRPr="00C40271" w:rsidRDefault="00DF6940" w:rsidP="004C2E87">
      <w:pPr>
        <w:rPr>
          <w:bCs/>
        </w:rPr>
      </w:pPr>
    </w:p>
    <w:p w:rsidR="00DF6940" w:rsidRPr="00C40271" w:rsidRDefault="00DF6940" w:rsidP="004C2E87">
      <w:pPr>
        <w:rPr>
          <w:bCs/>
        </w:rPr>
      </w:pPr>
      <w:r w:rsidRPr="00C40271">
        <w:rPr>
          <w:bCs/>
        </w:rPr>
        <w:t xml:space="preserve">Kādus mājokļu jomu raksturojošos statistiskos rādītājus Jūs parasti izmantojat savā darbā? Kāda ir šo datu pieejamība un kvalitāte? Kādas ir kopumā Jūsu profesionālās vajadzības attiecībā uz datiem šajās jomās? Kāda veida dati Jums trūkst? </w:t>
      </w:r>
    </w:p>
    <w:p w:rsidR="00DF6940" w:rsidRPr="00C40271" w:rsidRDefault="00DF6940" w:rsidP="004C2E87">
      <w:pPr>
        <w:rPr>
          <w:bCs/>
        </w:rPr>
      </w:pPr>
    </w:p>
    <w:p w:rsidR="00DF6940" w:rsidRPr="00C40271" w:rsidRDefault="00DF6940" w:rsidP="004C2E87">
      <w:pPr>
        <w:rPr>
          <w:bCs/>
        </w:rPr>
      </w:pPr>
      <w:r w:rsidRPr="00C40271">
        <w:rPr>
          <w:bCs/>
        </w:rPr>
        <w:t xml:space="preserve">Vai Jums darbā bija noderīga Ekonomikas ministrijas vāktā un apkopotā statistika par pašvaldību atbalstu mājokļa jomā? Kādus rādītājus Jūs izmantojāt? Kādiem mērķiem? Vai šobrīd izjūtat šo datu trūkumu? </w:t>
      </w:r>
    </w:p>
    <w:p w:rsidR="00DF6940" w:rsidRPr="00C40271" w:rsidRDefault="00DF6940" w:rsidP="004C2E87">
      <w:pPr>
        <w:rPr>
          <w:bCs/>
        </w:rPr>
      </w:pPr>
    </w:p>
    <w:p w:rsidR="00DF6940" w:rsidRPr="00C40271" w:rsidRDefault="00DF6940" w:rsidP="004C2E87">
      <w:pPr>
        <w:rPr>
          <w:bCs/>
        </w:rPr>
      </w:pPr>
      <w:r w:rsidRPr="00C40271">
        <w:rPr>
          <w:bCs/>
          <w:i/>
          <w:u w:val="single"/>
        </w:rPr>
        <w:t>Ekonomikas ministrijas pārstāvjiem</w:t>
      </w:r>
      <w:r w:rsidRPr="00C40271">
        <w:rPr>
          <w:bCs/>
          <w:i/>
        </w:rPr>
        <w:t xml:space="preserve">: </w:t>
      </w:r>
      <w:r w:rsidRPr="00C40271">
        <w:rPr>
          <w:bCs/>
        </w:rPr>
        <w:t>Kāpēc tika pārtraukta šo datu vākšana? Cik lielu laika un darba patēriņu radīja šo datu vākšana?</w:t>
      </w:r>
    </w:p>
    <w:p w:rsidR="00EB56BE" w:rsidRPr="00B87378" w:rsidRDefault="00EB56BE" w:rsidP="00C33A64">
      <w:pPr>
        <w:pStyle w:val="virsrakstslvl4"/>
      </w:pPr>
      <w:bookmarkStart w:id="1311" w:name="_Toc2761188"/>
      <w:bookmarkStart w:id="1312" w:name="_Toc2848295"/>
      <w:bookmarkStart w:id="1313" w:name="_Toc6219355"/>
      <w:bookmarkStart w:id="1314" w:name="_Toc6220298"/>
      <w:bookmarkStart w:id="1315" w:name="_Toc6841726"/>
      <w:r w:rsidRPr="007432E7">
        <w:t>Noslēgums</w:t>
      </w:r>
      <w:bookmarkEnd w:id="1311"/>
      <w:bookmarkEnd w:id="1312"/>
      <w:bookmarkEnd w:id="1313"/>
      <w:bookmarkEnd w:id="1314"/>
      <w:bookmarkEnd w:id="1315"/>
    </w:p>
    <w:p w:rsidR="00EB56BE" w:rsidRDefault="00EB56BE" w:rsidP="004C2E87">
      <w:r>
        <w:rPr>
          <w:rFonts w:eastAsiaTheme="majorEastAsia" w:cstheme="majorBidi"/>
          <w:bCs/>
          <w:szCs w:val="26"/>
        </w:rPr>
        <w:t xml:space="preserve">Vai Jums ir vēl kaut kas piebilstams par jautājumiem un tēmām, par kurām runājām intervijā? </w:t>
      </w:r>
      <w:r w:rsidRPr="00581672">
        <w:t>Ja jā, ko tieši vēla</w:t>
      </w:r>
      <w:r>
        <w:t>ties piebilst? Lūdzu, pastāstiet!</w:t>
      </w:r>
    </w:p>
    <w:p w:rsidR="006E2AF5" w:rsidRDefault="006E2AF5" w:rsidP="004C2E87"/>
    <w:p w:rsidR="006E2AF5" w:rsidRPr="00820017" w:rsidRDefault="00820017" w:rsidP="004C2E87">
      <w:pPr>
        <w:rPr>
          <w:i/>
        </w:rPr>
      </w:pPr>
      <w:r>
        <w:rPr>
          <w:i/>
        </w:rPr>
        <w:t xml:space="preserve">Ja intervijas laikā eksperts nav minējis papildu informācijas avotus (jebkāda veida dokumentus), kuri būt nozīmīgi Izvērtējuma mērķu sasniegšanai, lūgt tos ieteikt. </w:t>
      </w:r>
    </w:p>
    <w:p w:rsidR="00D04A4D" w:rsidRDefault="00D04A4D" w:rsidP="004C2E87"/>
    <w:p w:rsidR="00D04A4D" w:rsidRPr="00C07D3D" w:rsidRDefault="00D04A4D" w:rsidP="004C2E87">
      <w:r>
        <w:t xml:space="preserve">Vai Jūs piekrītat piedalīties diskusijā par Izvērtējuma starprezultātiem, secinājumu un rekomendāciju projektu? </w:t>
      </w:r>
    </w:p>
    <w:p w:rsidR="00EB56BE" w:rsidRDefault="00EB56BE" w:rsidP="00064C1E"/>
    <w:p w:rsidR="00EB56BE" w:rsidRDefault="00EB56BE" w:rsidP="00064C1E">
      <w:pPr>
        <w:rPr>
          <w:b/>
          <w:i/>
          <w:color w:val="0070C0"/>
        </w:rPr>
      </w:pPr>
      <w:r>
        <w:rPr>
          <w:b/>
          <w:i/>
          <w:color w:val="0070C0"/>
        </w:rPr>
        <w:br w:type="page"/>
      </w:r>
    </w:p>
    <w:p w:rsidR="00B8337B" w:rsidRDefault="00B8337B" w:rsidP="004C1ABB">
      <w:pPr>
        <w:pStyle w:val="pielikumiem"/>
      </w:pPr>
      <w:bookmarkStart w:id="1316" w:name="_Toc6841727"/>
      <w:r w:rsidRPr="005C74D0">
        <w:lastRenderedPageBreak/>
        <w:t xml:space="preserve">pielikums. Fokusa grupu diskusiju </w:t>
      </w:r>
      <w:r w:rsidR="00A36A64">
        <w:t>vadlīnijas</w:t>
      </w:r>
      <w:bookmarkEnd w:id="1316"/>
    </w:p>
    <w:p w:rsidR="00EF77FA" w:rsidRDefault="00EF77FA" w:rsidP="00064C1E">
      <w:pPr>
        <w:rPr>
          <w:rFonts w:eastAsiaTheme="majorEastAsia" w:cstheme="majorBidi"/>
          <w:bCs/>
          <w:szCs w:val="26"/>
        </w:rPr>
      </w:pPr>
      <w:r>
        <w:rPr>
          <w:rFonts w:eastAsiaTheme="majorEastAsia" w:cstheme="majorBidi"/>
          <w:bCs/>
          <w:szCs w:val="26"/>
        </w:rPr>
        <w:t>FGD galvenais mērķis ir veselības aprūpes un mājokļu jomas izpētes rezultātu aprobācija</w:t>
      </w:r>
      <w:r w:rsidR="00A80645">
        <w:rPr>
          <w:rFonts w:eastAsiaTheme="majorEastAsia" w:cstheme="majorBidi"/>
          <w:bCs/>
          <w:szCs w:val="26"/>
        </w:rPr>
        <w:t xml:space="preserve"> – pētnieku sagatavoto secinājumu un rekomendāciju projekta apspriešana</w:t>
      </w:r>
      <w:r>
        <w:rPr>
          <w:rFonts w:eastAsiaTheme="majorEastAsia" w:cstheme="majorBidi"/>
          <w:bCs/>
          <w:szCs w:val="26"/>
        </w:rPr>
        <w:t xml:space="preserve">. </w:t>
      </w:r>
    </w:p>
    <w:p w:rsidR="00EF77FA" w:rsidRPr="007D6307" w:rsidRDefault="00EF77FA" w:rsidP="00C33A64">
      <w:pPr>
        <w:pStyle w:val="virsrakstslvl4"/>
      </w:pPr>
      <w:bookmarkStart w:id="1317" w:name="_Toc2761190"/>
      <w:bookmarkStart w:id="1318" w:name="_Toc2848297"/>
      <w:bookmarkStart w:id="1319" w:name="_Toc6219357"/>
      <w:bookmarkStart w:id="1320" w:name="_Toc6220300"/>
      <w:bookmarkStart w:id="1321" w:name="_Toc6841728"/>
      <w:r w:rsidRPr="007D6307">
        <w:t xml:space="preserve">Ievada </w:t>
      </w:r>
      <w:r w:rsidRPr="007432E7">
        <w:t>daļa</w:t>
      </w:r>
      <w:r w:rsidR="005C74D0" w:rsidRPr="007D6307">
        <w:t xml:space="preserve"> (10</w:t>
      </w:r>
      <w:r w:rsidR="0040794D" w:rsidRPr="007D6307">
        <w:t>-15</w:t>
      </w:r>
      <w:r w:rsidR="005C74D0" w:rsidRPr="007D6307">
        <w:t xml:space="preserve"> min.)</w:t>
      </w:r>
      <w:bookmarkEnd w:id="1317"/>
      <w:bookmarkEnd w:id="1318"/>
      <w:bookmarkEnd w:id="1319"/>
      <w:bookmarkEnd w:id="1320"/>
      <w:bookmarkEnd w:id="1321"/>
    </w:p>
    <w:p w:rsidR="00EF77FA" w:rsidRDefault="00EF77FA" w:rsidP="00064C1E">
      <w:pPr>
        <w:rPr>
          <w:rFonts w:eastAsiaTheme="majorEastAsia" w:cstheme="majorBidi"/>
          <w:bCs/>
          <w:szCs w:val="26"/>
        </w:rPr>
      </w:pPr>
      <w:r>
        <w:rPr>
          <w:rFonts w:eastAsiaTheme="majorEastAsia" w:cstheme="majorBidi"/>
          <w:bCs/>
          <w:szCs w:val="26"/>
        </w:rPr>
        <w:t>Ievada daļā FGD moderators iepazīstina diskusijas dalībniekus ar tās mērķi, Izvērtējuma</w:t>
      </w:r>
      <w:r w:rsidR="00775EB0">
        <w:rPr>
          <w:rFonts w:eastAsiaTheme="majorEastAsia" w:cstheme="majorBidi"/>
          <w:bCs/>
          <w:szCs w:val="26"/>
        </w:rPr>
        <w:t xml:space="preserve"> </w:t>
      </w:r>
      <w:r>
        <w:rPr>
          <w:rFonts w:eastAsiaTheme="majorEastAsia" w:cstheme="majorBidi"/>
          <w:bCs/>
          <w:szCs w:val="26"/>
        </w:rPr>
        <w:t>mērķi un galvenajiem uzdevumiem, diskusijas norises kārtību, t.sk. audioieraksta veikšanu</w:t>
      </w:r>
      <w:r w:rsidR="005C74D0">
        <w:rPr>
          <w:rFonts w:eastAsiaTheme="majorEastAsia" w:cstheme="majorBidi"/>
          <w:bCs/>
          <w:szCs w:val="26"/>
        </w:rPr>
        <w:t>, diskusijas ilgumu, moderatora lomu</w:t>
      </w:r>
      <w:r>
        <w:rPr>
          <w:rFonts w:eastAsiaTheme="majorEastAsia" w:cstheme="majorBidi"/>
          <w:bCs/>
          <w:szCs w:val="26"/>
        </w:rPr>
        <w:t xml:space="preserve">. </w:t>
      </w:r>
      <w:r w:rsidR="005C74D0">
        <w:rPr>
          <w:rFonts w:eastAsiaTheme="majorEastAsia" w:cstheme="majorBidi"/>
          <w:bCs/>
          <w:szCs w:val="26"/>
        </w:rPr>
        <w:t xml:space="preserve">Pirms diskusijas sākuma </w:t>
      </w:r>
      <w:r>
        <w:rPr>
          <w:rFonts w:eastAsiaTheme="majorEastAsia" w:cstheme="majorBidi"/>
          <w:bCs/>
          <w:szCs w:val="26"/>
        </w:rPr>
        <w:t xml:space="preserve">FGD dalībnieki </w:t>
      </w:r>
      <w:r w:rsidR="00FC4349">
        <w:rPr>
          <w:rFonts w:eastAsiaTheme="majorEastAsia" w:cstheme="majorBidi"/>
          <w:bCs/>
          <w:szCs w:val="26"/>
        </w:rPr>
        <w:t>ir</w:t>
      </w:r>
      <w:r>
        <w:rPr>
          <w:rFonts w:eastAsiaTheme="majorEastAsia" w:cstheme="majorBidi"/>
          <w:bCs/>
          <w:szCs w:val="26"/>
        </w:rPr>
        <w:t xml:space="preserve"> aicināti parakstīt apliecinājumu </w:t>
      </w:r>
      <w:r w:rsidR="005C74D0">
        <w:rPr>
          <w:rFonts w:eastAsiaTheme="majorEastAsia" w:cstheme="majorBidi"/>
          <w:bCs/>
          <w:szCs w:val="26"/>
        </w:rPr>
        <w:t xml:space="preserve">par piekrišanu dalībai </w:t>
      </w:r>
      <w:r w:rsidR="00775EB0">
        <w:rPr>
          <w:rFonts w:eastAsiaTheme="majorEastAsia" w:cstheme="majorBidi"/>
          <w:bCs/>
          <w:szCs w:val="26"/>
        </w:rPr>
        <w:t>Izvērtējumā</w:t>
      </w:r>
      <w:r w:rsidR="005C74D0">
        <w:rPr>
          <w:rFonts w:eastAsiaTheme="majorEastAsia" w:cstheme="majorBidi"/>
          <w:bCs/>
          <w:szCs w:val="26"/>
        </w:rPr>
        <w:t xml:space="preserve">. </w:t>
      </w:r>
      <w:r w:rsidR="00A80645">
        <w:rPr>
          <w:rFonts w:eastAsiaTheme="majorEastAsia" w:cstheme="majorBidi"/>
          <w:bCs/>
          <w:szCs w:val="26"/>
        </w:rPr>
        <w:t>Pēc vajadzības moderators sniedz atbildes uz diskusijas dalībnieku jautājumiem par diskusijas norisi un rezultātu izmantošanu</w:t>
      </w:r>
      <w:r w:rsidR="0040794D">
        <w:rPr>
          <w:rFonts w:eastAsiaTheme="majorEastAsia" w:cstheme="majorBidi"/>
          <w:bCs/>
          <w:szCs w:val="26"/>
        </w:rPr>
        <w:t xml:space="preserve">. Diskusijas dalībnieki iepazīstina ar sevi, nosaucot savu vārdu, pārstāvēto institūciju un kompetences jomu. </w:t>
      </w:r>
    </w:p>
    <w:p w:rsidR="005C74D0" w:rsidRPr="007D6307" w:rsidRDefault="005C74D0" w:rsidP="00C33A64">
      <w:pPr>
        <w:pStyle w:val="virsrakstslvl4"/>
      </w:pPr>
      <w:bookmarkStart w:id="1322" w:name="_Toc2761191"/>
      <w:bookmarkStart w:id="1323" w:name="_Toc2848298"/>
      <w:bookmarkStart w:id="1324" w:name="_Toc6219358"/>
      <w:bookmarkStart w:id="1325" w:name="_Toc6220301"/>
      <w:bookmarkStart w:id="1326" w:name="_Toc6841729"/>
      <w:r w:rsidRPr="007D6307">
        <w:t>Izvērtējuma starprezultātu prezentācijas daļa (30 min.)</w:t>
      </w:r>
      <w:bookmarkEnd w:id="1322"/>
      <w:bookmarkEnd w:id="1323"/>
      <w:bookmarkEnd w:id="1324"/>
      <w:bookmarkEnd w:id="1325"/>
      <w:bookmarkEnd w:id="1326"/>
    </w:p>
    <w:p w:rsidR="005C74D0" w:rsidRDefault="005C74D0" w:rsidP="00064C1E">
      <w:pPr>
        <w:rPr>
          <w:rFonts w:eastAsiaTheme="majorEastAsia" w:cstheme="majorBidi"/>
          <w:bCs/>
          <w:szCs w:val="26"/>
        </w:rPr>
      </w:pPr>
      <w:r w:rsidRPr="005818E7">
        <w:rPr>
          <w:rFonts w:eastAsiaTheme="majorEastAsia" w:cstheme="majorBidi"/>
          <w:bCs/>
          <w:szCs w:val="26"/>
        </w:rPr>
        <w:t xml:space="preserve">Šajā daļā diskusijas dalībnieki – atkarībā no viņu pārstāvētās jomas </w:t>
      </w:r>
      <w:r w:rsidR="00F658AF" w:rsidRPr="005818E7">
        <w:rPr>
          <w:rFonts w:eastAsiaTheme="majorEastAsia" w:cstheme="majorBidi"/>
          <w:bCs/>
          <w:szCs w:val="26"/>
        </w:rPr>
        <w:t>–</w:t>
      </w:r>
      <w:r w:rsidRPr="005818E7">
        <w:rPr>
          <w:rFonts w:eastAsiaTheme="majorEastAsia" w:cstheme="majorBidi"/>
          <w:bCs/>
          <w:szCs w:val="26"/>
        </w:rPr>
        <w:t xml:space="preserve"> </w:t>
      </w:r>
      <w:r w:rsidR="005818E7" w:rsidRPr="005818E7">
        <w:rPr>
          <w:rFonts w:eastAsiaTheme="majorEastAsia" w:cstheme="majorBidi"/>
          <w:bCs/>
          <w:szCs w:val="26"/>
        </w:rPr>
        <w:t xml:space="preserve">prezentācijas </w:t>
      </w:r>
      <w:r w:rsidR="005818E7" w:rsidRPr="005818E7">
        <w:rPr>
          <w:rFonts w:eastAsiaTheme="majorEastAsia" w:cstheme="majorBidi"/>
          <w:bCs/>
          <w:i/>
          <w:szCs w:val="26"/>
        </w:rPr>
        <w:t xml:space="preserve">Power Point </w:t>
      </w:r>
      <w:r w:rsidR="005818E7" w:rsidRPr="005818E7">
        <w:rPr>
          <w:rFonts w:eastAsiaTheme="majorEastAsia" w:cstheme="majorBidi"/>
          <w:bCs/>
          <w:szCs w:val="26"/>
        </w:rPr>
        <w:t xml:space="preserve">formātā </w:t>
      </w:r>
      <w:r w:rsidR="00FC4349" w:rsidRPr="005818E7">
        <w:rPr>
          <w:rFonts w:eastAsiaTheme="majorEastAsia" w:cstheme="majorBidi"/>
          <w:bCs/>
          <w:szCs w:val="26"/>
        </w:rPr>
        <w:t>tika</w:t>
      </w:r>
      <w:r w:rsidRPr="005818E7">
        <w:rPr>
          <w:rFonts w:eastAsiaTheme="majorEastAsia" w:cstheme="majorBidi"/>
          <w:bCs/>
          <w:szCs w:val="26"/>
        </w:rPr>
        <w:t xml:space="preserve"> iepazīstināti ar Izvērtējuma starprezultātiem </w:t>
      </w:r>
      <w:r w:rsidR="005818E7" w:rsidRPr="005818E7">
        <w:rPr>
          <w:rFonts w:eastAsiaTheme="majorEastAsia" w:cstheme="majorBidi"/>
          <w:bCs/>
          <w:szCs w:val="26"/>
        </w:rPr>
        <w:t xml:space="preserve">nevienlīdzības </w:t>
      </w:r>
      <w:r w:rsidRPr="005818E7">
        <w:rPr>
          <w:rFonts w:eastAsiaTheme="majorEastAsia" w:cstheme="majorBidi"/>
          <w:bCs/>
          <w:szCs w:val="26"/>
        </w:rPr>
        <w:t>veselības aprūpes vai</w:t>
      </w:r>
      <w:r>
        <w:rPr>
          <w:rFonts w:eastAsiaTheme="majorEastAsia" w:cstheme="majorBidi"/>
          <w:bCs/>
          <w:szCs w:val="26"/>
        </w:rPr>
        <w:t xml:space="preserve"> mājokļu </w:t>
      </w:r>
      <w:r w:rsidR="005818E7">
        <w:rPr>
          <w:rFonts w:eastAsiaTheme="majorEastAsia" w:cstheme="majorBidi"/>
          <w:bCs/>
          <w:szCs w:val="26"/>
        </w:rPr>
        <w:t xml:space="preserve">pieejamības </w:t>
      </w:r>
      <w:r>
        <w:rPr>
          <w:rFonts w:eastAsiaTheme="majorEastAsia" w:cstheme="majorBidi"/>
          <w:bCs/>
          <w:szCs w:val="26"/>
        </w:rPr>
        <w:t xml:space="preserve">jomā. </w:t>
      </w:r>
      <w:r w:rsidR="005818E7">
        <w:rPr>
          <w:rFonts w:eastAsiaTheme="majorEastAsia" w:cstheme="majorBidi"/>
          <w:bCs/>
          <w:szCs w:val="26"/>
        </w:rPr>
        <w:t xml:space="preserve">Diskusijā aplūkojamās jautājumu tēmas tās dalībniekiem tika izsūtītas elektroniski pirms diskusijas. </w:t>
      </w:r>
    </w:p>
    <w:p w:rsidR="005C74D0" w:rsidRPr="007D6307" w:rsidRDefault="005C74D0" w:rsidP="00C33A64">
      <w:pPr>
        <w:pStyle w:val="virsrakstslvl4"/>
      </w:pPr>
      <w:bookmarkStart w:id="1327" w:name="_Toc2761192"/>
      <w:bookmarkStart w:id="1328" w:name="_Toc2848299"/>
      <w:bookmarkStart w:id="1329" w:name="_Toc6219359"/>
      <w:bookmarkStart w:id="1330" w:name="_Toc6220302"/>
      <w:bookmarkStart w:id="1331" w:name="_Toc6841730"/>
      <w:r w:rsidRPr="007432E7">
        <w:t>Diskusijas</w:t>
      </w:r>
      <w:r w:rsidRPr="007D6307">
        <w:t xml:space="preserve"> daļa (</w:t>
      </w:r>
      <w:r w:rsidR="00F24AE0" w:rsidRPr="00C92F97">
        <w:t>8</w:t>
      </w:r>
      <w:r w:rsidRPr="00C92F97">
        <w:t>0</w:t>
      </w:r>
      <w:r w:rsidRPr="007D6307">
        <w:t xml:space="preserve"> min.)</w:t>
      </w:r>
      <w:bookmarkEnd w:id="1327"/>
      <w:bookmarkEnd w:id="1328"/>
      <w:bookmarkEnd w:id="1329"/>
      <w:bookmarkEnd w:id="1330"/>
      <w:bookmarkEnd w:id="1331"/>
    </w:p>
    <w:p w:rsidR="00CE071A" w:rsidRDefault="00CE071A" w:rsidP="00064C1E">
      <w:pPr>
        <w:rPr>
          <w:rFonts w:eastAsiaTheme="majorEastAsia" w:cstheme="majorBidi"/>
          <w:bCs/>
          <w:szCs w:val="26"/>
        </w:rPr>
      </w:pPr>
      <w:r>
        <w:rPr>
          <w:rFonts w:eastAsiaTheme="majorEastAsia" w:cstheme="majorBidi"/>
          <w:bCs/>
          <w:szCs w:val="26"/>
        </w:rPr>
        <w:t>Diskusijas daļā tik</w:t>
      </w:r>
      <w:r w:rsidR="00FC4349">
        <w:rPr>
          <w:rFonts w:eastAsiaTheme="majorEastAsia" w:cstheme="majorBidi"/>
          <w:bCs/>
          <w:szCs w:val="26"/>
        </w:rPr>
        <w:t>a</w:t>
      </w:r>
      <w:r>
        <w:rPr>
          <w:rFonts w:eastAsiaTheme="majorEastAsia" w:cstheme="majorBidi"/>
          <w:bCs/>
          <w:szCs w:val="26"/>
        </w:rPr>
        <w:t xml:space="preserve"> uzdoti jautājumi par konkrētiem Izvērtējuma rezul</w:t>
      </w:r>
      <w:r w:rsidR="00FC4349">
        <w:rPr>
          <w:rFonts w:eastAsiaTheme="majorEastAsia" w:cstheme="majorBidi"/>
          <w:bCs/>
          <w:szCs w:val="26"/>
        </w:rPr>
        <w:t xml:space="preserve">tātiem, kas apkopoti tabulā zemāk. </w:t>
      </w:r>
    </w:p>
    <w:p w:rsidR="006F5370" w:rsidRDefault="006F5370" w:rsidP="00064C1E">
      <w:pPr>
        <w:rPr>
          <w:rFonts w:eastAsiaTheme="majorEastAsia" w:cstheme="majorBidi"/>
          <w:bCs/>
          <w:szCs w:val="26"/>
        </w:rPr>
      </w:pPr>
    </w:p>
    <w:tbl>
      <w:tblPr>
        <w:tblStyle w:val="TableGrid"/>
        <w:tblW w:w="0" w:type="auto"/>
        <w:tblLook w:val="04A0"/>
      </w:tblPr>
      <w:tblGrid>
        <w:gridCol w:w="4954"/>
        <w:gridCol w:w="4954"/>
      </w:tblGrid>
      <w:tr w:rsidR="00CE071A" w:rsidRPr="00615C75" w:rsidTr="0088759D">
        <w:tc>
          <w:tcPr>
            <w:tcW w:w="4954" w:type="dxa"/>
            <w:shd w:val="clear" w:color="auto" w:fill="B8CCE4" w:themeFill="accent1" w:themeFillTint="66"/>
          </w:tcPr>
          <w:p w:rsidR="00CE071A" w:rsidRPr="00615C75" w:rsidRDefault="00CE071A" w:rsidP="0088759D">
            <w:pPr>
              <w:spacing w:before="120" w:after="120"/>
              <w:jc w:val="center"/>
              <w:rPr>
                <w:rFonts w:eastAsiaTheme="majorEastAsia" w:cstheme="majorBidi"/>
                <w:b/>
                <w:bCs/>
                <w:color w:val="002060"/>
                <w:sz w:val="22"/>
                <w:szCs w:val="22"/>
              </w:rPr>
            </w:pPr>
            <w:r w:rsidRPr="00615C75">
              <w:rPr>
                <w:rFonts w:eastAsiaTheme="majorEastAsia" w:cstheme="majorBidi"/>
                <w:b/>
                <w:bCs/>
                <w:color w:val="002060"/>
                <w:sz w:val="22"/>
                <w:szCs w:val="22"/>
              </w:rPr>
              <w:t>Nevienlīdzība veselības aprūpes jomā</w:t>
            </w:r>
          </w:p>
        </w:tc>
        <w:tc>
          <w:tcPr>
            <w:tcW w:w="4954" w:type="dxa"/>
            <w:shd w:val="clear" w:color="auto" w:fill="B8CCE4" w:themeFill="accent1" w:themeFillTint="66"/>
          </w:tcPr>
          <w:p w:rsidR="00CE071A" w:rsidRPr="00615C75" w:rsidRDefault="00CE071A" w:rsidP="0088759D">
            <w:pPr>
              <w:spacing w:before="120" w:after="120"/>
              <w:jc w:val="center"/>
              <w:rPr>
                <w:rFonts w:eastAsiaTheme="majorEastAsia" w:cstheme="majorBidi"/>
                <w:b/>
                <w:bCs/>
                <w:color w:val="002060"/>
                <w:sz w:val="22"/>
                <w:szCs w:val="22"/>
              </w:rPr>
            </w:pPr>
            <w:r w:rsidRPr="00615C75">
              <w:rPr>
                <w:rFonts w:eastAsiaTheme="majorEastAsia" w:cstheme="majorBidi"/>
                <w:b/>
                <w:bCs/>
                <w:color w:val="002060"/>
                <w:sz w:val="22"/>
                <w:szCs w:val="22"/>
              </w:rPr>
              <w:t>Mājokļa pieejamība</w:t>
            </w:r>
            <w:r w:rsidR="00C07D3D" w:rsidRPr="00615C75">
              <w:rPr>
                <w:rFonts w:eastAsiaTheme="majorEastAsia" w:cstheme="majorBidi"/>
                <w:b/>
                <w:bCs/>
                <w:color w:val="002060"/>
                <w:sz w:val="22"/>
                <w:szCs w:val="22"/>
              </w:rPr>
              <w:t>s jomā</w:t>
            </w:r>
          </w:p>
        </w:tc>
      </w:tr>
      <w:tr w:rsidR="00CE071A" w:rsidRPr="000A682A" w:rsidTr="00CE071A">
        <w:tc>
          <w:tcPr>
            <w:tcW w:w="4954" w:type="dxa"/>
          </w:tcPr>
          <w:p w:rsidR="00CE071A" w:rsidRPr="000A682A" w:rsidRDefault="00FC4349" w:rsidP="00064C1E">
            <w:pPr>
              <w:rPr>
                <w:rFonts w:eastAsiaTheme="majorEastAsia" w:cstheme="majorBidi"/>
                <w:bCs/>
                <w:sz w:val="22"/>
                <w:szCs w:val="22"/>
              </w:rPr>
            </w:pPr>
            <w:r w:rsidRPr="000A682A">
              <w:rPr>
                <w:rFonts w:eastAsiaTheme="majorEastAsia" w:cstheme="majorBidi"/>
                <w:bCs/>
                <w:sz w:val="22"/>
                <w:szCs w:val="22"/>
              </w:rPr>
              <w:t>V</w:t>
            </w:r>
            <w:r w:rsidR="00BF58C1" w:rsidRPr="000A682A">
              <w:rPr>
                <w:rFonts w:eastAsiaTheme="majorEastAsia" w:cstheme="majorBidi"/>
                <w:bCs/>
                <w:sz w:val="22"/>
                <w:szCs w:val="22"/>
              </w:rPr>
              <w:t>eselības aprūpes galvenās problēmas saistībā ar veselības aprūpes pakalpojumu pieejamību, efektivitāti un lietderību</w:t>
            </w:r>
          </w:p>
        </w:tc>
        <w:tc>
          <w:tcPr>
            <w:tcW w:w="4954" w:type="dxa"/>
          </w:tcPr>
          <w:p w:rsidR="00CE071A" w:rsidRPr="000A682A" w:rsidRDefault="00171A89" w:rsidP="00064C1E">
            <w:pPr>
              <w:rPr>
                <w:rFonts w:eastAsiaTheme="majorEastAsia" w:cstheme="majorBidi"/>
                <w:bCs/>
                <w:sz w:val="22"/>
                <w:szCs w:val="22"/>
              </w:rPr>
            </w:pPr>
            <w:r w:rsidRPr="000A682A">
              <w:rPr>
                <w:rFonts w:eastAsiaTheme="majorEastAsia" w:cstheme="majorBidi"/>
                <w:bCs/>
                <w:sz w:val="22"/>
                <w:szCs w:val="22"/>
              </w:rPr>
              <w:t xml:space="preserve">Nevienlīdzības mājokļa jomā </w:t>
            </w:r>
            <w:r w:rsidR="00C07D3D" w:rsidRPr="000A682A">
              <w:rPr>
                <w:rFonts w:eastAsiaTheme="majorEastAsia" w:cstheme="majorBidi"/>
                <w:bCs/>
                <w:sz w:val="22"/>
                <w:szCs w:val="22"/>
              </w:rPr>
              <w:t>definējums</w:t>
            </w:r>
            <w:r w:rsidR="00D87D05" w:rsidRPr="000A682A">
              <w:rPr>
                <w:rFonts w:eastAsiaTheme="majorEastAsia" w:cstheme="majorBidi"/>
                <w:bCs/>
                <w:sz w:val="22"/>
                <w:szCs w:val="22"/>
              </w:rPr>
              <w:t xml:space="preserve"> un to raksturojošie</w:t>
            </w:r>
            <w:r w:rsidR="00C07D3D" w:rsidRPr="000A682A">
              <w:rPr>
                <w:rFonts w:eastAsiaTheme="majorEastAsia" w:cstheme="majorBidi"/>
                <w:bCs/>
                <w:sz w:val="22"/>
                <w:szCs w:val="22"/>
              </w:rPr>
              <w:t xml:space="preserve"> galvenie rādītāji</w:t>
            </w:r>
            <w:r w:rsidR="00D87D05" w:rsidRPr="000A682A">
              <w:rPr>
                <w:rFonts w:eastAsiaTheme="majorEastAsia" w:cstheme="majorBidi"/>
                <w:bCs/>
                <w:sz w:val="22"/>
                <w:szCs w:val="22"/>
              </w:rPr>
              <w:t xml:space="preserve"> </w:t>
            </w:r>
          </w:p>
        </w:tc>
      </w:tr>
      <w:tr w:rsidR="00C07D3D" w:rsidRPr="000A682A" w:rsidTr="00C07D3D">
        <w:tc>
          <w:tcPr>
            <w:tcW w:w="4954" w:type="dxa"/>
          </w:tcPr>
          <w:p w:rsidR="00C07D3D" w:rsidRPr="000A682A" w:rsidRDefault="004131F5" w:rsidP="00064C1E">
            <w:pPr>
              <w:rPr>
                <w:rFonts w:eastAsiaTheme="majorEastAsia" w:cstheme="majorBidi"/>
                <w:bCs/>
                <w:sz w:val="22"/>
                <w:szCs w:val="22"/>
              </w:rPr>
            </w:pPr>
            <w:r w:rsidRPr="000A682A">
              <w:rPr>
                <w:rFonts w:eastAsiaTheme="majorEastAsia" w:cstheme="majorBidi"/>
                <w:bCs/>
                <w:sz w:val="22"/>
                <w:szCs w:val="22"/>
              </w:rPr>
              <w:t>Identificētie ierobežojumi un trūkumi politikas plānošanas dokumentos saistībā ar veselības aprūpes pieejamību konkrētām mērķa grupām</w:t>
            </w:r>
          </w:p>
        </w:tc>
        <w:tc>
          <w:tcPr>
            <w:tcW w:w="4954" w:type="dxa"/>
          </w:tcPr>
          <w:p w:rsidR="00C07D3D" w:rsidRPr="000A682A" w:rsidRDefault="00C07D3D" w:rsidP="00064C1E">
            <w:pPr>
              <w:rPr>
                <w:rFonts w:eastAsiaTheme="majorEastAsia" w:cstheme="majorBidi"/>
                <w:bCs/>
                <w:sz w:val="22"/>
                <w:szCs w:val="22"/>
              </w:rPr>
            </w:pPr>
            <w:r w:rsidRPr="000A682A">
              <w:rPr>
                <w:rFonts w:eastAsiaTheme="majorEastAsia" w:cstheme="majorBidi"/>
                <w:bCs/>
                <w:sz w:val="22"/>
                <w:szCs w:val="22"/>
              </w:rPr>
              <w:t>Nozīmīgākie statistiskie rādītāji, kas raksturo nevienlīdzību mājokļu pieejamībā</w:t>
            </w:r>
          </w:p>
        </w:tc>
      </w:tr>
      <w:tr w:rsidR="00C07D3D" w:rsidRPr="000A682A" w:rsidTr="00C07D3D">
        <w:tc>
          <w:tcPr>
            <w:tcW w:w="4954" w:type="dxa"/>
          </w:tcPr>
          <w:p w:rsidR="00C07D3D" w:rsidRPr="000A682A" w:rsidRDefault="004131F5" w:rsidP="00064C1E">
            <w:pPr>
              <w:rPr>
                <w:rFonts w:eastAsiaTheme="majorEastAsia" w:cstheme="majorBidi"/>
                <w:bCs/>
                <w:sz w:val="22"/>
                <w:szCs w:val="22"/>
              </w:rPr>
            </w:pPr>
            <w:r w:rsidRPr="000A682A">
              <w:rPr>
                <w:rFonts w:eastAsiaTheme="majorEastAsia" w:cstheme="majorBidi"/>
                <w:bCs/>
                <w:sz w:val="22"/>
                <w:szCs w:val="22"/>
              </w:rPr>
              <w:t>Piedāvātie pasākumi ierobežojumu un trūkumu novēršanai</w:t>
            </w:r>
          </w:p>
        </w:tc>
        <w:tc>
          <w:tcPr>
            <w:tcW w:w="4954" w:type="dxa"/>
          </w:tcPr>
          <w:p w:rsidR="00C07D3D" w:rsidRPr="000A682A" w:rsidRDefault="005818E7" w:rsidP="00064C1E">
            <w:pPr>
              <w:rPr>
                <w:rFonts w:eastAsiaTheme="majorEastAsia" w:cstheme="majorBidi"/>
                <w:bCs/>
                <w:sz w:val="22"/>
                <w:szCs w:val="22"/>
              </w:rPr>
            </w:pPr>
            <w:r w:rsidRPr="000A682A">
              <w:rPr>
                <w:rFonts w:eastAsiaTheme="majorEastAsia" w:cstheme="majorBidi"/>
                <w:bCs/>
                <w:sz w:val="22"/>
                <w:szCs w:val="22"/>
              </w:rPr>
              <w:t>Identificētie izaicinājumi un problēmas mājokļu un ar to saistīto pakalpojumu pieejamības jomā</w:t>
            </w:r>
          </w:p>
        </w:tc>
      </w:tr>
      <w:tr w:rsidR="005818E7" w:rsidRPr="000A682A" w:rsidTr="00CE071A">
        <w:tc>
          <w:tcPr>
            <w:tcW w:w="4954" w:type="dxa"/>
          </w:tcPr>
          <w:p w:rsidR="005818E7" w:rsidRPr="000A682A" w:rsidRDefault="005818E7" w:rsidP="00064C1E">
            <w:pPr>
              <w:rPr>
                <w:rFonts w:eastAsiaTheme="majorEastAsia" w:cstheme="majorBidi"/>
                <w:bCs/>
                <w:sz w:val="22"/>
                <w:szCs w:val="22"/>
              </w:rPr>
            </w:pPr>
            <w:r w:rsidRPr="000A682A">
              <w:rPr>
                <w:rFonts w:eastAsiaTheme="majorEastAsia" w:cstheme="majorBidi"/>
                <w:bCs/>
                <w:sz w:val="22"/>
                <w:szCs w:val="22"/>
              </w:rPr>
              <w:t>Valsts noteiktie atvieglojumi trūcīgām un maznodrošinātām personām, kā arī nabadzības riskam pakļautajām iedzīvotāju grupām veselības aprūpes pakalpojumu saņemšanai, to atbilstība mērķa grupu vajadzībām</w:t>
            </w:r>
          </w:p>
        </w:tc>
        <w:tc>
          <w:tcPr>
            <w:tcW w:w="4954" w:type="dxa"/>
          </w:tcPr>
          <w:p w:rsidR="005818E7" w:rsidRPr="000A682A" w:rsidRDefault="005818E7" w:rsidP="00337DF1">
            <w:pPr>
              <w:rPr>
                <w:rFonts w:eastAsiaTheme="majorEastAsia" w:cstheme="majorBidi"/>
                <w:bCs/>
                <w:sz w:val="22"/>
                <w:szCs w:val="22"/>
              </w:rPr>
            </w:pPr>
            <w:r w:rsidRPr="000A682A">
              <w:rPr>
                <w:rFonts w:eastAsiaTheme="majorEastAsia" w:cstheme="majorBidi"/>
                <w:bCs/>
                <w:sz w:val="22"/>
                <w:szCs w:val="22"/>
              </w:rPr>
              <w:t>Mērķa grupas, kuras ir pakļautas augstākam nevienlīdzības riskam mājokļu jomā</w:t>
            </w:r>
          </w:p>
        </w:tc>
      </w:tr>
      <w:tr w:rsidR="005818E7" w:rsidRPr="000A682A" w:rsidTr="00C07D3D">
        <w:tc>
          <w:tcPr>
            <w:tcW w:w="4954" w:type="dxa"/>
          </w:tcPr>
          <w:p w:rsidR="005818E7" w:rsidRPr="000A682A" w:rsidRDefault="005818E7" w:rsidP="00064C1E">
            <w:pPr>
              <w:rPr>
                <w:rFonts w:eastAsiaTheme="majorEastAsia" w:cstheme="majorBidi"/>
                <w:bCs/>
                <w:sz w:val="22"/>
                <w:szCs w:val="22"/>
              </w:rPr>
            </w:pPr>
            <w:r w:rsidRPr="000A682A">
              <w:rPr>
                <w:rFonts w:eastAsiaTheme="majorEastAsia" w:cstheme="majorBidi"/>
                <w:bCs/>
                <w:sz w:val="22"/>
                <w:szCs w:val="22"/>
              </w:rPr>
              <w:t>Pašvaldību noteiktie atvieglojumi trūcīgām un maznodrošinātām personām, kā arī nabadzības riskam pakļautajām iedzīvotāju grupām veselības aprūpes pakalpojumu saņemšanai, to atbilstība mērķa grupu vajadzībām</w:t>
            </w:r>
          </w:p>
        </w:tc>
        <w:tc>
          <w:tcPr>
            <w:tcW w:w="4954" w:type="dxa"/>
          </w:tcPr>
          <w:p w:rsidR="005818E7" w:rsidRPr="000A682A" w:rsidRDefault="005818E7" w:rsidP="00337DF1">
            <w:pPr>
              <w:rPr>
                <w:rFonts w:eastAsiaTheme="majorEastAsia" w:cstheme="majorBidi"/>
                <w:bCs/>
                <w:sz w:val="22"/>
                <w:szCs w:val="22"/>
              </w:rPr>
            </w:pPr>
            <w:r w:rsidRPr="000A682A">
              <w:rPr>
                <w:rFonts w:eastAsiaTheme="majorEastAsia" w:cstheme="majorBidi"/>
                <w:bCs/>
                <w:sz w:val="22"/>
                <w:szCs w:val="22"/>
              </w:rPr>
              <w:t>Valsts atbalsts mājokļa jomā: tā atbilstība mērķa grupu vajadzībām un ietekme uz nevienlīdzības mazināšanu</w:t>
            </w:r>
          </w:p>
        </w:tc>
      </w:tr>
      <w:tr w:rsidR="005818E7" w:rsidRPr="000A682A" w:rsidTr="00CE071A">
        <w:tc>
          <w:tcPr>
            <w:tcW w:w="4954" w:type="dxa"/>
          </w:tcPr>
          <w:p w:rsidR="005818E7" w:rsidRPr="000A682A" w:rsidRDefault="005818E7" w:rsidP="00064C1E">
            <w:pPr>
              <w:rPr>
                <w:rFonts w:eastAsiaTheme="majorEastAsia" w:cstheme="majorBidi"/>
                <w:bCs/>
                <w:sz w:val="22"/>
                <w:szCs w:val="22"/>
              </w:rPr>
            </w:pPr>
            <w:r w:rsidRPr="000A682A">
              <w:rPr>
                <w:rFonts w:eastAsiaTheme="majorEastAsia" w:cstheme="majorBidi"/>
                <w:bCs/>
                <w:sz w:val="22"/>
                <w:szCs w:val="22"/>
              </w:rPr>
              <w:t xml:space="preserve">Nozīmīgākie statistiskie rādītāji, kas raksturo nevienlīdzību veselības aprūpes pakalpojumu </w:t>
            </w:r>
            <w:r w:rsidRPr="000A682A">
              <w:rPr>
                <w:rFonts w:eastAsiaTheme="majorEastAsia" w:cstheme="majorBidi"/>
                <w:bCs/>
                <w:sz w:val="22"/>
                <w:szCs w:val="22"/>
              </w:rPr>
              <w:lastRenderedPageBreak/>
              <w:t>pieejamībā</w:t>
            </w:r>
          </w:p>
        </w:tc>
        <w:tc>
          <w:tcPr>
            <w:tcW w:w="4954" w:type="dxa"/>
          </w:tcPr>
          <w:p w:rsidR="005818E7" w:rsidRPr="000A682A" w:rsidRDefault="005818E7" w:rsidP="00337DF1">
            <w:pPr>
              <w:rPr>
                <w:rFonts w:eastAsiaTheme="majorEastAsia" w:cstheme="majorBidi"/>
                <w:bCs/>
                <w:sz w:val="22"/>
                <w:szCs w:val="22"/>
              </w:rPr>
            </w:pPr>
            <w:r w:rsidRPr="000A682A">
              <w:rPr>
                <w:rFonts w:eastAsiaTheme="majorEastAsia" w:cstheme="majorBidi"/>
                <w:bCs/>
                <w:sz w:val="22"/>
                <w:szCs w:val="22"/>
              </w:rPr>
              <w:lastRenderedPageBreak/>
              <w:t xml:space="preserve">Pašvaldību atbalsts mājokļa jomā: tā atbilstība mērķa grupu vajadzībām un ietekme uz nevienlīdzības </w:t>
            </w:r>
            <w:r w:rsidRPr="000A682A">
              <w:rPr>
                <w:rFonts w:eastAsiaTheme="majorEastAsia" w:cstheme="majorBidi"/>
                <w:bCs/>
                <w:sz w:val="22"/>
                <w:szCs w:val="22"/>
              </w:rPr>
              <w:lastRenderedPageBreak/>
              <w:t>mazināšanu</w:t>
            </w:r>
          </w:p>
        </w:tc>
      </w:tr>
      <w:tr w:rsidR="005818E7" w:rsidRPr="000A682A" w:rsidTr="00CE071A">
        <w:tc>
          <w:tcPr>
            <w:tcW w:w="4954" w:type="dxa"/>
          </w:tcPr>
          <w:p w:rsidR="005818E7" w:rsidRPr="000A682A" w:rsidRDefault="005818E7" w:rsidP="00337DF1">
            <w:pPr>
              <w:rPr>
                <w:rFonts w:eastAsiaTheme="majorEastAsia" w:cstheme="majorBidi"/>
                <w:bCs/>
                <w:sz w:val="22"/>
                <w:szCs w:val="22"/>
              </w:rPr>
            </w:pPr>
            <w:r w:rsidRPr="000A682A">
              <w:rPr>
                <w:rFonts w:eastAsiaTheme="majorEastAsia" w:cstheme="majorBidi"/>
                <w:bCs/>
                <w:sz w:val="22"/>
                <w:szCs w:val="22"/>
              </w:rPr>
              <w:lastRenderedPageBreak/>
              <w:t>Secinājumi par statistikas datu kvalitāti: datu avoti, pieejamība, pielietojamība, vērtējums no lietotāju puses</w:t>
            </w:r>
          </w:p>
        </w:tc>
        <w:tc>
          <w:tcPr>
            <w:tcW w:w="4954" w:type="dxa"/>
          </w:tcPr>
          <w:p w:rsidR="005818E7" w:rsidRPr="000A682A" w:rsidRDefault="005818E7" w:rsidP="00337DF1">
            <w:pPr>
              <w:rPr>
                <w:rFonts w:eastAsiaTheme="majorEastAsia" w:cstheme="majorBidi"/>
                <w:bCs/>
                <w:sz w:val="22"/>
                <w:szCs w:val="22"/>
              </w:rPr>
            </w:pPr>
            <w:r w:rsidRPr="000A682A">
              <w:rPr>
                <w:rFonts w:eastAsiaTheme="majorEastAsia" w:cstheme="majorBidi"/>
                <w:bCs/>
                <w:sz w:val="22"/>
                <w:szCs w:val="22"/>
              </w:rPr>
              <w:t>Ieteikumi nepieciešamajiem uzlabojumiem rīcībpolitikā nevienlīdzības mājokļa jomā mazināšanai</w:t>
            </w:r>
          </w:p>
        </w:tc>
      </w:tr>
      <w:tr w:rsidR="005818E7" w:rsidRPr="000A682A" w:rsidTr="00CE071A">
        <w:tc>
          <w:tcPr>
            <w:tcW w:w="4954" w:type="dxa"/>
          </w:tcPr>
          <w:p w:rsidR="005818E7" w:rsidRPr="000A682A" w:rsidRDefault="005818E7" w:rsidP="00337DF1">
            <w:pPr>
              <w:rPr>
                <w:rFonts w:eastAsiaTheme="majorEastAsia" w:cstheme="majorBidi"/>
                <w:bCs/>
                <w:sz w:val="22"/>
                <w:szCs w:val="22"/>
              </w:rPr>
            </w:pPr>
            <w:r w:rsidRPr="000A682A">
              <w:rPr>
                <w:rFonts w:eastAsiaTheme="majorEastAsia" w:cstheme="majorBidi"/>
                <w:bCs/>
                <w:sz w:val="22"/>
                <w:szCs w:val="22"/>
              </w:rPr>
              <w:t>Secinājumi par nevienlīdzību veselības aprūpes pieejamībā attiecībā uz specifiskām mērķa grupām</w:t>
            </w:r>
          </w:p>
        </w:tc>
        <w:tc>
          <w:tcPr>
            <w:tcW w:w="4954" w:type="dxa"/>
          </w:tcPr>
          <w:p w:rsidR="005818E7" w:rsidRPr="000A682A" w:rsidRDefault="005818E7" w:rsidP="00337DF1">
            <w:pPr>
              <w:rPr>
                <w:rFonts w:eastAsiaTheme="majorEastAsia" w:cstheme="majorBidi"/>
                <w:bCs/>
                <w:sz w:val="22"/>
                <w:szCs w:val="22"/>
              </w:rPr>
            </w:pPr>
            <w:r w:rsidRPr="000A682A">
              <w:rPr>
                <w:rFonts w:eastAsiaTheme="majorEastAsia" w:cstheme="majorBidi"/>
                <w:bCs/>
                <w:sz w:val="22"/>
                <w:szCs w:val="22"/>
              </w:rPr>
              <w:t>Diskusija par priekšlikumu atbalsta mehānismam, lai noteiktu laiku pasargātu īrnieku, kuram nav trūcīgas vai maznodrošinātas personas statuss, un viņa ģimeni no izlikšanas no dzīvokļa</w:t>
            </w:r>
          </w:p>
        </w:tc>
      </w:tr>
      <w:tr w:rsidR="005818E7" w:rsidRPr="000A682A" w:rsidTr="00CE071A">
        <w:tc>
          <w:tcPr>
            <w:tcW w:w="4954" w:type="dxa"/>
          </w:tcPr>
          <w:p w:rsidR="005818E7" w:rsidRPr="000A682A" w:rsidRDefault="005818E7" w:rsidP="00337DF1">
            <w:pPr>
              <w:rPr>
                <w:rFonts w:eastAsiaTheme="majorEastAsia" w:cstheme="majorBidi"/>
                <w:bCs/>
                <w:sz w:val="22"/>
                <w:szCs w:val="22"/>
              </w:rPr>
            </w:pPr>
            <w:r w:rsidRPr="000A682A">
              <w:rPr>
                <w:rFonts w:eastAsiaTheme="majorEastAsia" w:cstheme="majorBidi"/>
                <w:bCs/>
                <w:sz w:val="22"/>
                <w:szCs w:val="22"/>
              </w:rPr>
              <w:t>Rekomendācijas par nepieciešamajiem uzlabojumiem nevienlīdzību veselības aprūpes pieejamībā mazināšanai</w:t>
            </w:r>
          </w:p>
        </w:tc>
        <w:tc>
          <w:tcPr>
            <w:tcW w:w="4954" w:type="dxa"/>
          </w:tcPr>
          <w:p w:rsidR="005818E7" w:rsidRPr="000A682A" w:rsidRDefault="005818E7" w:rsidP="00337DF1">
            <w:pPr>
              <w:rPr>
                <w:rFonts w:eastAsiaTheme="majorEastAsia" w:cstheme="majorBidi"/>
                <w:bCs/>
                <w:sz w:val="22"/>
                <w:szCs w:val="22"/>
              </w:rPr>
            </w:pPr>
            <w:r w:rsidRPr="000A682A">
              <w:rPr>
                <w:rFonts w:eastAsiaTheme="majorEastAsia" w:cstheme="majorBidi"/>
                <w:bCs/>
                <w:sz w:val="22"/>
                <w:szCs w:val="22"/>
              </w:rPr>
              <w:t xml:space="preserve">Riski un alternatīvas piedāvāto ieteikumu ieviešanai. </w:t>
            </w:r>
          </w:p>
        </w:tc>
      </w:tr>
    </w:tbl>
    <w:p w:rsidR="005C74D0" w:rsidRPr="007D6307" w:rsidRDefault="005C74D0" w:rsidP="007D6307">
      <w:pPr>
        <w:pStyle w:val="virsrakstslvl3"/>
      </w:pPr>
      <w:bookmarkStart w:id="1332" w:name="_Toc2761193"/>
      <w:bookmarkStart w:id="1333" w:name="_Toc2848300"/>
      <w:r w:rsidRPr="007D6307">
        <w:t>Noslēgums (</w:t>
      </w:r>
      <w:r w:rsidR="0040794D" w:rsidRPr="007D6307">
        <w:t>5-10</w:t>
      </w:r>
      <w:r w:rsidRPr="007D6307">
        <w:t xml:space="preserve"> min.)</w:t>
      </w:r>
      <w:bookmarkEnd w:id="1332"/>
      <w:bookmarkEnd w:id="1333"/>
    </w:p>
    <w:p w:rsidR="005C74D0" w:rsidRPr="005C74D0" w:rsidRDefault="0040794D" w:rsidP="00064C1E">
      <w:pPr>
        <w:rPr>
          <w:rFonts w:eastAsiaTheme="majorEastAsia" w:cstheme="majorBidi"/>
          <w:bCs/>
          <w:szCs w:val="26"/>
        </w:rPr>
      </w:pPr>
      <w:r>
        <w:rPr>
          <w:rFonts w:eastAsiaTheme="majorEastAsia" w:cstheme="majorBidi"/>
          <w:bCs/>
          <w:szCs w:val="26"/>
        </w:rPr>
        <w:t xml:space="preserve">Noslēguma daļā diskusiju dalībnieki </w:t>
      </w:r>
      <w:r w:rsidR="00FC4349">
        <w:rPr>
          <w:rFonts w:eastAsiaTheme="majorEastAsia" w:cstheme="majorBidi"/>
          <w:bCs/>
          <w:szCs w:val="26"/>
        </w:rPr>
        <w:t>tika</w:t>
      </w:r>
      <w:r>
        <w:rPr>
          <w:rFonts w:eastAsiaTheme="majorEastAsia" w:cstheme="majorBidi"/>
          <w:bCs/>
          <w:szCs w:val="26"/>
        </w:rPr>
        <w:t xml:space="preserve"> aicināti papildināt savas atbildes par diskusijā apspriestajiem jautājumiem, kā arī sniegt apkopojumu par viņu izpratnē galvenajām diskusijas laikā gūtajām atziņām. </w:t>
      </w:r>
    </w:p>
    <w:p w:rsidR="00B8337B" w:rsidRPr="00EF77FA" w:rsidRDefault="00B8337B" w:rsidP="00064C1E">
      <w:pPr>
        <w:rPr>
          <w:rFonts w:eastAsiaTheme="majorEastAsia" w:cstheme="majorBidi"/>
          <w:b/>
          <w:bCs/>
          <w:i/>
          <w:color w:val="4F81BD" w:themeColor="accent1"/>
          <w:szCs w:val="26"/>
        </w:rPr>
      </w:pPr>
      <w:r w:rsidRPr="00EF77FA">
        <w:rPr>
          <w:rFonts w:eastAsiaTheme="majorEastAsia" w:cstheme="majorBidi"/>
          <w:b/>
          <w:bCs/>
          <w:i/>
          <w:color w:val="4F81BD" w:themeColor="accent1"/>
          <w:szCs w:val="26"/>
        </w:rPr>
        <w:br w:type="page"/>
      </w:r>
    </w:p>
    <w:p w:rsidR="00E96CB5" w:rsidRDefault="00E96CB5" w:rsidP="004C1ABB">
      <w:pPr>
        <w:pStyle w:val="pielikumiem"/>
      </w:pPr>
      <w:bookmarkStart w:id="1334" w:name="_Toc6841732"/>
      <w:r w:rsidRPr="00775EB0">
        <w:lastRenderedPageBreak/>
        <w:t xml:space="preserve">pielikums. </w:t>
      </w:r>
      <w:r w:rsidR="00D6730D">
        <w:t>Ekspertu interviju rezultātu nevienlīdzības veselības aprūpes jomā apkopojums</w:t>
      </w:r>
      <w:bookmarkEnd w:id="1334"/>
    </w:p>
    <w:p w:rsidR="00D277B1" w:rsidRDefault="00D277B1" w:rsidP="00D277B1">
      <w:r>
        <w:t xml:space="preserve">Kopumā saistībā ar veselības aprūpes jomu tika intervēti 10 eksperti, </w:t>
      </w:r>
      <w:r w:rsidRPr="009952DC">
        <w:t xml:space="preserve">papildus analīzē ir iekļautas citu jomu ekspertu sniegtās atbildes par galvenajām problēmām </w:t>
      </w:r>
      <w:r>
        <w:t>veselības aprūpes pieejamības jomā un</w:t>
      </w:r>
      <w:r w:rsidRPr="009952DC">
        <w:t xml:space="preserve"> mērķa grupām, kuras šīs problēmas skar</w:t>
      </w:r>
      <w:r>
        <w:t>.</w:t>
      </w:r>
    </w:p>
    <w:p w:rsidR="00D277B1" w:rsidRPr="004C1ABB" w:rsidRDefault="00D277B1" w:rsidP="00C33A64">
      <w:pPr>
        <w:pStyle w:val="virsrakstslvl4"/>
      </w:pPr>
      <w:bookmarkStart w:id="1335" w:name="_Toc2761195"/>
      <w:bookmarkStart w:id="1336" w:name="_Toc2848302"/>
      <w:bookmarkStart w:id="1337" w:name="_Toc6219361"/>
      <w:bookmarkStart w:id="1338" w:name="_Toc6220304"/>
      <w:bookmarkStart w:id="1339" w:name="_Toc6841733"/>
      <w:r w:rsidRPr="004C1ABB">
        <w:t>Veselības aprūpes nozares galvenās problēmas</w:t>
      </w:r>
      <w:bookmarkEnd w:id="1335"/>
      <w:bookmarkEnd w:id="1336"/>
      <w:bookmarkEnd w:id="1337"/>
      <w:bookmarkEnd w:id="1338"/>
      <w:bookmarkEnd w:id="1339"/>
    </w:p>
    <w:p w:rsidR="00D277B1" w:rsidRDefault="00D277B1" w:rsidP="00D277B1">
      <w:r w:rsidRPr="00BC0B2F">
        <w:t>Veselības aprūpes problēmu raksturojumam Izvērtējumā intervētājiem ekspertiem tikai piedāvātas divas pieejas.</w:t>
      </w:r>
      <w:r>
        <w:t xml:space="preserve"> Pirmkārt, ekspertiem tika lūgts nosaukt, viņuprāt, svarīgākās Latvijas veselības aprūpes sistēmas problēmas, un, otrkārt, lai veicinātu diskusiju par pētāmo tēmu, tika piedāvāti apspriešanai Pasaules Bankas 2016. gada izvērtējuma galvenie secinājumi. Kopsavilkuma ietvaros šie jautājumi ir aplūkoti kopīgi.</w:t>
      </w:r>
    </w:p>
    <w:p w:rsidR="00D277B1" w:rsidRDefault="00D277B1" w:rsidP="00D277B1"/>
    <w:p w:rsidR="00D277B1" w:rsidRDefault="00D277B1" w:rsidP="00D277B1">
      <w:r>
        <w:t>Kopumā Izvērtējumā intervētie eksperti ir vienisprātis, ka nozīmīgākā problēma saistībā ar nevienlīdzību veselības aprūpes jomā, ir publiskā finansējuma trūkums, kurš tiek aprēķināts kā noteikta procentuālā daļa no IKP. Eksperti norāda, ka Latvijā ilgstoši šis budžeta apmērs ir bijis mazāks nekā citās ES dalībvalstīs, tādējādi ir notikušas gan veselības aprūpes pakalpojumu sniegšanas strukturālas izmaiņas, nozīmīgu lomu iegūstot privātajam sektoram, gan arī no ilgstoša finansējuma trūkuma izriet virkne citu identificēto problēmu.</w:t>
      </w:r>
    </w:p>
    <w:p w:rsidR="00263C72" w:rsidRDefault="00263C72" w:rsidP="00D277B1"/>
    <w:p w:rsidR="00655D1D" w:rsidRDefault="00655D1D" w:rsidP="00655D1D">
      <w:pPr>
        <w:spacing w:line="240" w:lineRule="auto"/>
      </w:pPr>
      <w:r>
        <w:t xml:space="preserve">Pirmkārt, kā būtisku ar publiskā finansējuma trūkumu saistītu jautājumu eksperti atzīmē augsto iedzīvotāju tiešmaksājumu procentuālo attiecību, par ko Latvija tiek kritizēta starptautiskos izvērtējumos. </w:t>
      </w:r>
    </w:p>
    <w:p w:rsidR="00655D1D" w:rsidRDefault="00655D1D" w:rsidP="00655D1D">
      <w:pPr>
        <w:spacing w:line="240" w:lineRule="auto"/>
      </w:pPr>
    </w:p>
    <w:p w:rsidR="00655D1D" w:rsidRPr="00695F37" w:rsidRDefault="00655D1D" w:rsidP="00655D1D">
      <w:r>
        <w:t>Otrkārt, eksperti norāda, ka, neskatoties uz papildus finansējuma piešķiršanu veselības aprūpei, kas notikusi pēdējo gadu laikā, veselības aprūpes pieejamības trūkums joprojām ir saglabājies. Eksperti to skaidro ar situāciju, ka vajadzība pēc pakalpojumiem ir uzkrājusies gadiem, līdz ar to nelieli sistēmas uzlabojumi nespēj mazināt rindas uz publiskā finansējuma apmaksātu pakalpojumu. Tas notiek, piemēram, tāpēc, ka tie iedzīvotāji, kas iepriekš izmantoja veselības aprūpes maksas pakalpojumus (balstoties uz darba devēja nopirktu veselības apdrošināšanu vai maksājot paši), tagad biežāk ieplūst arī publiskā finansējuma apmaksātā pakalpojuma rindā.</w:t>
      </w:r>
    </w:p>
    <w:p w:rsidR="00655D1D" w:rsidRPr="00BD5BC3" w:rsidRDefault="00655D1D" w:rsidP="00655D1D"/>
    <w:p w:rsidR="00655D1D" w:rsidRDefault="00655D1D" w:rsidP="00655D1D">
      <w:r w:rsidRPr="00BD5BC3">
        <w:t>Treškārt,</w:t>
      </w:r>
      <w:r>
        <w:t xml:space="preserve"> neskatoties uz to, ka veselības aprūpes nozarei piešķirtā publiskā finansējuma daudzums pēdējos gados ir pieaudzis, eksperti atzīst, ka pakalpojumu pieejamības paaugstināšanai traucē speciālistu trūkums, un proti, viņi joprojām nevēlas</w:t>
      </w:r>
      <w:r w:rsidRPr="005D212F">
        <w:t xml:space="preserve"> sniegt pakalpojumu par tādiem tarifiem, </w:t>
      </w:r>
      <w:r>
        <w:t>kādi tiek piemēroti</w:t>
      </w:r>
      <w:r w:rsidRPr="005D212F">
        <w:t xml:space="preserve"> veselības aprūpē tajā publiskajā sektorā. </w:t>
      </w:r>
      <w:r>
        <w:t xml:space="preserve">Tādējādi daudzi ārsti speciālisti strādā tikai privātajā jomā. Nozares eksperti atzīst, ka, tā kā </w:t>
      </w:r>
      <w:r w:rsidRPr="005D212F">
        <w:t>savulaik speciālisti pārvirzījās uz privāto sektoru, tad</w:t>
      </w:r>
      <w:r>
        <w:t xml:space="preserve"> šobrīd viņus ir grūti</w:t>
      </w:r>
      <w:r w:rsidRPr="005D212F">
        <w:t xml:space="preserve"> motivēt </w:t>
      </w:r>
      <w:r>
        <w:t>sniegt arī</w:t>
      </w:r>
      <w:r w:rsidRPr="005D212F">
        <w:t xml:space="preserve"> valsts apmaksāt</w:t>
      </w:r>
      <w:r>
        <w:t>os</w:t>
      </w:r>
      <w:r w:rsidRPr="005D212F">
        <w:t xml:space="preserve"> pakalpojum</w:t>
      </w:r>
      <w:r>
        <w:t>us.</w:t>
      </w:r>
      <w:r w:rsidRPr="005D212F">
        <w:t xml:space="preserve"> </w:t>
      </w:r>
      <w:r>
        <w:t xml:space="preserve">Atsevišķi eksperti min arī citu problēmu, proti, dažādu iemeslu (t.sk., ieraduma vai nezināšanas) dēļ ārsti (netiek precizēts, vai to dara ģimenes ārsti vai ārsti speciālisti) mēdz novirzīt pacientu uz maksas sektoru, nemēģinot noskaidrot, vai kādā ģeogrāfiski tuvu esošā ārstniecības iestādē pakalpojums nav pieejams par valsts līdzekļiem. Tāpat eksperti ir arī novērojuši tādas situācijas, kad pacients tiek zināmā mērā spiests </w:t>
      </w:r>
      <w:r>
        <w:lastRenderedPageBreak/>
        <w:t>izmantot maksas sektora veselības aprūpes pakalpojumus, jo personāla attieksme un sniegtā informācija rada nozīmīgas šaubas par valsts apmaksātas operācijas kvalitatīvu norisi.</w:t>
      </w:r>
    </w:p>
    <w:p w:rsidR="00655D1D" w:rsidRDefault="00655D1D" w:rsidP="00655D1D"/>
    <w:p w:rsidR="00655D1D" w:rsidRPr="005D212F" w:rsidRDefault="00655D1D" w:rsidP="00655D1D">
      <w:r>
        <w:t xml:space="preserve">Runājot par veselības aprūpes sistēmas problēmām, atsevišķi eksperti norāda, ka kopumā </w:t>
      </w:r>
      <w:r w:rsidRPr="00711847">
        <w:rPr>
          <w:b/>
        </w:rPr>
        <w:t>trūkst</w:t>
      </w:r>
      <w:r>
        <w:t xml:space="preserve"> </w:t>
      </w:r>
      <w:r w:rsidRPr="00A22268">
        <w:rPr>
          <w:b/>
        </w:rPr>
        <w:t>sistēmisku nozares problēmu risinājumu</w:t>
      </w:r>
      <w:r>
        <w:t xml:space="preserve">. Publiskajā telpā un nozares profesionāļu vidū kopumā ir </w:t>
      </w:r>
      <w:r w:rsidRPr="00DA35F9">
        <w:t>novērojams pieprasījums pēc tūlītējiem (un tāpēc bieži – īslaicīgiem) risinājumiem, kamēr sistemātiskas politikas iniciatīvas ir ilgtermiņa ieguldījums</w:t>
      </w:r>
      <w:r>
        <w:t>, piemēram, tikai pēdējo gadu laikā, pēc Pasaules Bankas izvērtējuma saņemšanas, vairāk uzmanības pievērsts medicīnas iekārtu izvietojuma plānošanai, dažāda līmeņa ārstniecības iestāžu izvietojuma plānošanai</w:t>
      </w:r>
      <w:r w:rsidRPr="00DA35F9">
        <w:t xml:space="preserve">. Eksperti norāda, ka bieži piedāvāto risinājumu potenciālā efektivitāte netiek ekonomiski aprēķināta. </w:t>
      </w:r>
    </w:p>
    <w:p w:rsidR="00655D1D" w:rsidRDefault="00655D1D" w:rsidP="00655D1D"/>
    <w:p w:rsidR="00655D1D" w:rsidRDefault="00655D1D" w:rsidP="00655D1D">
      <w:r>
        <w:t>Noteikti Izvērtējumā intervētie eksperti atbilstoši savai kompetences jomai norāda, ka, lai gan politikas veidošanas līmenī tiek pausts, ka Latvijā veselības aprūpes pakalpojumu samaksā starp NVD un ārstniecības iestādēm ir notikusi pāreja uz diagnozē (DRG) balstītu samaksas principu, praksē tā tomēr nevar uzskatīt, jo pakalpojumu apmaksa joprojām notiek par manipulācijām. Eksperti norāda, ka publiskā finansējuma trūkuma veselības aprūpei apstākļos, šāda norēķinu sistēma starp valsti un pakalpojumu sniedzējiem ir visneefektīvākā, raugoties no publiskā finansējuma izlietojuma viedokļa. Vienlaikus, kā norāda eksperti, šāda sistēma ir izdevīga, raugoties no ārstniecības iestādes viedokļa, kas ļauj papildus nopelnīt. Eksperti norāda, ka nozīmīgs šķērslis pārejai uz diagnozē balstītu samaksas principu ir atbilstošu pakalpojumu tarifu noteikšana. Vienlaikus šis jautājums tiek saistīts ar vēl vienu Pasaules Bankas izvērtējumā identificēto problēmu, un proti, ar pakalpojuma kvalitātes monitoringu, t.i., ka ārstniecības iestāde saņemtu samaksu par sekmīgi ārstētu pacientu, savukārt Latvija tikai šobrīd, pēc Pasaules Bankas izvērtējuma, ir sākusi veikt darbības, lai virzītos uz pakalpojuma kvalitātes uzraudzību. Kā viens no sākotnējiem soļiem tiek minēta stratēģiskā iepirkuma veikšana prioritārajās jomās, nosakot arī prasības pakalpojuma kvalitātei.</w:t>
      </w:r>
    </w:p>
    <w:p w:rsidR="00655D1D" w:rsidRPr="005D212F" w:rsidRDefault="00655D1D" w:rsidP="00C33A64">
      <w:pPr>
        <w:pStyle w:val="virsrakstslvl4"/>
      </w:pPr>
      <w:bookmarkStart w:id="1340" w:name="_Toc2761196"/>
      <w:bookmarkStart w:id="1341" w:name="_Toc2848303"/>
      <w:bookmarkStart w:id="1342" w:name="_Toc6219362"/>
      <w:bookmarkStart w:id="1343" w:name="_Toc6220305"/>
      <w:bookmarkStart w:id="1344" w:name="_Toc6841734"/>
      <w:r w:rsidRPr="005D212F">
        <w:t xml:space="preserve">Veselības </w:t>
      </w:r>
      <w:r>
        <w:t xml:space="preserve">aprūpes </w:t>
      </w:r>
      <w:r w:rsidRPr="005D212F">
        <w:t>finansēšanas likums</w:t>
      </w:r>
      <w:bookmarkEnd w:id="1340"/>
      <w:bookmarkEnd w:id="1341"/>
      <w:bookmarkEnd w:id="1342"/>
      <w:bookmarkEnd w:id="1343"/>
      <w:bookmarkEnd w:id="1344"/>
    </w:p>
    <w:p w:rsidR="00655D1D" w:rsidRDefault="00655D1D" w:rsidP="00655D1D">
      <w:r>
        <w:t>Nozīmīgas diskusijas Izvērtējumā intervēto ekspertu vidū izraisīja no Veselības aprūpes finansēšanas likuma izrietošā situācija, ka noteiktas Latvijas iedzīvotāju grupas, var nākotnē saņemt tikai minimālo veselības aprūpes grozu, ja tās nav VSAOI maksātājas. Eksperti norāda, ka likuma mērķis ir nesniegt pakalpojumus tiem iedzīvotājiem, kas, iespējams, darba nodokļus (IIN un VSAOI) nemaksā ļaunprātīgi.</w:t>
      </w:r>
      <w:r w:rsidRPr="002B013C">
        <w:t xml:space="preserve"> </w:t>
      </w:r>
      <w:r>
        <w:t xml:space="preserve">Vienlaikus Veselības aprūpes finansēšanas likums pirmo reizi definē apjomīgu iedzīvotāju grupu sarakstu, kuru veselības apdrošināšanu veic valsts (11. pants), vienlaikus šim nosacījumam ir atšķirīgs spēkā stāšanās datums (piemēram, tiek uzsvērts potenciālais sociālās atstumtības risks, ar ko var potenciāli saskarties </w:t>
      </w:r>
      <w:r w:rsidR="00917A17">
        <w:t xml:space="preserve">personas ar </w:t>
      </w:r>
      <w:r>
        <w:t>III grupas inval</w:t>
      </w:r>
      <w:r w:rsidR="00917A17">
        <w:t>iditāti</w:t>
      </w:r>
      <w:r>
        <w:t>). Raugoties no nevienlīdzības aspekta, likums nosauc plašu aizsargājamo iedzīvotāju grupu spektru. Tomēr eksperti vērš uzmanību arī uz to, ka daļa no nosauktajām grupā ir grūti identificējamas, tādēļ šāda sistēma rada iesaistītajām pusēm papildu administratīvo slogu.</w:t>
      </w:r>
    </w:p>
    <w:p w:rsidR="00655D1D" w:rsidRPr="005D212F" w:rsidRDefault="00655D1D" w:rsidP="00655D1D"/>
    <w:p w:rsidR="00655D1D" w:rsidRDefault="00655D1D" w:rsidP="00655D1D">
      <w:r>
        <w:t xml:space="preserve">Kopumā vairums ekspertu Veselības aprūpes finansēšanas likuma pieņemšanu vērtē kritiski, norādot uz to, ka tas nav sistēmiski pamatots risinājums. Eksperti atbilstoši savai kompetences jomai norāda, ka kopumā starptautiskajā praksē ir pieņemts, ka veselības aprūpes finansēšana tiek balstīta uz vienu </w:t>
      </w:r>
      <w:r>
        <w:lastRenderedPageBreak/>
        <w:t>no diviem savstarpēji izslēdzošiem modeļiem. Pirmais no tiem ir veselības aprūpes finansēšana no vispārējiem nodokļiem, kā tas ir Lielbritānijā un kā tas līdz likuma pieņemšanas brīdim bija arī Latvijā. Šādā gadījumā nodokļu maksātāji pēc būtības ir visi iedzīvotāji, jo, pat ja persona nestrādā (un attiecīgi nemaksā darba nodokļus), viņa tik un tā būs netiešo nodokļu (piemēram, PVN) maksātāja. Otrais veselības aprūpes finansēšanas modelis paredz sociālo apdrošināšanu, kā tas ir, piemēram, Vācijā un Igaunijā. Eksperti norāda, ka savulaik Latvija atteicās no šādas sistēmas ieviešanas. Balstoties uz šiem diviem starptautiski lietotajiem veselības aprūpes finansēšanas modeļiem, Latvijas eksperti norāda, ka ar Veselības aprūpes finansēšanas likuma pieņemšanu Latvijā tiek ieviesta netipiska situācija – jaukts veselības finansēšanas modelis, turklāt ar neproporcionāli lielāku mazākās finansējuma daļas ietekmi uz personas iespēju saņemt veselības aprūpes pakalpojumus.</w:t>
      </w:r>
    </w:p>
    <w:p w:rsidR="00655D1D" w:rsidRPr="00655D1D" w:rsidRDefault="00655D1D" w:rsidP="0088759D">
      <w:pPr>
        <w:pStyle w:val="virsrakstslvl4"/>
      </w:pPr>
      <w:bookmarkStart w:id="1345" w:name="_Toc2761197"/>
      <w:bookmarkStart w:id="1346" w:name="_Toc2848304"/>
      <w:bookmarkStart w:id="1347" w:name="_Toc6219363"/>
      <w:bookmarkStart w:id="1348" w:name="_Toc6220306"/>
      <w:bookmarkStart w:id="1349" w:name="_Toc6841735"/>
      <w:r w:rsidRPr="00655D1D">
        <w:t>Mērķa grupu situācijas raksturojums</w:t>
      </w:r>
      <w:bookmarkEnd w:id="1345"/>
      <w:bookmarkEnd w:id="1346"/>
      <w:bookmarkEnd w:id="1347"/>
      <w:bookmarkEnd w:id="1348"/>
      <w:bookmarkEnd w:id="1349"/>
    </w:p>
    <w:p w:rsidR="00655D1D" w:rsidRDefault="00655D1D" w:rsidP="00655D1D">
      <w:r>
        <w:t xml:space="preserve">Kopumā eksperti atzīst, ka Latvijā veselības aprūpe tiek organizēta pēc principa, ka pacienti tiek ārstēti, balstoties uz viņu diagnozi (saslimšanu), atsevišķas sociāli neaizsargātas grupas atbrīvojot no </w:t>
      </w:r>
      <w:r w:rsidRPr="008D0945">
        <w:t>pacientu līdzmaksājuma (iepriekš – pacientu iemaksas)</w:t>
      </w:r>
      <w:r w:rsidR="008D6552">
        <w:t>. Savukārt komentējot katru no I</w:t>
      </w:r>
      <w:r w:rsidRPr="008D0945">
        <w:t>zvērtējumā</w:t>
      </w:r>
      <w:r>
        <w:t xml:space="preserve"> iekļautajām 11 analizējamajām grupām, atklājās iespējamās situācijas, kurās šī brīža tiesiskais regulējums nav pietiekams, lai personai būtu pieejama veselības aprūpe atbilstoši tās konkrētajām vajadzībām. Vienlaikus eksperti atzīst, ka veselības aprūpes pieejamība samazinās ne tikai pašas veselības aprūpes nozares situācijas dēļ un ka būtībā problēma ir kompleksa – tā skar arī citas nozares (piemēram, transporta pakalpojumu pieejamība), kā arī problēmas ir individuāli situatīvas, kas rodas no dažādu sociālo atstumtību veicinošo apstākļu un noteiktu saslimstību radītā sloga savstarpējās mijiedarbības. Šādā situācijā, ja viens no apstākļiem personai vēl būtu risināms, tad vienlaikus notiekot vairākām, situāciju savstarpēji pasliktinošām epizodēm, personai ne tikai samazinās veselības aprūpes pieejamība, bet arī tās rezultātā var rasties nopietns apdraudējums veselībai ilgtermiņā (sk. sīkāk izvērstāku mērķa grupu situāciju raksturojumu un tā ietvaros minētās situācijas).</w:t>
      </w:r>
    </w:p>
    <w:p w:rsidR="00655D1D" w:rsidRDefault="00655D1D" w:rsidP="00655D1D"/>
    <w:p w:rsidR="00655D1D" w:rsidRDefault="00655D1D" w:rsidP="00655D1D">
      <w:r>
        <w:t>Intervētie eksperti kopumā piekrīt, ka pirmspensijas un pensijas vecuma cilvēki ir viena no grupām, kura ir uzskatāma par vienu no tām, kas pakļauta nozīmīgam nevienlīdzības riskam veselības jomā. Šo piederību nosaka divi galvenie apstākļi. Pirmkārt, tie ir mērķa grupas zemie ienākumi, kas padara veselības aprūpi mazāk pieejamu finansiālā sloga dēļ (piemēram, ņemot vērā visus tiešmaksājumus). Otrkārt, pirmspensijas un pensijas vecuma iedzīvotāji ir vienlaikus grupa, kura veselības aprūpes pakalpojumus patērē visvairāk, jo atbilstoši vecumposmam vairāk slimo ar hroniskām saslimšanām.</w:t>
      </w:r>
    </w:p>
    <w:p w:rsidR="00655D1D" w:rsidRDefault="00655D1D" w:rsidP="00655D1D"/>
    <w:p w:rsidR="00655D1D" w:rsidRDefault="00655D1D" w:rsidP="00655D1D">
      <w:r>
        <w:t xml:space="preserve">Ja personas ienākumi ir tik zemi, ka tai pienākas trūcīgas personas statuss, tad pirmspensijas vai pensijas vecuma persona ir atbrīvota no pacienta līdzmaksājuma. Tomēr gadījumā, ja persona nevar iegūt šo statusu, tad finansiālais slogs ir nozīmīgi jūtams. Kā norāda intervētie eksperti, pirmspensijas vecumā ir arī lielāks risks tikt atlaistam no darba vai arī šis vecums kombinējas ar ilgstošu bezdarbu, kā rezultātā finansiālu apstākļu dēļ personas pieejamība veselības aprūpei arī samazinās. Eksperti atzīst, ka, raugoties no pirmspensijas un pensijas vecuma iedzīvotāju ienākumu viedokļa, līdzmaksājumu apjoms, piemēram, stacionārā un uz sarežģītākiem izmeklējumiem (piemēram, vizuālā diagnostika) ir nozīmīgi liels. Nozīmīgu slogu rada arī zāļu iegādes izmaksas. </w:t>
      </w:r>
      <w:r>
        <w:lastRenderedPageBreak/>
        <w:t>Lai gan noteiktu diagnožu gadījumā ir iespējama pat 100% medikamentu izmaksu kompensācijas, kā arī, iegūstot trūcīgās personas statusu, arī ir iespējams saņemt par 100% izmaksu kompensāciju, tomēr eksperti norāda, ka nozīmīgas problēmas rada finansiālais slogs par zāļu iegādi. Šeit eksperti atsaucas farmācijas nozares regulējumu, ka zāļu iepakojumus nedrīkst dalīt, kas personai ar zemiem ienākumiem rada būtisku slogu, iegādājoties lielus zāļu iepakojumus. Eksperti norāda, ka minētajai problēmai tika meklēts risinājums, tomēr intervijās iegūtā informācija nav pietiekama, lai iegūtu skaidrību par problēmas šī brīža aktualitāti.</w:t>
      </w:r>
    </w:p>
    <w:p w:rsidR="00655D1D" w:rsidRDefault="00655D1D" w:rsidP="00655D1D"/>
    <w:p w:rsidR="00655D1D" w:rsidRDefault="00655D1D" w:rsidP="00655D1D">
      <w:r>
        <w:t>Runājot par pirmspensijas un pensijas vecuma iedzīvotāju vajadzībām veselības aprūpē, eksperti norāda uz divām specifiskām vajadzībām. Pirmkārt, lai samazinātu finansiālo slogu, eksperti iesaka izvērtēt pacienta līdzmaksājuma apmēra samazinājumu pensionāriem bez viņu ienākuma izvērtējuma, jo, kā minēts iepriekš, šajā vecuma grupā veselības aprūpes pakalpojumu patēriņš pieaug. Otrkārt, eksperti iesaka izvērtēt un paplašināt to diagnožu daudzumu, kuru gadījumā pacientam pienākas aprūpe mājās, konkrētus gadījumus neminot.</w:t>
      </w:r>
    </w:p>
    <w:p w:rsidR="00655D1D" w:rsidRDefault="00655D1D" w:rsidP="00655D1D"/>
    <w:p w:rsidR="008D0945" w:rsidRDefault="008D0945" w:rsidP="008D0945">
      <w:r w:rsidRPr="008D0945">
        <w:rPr>
          <w:b/>
        </w:rPr>
        <w:t>Ģimenes ar bērniem, īpaši daudzbērnu un nepilnās ģimenes</w:t>
      </w:r>
      <w:r>
        <w:t xml:space="preserve"> (t.sk. ģimenes ar bērniem, kuriem ir funkcionēšanas ierobežojumi vai invaliditāte) ekspertu vērtējumā ir ļoti heterogēna mērķa grupa. Šīs mērķa grupas vajadzības un veselības aprūpes pakalpojumu pieejamība ir atkarīga no vairākiem savstarpēji saistītiem faktoriem. Pirmkārt, no vecāku finansiālā stāvokļa un netieši – bērnu skaita ģimenē, t.i., kas nosaka ģimenes locekļu skaitu, kuri ar mājsaimniecībai pieejamajiem līdzekļiem ir jānodrošina. Ja ģimene neatbilst trūcīgas ģimenes statusam, taču ir pakļauta nabadzības riskam, tad šis apstāklis kopumā ietekmē bērnu veselību. Otrkārt, situācija ir atkarīga arī no bērnu veselības aprūpes vajadzībām – jo sarežģītāks ir veselības stāvoklis, jo vairāk un specifiskākas ir bērnu vajadzības attiecībā uz veselības aprūpi. Jo vairāk ir bērnu vajadzības attiecībā uz veselības stāvokli, jo sarežģītāk ir nodrošināt to savlaicīgu un adekvātu apmierināšanu. Eksperti norāda, ka novērojama arī negatīvo apstākļu summēšanās, kā rezultātā ģimenes, kurās aug bērni ar invaliditāti bieži vien ir arī </w:t>
      </w:r>
      <w:r w:rsidR="001E77B5">
        <w:t>nepilnās</w:t>
      </w:r>
      <w:r w:rsidR="001E77B5" w:rsidRPr="00DE672A">
        <w:t xml:space="preserve"> </w:t>
      </w:r>
      <w:r>
        <w:t>ģimenes.</w:t>
      </w:r>
    </w:p>
    <w:p w:rsidR="008D0945" w:rsidRDefault="008D0945" w:rsidP="008D0945"/>
    <w:p w:rsidR="008D0945" w:rsidRDefault="008D0945" w:rsidP="008D0945">
      <w:r>
        <w:t xml:space="preserve">Kopumā vairums Izvērtējumā intervēto ekspertu norāda, ka, lai gan bērniem ir tiesības uz bezmaksas valsts nodrošinātu veselības aprūpi, praksē šīs tiesības nav pieejamas (tiesību īstenošana ir ierobežota). Eksperti norāda, ka šī situācija ir vērtējama kritiski, jo atkarībā no šo tiesību īstenošanas ir citas bērnu tiesības (tās ir savstarpēji saistītas). Ja bērnam nav šīs tiesības īstenotas, tas ir sasaistīts ar viņu vispārējo dzīves kvalitāti, izglītību, attīstību u.tml. To ģimeņu bērniem, kuri dzīvo tālāk no nozīmīgiem reģionāliem centriem un Rīgas, sarežģītāki veselības aprūpes pakalpojumi ir mazāk pieejami, speciālistu zemā pārklājuma blīvuma dēļ. Gadījumā, ja noteikti veselības aprūpes pakalpojumi ir pieejami tikai Rīgā, laukos dzīvojošajiem ir jārūpējas par bērnu nogādāšanu Rīgā. Strādājošiem vecākiem tas var nozīmēt gan brīvdienas ņemšanu darbavietā, gan papildus transporta izmaksas. Viena </w:t>
      </w:r>
      <w:r w:rsidR="00BA1727">
        <w:t xml:space="preserve">vecāka mājsaimniecībās </w:t>
      </w:r>
      <w:r>
        <w:t>papildus grūtības rada apstāklis, ka, ja ir vairāki mazi bērni, viena bērna vešana uz Rīgu nozīmē, ka nepieciešami pieskatīšanas pakalpojumi citiem bērniem.</w:t>
      </w:r>
    </w:p>
    <w:p w:rsidR="008D0945" w:rsidRDefault="008D0945" w:rsidP="008D0945">
      <w:r>
        <w:t xml:space="preserve"> </w:t>
      </w:r>
    </w:p>
    <w:p w:rsidR="008D0945" w:rsidRDefault="008D0945" w:rsidP="008D0945">
      <w:r>
        <w:t xml:space="preserve">Norādot, ka bērnu tiesības uz veselības aprūpi Latvijā netiek ievērotas, eksperti min vairākus iemeslus. Pirmkārt, grūtības rada savlaicīga veselības aprūpes pieejamība, kas izriet no speciālistu un valsts apmaksāto pakalpojumu trūkuma. Kā viena no visbiežāk sastopamajām situācijām ir tāda, </w:t>
      </w:r>
      <w:r>
        <w:lastRenderedPageBreak/>
        <w:t>ka, lai saņemtu noteikta speciālista pakalpojumu, jāgaida ir rindā vairākus mēnešus. Tiesībsarga pārstāvis norādīja, ka nesenā laika posmā ir saņēmis kolektīvu iesniegumu par bērnu zobārstniecības pieejamību Liepājā, un proti, no iesnieguma izriet, ka pilsētā ir tikai viens zobārsts, kam ir līgums ar valsti, attiecīgi, lai saņemtu tā pakalpojumu, ir ilgi jāgaida. Savukārt braukšana uz citu pilsētu pie zobārsta, kuram ir noslēgts līgums par valsts apmaksātu pakalpojumu sniegšanu, vecākiem rodas papildus slogs. Līdzīga situācija ir sastopama arī uz savlaicīgu citu ārstu speciālistu pieejamību bērniem. Eksperti min, ka problemātiska ir bērnu psihiatru, kardiologa un neirologa pakalpojumu pieejamība. Tāpat, neskatoties uz to, ka bērni ir tā mērķa grupa, kurām tiek nodrošināta valsts apmaksāta ģimenes ārsta mājas vizīti, ekspertu novērojumi rāda, ka praksē šis princips ne vienmēr tiek ievērots (t.sk., novērots, ka netiek pietiekami aprūpēti jaundzimušie).</w:t>
      </w:r>
    </w:p>
    <w:p w:rsidR="008D0945" w:rsidRDefault="008D0945" w:rsidP="008D0945"/>
    <w:p w:rsidR="008D0945" w:rsidRDefault="008D0945" w:rsidP="008D0945">
      <w:r>
        <w:t>Otrkārt, eksperti norāda, ka daudzi bērniem nepieciešami pakalpojumi, it sevišķi, kas nepieciešami bērniem ar invaliditāti, nav iekļauti valsts apmaksāto pakalpojumu grozā. Runājot par piemēriem, parasti šādos gadījumos eksperti min uz fizioterapijas un rehabilitācijas pakalpojumu nepieejamību, kā arī to, ka valsts pilnībā nesedz šādu pakalpojumu izmaksas. Grūtības bērniem ar funkcionāliem traucējumiem rada arī tehnisko palīglīdzekļu pieejamība, un proti, tā kā bērns aug, tad palīgierīču nomaiņa ir jāveic regulāri, savukārt no valsts puses pastāv ierobežojumi. Tādējādi bērniem ar invaliditāti iztrūkst tādu pakalpojumu pieejamība, kas izriet no saslimšanas. Šādos gadījumos nepieciešama regulāra atkārtota terapija, un, iespējams, līdzīga aprūpes pieejamības organizēšana, kāda pastāv onkoloģisko slimību jomā (tā sauktais „zaļais koridors”).</w:t>
      </w:r>
    </w:p>
    <w:p w:rsidR="008D0945" w:rsidRDefault="008D0945" w:rsidP="008D0945"/>
    <w:p w:rsidR="008D0945" w:rsidRDefault="008D0945" w:rsidP="008D0945">
      <w:r>
        <w:t>Attiecībā uz bezdarbniekiem, t.sk. ilgstošajiem bezdarbniekiem, eksperti uzskata, ka viņu grūtības attiecībā uz veselības aprūpes pakalpojumu pieejamību izriet no diviem aspektiem – finansiālajām iespējām (t.sk. iespējas iegūt trūcīgas personas statusu) un kopējo potenciāli zemāko motivāciju rūpēties par savu veselību. Citas specifiskas mērķa grupas vajadzības ekspertu intervijās netika identificētas.</w:t>
      </w:r>
    </w:p>
    <w:p w:rsidR="008D0945" w:rsidRDefault="008D0945" w:rsidP="008D0945"/>
    <w:p w:rsidR="008D0945" w:rsidRDefault="008D0945" w:rsidP="008D0945">
      <w:r>
        <w:t xml:space="preserve">Savukārt, runājot par </w:t>
      </w:r>
      <w:r w:rsidRPr="008D0945">
        <w:rPr>
          <w:b/>
        </w:rPr>
        <w:t>trūcīgām un maznodrošinātām personām</w:t>
      </w:r>
      <w:r>
        <w:t>, eksperti uzsver, ka par šo mērķa grupu attiecībā uz veselības aprūpi nevar runāt kā vienotu. Nozīmīgākā šīs grupas kopējā problēma ir pakalpojumu finansiālā pieejamība. Ja trūcīgajām personām daudzos gadījumos pacientu līdzmaksājumu sedz valsts, tad maznodrošinātām personām valsts līmenī veselības aprūpei atvieglojumi netiek piešķirti. Maznodrošināto personu atbalstu nodrošina tikai pašvaldības, tādējādi tas valsts teritorijā tiek īstenots atšķirīgi. Atsevišķi eksperti atgādina, ka savulaik arī maznodrošinātām personām tika piešķirti atvieglojumi attiecībā uz veselības aprūpes pakalpojumu saņemšanu, un būtībā atbalsta šādas politikas turpināšanu. Eksperti vērš arī uzmanību uz to, ka dažreiz personām, kuras pēc būtības ir trūcīgas, pastāv šķēršļi nokārtot trūcīgas personas statusu, kā rezultātā veselības aprūpes pakalpojumi tām nav pieejami. Ekspertu novērojumi rāda, ka trūcīgo statusu grūtības ir nokārtot tieši tām personām, kuras visvairāk pakļautas sociālās atstumtības riskam (piemēram, romu tautības cilvēkiem, bezpajumtniekiem u.tml.). Tāpat eksperti norāda, ka šķērslis trūcīgas personas statusa saņemšanai ir mājsaimniecībā deklarēto personu skaits un viņu ienākumi. Tā rezultātā trūcīgā statuss var netikt piešķirts, lai gan pēc būtības citi īpašumā deklarētie nedalās ar saviem ienākumiem ar to personu, kura pieprasa trūcīgā statusu.</w:t>
      </w:r>
    </w:p>
    <w:p w:rsidR="008D0945" w:rsidRDefault="008D0945" w:rsidP="008D0945"/>
    <w:p w:rsidR="008D0945" w:rsidRDefault="008D0945" w:rsidP="008D0945">
      <w:r>
        <w:lastRenderedPageBreak/>
        <w:t>Atsevišķi eksperti arī norāda, ka arī darbspējīgām un strādājošām personām rodas finansiālas grūtības segt savus veselības aprūpes izdevumus, piemēram, ja bijusi nepieciešama operācija, kura ir veikta par maksu (1500-2000 EUR apmērā), jo valsts pakalpojums personai nebija pieejams. Pašvaldību iespējas palīdzēt šiem iedzīvotājiem pēc būtības ir ierobežotas – šādos gadījumos var tikt piešķirts pabalsts krīzes situācijā, kura apmērs ir būtiski nepietiekams.</w:t>
      </w:r>
    </w:p>
    <w:p w:rsidR="008D0945" w:rsidRDefault="008D0945" w:rsidP="008D0945"/>
    <w:p w:rsidR="008D0945" w:rsidRDefault="008D0945" w:rsidP="008D0945">
      <w:r>
        <w:t xml:space="preserve">Runājot par </w:t>
      </w:r>
      <w:r w:rsidRPr="008D0945">
        <w:rPr>
          <w:b/>
        </w:rPr>
        <w:t>personām ar funkcionēšanas ierobežojumiem</w:t>
      </w:r>
      <w:r>
        <w:t>, tai skaitā personas ar invaliditāti, eksperti atzīst, ka arī šajā gadījumā veselības aprūpes pakalpojumu pieejamības problēma ir kompleksa, kas izriet no mērķa grupas specifiskajām vajadzībām, regulāras vajadzības pēc pakalpojumiem un personu zemajiem ienākumiem. Attiecībā uz pakalpojumiem īpaši zema ir uzturošās rehabilitācijas pakalpojumu pieejamība. Tāpat eksperti tieši saistībā ar personām ar invaliditāti norāda, ka valsts kompensējamo zāļu saraksts varētu būt plašāks – gan attiecībā uz diagnozēm, kuru gadījumā zāles tiek kompensētas, gan arī uz jaunāko medikamentu iekļaušanu sarakstā.</w:t>
      </w:r>
    </w:p>
    <w:p w:rsidR="008D0945" w:rsidRDefault="008D0945" w:rsidP="008D0945"/>
    <w:p w:rsidR="008D0945" w:rsidRDefault="008D0945" w:rsidP="008D0945">
      <w:r>
        <w:t xml:space="preserve">Attiecībā uz </w:t>
      </w:r>
      <w:r w:rsidRPr="008D0945">
        <w:rPr>
          <w:b/>
        </w:rPr>
        <w:t>lauku teritorijās dzīvojošajiem</w:t>
      </w:r>
      <w:r>
        <w:t xml:space="preserve"> eksperti norāda, ka problēma ir veselības aprūpes pakalpojumu pieejamību, kas izriet no speciālistu ģeogrāfiskā izvietojuma. Šīs problēmas var summēties ar zemu ienākumu u.c. faktoru radītajiem šķēršļiem. Vislielākās grūtības rodas, ja personai no attālākiem reģioniem ir jādodas uz ārstēšanu Rīgā, kas var aizņemt visu dienu. NVD pārstāve norāda, ka, lai veicinātu veselības aprūpes pieejamību lauku teritorijās, ģimenes ārstiem, kuri strādā šajos apvidos, tiek piešķirti atbalsta maksājumi, savukārt zobārstniecībā un diagnostikā tiek izmantoti mobilie pakalpojumi, kad speciāli aprīkots autobuss ierodas lauku apvidos, lai sniegtu atbilstošo pakalpojumu.</w:t>
      </w:r>
    </w:p>
    <w:p w:rsidR="008D0945" w:rsidRDefault="008D0945" w:rsidP="008D0945"/>
    <w:p w:rsidR="008D0945" w:rsidRDefault="008D0945" w:rsidP="008D0945">
      <w:r>
        <w:t xml:space="preserve">Kopumā eksperti atzīst, ka </w:t>
      </w:r>
      <w:r w:rsidRPr="008D0945">
        <w:rPr>
          <w:b/>
        </w:rPr>
        <w:t>vardarbībā cietušās personas, t.sk. cilvēktirdzniecības upuri</w:t>
      </w:r>
      <w:r>
        <w:t>, līdz šim nav bijusi iezīmēta kā specifiska nevienlīdzībai veselības aprūpē pakļauta grupa. Tomēr līdz ar Veselības aprūpes finansēšanas likuma pieņemšanu tā ir nodefinēta kā grupa, kam ir tiesības saņemt veselības aprūpes pakalpojumus valsts obligātās veselības apdrošināšanas ietvaros. Neskatoties uz šo likumā nodrošināto normu, galvenā šī mērķa grupas vajadzība, kas ietekmē arī iespējas saņemt nepieciešamos veselības aprūpes pakalpojumus, ekspertu vērtējumā, ir savlaicīga vardarbības fakta identificēšana un atbilstošu veselības un sociālās rehabilitācijas pakalpojumu pieejamība.</w:t>
      </w:r>
    </w:p>
    <w:p w:rsidR="008D0945" w:rsidRDefault="008D0945" w:rsidP="008D0945"/>
    <w:p w:rsidR="008D0945" w:rsidRDefault="008D0945" w:rsidP="008D0945">
      <w:r>
        <w:t xml:space="preserve">Eksperti norāda, ka vardarbības situācijas, kuras piedzīvo dažādas iedzīvotāju grupas atšķiras, ir identificējama vardarbība pret bērniem līdz 18 gadu vecumam un vardarbība pret pieaugušajiem, kur pēdējā gadījumā novērojamas būtiskas atšķirības atkarībā no personas dzimuma. Vīrieši biežāk piedzīvo vardarbību sociālajā vidē, kas raksturīgas ar riskantu uzvedību, t.i., ārpus ģimenes. Savukārt sievietes visvairāk sastopas ar vardarbību ģimenē vai partnerattiecībās. Šīs atšķirības ietekmē to, cik savlaicīgi notiek vardarbības fakta konstatēšana, kāda ir procedūra, lai atzītu vardarbības faktu, un kādi veselības aprūpes pakalpojumi personai ir nepieciešami un pieejami. Eksperti arī norāda, ka administratīvo datu uzkrāšana (traumu reģistrs, policijas ziņojumi u.tml.) šobrīd nav pietiekami kvalitatīva, lai novērtētu patieso mērķa grupas lielumu. Izvērtējumā intervētā eksperte norāda, ka atbildīgo dienestu (piemēram, policijas darbinieku) vidū pastāv maldīgi priekšstati par iedzīvotāju grupām, kuras visbiežāk cieš no vardarbības, un proti, balstoties uz saņemtajiem ziņojumiem Valsts policijā, tiek uzskatīts, ka vardarbība visbiežāk ir sastopama sociālā </w:t>
      </w:r>
      <w:r>
        <w:lastRenderedPageBreak/>
        <w:t>riska ģimenēs (ģimenēs ar zemu ienākumu līmeni, atkarībām u.tml.). Ekspertes skatījumā, par maz vērības tiek pievērsts tam, ka vardarbības ģimenēs ar augstākiem ienākumiem parasti nenonāk policijas redzeslokā, jo vardarbībā cietušās personas par piedzīvoto vardarbību neziņo, taču vēršas pie privātiem pakalpojumu sniedzējiem (piemēram, psihoterapeitiem). Arī citi Izvērtējumā intervētie eksperti norāda, ka šī mērķa grupa Latvijā tiek nepietiekami identificēta un pakalpojumu sniegšanai, lai gan tā ir paredzēta tiesiskajā regulējumā, praksē sastopas ar dažādām grūtībām, kā arī eksperti uzskata, ka psiholoģiskā palīdzība nav vienīgais nepieciešamais veselības aprūpes pakalpojums, lai gan šobrīd, runājot par attiecīgo mērķa grupu, tas ir visbiežāk pieminētais.</w:t>
      </w:r>
    </w:p>
    <w:p w:rsidR="008D0945" w:rsidRDefault="008D0945" w:rsidP="008D0945"/>
    <w:p w:rsidR="008D0945" w:rsidRDefault="008D0945" w:rsidP="008D0945">
      <w:r>
        <w:t xml:space="preserve">Vardarbības kontekstā īpaši iezīmējās seksuālās vardarbības jautājums, un proti, lai tiktu konstatēta seksuālā vardarbība un tiktu ierosināts un novests līdz tiesai kriminālprocess, ir jāveic tiesu medicīniskā ekspertīze. Izvērtējumā intervētā eksperte vērš uzmanību uz to, ka šobrīd ekspertu Latvijas mērogā (it sevišķi apdzīvotajās vietās ārpus Rīgas) ir par maz, lai šī procedūra tiktu veikta savlaicīgi un pret vardarbībā cietušiem upuriem psiholoģiski mazāk traumējoši. Kā piemēru eksperte min situāciju, ka gadījumā, ja vardarbība ir piedzīvota piektdienas vakarā pēc tiesu medicīnas eksperta darba laika beigām, seksuālajā vardarbībā cietusī persona līdz nepieciešamo analīžu paņemšanas brīdim pirmdienā nedrīkst veikt higiēnas procedūras. Izvērtējumā intervētā eksperte norāda, ka, lai gan jau 2010. gada Veselības ministrija bija izstrādājusi iespējamo risinājumu problēmas mazināšanā, un proti, apmācīt ginekologus, kuri ir līgumattiecībās ar NVD, kā noņemt tiesu ekspertīzei nepieciešamās analīzes, tomēr iniciatīvas praktiskā īstenošana līdz Izvērtējuma veikšanas brīdim nav notikusi. Kā viens no iemesliem tiek minēts apstāklis, ka daudzi ginekologi strādā tikai privātajā sektorā un nav ieinteresēti sadarboties ar valsts institūcijām tiesu medicīnas ekspertīžu veikšanas vajadzībām. Tādējādi, kā norāda Izvērtējumā intervētā eksperte, seksuālā vardarbība Latvijā gan tiek nepilnīgi identificēta, gan praksē pastāv šķēršļi tās identificēšanai un rezultātā – vardarbībā cietušajam upurim saņemt atbilstošus no vardarbības fakta konstatēšanas izrietošus veselības aprūpes pakalpojumus. </w:t>
      </w:r>
    </w:p>
    <w:p w:rsidR="008D0945" w:rsidRDefault="008D0945" w:rsidP="008D0945"/>
    <w:p w:rsidR="008D0945" w:rsidRDefault="008D0945" w:rsidP="008D0945">
      <w:r w:rsidRPr="008D0945">
        <w:rPr>
          <w:b/>
        </w:rPr>
        <w:t>Bezpajumtnieki jeb personas bez dzīvesvietas</w:t>
      </w:r>
      <w:r>
        <w:t xml:space="preserve"> ir specifiska mērķa grupa veselības aprūpes jomā tādā nozīmē, ka visbiežāk tie ir cilvēki, kuriem nav darba, nav iztikas līdzekļu un mājokļa, tādējādi veselības aprūpes jomā, kā norāda Izvērtējumā intervētie eksperti, viņi bieži vien nonāk, lai, pirmkārt, risinātu savas sociālās problēmas, savukārt veselības aprūpe uz šo problēmu fona iegūst sekundāru raksturu. </w:t>
      </w:r>
    </w:p>
    <w:p w:rsidR="008D0945" w:rsidRDefault="008D0945" w:rsidP="008D0945"/>
    <w:p w:rsidR="008D0945" w:rsidRDefault="008D0945" w:rsidP="008D0945">
      <w:r>
        <w:t xml:space="preserve">Viena no sākotnējām problēmām, ko akcentē intervētie eksperti, kas ietekmē bezpajumtnieku iespējas saņemt veselības aprūpes pakalpojumus, ir viņu dokumentu statuss, un, proti, personām var būt derīguma termiņu zaudējuši personu apliecinoši dokumenti, kā arī var būt tādas situācijas, kad personai vispār nav piešķirts personas kods. Pēdējā situācijā persona neparādās veselības aprūpes sistēmas datu bāzēs. No šī aspekts izriet arī tas, ka persona nav reģistrējusies pie ģimenes ārsta, kā rezultātā plānveida tā palīdzību saņemt nespēj. Attiecīgi galvenās vietas, kur šāda persona var saņemt veselības aprūpi ir patversmēs, ja tām ir izveidota sadarbība ar ģimenes ārstiem (piemēram, Rīgā), vai stacionāru uzņemšanas nodaļās. </w:t>
      </w:r>
    </w:p>
    <w:p w:rsidR="008D0945" w:rsidRDefault="008D0945" w:rsidP="008D0945"/>
    <w:p w:rsidR="008D0945" w:rsidRDefault="008D0945" w:rsidP="008D0945">
      <w:r>
        <w:t xml:space="preserve">Raksturojot risinājumus, kas tiek piemēroti, lai risinātu šīs grupas problēmas veselības aprūpes jomā, Izvērtējumā intervētā eksperte, norādīja, ka, pirmkārt, tā ir sadarbība ar noteiktu ģimenes </w:t>
      </w:r>
      <w:r>
        <w:lastRenderedPageBreak/>
        <w:t xml:space="preserve">ārstu, kas uzņem klientus dienas centrā. Attiecīgi personām bez dzīvesvietas ir iespēja vērsties pie šī ģimenes ārsta. Nozīmīgas grūtības, pēc ekspertes vērtējuma, rodas brīdī, kad personai bez dzīvesvietas nepieciešama sekundārā veselības aprūpe. Gadījumā, ja persona bez dzīvesvietas nav nokārtojusi trūcīgas personas statusu, tad veselības aprūpes pakalpojumi nav pieejami, pirmkārt, pacientu līdzmaksājuma apmēra dēļ, kā tas ir līdzīgi citām iedzīvotāju grupām ar zemiem ienākumiem. Vienlaikus, pat ja persona bez dzīvesvietas ir ieguvusi trūcīgas personas statusu, Izvērtējumā intervētā eksperte norāda, ka šis fakts nemaina pakalpojuma pieejamību, un, ja ģimenes ārsts ir izrakstījis nosūtījumu pie speciālista, vairumam bezpajumtnieku šis pakalpojums nav finansiāli pieejams, neskatoties uz to, ka saskaņā ar 2018. gada 28. augusta MK noteikumiem Nr.555 „Veselības aprūpes pakalpojumu organizēšanas un samaksas kārtība” trūcīgās personas ir atbrīvotas no pacientu līdzmaksājuma, saņemot arī ārsta speciālista un daudzu laboratorisku izmeklējumu pakalpojumu. Tā kā eksperte komentē situāciju no ikdienas prakses viedokļa, apkopojot atšķirīgu mērķa grupas pārstāvju pieredzi un identificējot problēmu, nav minēts, kādu tieši maksājumu dēļ bezpajumtniekiem ar trūcīgā statusu pakalpojums kļūst nepieejams. Līdzīgi kā citu iedzīvotāju grupu gadījumā, šķērslis ir gaidīšana rindā, lai saņemtu valsts apmaksāta ārsta speciālista pakalpojumu. </w:t>
      </w:r>
    </w:p>
    <w:p w:rsidR="008D0945" w:rsidRDefault="008D0945" w:rsidP="008D0945"/>
    <w:p w:rsidR="008D0945" w:rsidRDefault="008D0945" w:rsidP="008D0945">
      <w:r>
        <w:t>Tāpat Izvērtējumā intervētā eksperte norāda, ka daudzos gadījumos personas bez dzīvesvietas nevēlas doties uz slimnīcu (stacionāru), jo pēc vairāku stundu pavadīšanas rindā, viņš tiek apskatīts nakts laikā un tad viņu palūdz atstāt telpas. Šādā situācijā personai bez dzīvesvietas ir grūtības nokļūt siltā vidē, jo patversmes atrašanās vieta atrodas relatīvi tālu no stacionāriem. Vienlaikus, kā atzīst Izvērtējumā intervētie eksperti, stacionāru uzņemšanas nodaļas ir tās vietas, kurās personas bez dzīvesvietas var saņemt gan personas higiēnas aprūpi, gan izmeklēšanu.</w:t>
      </w:r>
    </w:p>
    <w:p w:rsidR="008D0945" w:rsidRDefault="008D0945" w:rsidP="008D0945"/>
    <w:p w:rsidR="008D0945" w:rsidRDefault="008D0945" w:rsidP="008D0945">
      <w:r>
        <w:t xml:space="preserve">Personām bez dzīvesvietas problemātiska ir arī ārstēšanās nodrošināšana, ja tam ir nepieciešamas zāles. Izvērtējumā intervētā eksperte norāda, ka patversme var iepirkt mazu medikamentu daudzumu, un tas tiek izlietots akūtām vai neatliekamām situācijām, kas rodas patversmē uz vietas. Ja personai bez dzīvesvietas tiek izrakstīti medikamenti, kuri nav kompensējamie, tad parasti mērķa grupas pārstāvji tos neiegādājas finanšu līdzekļu trūkuma dēļ. Arī kompensējamo medikamentu iegāde bezpajumtniekiem var būt grūtības, kas saistīti ar 31.10.2006. MK noteikumos Nr. 899 „Ambulatorajai ārstēšanai paredzēto zāļu un medicīnisko ierīču iegādes izdevumu kompensācijas kārtība” definētajiem nosacījumiem, piemēram, 3.1 1. un 3.1 2. punktā ir noteikts, ka noteiktos gadījumos trūcīgai personai, iegādājoties kompensējamās zāles, var būt jāveic maksājums, ja attiecīgi izrakstītas kompensējamo zāļu A sarakstā iekļautās nereferences zāles (jāsedz starpība starp attiecīgās grupas nereferences un references zāļu aptiekas cenu) un ja izrakstīto zāļu izmaksas pārsniedz šo noteikumu noteikto apmēru. </w:t>
      </w:r>
    </w:p>
    <w:p w:rsidR="008D0945" w:rsidRDefault="008D0945" w:rsidP="008D0945"/>
    <w:p w:rsidR="008D0945" w:rsidRDefault="008D0945" w:rsidP="008D0945">
      <w:r>
        <w:t xml:space="preserve">Attiecībā uz </w:t>
      </w:r>
      <w:r w:rsidRPr="008D0945">
        <w:rPr>
          <w:b/>
        </w:rPr>
        <w:t>personām, kas atbrīvotas no ieslodzījuma vietām</w:t>
      </w:r>
      <w:r>
        <w:t xml:space="preserve">, intervēto ekspertu skatījums ir būtiski atšķirīgs. Viena ekspertu daļa norāda, ka bijušajiem ieslodzītajiem ir tādas pašas tiesības un iespējas saņemt veselības aprūpes pakalpojumus kā citām iedzīvotāju grupām, un, ja bijušais ieslodzītais ir saņēmis trūcīgas personas statusu, tad viņš ir arī atbrīvots no pacienta līdzmaksājuma, t.i., saņem atvieglojumus, kas izriet no šī statusa. Savukārt otra ekspertu grupa norāda, ka bijušie ieslodzītie ir atzīstama par īpašu mērķa grupu vairāku iemeslu dēļ. Pirmkārt, šī mērķa grupa savas specifikas dēļ ir vairāk pakļauta infekcijas slimību (tuberkuloze, HIV, serumu hepatīts u.tml.) </w:t>
      </w:r>
      <w:r>
        <w:lastRenderedPageBreak/>
        <w:t>riskam, tādējādi radot apdraudējumu arī apkārtējai sabiedrībai. Tādējādi vispārējās sabiedrības veselības drošības dēļ bijušajiem ieslodzītajiem būtu jāpievērš īpaša vērtība. Vienlaikus bijušie ieslodzītie cieš arī no dažādām citām hroniskām saslimšanām, kuras radušās viņu dzīvesveida pirms ieslodzījuma dēļ. Tās galvenokārt ir atkarības, riskantas uzvedības rezultātā radušās traumās (t.sk., atkārtotas galvas traumas), hroniskas (piemēram, gremošanas sistēmas) slimības un onkoloģiskas saslimšanas. Otrkārt, vairuma bijušo ieslodzīto veselības stāvoklis bieži vien ir kopumā sliktāks nekā citu iedzīvotāju līdzīgā vecumā veselības stāvoklis, tādējādi, lai sekmīgi iekļautos sabiedrībā un darba tirgū, viņiem ir nepieciešama papildu uzmanība un, iespējams, arī kompleksāka veselības aprūpe. Treškārt, noteiktas grūtības saņemt veselības aprūpes pakalpojumu uzreiz pēc atbrīvošanas no ieslodzījuma rada arī administratīvās procedūras, kas izriet no ģimenes ārstu apmaksas sistēmas. Un proti, kamēr persona atrodas ieslodzījumā, tā ģimenes ārsta uzskaites sistēmā, pie kura persona ir reģistrēta, viņš tiek bloķēts. Tā rezultātā, ja persona ir atbrīvota no ieslodzījuma, it īpaši, pirms termiņa, informācija par atbrīvošanu nav savlaicīgi nonākusi NVD rīcībā, un personas statuss kādu laiku saglabājas kā bloķēts. Attiecīgi, vai persona, kas atbrīvota no ieslodzījuma, saņems ģimenes ārsta pakalpojumu, ir lielā mērā atkarīga no ārsta attieksmes. Vienlaikus eksperti norāda, ka vairumā gadījumu bijušie ieslodzītie nav reģistrēti pie ģimenes ārsta vai neatceras, pie kura viņi formāli ir reģistrēti.</w:t>
      </w:r>
    </w:p>
    <w:p w:rsidR="008D0945" w:rsidRDefault="008D0945" w:rsidP="008D0945"/>
    <w:p w:rsidR="008D0945" w:rsidRDefault="008D0945" w:rsidP="008D0945">
      <w:r>
        <w:t>Kopumā, runājot par bijušajiem ieslodzītajiem kā potenciālo mērķa grupu, intervētie eksperti norāda, ka ievērojami vairāk informācijas ir par esošo ieslodzīto veselības stāvokli, pēc kā savukārt var spriest par bijušo ieslodzīto potenciālajām veselības problēmām. Eksperti norāda, ka, tikko personas pēc ieslodzījuma vairs nav tiesībsargājošo iestāžu uzraudzībā, tā informācija par viņu potenciālajām vajadzībām, t.sk., veselības aprūpes jomā, un sastaptajiem šķēršļiem ir niecīga.</w:t>
      </w:r>
    </w:p>
    <w:p w:rsidR="008D0945" w:rsidRDefault="008D0945" w:rsidP="008D0945"/>
    <w:p w:rsidR="008D0945" w:rsidRDefault="008D0945" w:rsidP="008D0945">
      <w:r>
        <w:t>Vienlaikus intervētie eksperti atbilstoši savai kompetences jomai norāda uz vairākām iecerēm, kas nākotnē varētu uzlabot esošo un no tā izrietošo bijušo ieslodzīto veselības stāvokli. Tā kā ieslodzījuma vietā notiesātās personas ir sastopamas vienuviet, ir motivētākas sadarboties ar tiesībsargājošām iestādēm, t.sk., motivētākas rūpēties par savu veselību, nekā tas ir ārpus ieslodzījuma (kā viens no nozīmīgiem motivējošiem faktoriem tiek minēts arī tas, ka valsts apmaksā ieslodzīto veselības aprūpi), eksperti norāda, ka tā kopumā ir labvēlīga vide ieslodzīto ārstēšanai. Tādējādi TM sadarbībā ar VM ir iecere ārstēt notiesātos, kas inficēti ar vīrusa hepatītu C. Jau šobrīd ieslodzījuma vietās Izvērtējuma īstenošanas brīdī tiek īstenots projekts par atteikšanos no smēķēšanas. Intervētā eksperte atzīst, ka noderīga būtu arī ieslodzīto dalība veselības veicināšanas un slimību profilakses pasākumos, piemēram, ir vajadzība pēc informācijas par zobu higiēnu, veselīgu dzīvesveidu.</w:t>
      </w:r>
    </w:p>
    <w:p w:rsidR="008D0945" w:rsidRDefault="008D0945" w:rsidP="008D0945"/>
    <w:p w:rsidR="008D0945" w:rsidRDefault="008D0945" w:rsidP="008D0945">
      <w:r>
        <w:t xml:space="preserve">Arī attiecībā uz </w:t>
      </w:r>
      <w:r w:rsidRPr="008D0945">
        <w:rPr>
          <w:b/>
        </w:rPr>
        <w:t>romiem</w:t>
      </w:r>
      <w:r>
        <w:t xml:space="preserve"> kā specifisku nevienlīdzībai veselības aprūpes jomā mērķa grupu ekspertiem ir atšķirīgs viedoklis. No vienas puses, daļa ekspertu uzskata, ka nav nepieciešams identificēt šo etnisko grupu kā īpaši riskam pakļautu, jo veselības aprūpes pakalpojumi tai ir pieejami tāpat kā citiem Latvijas iedzīvotājiem. Savukārt citi eksperti norāda, ka romi ir pakļauti lielākai nevienlīdzībai kultūras atšķirību un dažādu sociālo problēmu dēļ. Daļa sociālo problēmu izriet no viņu trūcīgas vai maznodrošinātas personas statusa, taču papildus tam, it īpaši vecākās paaudzes grupās, veselības aprūpes pakalpojumu saņemšanu apgrūtina arī informācijas iegūšanas barjeras (piemēram, vecākās paaudzes ierobežotās lasīt un rakstīt prasmes dēļ). Atsevišķi eksperti </w:t>
      </w:r>
      <w:r>
        <w:lastRenderedPageBreak/>
        <w:t>norāda, ka veselības aprūpes pieejamību romu tautības iedzīvotājiem būtu jāveicina, sadarbojoties ar šo nacionālo minoritāti pārstāvošajām NVO.</w:t>
      </w:r>
    </w:p>
    <w:p w:rsidR="008D0945" w:rsidRDefault="008D0945" w:rsidP="008D0945"/>
    <w:p w:rsidR="008D0945" w:rsidRDefault="008D0945" w:rsidP="008D0945">
      <w:r>
        <w:t xml:space="preserve">Tā kā </w:t>
      </w:r>
      <w:r w:rsidRPr="008D0945">
        <w:rPr>
          <w:b/>
        </w:rPr>
        <w:t>patvēruma meklētāji, bēgļi un personas ar alternatīvo statusu</w:t>
      </w:r>
      <w:r>
        <w:t xml:space="preserve"> Latvijā ir relatīvi maza grupa, tad vairums ekspertu norāda uz to, ka veselības aprūpes pakalpojumu pieejamība šai mērķa grupai tie nodrošināta Veselības aprūpes finansēšanas likuma noteiktajā kārtībā, savukārt par specifiskām vajadzībām vai problēmām nebija informēti. Intervētie eksperti savu kompetenču robežās norādīja, ka šai mērķa grupai veselības pakalpojumu pieejamība varētu būt apgrūtināta dažādu sociālu un kultūras faktoru ietekmē – informācijas pieejamība, valodas barjera, kultūras atšķirības, sociālie aizspriedumi, t.sk., ārstu nevēlēšanās sniegt pakalpojumus. Šo problēmu risināšanai, kā norāda NVD pārstāve, ģimenes ārstiem tiek piedāvāta piemaksa, ja viņš sniedz konsultācijas minētajai mērķa grupai.</w:t>
      </w:r>
    </w:p>
    <w:p w:rsidR="008D0945" w:rsidRDefault="008D0945" w:rsidP="00615C75">
      <w:pPr>
        <w:pStyle w:val="virsrakstslvl3"/>
      </w:pPr>
      <w:bookmarkStart w:id="1350" w:name="_Toc2761198"/>
      <w:bookmarkStart w:id="1351" w:name="_Toc2848305"/>
      <w:bookmarkStart w:id="1352" w:name="_Toc6219364"/>
      <w:bookmarkStart w:id="1353" w:name="_Toc6220307"/>
      <w:bookmarkStart w:id="1354" w:name="_Toc6841736"/>
      <w:r>
        <w:t>Izmantotie statistikas dati par veselības aprūpes jautājumiem</w:t>
      </w:r>
      <w:bookmarkEnd w:id="1350"/>
      <w:bookmarkEnd w:id="1351"/>
      <w:bookmarkEnd w:id="1352"/>
      <w:bookmarkEnd w:id="1353"/>
      <w:bookmarkEnd w:id="1354"/>
    </w:p>
    <w:p w:rsidR="00A018BF" w:rsidRPr="005D212F" w:rsidRDefault="00A018BF" w:rsidP="00A018BF">
      <w:r w:rsidRPr="005D212F">
        <w:t xml:space="preserve">Kopumā ekspertu pieredzi saistībā ar dažādu statistikas datu vai pētījumu izmantošanu, lai analizētu jautājumus, kas ietilpst iedzīvotāju veselības aprūpes, paradumu un veselības aprūpes pieejamības tēmā, var iedalīt divās lielās grupās. Eksperti, kas nosacīti būtu iedalāmi kā grupa, kas darbojas ārpus </w:t>
      </w:r>
      <w:r w:rsidRPr="001B1ACF">
        <w:t>veselības aprūpes sistēmas ietvara, izmanto plašāku un daudzveidīgāku datu kopumu, proti, CSP</w:t>
      </w:r>
      <w:r>
        <w:t xml:space="preserve"> datus par tiešmaksājumiem, dzimstības un mirstības rādītājiem, nevienlīdzību, SPKC uzkrāto statistiku par pacientu skaitu ar dažādām saslimšanām, datus par vēža skrīninga izmantošanas īpatsvaru un atklāto gadījumu skaits skrīningā u.tml.</w:t>
      </w:r>
    </w:p>
    <w:p w:rsidR="00A018BF" w:rsidRDefault="00A018BF" w:rsidP="00A018BF"/>
    <w:p w:rsidR="00A018BF" w:rsidRPr="005D212F" w:rsidRDefault="00A018BF" w:rsidP="00A018BF">
      <w:r w:rsidRPr="005D212F">
        <w:t>Eksperti, kas tieši pārstāv pašu veselības aprūpes un sabiedrības veselības nozari (Veselības ministrija, tās padotības iestādes, profesionāl</w:t>
      </w:r>
      <w:r>
        <w:t>o</w:t>
      </w:r>
      <w:r w:rsidRPr="005D212F">
        <w:t xml:space="preserve"> organizācij</w:t>
      </w:r>
      <w:r>
        <w:t>u</w:t>
      </w:r>
      <w:r w:rsidRPr="005D212F">
        <w:t>, kurās apvienojas veselības nozares profesionāļi</w:t>
      </w:r>
      <w:r>
        <w:t>, pārstāvji</w:t>
      </w:r>
      <w:r w:rsidRPr="005D212F">
        <w:t xml:space="preserve">) parasti izmanto SPKC uzkrāto statistiku </w:t>
      </w:r>
      <w:r>
        <w:t xml:space="preserve">(slimību reģistri un datubāzes) </w:t>
      </w:r>
      <w:r w:rsidRPr="005D212F">
        <w:t>un veiktos pētījumus par iedzīvotāju dzīvesveidu un veselības aprūpes paradumiem un atkarībām (no tiem biežāk minētie ir FINBALT)</w:t>
      </w:r>
      <w:r>
        <w:t>, NVD datus</w:t>
      </w:r>
      <w:r w:rsidRPr="005D212F">
        <w:t xml:space="preserve">. </w:t>
      </w:r>
      <w:r w:rsidRPr="001B1ACF">
        <w:t>CSP dati šajā grupā tiek izmantoti saistībā ar dzimstības un mirstības rādītājiem.</w:t>
      </w:r>
    </w:p>
    <w:p w:rsidR="00A018BF" w:rsidRDefault="00A018BF" w:rsidP="00A018BF"/>
    <w:p w:rsidR="00263C72" w:rsidRPr="00BC0B2F" w:rsidRDefault="00A018BF" w:rsidP="00A018BF">
      <w:r>
        <w:t>Visu jomu eksperti kopumā norāda, ka, neskatoties uz pieejamo datu klāstu, kopumā trūkst datu par ārstēšanas efektivitāti, t.sk., jauno medikamentu efektivitāti, kā arī pauž bažas, vai pārnesot datu administrēšanas funkciju no SPKC uz NVD e-veselību, nenotiks datu uzkrāšanas pārrāvums.</w:t>
      </w:r>
    </w:p>
    <w:p w:rsidR="00D277B1" w:rsidRDefault="00D277B1" w:rsidP="00A018BF">
      <w:pPr>
        <w:jc w:val="left"/>
      </w:pPr>
    </w:p>
    <w:p w:rsidR="00ED542D" w:rsidRDefault="00ED542D">
      <w:pPr>
        <w:jc w:val="left"/>
        <w:rPr>
          <w:rFonts w:asciiTheme="majorHAnsi" w:eastAsiaTheme="majorEastAsia" w:hAnsiTheme="majorHAnsi" w:cstheme="majorBidi"/>
          <w:b/>
          <w:i/>
          <w:color w:val="002060"/>
          <w:sz w:val="28"/>
        </w:rPr>
      </w:pPr>
      <w:r>
        <w:br w:type="page"/>
      </w:r>
    </w:p>
    <w:p w:rsidR="00E96CB5" w:rsidRDefault="00E96CB5" w:rsidP="004C1ABB">
      <w:pPr>
        <w:pStyle w:val="pielikumiem"/>
      </w:pPr>
      <w:bookmarkStart w:id="1355" w:name="_Toc6841737"/>
      <w:r w:rsidRPr="00775EB0">
        <w:lastRenderedPageBreak/>
        <w:t xml:space="preserve">pielikums. </w:t>
      </w:r>
      <w:r w:rsidR="00D6730D">
        <w:t>Ekspertu interviju rezultātu mājokļa pieejamības jomā apkopojums</w:t>
      </w:r>
      <w:bookmarkEnd w:id="1355"/>
    </w:p>
    <w:p w:rsidR="000B7024" w:rsidRDefault="000B7024" w:rsidP="000B7024">
      <w:r>
        <w:t xml:space="preserve">Kopumā mājokļa jomā tika intervēti deviņi eksperti, papildus analīzē ir iekļautas citu jomu ekspertu sniegtās atbildes par galvenajām problēmām mājokļu pieejamības jomā, mērķa grupām, kuras šīs problēmas skar, kā arī līdzšinējām un vēlamajām politikas iniciatīvām mājokļu jomā. Ņemot vērā Izvērtējuma mērķi un uzdevumus, analizējot ekspertu sniegtās atbildes, izvērsti ir aplūkoti jautājumi, kas tieši attiecas uz nevienlīdzību mājokļu pieejamības jomā, savukārt, jautājumi, kuri attiecas uz mājokļa politikas veidošanu, attīstību un problēmām kopumā, ir aplūkoti vispārīgi. Ekspertu interviju rezultātu apkopojums mājokļa jomā ir aptver šādas tēmas: 1) ekspertu vērtējums par Izvērtējuma autoru noteiktajiem nevienlīdzības mājokļu pieejamības jomā rādītājiem; 2) galvenās problēmas </w:t>
      </w:r>
      <w:r w:rsidRPr="00B509FB">
        <w:t>mājokļu jomā; 3) mērķa grupu situācija; 4) līdzšinējās un nepieciešamās rīcībpolitikas iniciatīvas; 5)</w:t>
      </w:r>
      <w:r>
        <w:t xml:space="preserve"> datu pieejamība mājokļa jomā. </w:t>
      </w:r>
    </w:p>
    <w:p w:rsidR="000B7024" w:rsidRDefault="000B7024" w:rsidP="00C33A64">
      <w:pPr>
        <w:pStyle w:val="virsrakstslvl4"/>
      </w:pPr>
      <w:bookmarkStart w:id="1356" w:name="_Toc2432946"/>
      <w:bookmarkStart w:id="1357" w:name="_Toc2761200"/>
      <w:bookmarkStart w:id="1358" w:name="_Toc2848307"/>
      <w:bookmarkStart w:id="1359" w:name="_Toc6219366"/>
      <w:bookmarkStart w:id="1360" w:name="_Toc6220309"/>
      <w:bookmarkStart w:id="1361" w:name="_Toc6841738"/>
      <w:r>
        <w:t>Nevienlīdzības mājokļa jomā rādītāji</w:t>
      </w:r>
      <w:bookmarkEnd w:id="1356"/>
      <w:bookmarkEnd w:id="1357"/>
      <w:bookmarkEnd w:id="1358"/>
      <w:bookmarkEnd w:id="1359"/>
      <w:bookmarkEnd w:id="1360"/>
      <w:bookmarkEnd w:id="1361"/>
    </w:p>
    <w:p w:rsidR="000B7024" w:rsidRPr="006B5572" w:rsidRDefault="000B7024" w:rsidP="000B7024">
      <w:r w:rsidRPr="006B5572">
        <w:t xml:space="preserve">Dokumentu analīzes rezultātā tika noteikti rādītāji, kas raksturo personas tiesību uz mājokli ievērošanu un attiecīgi vienlīdzīgas iespējas mājokļu jomā: </w:t>
      </w:r>
    </w:p>
    <w:p w:rsidR="000B7024" w:rsidRPr="00C40271" w:rsidRDefault="000B7024" w:rsidP="003F469F">
      <w:pPr>
        <w:pStyle w:val="ListParagraph"/>
        <w:numPr>
          <w:ilvl w:val="0"/>
          <w:numId w:val="142"/>
        </w:numPr>
        <w:spacing w:line="276" w:lineRule="auto"/>
        <w:jc w:val="both"/>
      </w:pPr>
      <w:r w:rsidRPr="00C40271">
        <w:t>mājokļa infrastruktūras (dzīvojamā fonda) pieejamība;</w:t>
      </w:r>
    </w:p>
    <w:p w:rsidR="000B7024" w:rsidRPr="00C40271" w:rsidRDefault="000B7024" w:rsidP="003F469F">
      <w:pPr>
        <w:pStyle w:val="ListParagraph"/>
        <w:numPr>
          <w:ilvl w:val="0"/>
          <w:numId w:val="142"/>
        </w:numPr>
        <w:spacing w:line="276" w:lineRule="auto"/>
        <w:jc w:val="both"/>
      </w:pPr>
      <w:r w:rsidRPr="00C40271">
        <w:t xml:space="preserve">mājokļa </w:t>
      </w:r>
      <w:r>
        <w:t>tehniskais stāvoklis</w:t>
      </w:r>
      <w:r w:rsidRPr="00C40271">
        <w:t xml:space="preserve"> (sienas, jumts u.tml.);</w:t>
      </w:r>
    </w:p>
    <w:p w:rsidR="000B7024" w:rsidRPr="00C40271" w:rsidRDefault="000B7024" w:rsidP="003F469F">
      <w:pPr>
        <w:pStyle w:val="ListParagraph"/>
        <w:numPr>
          <w:ilvl w:val="0"/>
          <w:numId w:val="142"/>
        </w:numPr>
        <w:spacing w:line="276" w:lineRule="auto"/>
        <w:jc w:val="both"/>
      </w:pPr>
      <w:r w:rsidRPr="00C40271">
        <w:t>mājokļa labiekārtotība (ūdensvads, karstais ūdens, kanalizācija, siltumapgāde, elektrība);</w:t>
      </w:r>
    </w:p>
    <w:p w:rsidR="000B7024" w:rsidRPr="00C40271" w:rsidRDefault="000B7024" w:rsidP="003F469F">
      <w:pPr>
        <w:pStyle w:val="ListParagraph"/>
        <w:numPr>
          <w:ilvl w:val="0"/>
          <w:numId w:val="142"/>
        </w:numPr>
        <w:spacing w:line="276" w:lineRule="auto"/>
        <w:jc w:val="both"/>
      </w:pPr>
      <w:r w:rsidRPr="00C40271">
        <w:t xml:space="preserve">mājokļa izdevumi (īres izdevumi, hipotekārā kredīta izdevumi, izdevumi par siltumu, elektrību, ūdeni u.tml.); </w:t>
      </w:r>
    </w:p>
    <w:p w:rsidR="000B7024" w:rsidRPr="00C40271" w:rsidRDefault="000B7024" w:rsidP="003F469F">
      <w:pPr>
        <w:pStyle w:val="ListParagraph"/>
        <w:numPr>
          <w:ilvl w:val="0"/>
          <w:numId w:val="142"/>
        </w:numPr>
        <w:spacing w:line="276" w:lineRule="auto"/>
        <w:jc w:val="both"/>
      </w:pPr>
      <w:r w:rsidRPr="00C40271">
        <w:t>mājokļa telpiskā</w:t>
      </w:r>
      <w:r w:rsidR="008D4165">
        <w:t>/ ģeogrāfiskā</w:t>
      </w:r>
      <w:r w:rsidRPr="00C40271">
        <w:t xml:space="preserve"> segregācija – ierobežota citu pamata pakalpojumu (veselības aprūpe, izglītība, sabiedriskais transports) pieejamība;</w:t>
      </w:r>
    </w:p>
    <w:p w:rsidR="000B7024" w:rsidRPr="00C40271" w:rsidRDefault="000B7024" w:rsidP="003F469F">
      <w:pPr>
        <w:pStyle w:val="ListParagraph"/>
        <w:numPr>
          <w:ilvl w:val="0"/>
          <w:numId w:val="142"/>
        </w:numPr>
        <w:spacing w:line="276" w:lineRule="auto"/>
        <w:jc w:val="both"/>
      </w:pPr>
      <w:r w:rsidRPr="00C40271">
        <w:t>mājokļa atrašanās vietas apkārtējās vides faktori (gaisa kvalitāte, trokšņa līmenis, dienas gaismas trūkums);</w:t>
      </w:r>
    </w:p>
    <w:p w:rsidR="000B7024" w:rsidRPr="00C40271" w:rsidRDefault="000B7024" w:rsidP="003F469F">
      <w:pPr>
        <w:pStyle w:val="ListParagraph"/>
        <w:numPr>
          <w:ilvl w:val="0"/>
          <w:numId w:val="142"/>
        </w:numPr>
        <w:spacing w:line="276" w:lineRule="auto"/>
        <w:jc w:val="both"/>
      </w:pPr>
      <w:r w:rsidRPr="00C40271">
        <w:t>mājokļa platība un lielums (dzīvojamās telpas platība uz vienu personu, istabu skaits uz vienu personu mājoklī);</w:t>
      </w:r>
    </w:p>
    <w:p w:rsidR="000B7024" w:rsidRPr="00C40271" w:rsidRDefault="000B7024" w:rsidP="003F469F">
      <w:pPr>
        <w:pStyle w:val="ListParagraph"/>
        <w:numPr>
          <w:ilvl w:val="0"/>
          <w:numId w:val="142"/>
        </w:numPr>
        <w:spacing w:line="276" w:lineRule="auto"/>
        <w:jc w:val="both"/>
      </w:pPr>
      <w:r w:rsidRPr="00C40271">
        <w:t>mājokļu pieejamības sociālie faktori (mājokļu īpašnieku un kaimiņu diskriminējoša attieksme pret noteiktām sociālām grupām, kā arī pazeminātas sociālās prasmes noteiktām sociālajām grupām).</w:t>
      </w:r>
    </w:p>
    <w:p w:rsidR="000B7024" w:rsidRDefault="000B7024" w:rsidP="000B7024"/>
    <w:p w:rsidR="000B7024" w:rsidRPr="00264F8C" w:rsidRDefault="000B7024" w:rsidP="000B7024">
      <w:r w:rsidRPr="00264F8C">
        <w:t xml:space="preserve">Mājokļu jomas ekspertiem tika lūgts sniegt savu vērtējumu un viedokli par augstāk minētajiem nevienlīdzības mājokļa pieejamības jomā rādītājiem, kā arī papildināt tos ar citiem, ja nepieciešams. Kopumā eksperti novērtējuši šos rādītājus kā atbilstošus. Ekspertu skatījumā galvenie rādītāji ir  mājokļu infrastruktūras pieejamība, mājokļa izdevumi attiecībā pret personas ienākumiem un  mājokļa tehniskais stāvoklis un labiekārtotība. </w:t>
      </w:r>
    </w:p>
    <w:p w:rsidR="000B7024" w:rsidRPr="00264F8C" w:rsidRDefault="000B7024" w:rsidP="000B7024"/>
    <w:p w:rsidR="000B7024" w:rsidRPr="00264F8C" w:rsidRDefault="000B7024" w:rsidP="000B7024">
      <w:r w:rsidRPr="00264F8C">
        <w:t xml:space="preserve">Ekspertu viedoklis dalās jautājumā par mājokļa labiekārtotības rādītāju. Tā piemēram, no vienas puses, ir viedoklis, ka pienācīgā mājoklī tualetei ir jāatrodas pašā mājoklī (dzīvoklī), no otras puses, ir viedoklis, ka par pienācīgu var uzskatīt arī mājokli, ja tā tehniskais stāvoklis neapdraud cilvēka veselību un dzīvību, neraugoties uz to, ja tualete atrodas ārpus paša mājokļa vai arī ir koplietošanā ar citu mājokļu iemītniekiem. Līdzīgi viedokļi daļās par ūdens pieejamību mājoklī. Mājoklī būtu jābūt </w:t>
      </w:r>
      <w:r w:rsidRPr="00264F8C">
        <w:lastRenderedPageBreak/>
        <w:t xml:space="preserve">pieejamam aukstajam ūdenim, taču siltais ūdens varētu arī nebūt obligāta prasība, lai mājoklis tiktu uzskatīts par pienācīgu mājokli. Tāpat diskutējams varētu būt rādītājs par mājokļa platību. No vienas puses, šī rādītāja uzdevums ir novērst mājokļa pārapdzīvotību, bet, no otras puses, to vienlīdz piemērojot visām mājsaimniecībām, var veidoties situācija, ka daļa mājsaimniecību ar lielāku cilvēku skaitu dzīvo mājoklī (attiecīgi mazāku dzīvojamo platību un/vai istabu skaitu uz vienu cilvēku), kuru nevar uzskatīt par pienācīgu tā kvadratūras dēļ. Ekspertu viedoklis nav viennozīmīgs arī par sociālo faktoru nozīmi Latvijā attiecībā uz vienlīdzību mājokļa pieejamības jomā. Sociālā faktora negatīvā ietekme var izpausties tieši privātajā mājokļu tirgū, (mājokļu īpašniekiem ir brīva izvēle, kam īrēt/ pārdot savu īpašumu neatkarīgi no iemesliem), pašvaldības gadījumā šim faktoram nevajadzētu būt ietekmei, kaut arī pilnībā izslēgt to nevar. </w:t>
      </w:r>
    </w:p>
    <w:p w:rsidR="000B7024" w:rsidRPr="00264F8C" w:rsidRDefault="000B7024" w:rsidP="000B7024"/>
    <w:p w:rsidR="000B7024" w:rsidRDefault="000B7024" w:rsidP="000B7024">
      <w:r w:rsidRPr="00264F8C">
        <w:t>Augstāk minētie mājokli raksturojošie rādītāji ir izmantojami, lai noteiktu, vai iedzīvotājiem pastāv objektīvi tiesību uz pienācīgu mājokli ierobežojumi, kas attiecīgi paredzētu ārējo (valsts vai pašvaldības) atbalsta pasākumu nepieciešamību šiem iedzīvotājiem. Primārā nozīme ir tādiem rādītājiem kā mājokļa pieejamība, izdevumi par mājokli un mājokļa tehniskais stāvoklis. Savukārt, mājokļa telpiskā</w:t>
      </w:r>
      <w:r w:rsidR="008D4165">
        <w:t>/ ģeogrāfiskā</w:t>
      </w:r>
      <w:r w:rsidRPr="00264F8C">
        <w:t xml:space="preserve"> segregācija, vides un sociālie faktori kaut arī tiek atzīti par tiesības uz mājokli raksturojošiem, attiecībā uz nevienlīdzību mājokļa pieejamības jomā tiek vērtēti kā sekundāras nozīmes rādītāji.</w:t>
      </w:r>
      <w:r>
        <w:t xml:space="preserve">  </w:t>
      </w:r>
    </w:p>
    <w:p w:rsidR="000B7024" w:rsidRDefault="000B7024" w:rsidP="00723B8C">
      <w:pPr>
        <w:pStyle w:val="virsrakstslvl4"/>
      </w:pPr>
      <w:bookmarkStart w:id="1362" w:name="_Toc2432947"/>
      <w:bookmarkStart w:id="1363" w:name="_Toc2761201"/>
      <w:bookmarkStart w:id="1364" w:name="_Toc2848308"/>
      <w:bookmarkStart w:id="1365" w:name="_Toc6219367"/>
      <w:bookmarkStart w:id="1366" w:name="_Toc6220310"/>
      <w:bookmarkStart w:id="1367" w:name="_Toc6841739"/>
      <w:r>
        <w:t xml:space="preserve">Galvenās </w:t>
      </w:r>
      <w:r w:rsidRPr="004C1ABB">
        <w:t>problēmas</w:t>
      </w:r>
      <w:r>
        <w:t xml:space="preserve"> mājokļu jomā</w:t>
      </w:r>
      <w:bookmarkEnd w:id="1362"/>
      <w:bookmarkEnd w:id="1363"/>
      <w:bookmarkEnd w:id="1364"/>
      <w:bookmarkEnd w:id="1365"/>
      <w:bookmarkEnd w:id="1366"/>
      <w:bookmarkEnd w:id="1367"/>
    </w:p>
    <w:p w:rsidR="000B7024" w:rsidRPr="009442E5" w:rsidRDefault="000B7024" w:rsidP="000B7024">
      <w:r w:rsidRPr="009442E5">
        <w:t>Mājokļu jomas problēmas</w:t>
      </w:r>
      <w:r>
        <w:t xml:space="preserve"> kopumā</w:t>
      </w:r>
      <w:r w:rsidRPr="009442E5">
        <w:t xml:space="preserve">, kā skaidroja viens no intervētajiem ekspertiem, sakņojas, pirmkārt, </w:t>
      </w:r>
      <w:r w:rsidRPr="00B509FB">
        <w:rPr>
          <w:b/>
        </w:rPr>
        <w:t>valsts, pašvaldību un privātā sektora atbildības un funkciju sadalījumā</w:t>
      </w:r>
      <w:r w:rsidRPr="009442E5">
        <w:t xml:space="preserve">, otrkārt, denacionalizācijas un tai sekojošajā privatizācijas procesā. Teorētiski šie procesi paredzēja, ka viss dzīvojamais fonds pāriet privātajā īpašumā, padarot mājokļa jomu par brīvā tirgus jomu. Vienlaikus pašvaldībām ir noteikta sociālās palīdzības funkcija mājokļa jomā, kas nosaka nepieciešamību pēc pašvaldības dzīvojamā fonda. Līdz ar to šobrīd mājokļu jomas viens no bāzes izaicinājumiem ir privātā un publiskā sektora attiecības mājokļu tirgū. </w:t>
      </w:r>
    </w:p>
    <w:p w:rsidR="000B7024" w:rsidRPr="00CD4929" w:rsidRDefault="000B7024" w:rsidP="000B7024">
      <w:pPr>
        <w:rPr>
          <w:highlight w:val="yellow"/>
        </w:rPr>
      </w:pPr>
    </w:p>
    <w:p w:rsidR="000B7024" w:rsidRPr="00E961CE" w:rsidRDefault="000B7024" w:rsidP="000B7024">
      <w:r w:rsidRPr="00E961CE">
        <w:t xml:space="preserve">Aptverot mājokļa jomu kopumā, divas galvenās problēmas ekspertu vērtējumā ir </w:t>
      </w:r>
      <w:r w:rsidRPr="00B509FB">
        <w:rPr>
          <w:b/>
        </w:rPr>
        <w:t>dzīvojamā fonda neatbilstība pieprasījumam</w:t>
      </w:r>
      <w:r w:rsidRPr="00E961CE">
        <w:t xml:space="preserve"> (mājokļu trūkums) un </w:t>
      </w:r>
      <w:r w:rsidRPr="00B509FB">
        <w:rPr>
          <w:b/>
        </w:rPr>
        <w:t>dzīvojamā fonda neapmierinošais tehniskais stāvoklis</w:t>
      </w:r>
      <w:r w:rsidRPr="00E961CE">
        <w:t xml:space="preserve">, kas, savukārt, ir tieši saistīts ar dzīvojamā fonda novecošanos. No šīm bāzes problēmām tālāk izriet pārējās – dzīvojamā fonda atjaunošanas un būvniecības problēmas, mājokļu īres tirgus nesakārtotība, rindas uz pašvaldības mājokļiem. </w:t>
      </w:r>
    </w:p>
    <w:p w:rsidR="000B7024" w:rsidRPr="00CD4929" w:rsidRDefault="000B7024" w:rsidP="000B7024">
      <w:pPr>
        <w:rPr>
          <w:highlight w:val="yellow"/>
        </w:rPr>
      </w:pPr>
    </w:p>
    <w:p w:rsidR="000B7024" w:rsidRDefault="000B7024" w:rsidP="000B7024">
      <w:r w:rsidRPr="00E961CE">
        <w:t xml:space="preserve">Raugoties no nevienlīdzības mājokļu pieejamības jomā perspektīvas, eksperti skaidroja jau specifiskākas problēmas. Pirmkārt, </w:t>
      </w:r>
      <w:r w:rsidRPr="00B509FB">
        <w:rPr>
          <w:b/>
        </w:rPr>
        <w:t>pašvaldību starpā pastāv vērā ņemamas atšķirības, kā tiek noteikta un sniegta palīdzība mājokļa jomā</w:t>
      </w:r>
      <w:r w:rsidRPr="00E961CE">
        <w:t xml:space="preserve"> (t.s. dzīvokļa pabalsts).</w:t>
      </w:r>
      <w:r w:rsidRPr="00E961CE">
        <w:rPr>
          <w:rStyle w:val="FootnoteReference"/>
        </w:rPr>
        <w:footnoteReference w:id="384"/>
      </w:r>
      <w:r w:rsidRPr="00E961CE">
        <w:t xml:space="preserve"> </w:t>
      </w:r>
      <w:r>
        <w:t xml:space="preserve">Sociālo pakalpojumu un sociālās palīdzības likumā nav ietverta </w:t>
      </w:r>
      <w:r w:rsidRPr="007748B6">
        <w:t>dzīvokļa pabalsta definīcija</w:t>
      </w:r>
      <w:r>
        <w:t xml:space="preserve">, bet ir noteikts, ka dzīvokļa pabalsts ir viens no trim pašvaldību obligāti nodrošināmiem sociālās palīdzības pabalstu veidiem, kas tiek izmaksāts no pašvaldības pamatbudžeta (35.panta pirmā, otrā un trešā daļa), kā arī ietverts deleģējums pašvaldībām saistošajos noteikumos noteikt dzīvokļa pabalsta apmēru, izmaksas kārtību </w:t>
      </w:r>
      <w:r>
        <w:lastRenderedPageBreak/>
        <w:t xml:space="preserve">un personas, kuras ir tiesīgas saņemt šo pabalstu (35.panta piektā daļa). </w:t>
      </w:r>
      <w:r w:rsidRPr="002A1763">
        <w:t>Līdz šim izņēmums ir bāreņi</w:t>
      </w:r>
      <w:r w:rsidRPr="00C5784F">
        <w:t xml:space="preserve"> un bez vecāku gādības palikuši bērni. Šai grupai likuma „Par palīdzību dzīvokļa jautājuma risināšanā” 25.</w:t>
      </w:r>
      <w:r w:rsidRPr="00C5784F">
        <w:rPr>
          <w:vertAlign w:val="superscript"/>
        </w:rPr>
        <w:t>2</w:t>
      </w:r>
      <w:r w:rsidRPr="00C5784F">
        <w:t xml:space="preserve"> pants nosaka tvērumu, kas iekļaujams dzīvokļa pabalstā (izdevumi par dzīvojamās telpas lietošanu un izdevumi par pakalpojumiem, kas saistīti ar dzīvojamās telpas lietošanu).</w:t>
      </w:r>
      <w:r w:rsidRPr="00AD7561">
        <w:t xml:space="preserve"> </w:t>
      </w:r>
    </w:p>
    <w:p w:rsidR="000B7024" w:rsidRDefault="000B7024" w:rsidP="000B7024"/>
    <w:p w:rsidR="000B7024" w:rsidRPr="00E961CE" w:rsidRDefault="000B7024" w:rsidP="000B7024">
      <w:r w:rsidRPr="00E961CE">
        <w:t xml:space="preserve">Otrkārt, ekspertu vērtējumā nozīmīga problēma ir </w:t>
      </w:r>
      <w:r w:rsidRPr="00B509FB">
        <w:rPr>
          <w:b/>
        </w:rPr>
        <w:t>mājokļa izdevumi</w:t>
      </w:r>
      <w:r w:rsidRPr="00E961CE">
        <w:t xml:space="preserve">. Saskaņā ar mājokļa pieejamības nevienlīdzības rādītājiem, mājokļa izdevumi tiek uzskatīti kā nevienlīdzības rādītājs gadījumos, ja tie pārsniedz 30-40% no kopējiem mājsaimniecības locekļu izdevumiem. </w:t>
      </w:r>
      <w:r>
        <w:t>Kā norādīts EM mājas lapā, „</w:t>
      </w:r>
      <w:r w:rsidRPr="00ED61BF">
        <w:t xml:space="preserve">mājokļa izdevumiem nevajadzētu pārsniegt 30% no mājsaimniecības kopējiem ienākumiem. Savukārt statistikas dati liecina, ka </w:t>
      </w:r>
      <w:r w:rsidRPr="00ED61BF">
        <w:rPr>
          <w:b/>
        </w:rPr>
        <w:t>iespēja īrēt mājokli, kas atbilst mūsdienu būvniecības standartiem un energoefektivitātes prasībām</w:t>
      </w:r>
      <w:r w:rsidRPr="00ED61BF">
        <w:t>, ir liegta 80% mājsaimniecību, jo to ienākumi ir zemāki par 1600 eiro mēnesī. Papildus jāņem vērā, ka 50% mājsaimniecību ienākumi mēnesī nepārsniedz 700 eiro mēnesī, tātad pusei no Latvijas mājsaimniecībām mēneša ienākumi būtu jādubulto, lai tās spētu atļauties īrēt mājokli, kas atbilst mūsdienu būvniecības standartiem un energoefektivitātes prasībām (03.10.2018.)</w:t>
      </w:r>
      <w:r>
        <w:t>.”</w:t>
      </w:r>
      <w:r>
        <w:rPr>
          <w:rStyle w:val="FootnoteReference"/>
        </w:rPr>
        <w:footnoteReference w:id="385"/>
      </w:r>
      <w:r w:rsidRPr="00E961CE">
        <w:t xml:space="preserve">  </w:t>
      </w:r>
    </w:p>
    <w:p w:rsidR="000B7024" w:rsidRPr="00CD4929" w:rsidRDefault="000B7024" w:rsidP="000B7024">
      <w:pPr>
        <w:rPr>
          <w:highlight w:val="yellow"/>
        </w:rPr>
      </w:pPr>
    </w:p>
    <w:p w:rsidR="000B7024" w:rsidRPr="00E961CE" w:rsidRDefault="000B7024" w:rsidP="000B7024">
      <w:r w:rsidRPr="00E961CE">
        <w:t xml:space="preserve">Treškārt, mājokļa pieejamības problēmas rada tas, ka Latvijā ir </w:t>
      </w:r>
      <w:r w:rsidRPr="00B509FB">
        <w:rPr>
          <w:b/>
        </w:rPr>
        <w:t>augsts to iedzīvotāju īpatsvars, kas dzīvo privātos mājokļos</w:t>
      </w:r>
      <w:r w:rsidRPr="00E961CE">
        <w:t xml:space="preserve">. Problēmas būtība ir apstāklī, ka daļai iedzīvotāju tas var kļūt par apgrūtinājumu, kuru viņi nespēj patstāvīgi atrisināt, nonākot arvien lielākās grūtībās (piemēram, mainās mājsaimniecības ienākumi, iespējas segt mājokļa izdevumus, mājokļa tehniskais stāvoklis pasliktinās, taču to nav iespējams realizēt u.tml.). Mājokļa īres gadījumā iespējas risināt šādas situācijas ir vienkāršākas, jo nav īpašuma saistību. Vienlaikus jāņem vērā, ka īres mājokļu piedāvājums daudzās pašvaldībās ir neatbilstošs pieprasījumam, ko lielā mērā ietekmē dzīvojamā fonda neapmierinošais tehniskais stāvoklis. </w:t>
      </w:r>
    </w:p>
    <w:p w:rsidR="000B7024" w:rsidRDefault="000B7024" w:rsidP="000B7024">
      <w:pPr>
        <w:rPr>
          <w:highlight w:val="yellow"/>
        </w:rPr>
      </w:pPr>
    </w:p>
    <w:p w:rsidR="000B7024" w:rsidRPr="00F65131" w:rsidRDefault="000B7024" w:rsidP="000B7024">
      <w:r w:rsidRPr="00F65131">
        <w:t xml:space="preserve">Ekspertu vērtējumā normatīvajā regulējumā noteiktie </w:t>
      </w:r>
      <w:r w:rsidRPr="00B509FB">
        <w:rPr>
          <w:b/>
        </w:rPr>
        <w:t>ierobežojumi pašvaldībām īstenot uzņēmējdarbību rada šķēršļus mājokļa jautājumu risināšanā</w:t>
      </w:r>
      <w:r w:rsidRPr="00F65131">
        <w:t xml:space="preserve">. Šajā kontekstā ekspertu intervijās tika diskutēts par īres namu būvniecību, kas pakāpeniski Latvijā sāk attīstīties, neraugoties uz šai iniciatīvai kopumā nelabvēlīgiem apstākļiem un nosacījumiem. Tāpēc, piemēram, Valmieras pašvaldības iniciatīvu īres namu būvniecībā atsevišķi eksperti vērtē kā riskantu, ja vien tai nav valsts vai starptautisko finanšu instrumentu atbalsta.   </w:t>
      </w:r>
    </w:p>
    <w:p w:rsidR="000B7024" w:rsidRPr="00CD4929" w:rsidRDefault="000B7024" w:rsidP="000B7024">
      <w:pPr>
        <w:rPr>
          <w:highlight w:val="yellow"/>
        </w:rPr>
      </w:pPr>
    </w:p>
    <w:p w:rsidR="000B7024" w:rsidRDefault="000B7024" w:rsidP="000B7024">
      <w:r w:rsidRPr="00F65131">
        <w:t xml:space="preserve">Iedzīvotāju </w:t>
      </w:r>
      <w:r w:rsidRPr="00B509FB">
        <w:rPr>
          <w:b/>
        </w:rPr>
        <w:t>rindas uz pašvaldības mājokli</w:t>
      </w:r>
      <w:r w:rsidRPr="00F65131">
        <w:t xml:space="preserve">, kas var tikt aplūkota kā vēl viena problēma, kaut arī pēdējos gados ir samazinājušās, ne vienmēr atspoguļojot reālo situāciju. Ekspertu vērtējumā tam var būt vairāki iemesli. Pirmkārt, ne visiem rindā reģistrētajiem iedzīvotājiem ir reāla vajadzība pēc mājokļa (šāda situācija var rasties tad, ja  cilvēks mājokļa jautājumu ir atrisinājis, taču, zinot savas tiesības pretendēt uz pašvaldības mājokli, saglabā savu vietu rindā). Otrkārt, iedzīvotājus neapmierina pašvaldības piedāvātie mājokļi: to stāvoklis, labiekārtotība, atrašanās vieta (lauku teritorijās), atbilstība  iedzīvotāju specifiskām vajadzībām (piemēram, personām ar invaliditāti, īpaši kustību traucējumu gadījumos), tāpēc iedzīvotāji no tiem atsakās, saglabājot vietu gaidītāju rindā uz sev piemērotu mājokli. Tā rezultātā veidojas situācija, ka rinda uz mājokli saglabājas, neraugoties uz </w:t>
      </w:r>
      <w:r w:rsidRPr="00F65131">
        <w:lastRenderedPageBreak/>
        <w:t xml:space="preserve">to, ka pašvaldībai ir brīvi mājokļi. Šajā gadījumā pamata problēma ir pašvaldību dzīvojamā fonda kvalitāte. Treškārt, rindā jeb reģistros uz pašvaldības dzīvojamo platību, kā skaidroja pašvaldību pārstāvji, pēc būtības būtu reģistrējams plašāks iedzīvotāju loks, taču pašvaldības, apzinoties reālās iespējas palīdzēt mājokļa jautājumu risināšanā, nevēlas to darīt. Vēl viens iemesls ir tas, ka pašvaldības ir ieinteresētas paturēt rezervē daļu dzīvojamā fonda iedzīvotāju grupām, kuras vēlas piesaistīt pašvaldībai, piedāvājot labvēlīgus dzīves apstākļus, t.sk. mājokli. </w:t>
      </w:r>
    </w:p>
    <w:p w:rsidR="000B7024" w:rsidRDefault="000B7024" w:rsidP="00C33A64">
      <w:pPr>
        <w:pStyle w:val="virsrakstslvl4"/>
      </w:pPr>
      <w:bookmarkStart w:id="1368" w:name="_Toc2432948"/>
      <w:bookmarkStart w:id="1369" w:name="_Toc2761202"/>
      <w:bookmarkStart w:id="1370" w:name="_Toc2848309"/>
      <w:bookmarkStart w:id="1371" w:name="_Toc6219368"/>
      <w:bookmarkStart w:id="1372" w:name="_Toc6220311"/>
      <w:bookmarkStart w:id="1373" w:name="_Toc6841740"/>
      <w:r w:rsidRPr="00264F8C">
        <w:t>Mērķa grupas</w:t>
      </w:r>
      <w:bookmarkEnd w:id="1368"/>
      <w:bookmarkEnd w:id="1369"/>
      <w:bookmarkEnd w:id="1370"/>
      <w:bookmarkEnd w:id="1371"/>
      <w:bookmarkEnd w:id="1372"/>
      <w:bookmarkEnd w:id="1373"/>
      <w:r w:rsidRPr="00264F8C">
        <w:t xml:space="preserve"> </w:t>
      </w:r>
    </w:p>
    <w:p w:rsidR="000B7024" w:rsidRPr="000268A8" w:rsidRDefault="000B7024" w:rsidP="000B7024">
      <w:pPr>
        <w:suppressAutoHyphens/>
        <w:autoSpaceDE w:val="0"/>
        <w:rPr>
          <w:color w:val="000000"/>
        </w:rPr>
      </w:pPr>
      <w:r w:rsidRPr="000268A8">
        <w:rPr>
          <w:color w:val="000000"/>
        </w:rPr>
        <w:t>Ekspertu vērtējumā nevienlīdzības mājokļa pieejamības jomā riskam ir pakļautas visas iedzīvotāju grupas ar zemiem ienākumiem, tā netieši norādot, ka galvenais rādītājs, kas nosaka nevienlīdzību mājokļa jomā ir mājokļa izdevumi attiecībā pret mājsaimniecības ienākumiem. Šim kritērijam pēc būtības atbilst visas Izvērtējumā iekļautās sociālās atstumtības un nabadzības riskam pakļautām mērķa grupas:</w:t>
      </w:r>
    </w:p>
    <w:p w:rsidR="000B7024" w:rsidRPr="000268A8" w:rsidRDefault="000B7024" w:rsidP="003F469F">
      <w:pPr>
        <w:pStyle w:val="ListParagraph"/>
        <w:numPr>
          <w:ilvl w:val="0"/>
          <w:numId w:val="140"/>
        </w:numPr>
        <w:suppressAutoHyphens/>
        <w:autoSpaceDE w:val="0"/>
        <w:spacing w:line="276" w:lineRule="auto"/>
        <w:jc w:val="both"/>
        <w:rPr>
          <w:color w:val="000000"/>
        </w:rPr>
      </w:pPr>
      <w:r w:rsidRPr="000268A8">
        <w:rPr>
          <w:color w:val="000000"/>
        </w:rPr>
        <w:t>pirmspensijas un pensijas vecuma cilvēki;</w:t>
      </w:r>
    </w:p>
    <w:p w:rsidR="000B7024" w:rsidRPr="000268A8" w:rsidRDefault="000B7024" w:rsidP="003F469F">
      <w:pPr>
        <w:pStyle w:val="ListParagraph"/>
        <w:numPr>
          <w:ilvl w:val="0"/>
          <w:numId w:val="140"/>
        </w:numPr>
        <w:suppressAutoHyphens/>
        <w:autoSpaceDE w:val="0"/>
        <w:spacing w:line="276" w:lineRule="auto"/>
        <w:jc w:val="both"/>
        <w:rPr>
          <w:color w:val="000000"/>
        </w:rPr>
      </w:pPr>
      <w:r w:rsidRPr="000268A8">
        <w:rPr>
          <w:color w:val="000000"/>
        </w:rPr>
        <w:t xml:space="preserve">ģimenes ar bērniem, īpaši daudzbērnu un viena </w:t>
      </w:r>
      <w:r w:rsidR="00BA1727">
        <w:t xml:space="preserve">vecāka mājsaimniecības </w:t>
      </w:r>
      <w:r w:rsidRPr="000268A8">
        <w:rPr>
          <w:color w:val="000000"/>
        </w:rPr>
        <w:t>(t.sk. ģimenes ar bērniem, kuriem ir funkcionēšanas ierobežojumi vai invaliditāte);</w:t>
      </w:r>
    </w:p>
    <w:p w:rsidR="000B7024" w:rsidRPr="000268A8" w:rsidRDefault="000B7024" w:rsidP="003F469F">
      <w:pPr>
        <w:pStyle w:val="ListParagraph"/>
        <w:numPr>
          <w:ilvl w:val="0"/>
          <w:numId w:val="140"/>
        </w:numPr>
        <w:suppressAutoHyphens/>
        <w:autoSpaceDE w:val="0"/>
        <w:spacing w:line="276" w:lineRule="auto"/>
        <w:jc w:val="both"/>
        <w:rPr>
          <w:color w:val="000000"/>
        </w:rPr>
      </w:pPr>
      <w:r w:rsidRPr="000268A8">
        <w:rPr>
          <w:color w:val="000000"/>
        </w:rPr>
        <w:t>bezdarbnieki, īpaši ilgstošie bezdarbnieki;</w:t>
      </w:r>
    </w:p>
    <w:p w:rsidR="000B7024" w:rsidRPr="000268A8" w:rsidRDefault="000B7024" w:rsidP="003F469F">
      <w:pPr>
        <w:pStyle w:val="ListParagraph"/>
        <w:numPr>
          <w:ilvl w:val="0"/>
          <w:numId w:val="140"/>
        </w:numPr>
        <w:suppressAutoHyphens/>
        <w:autoSpaceDE w:val="0"/>
        <w:spacing w:line="276" w:lineRule="auto"/>
        <w:jc w:val="both"/>
        <w:rPr>
          <w:color w:val="000000"/>
        </w:rPr>
      </w:pPr>
      <w:r w:rsidRPr="000268A8">
        <w:rPr>
          <w:color w:val="000000"/>
        </w:rPr>
        <w:t>trūcīgās un maznodrošinātās personas;</w:t>
      </w:r>
    </w:p>
    <w:p w:rsidR="000B7024" w:rsidRPr="000268A8" w:rsidRDefault="000B7024" w:rsidP="003F469F">
      <w:pPr>
        <w:pStyle w:val="ListParagraph"/>
        <w:numPr>
          <w:ilvl w:val="0"/>
          <w:numId w:val="140"/>
        </w:numPr>
        <w:suppressAutoHyphens/>
        <w:autoSpaceDE w:val="0"/>
        <w:spacing w:line="276" w:lineRule="auto"/>
        <w:jc w:val="both"/>
        <w:rPr>
          <w:color w:val="000000"/>
        </w:rPr>
      </w:pPr>
      <w:r w:rsidRPr="000268A8">
        <w:rPr>
          <w:color w:val="000000"/>
        </w:rPr>
        <w:t>internātskolu absolventi;</w:t>
      </w:r>
    </w:p>
    <w:p w:rsidR="000B7024" w:rsidRPr="000268A8" w:rsidRDefault="000B7024" w:rsidP="003F469F">
      <w:pPr>
        <w:pStyle w:val="ListParagraph"/>
        <w:numPr>
          <w:ilvl w:val="0"/>
          <w:numId w:val="140"/>
        </w:numPr>
        <w:suppressAutoHyphens/>
        <w:autoSpaceDE w:val="0"/>
        <w:spacing w:line="276" w:lineRule="auto"/>
        <w:jc w:val="both"/>
        <w:rPr>
          <w:color w:val="000000"/>
        </w:rPr>
      </w:pPr>
      <w:r w:rsidRPr="000268A8">
        <w:rPr>
          <w:color w:val="000000"/>
        </w:rPr>
        <w:t>personas ar funkcionēšanas ierobežojumiem, tai skaitā personas ar invaliditāti;</w:t>
      </w:r>
    </w:p>
    <w:p w:rsidR="000B7024" w:rsidRPr="000268A8" w:rsidRDefault="000B7024" w:rsidP="003F469F">
      <w:pPr>
        <w:pStyle w:val="ListParagraph"/>
        <w:numPr>
          <w:ilvl w:val="0"/>
          <w:numId w:val="140"/>
        </w:numPr>
        <w:suppressAutoHyphens/>
        <w:autoSpaceDE w:val="0"/>
        <w:spacing w:line="276" w:lineRule="auto"/>
        <w:jc w:val="both"/>
        <w:rPr>
          <w:color w:val="000000"/>
        </w:rPr>
      </w:pPr>
      <w:r w:rsidRPr="000268A8">
        <w:rPr>
          <w:color w:val="000000"/>
        </w:rPr>
        <w:t>vardarbībā cietušās personas, t.sk. cilvēktirdzniecības upuri;</w:t>
      </w:r>
    </w:p>
    <w:p w:rsidR="000B7024" w:rsidRPr="000268A8" w:rsidRDefault="000B7024" w:rsidP="003F469F">
      <w:pPr>
        <w:pStyle w:val="ListParagraph"/>
        <w:numPr>
          <w:ilvl w:val="0"/>
          <w:numId w:val="140"/>
        </w:numPr>
        <w:suppressAutoHyphens/>
        <w:autoSpaceDE w:val="0"/>
        <w:spacing w:line="276" w:lineRule="auto"/>
        <w:jc w:val="both"/>
        <w:rPr>
          <w:color w:val="000000"/>
        </w:rPr>
      </w:pPr>
      <w:r w:rsidRPr="000268A8">
        <w:rPr>
          <w:color w:val="000000"/>
        </w:rPr>
        <w:t>bezpajumtnieki;</w:t>
      </w:r>
    </w:p>
    <w:p w:rsidR="000B7024" w:rsidRPr="000268A8" w:rsidRDefault="000B7024" w:rsidP="003F469F">
      <w:pPr>
        <w:pStyle w:val="ListParagraph"/>
        <w:numPr>
          <w:ilvl w:val="0"/>
          <w:numId w:val="140"/>
        </w:numPr>
        <w:suppressAutoHyphens/>
        <w:autoSpaceDE w:val="0"/>
        <w:spacing w:line="276" w:lineRule="auto"/>
        <w:jc w:val="both"/>
        <w:rPr>
          <w:color w:val="000000"/>
        </w:rPr>
      </w:pPr>
      <w:r w:rsidRPr="000268A8">
        <w:rPr>
          <w:color w:val="000000"/>
        </w:rPr>
        <w:t>no ieslodzījuma vietām atbrīvotās personas;</w:t>
      </w:r>
    </w:p>
    <w:p w:rsidR="000B7024" w:rsidRPr="000268A8" w:rsidRDefault="000B7024" w:rsidP="003F469F">
      <w:pPr>
        <w:pStyle w:val="ListParagraph"/>
        <w:numPr>
          <w:ilvl w:val="0"/>
          <w:numId w:val="140"/>
        </w:numPr>
        <w:suppressAutoHyphens/>
        <w:autoSpaceDE w:val="0"/>
        <w:spacing w:line="276" w:lineRule="auto"/>
        <w:jc w:val="both"/>
        <w:rPr>
          <w:color w:val="000000"/>
        </w:rPr>
      </w:pPr>
      <w:r w:rsidRPr="000268A8">
        <w:rPr>
          <w:color w:val="000000"/>
        </w:rPr>
        <w:t>romi;</w:t>
      </w:r>
    </w:p>
    <w:p w:rsidR="000B7024" w:rsidRPr="000268A8" w:rsidRDefault="000B7024" w:rsidP="003F469F">
      <w:pPr>
        <w:pStyle w:val="ListParagraph"/>
        <w:numPr>
          <w:ilvl w:val="0"/>
          <w:numId w:val="140"/>
        </w:numPr>
        <w:suppressAutoHyphens/>
        <w:autoSpaceDE w:val="0"/>
        <w:spacing w:line="276" w:lineRule="auto"/>
        <w:jc w:val="both"/>
        <w:rPr>
          <w:bCs/>
        </w:rPr>
      </w:pPr>
      <w:r w:rsidRPr="000268A8">
        <w:t>patvēruma meklētāji, bēgļi un personas ar alternatīvo statusu.</w:t>
      </w:r>
    </w:p>
    <w:p w:rsidR="000B7024" w:rsidRDefault="000B7024" w:rsidP="000B7024">
      <w:pPr>
        <w:suppressAutoHyphens/>
        <w:autoSpaceDE w:val="0"/>
        <w:rPr>
          <w:color w:val="000000"/>
          <w:highlight w:val="yellow"/>
        </w:rPr>
      </w:pPr>
    </w:p>
    <w:p w:rsidR="000B7024" w:rsidRPr="000268A8" w:rsidRDefault="000B7024" w:rsidP="000B7024">
      <w:pPr>
        <w:suppressAutoHyphens/>
        <w:autoSpaceDE w:val="0"/>
        <w:rPr>
          <w:color w:val="000000"/>
        </w:rPr>
      </w:pPr>
      <w:r w:rsidRPr="000268A8">
        <w:rPr>
          <w:color w:val="000000"/>
        </w:rPr>
        <w:t xml:space="preserve">Intervēto ekspertu kompetence attiecībā uz konkrētām mērķa grupām mājokļa pieejamības </w:t>
      </w:r>
      <w:r>
        <w:rPr>
          <w:color w:val="000000"/>
        </w:rPr>
        <w:t xml:space="preserve">jomā </w:t>
      </w:r>
      <w:r w:rsidRPr="000268A8">
        <w:rPr>
          <w:color w:val="000000"/>
        </w:rPr>
        <w:t>bija ierobežota, tāpēc</w:t>
      </w:r>
      <w:r>
        <w:rPr>
          <w:color w:val="000000"/>
        </w:rPr>
        <w:t xml:space="preserve"> gadījumos, kad netika identificēti arī Izvērtējuma uzdevumiem atbilstoši sekundārie dati, piemēram, iepriekš veikti pētījumi par konkrēto mērķa grupu,</w:t>
      </w:r>
      <w:r w:rsidRPr="000268A8">
        <w:rPr>
          <w:color w:val="000000"/>
        </w:rPr>
        <w:t xml:space="preserve"> tika veiktas papildu intervijas ar ekspertiem par noteiktām grupām, t.sk. par bērniem, bezpajumtniekiem</w:t>
      </w:r>
      <w:r>
        <w:rPr>
          <w:color w:val="000000"/>
        </w:rPr>
        <w:t xml:space="preserve"> un</w:t>
      </w:r>
      <w:r w:rsidRPr="000268A8">
        <w:rPr>
          <w:color w:val="000000"/>
        </w:rPr>
        <w:t xml:space="preserve"> vardarbībā cietušām personām. </w:t>
      </w:r>
      <w:r>
        <w:rPr>
          <w:color w:val="000000"/>
        </w:rPr>
        <w:t xml:space="preserve">Mērķa grupu situācijas izvērsts raksturojums ir sniegts Izvērtējuma ziņojuma 3.4. nodaļā. Šajā pielikumā ir apkopoti tikai ekspertu interviju rezultāti. </w:t>
      </w:r>
    </w:p>
    <w:p w:rsidR="000B7024" w:rsidRDefault="000B7024" w:rsidP="000B7024"/>
    <w:p w:rsidR="000B7024" w:rsidRDefault="000B7024" w:rsidP="000B7024">
      <w:r>
        <w:t>Mērķa grupu situācijas analīzes kontekstā i</w:t>
      </w:r>
      <w:r w:rsidRPr="006A431A">
        <w:t>ntervēto pašvaldību pārstāvju</w:t>
      </w:r>
      <w:r>
        <w:t xml:space="preserve"> (ekspertu)</w:t>
      </w:r>
      <w:r w:rsidRPr="006A431A">
        <w:t xml:space="preserve"> vērtējumā </w:t>
      </w:r>
      <w:r w:rsidRPr="005903D4">
        <w:t xml:space="preserve">vislielākās grūtības ar mājokli šobrīd ir </w:t>
      </w:r>
      <w:r w:rsidRPr="000268A8">
        <w:rPr>
          <w:b/>
        </w:rPr>
        <w:t>ģimenēm ar bērniem, kuras neatbilst trūcīgās vai maznodrošinātās ģimenes statusam</w:t>
      </w:r>
      <w:r w:rsidRPr="005903D4">
        <w:t>, bet kuru ienākumi apgrūtina mājokļa pieejamību privātajā sektorā</w:t>
      </w:r>
      <w:r w:rsidRPr="006A431A">
        <w:t>. Kā atsevišķas mērķa grupas intervijās tika minētas arī ģimenes, kas atgriežas no dzīves ārzemēs</w:t>
      </w:r>
      <w:r>
        <w:t xml:space="preserve"> (remigranti) un </w:t>
      </w:r>
      <w:r w:rsidRPr="006A431A">
        <w:t>pašvaldībai nepieciešamie dažādu jomu speciālisti. Vienlaikus intervijās tika pausts arī viedoklis, ka, piemēram, remigranti nebūtu izdalāmi kā atsevišķa mājokļa jomā atbalstāmā mērķa grupa, pamatojot to ar argumentiem, ka pēc būtības šīs mērķa grupas pārstāvji var izmantot citus jau darbojošos mājokļa politikas atbalsta instrumentus, piemēram, valsts atbalsta programmu ģimenēm ar bērniem mājokļa iegādei, atbalsts speciālistu piesaistei pašvaldībās.</w:t>
      </w:r>
    </w:p>
    <w:p w:rsidR="000B7024" w:rsidRDefault="000B7024" w:rsidP="000B7024">
      <w:pPr>
        <w:suppressAutoHyphens/>
        <w:autoSpaceDE w:val="0"/>
        <w:rPr>
          <w:color w:val="000000"/>
        </w:rPr>
      </w:pPr>
    </w:p>
    <w:p w:rsidR="000B7024" w:rsidRPr="000268A8" w:rsidRDefault="000B7024" w:rsidP="000B7024">
      <w:pPr>
        <w:suppressAutoHyphens/>
        <w:autoSpaceDE w:val="0"/>
        <w:rPr>
          <w:color w:val="000000"/>
        </w:rPr>
      </w:pPr>
      <w:r w:rsidRPr="000268A8">
        <w:rPr>
          <w:color w:val="000000"/>
        </w:rPr>
        <w:lastRenderedPageBreak/>
        <w:t xml:space="preserve">Problēma, kas attiecas vairāk uz tām grupām, kurām pašvaldībai obligāti ir jāierāda mājoklis – </w:t>
      </w:r>
      <w:r w:rsidRPr="000268A8">
        <w:rPr>
          <w:b/>
          <w:color w:val="000000"/>
        </w:rPr>
        <w:t>no ieslodzījuma vietām atbrīvotās personas, bāreņi un bez vecāku gādības palikušie bērni</w:t>
      </w:r>
      <w:r w:rsidRPr="000268A8">
        <w:rPr>
          <w:color w:val="000000"/>
        </w:rPr>
        <w:t xml:space="preserve">, pēc ekspertu domām, ir šīm grupām piedāvāto mājokļu neapmierinošais tehniskais stāvoklis un labiekārtojuma zemais līmenis. </w:t>
      </w:r>
      <w:r>
        <w:rPr>
          <w:color w:val="000000"/>
        </w:rPr>
        <w:t>Š</w:t>
      </w:r>
      <w:r w:rsidRPr="000268A8">
        <w:rPr>
          <w:color w:val="000000"/>
        </w:rPr>
        <w:t>o pieņēmumu nevar vispārināt, jo</w:t>
      </w:r>
      <w:r>
        <w:rPr>
          <w:color w:val="000000"/>
        </w:rPr>
        <w:t xml:space="preserve"> situācija pašvaldībās ir atšķirīga. Tā </w:t>
      </w:r>
      <w:r w:rsidRPr="000268A8">
        <w:rPr>
          <w:color w:val="000000"/>
        </w:rPr>
        <w:t xml:space="preserve">piemēram, viens </w:t>
      </w:r>
      <w:r>
        <w:rPr>
          <w:color w:val="000000"/>
        </w:rPr>
        <w:t xml:space="preserve">no </w:t>
      </w:r>
      <w:r w:rsidRPr="000268A8">
        <w:rPr>
          <w:color w:val="000000"/>
        </w:rPr>
        <w:t>intervēto pašvaldību pārstāvjiem skaidroja, ka mājokļos pirms to izīrēšanas tiek veikts remonts tieši ar mērķi, lai nodrošinātu pienācīgu mājokli.</w:t>
      </w:r>
      <w:r>
        <w:rPr>
          <w:color w:val="000000"/>
        </w:rPr>
        <w:t xml:space="preserve"> </w:t>
      </w:r>
      <w:r w:rsidRPr="000268A8">
        <w:rPr>
          <w:color w:val="000000"/>
        </w:rPr>
        <w:t>Vienlaikus intervijā tika norādīts, ka personām, kas ir atbrīvotas no ieslodzījuma</w:t>
      </w:r>
      <w:r>
        <w:rPr>
          <w:color w:val="000000"/>
        </w:rPr>
        <w:t>,</w:t>
      </w:r>
      <w:r w:rsidRPr="000268A8">
        <w:rPr>
          <w:color w:val="000000"/>
        </w:rPr>
        <w:t xml:space="preserve"> netiek piešķirti „paši labākie dzīvokli”. </w:t>
      </w:r>
      <w:r>
        <w:rPr>
          <w:color w:val="000000"/>
        </w:rPr>
        <w:t xml:space="preserve">Atsevišķu ekspertu vērtējumā no ieslodzījuma vietām atbrīvoto personu mērķa grupas mājokļa jautājums jārisina plašākā resocializācijas pasākumu kontekstā, sekmējot šīs mērķa grupas nodarbinātību, sociālo prasmju atjaunošanu. Kā problēma tika identificēts tas, ka ne visās pašvaldībās dzīvojamā fonda trūkuma dēļ iespējams šīm personām nodrošināt mājokli likumā noteiktajā termiņā, kas paaugstina recidīvās noziedzības risku. </w:t>
      </w:r>
    </w:p>
    <w:p w:rsidR="000B7024" w:rsidRPr="000268A8" w:rsidRDefault="000B7024" w:rsidP="000B7024">
      <w:pPr>
        <w:suppressAutoHyphens/>
        <w:autoSpaceDE w:val="0"/>
        <w:rPr>
          <w:color w:val="000000"/>
        </w:rPr>
      </w:pPr>
    </w:p>
    <w:p w:rsidR="000B7024" w:rsidRPr="000268A8" w:rsidRDefault="000B7024" w:rsidP="000B7024">
      <w:pPr>
        <w:suppressAutoHyphens/>
        <w:autoSpaceDE w:val="0"/>
        <w:rPr>
          <w:color w:val="000000"/>
        </w:rPr>
      </w:pPr>
      <w:r w:rsidRPr="000268A8">
        <w:rPr>
          <w:color w:val="000000"/>
        </w:rPr>
        <w:t xml:space="preserve">Attiecībā uz </w:t>
      </w:r>
      <w:r w:rsidRPr="000268A8">
        <w:rPr>
          <w:b/>
          <w:color w:val="000000"/>
        </w:rPr>
        <w:t>bezdarbniekiem</w:t>
      </w:r>
      <w:r w:rsidRPr="000268A8">
        <w:rPr>
          <w:color w:val="000000"/>
        </w:rPr>
        <w:t xml:space="preserve">, t.sk. ilgstošajiem bezdarbniekiem, kā </w:t>
      </w:r>
      <w:r>
        <w:rPr>
          <w:color w:val="000000"/>
        </w:rPr>
        <w:t>specifisku</w:t>
      </w:r>
      <w:r w:rsidRPr="000268A8">
        <w:rPr>
          <w:color w:val="000000"/>
        </w:rPr>
        <w:t xml:space="preserve"> mērķa grupu, ekspertu vidū dominē viedoklis, ka šie pēc būtības ir darbspējīgi iedzīvotāji, kuriem ir pašiem jārisina mājokļa jautājums. Izņēmumi ir gadījumi, ja šīs personas atbilst vai laika gaitā iegūst citas mērķa grupas statusu, piemēram, trūcīgās vai maznodrošinātās personas statusu, ir personas ar invaliditāti bez darba, ir personas, kuras ir tikušas iztiesātas no dzīvokļa parādu dēļ, t.sk. personas ar nepilngadīgiem bērniem vai pensijas vecuma cilvēki. Šajos gadījumos stājas spēkā jau attiecīgajai iedzīvotāju grupai (mērķa grupai) piemērojamie nosacījumi par atbalstu mājokļa jomā.  </w:t>
      </w:r>
    </w:p>
    <w:p w:rsidR="000B7024" w:rsidRPr="00CD4929" w:rsidRDefault="000B7024" w:rsidP="000B7024">
      <w:pPr>
        <w:suppressAutoHyphens/>
        <w:autoSpaceDE w:val="0"/>
        <w:rPr>
          <w:color w:val="000000"/>
          <w:highlight w:val="yellow"/>
        </w:rPr>
      </w:pPr>
    </w:p>
    <w:p w:rsidR="000B7024" w:rsidRPr="000268A8" w:rsidRDefault="000B7024" w:rsidP="000B7024">
      <w:pPr>
        <w:rPr>
          <w:color w:val="000000"/>
        </w:rPr>
      </w:pPr>
      <w:r w:rsidRPr="000268A8">
        <w:rPr>
          <w:color w:val="000000"/>
        </w:rPr>
        <w:t>Grupa, par kuru informācija</w:t>
      </w:r>
      <w:r>
        <w:rPr>
          <w:color w:val="000000"/>
        </w:rPr>
        <w:t xml:space="preserve"> netiek sistemātiski apkopota</w:t>
      </w:r>
      <w:r w:rsidRPr="000268A8">
        <w:rPr>
          <w:color w:val="000000"/>
        </w:rPr>
        <w:t xml:space="preserve">, ir </w:t>
      </w:r>
      <w:r w:rsidRPr="00E62DDE">
        <w:rPr>
          <w:b/>
          <w:color w:val="000000"/>
        </w:rPr>
        <w:t>internātskolu absolventi</w:t>
      </w:r>
      <w:r w:rsidRPr="000268A8">
        <w:rPr>
          <w:color w:val="000000"/>
        </w:rPr>
        <w:t>. Eksperti, vaicāti par šīs grupas situāciju un problēmām mājokļa jomā, norādīja, ka, viņuprāt, jautājums ir drīzāk uzdodams par bērniem, kuri ir palikuši bez vecāku gādības, un bāreņiem (t.sk. bērniem, kuriem beidzas līgums ar audžuģimenēm). Šai grupai, savukārt, likums „Par  palīdzību  dzīvokļa  jautājumu  risināšanā” nosaka atvieglojumus mājokļa jomā (25.</w:t>
      </w:r>
      <w:r w:rsidRPr="000268A8">
        <w:rPr>
          <w:color w:val="000000"/>
          <w:vertAlign w:val="superscript"/>
        </w:rPr>
        <w:t>2</w:t>
      </w:r>
      <w:r w:rsidRPr="000268A8">
        <w:rPr>
          <w:color w:val="000000"/>
        </w:rPr>
        <w:t xml:space="preserve"> pants), paredzot sniegt dzīvokļa pabalstu </w:t>
      </w:r>
      <w:r w:rsidRPr="000268A8">
        <w:t xml:space="preserve">izdevumu par dzīvojamās telpas lietošanu un izdevumu par pakalpojumiem, kas saistīti ar dzīvojamās telpas lietošanu, segšanai. </w:t>
      </w:r>
      <w:r w:rsidRPr="000268A8">
        <w:rPr>
          <w:color w:val="000000"/>
        </w:rPr>
        <w:t xml:space="preserve">Ekspertu vidū intervēto pašvaldību pārstāvji (Rīga, Preiļi, Cēsis) skaidroja, kā likumā noteiktā palīdzība bez vecāku gādības palikušajiem bērniem un bāreņiem mājokļa jomā tiek sniegta viņu pašvaldībās. Savukārt, Izvērtējumā intervētā eksperte bērnu tiesību aizsardzības jomā </w:t>
      </w:r>
      <w:r>
        <w:rPr>
          <w:color w:val="000000"/>
        </w:rPr>
        <w:t>norādīja, ka</w:t>
      </w:r>
      <w:r w:rsidRPr="000268A8">
        <w:rPr>
          <w:color w:val="000000"/>
        </w:rPr>
        <w:t xml:space="preserve"> šai mērķa grupai pieejamā dzīvokļa pabalsta apmērs daudzās pašvaldībās nav pietiekams.   </w:t>
      </w:r>
    </w:p>
    <w:p w:rsidR="000B7024" w:rsidRPr="00CD4929" w:rsidRDefault="000B7024" w:rsidP="000B7024">
      <w:pPr>
        <w:suppressAutoHyphens/>
        <w:autoSpaceDE w:val="0"/>
        <w:rPr>
          <w:color w:val="000000"/>
          <w:highlight w:val="yellow"/>
        </w:rPr>
      </w:pPr>
    </w:p>
    <w:p w:rsidR="000B7024" w:rsidRPr="00E62DDE" w:rsidRDefault="000B7024" w:rsidP="000B7024">
      <w:pPr>
        <w:suppressAutoHyphens/>
        <w:autoSpaceDE w:val="0"/>
        <w:rPr>
          <w:color w:val="000000"/>
        </w:rPr>
      </w:pPr>
      <w:r w:rsidRPr="00E62DDE">
        <w:rPr>
          <w:color w:val="000000"/>
        </w:rPr>
        <w:t xml:space="preserve">Kā problēma tika identificētas situācijas, kad šīs mērķa grupas jauniešiem tiek lūgts atbrīvot pašvaldības ierādīto dzīvojamo telpu pēc 24 gadu vecuma sasniegšanas. Intervijās atklātā prakse liecina, ka ir pašvaldības, kurās jauniešiem pēc 24 gadu vecuma sasniegšanas pašvaldības mājoklis ir jāatbrīvo, un ir pašvaldības, kurās, ja vien tiek pildītas mājokļa lietošanas saistības (maksāti īres izdevumi, komunālie maksājumi un mājoklis tiek uzturēts kārtībā), netiek liegta iespēja jauniešiem turpināt tajā dzīvot arī pēc 24. dzimšanas dienas. Sarežģījumus mēdz radīt tas, ka šai mērķa grupai nereti nav pietiekami attīstītas patstāvīgai dzīvei nepieciešamās sociālās prasmes – jaunieši mēdzot paust neizpratni par pienākumu maksāt pašvaldībai īres maksu, uzturēt mājokli tīru un funkcionālā kārtībā. Problēmas rada arī ar šīs grupas zemā maksātspēja. </w:t>
      </w:r>
    </w:p>
    <w:p w:rsidR="000B7024" w:rsidRPr="00CD4929" w:rsidRDefault="000B7024" w:rsidP="000B7024">
      <w:pPr>
        <w:suppressAutoHyphens/>
        <w:autoSpaceDE w:val="0"/>
        <w:rPr>
          <w:color w:val="000000"/>
          <w:highlight w:val="yellow"/>
        </w:rPr>
      </w:pPr>
    </w:p>
    <w:p w:rsidR="000B7024" w:rsidRDefault="000B7024" w:rsidP="000B7024">
      <w:pPr>
        <w:suppressAutoHyphens/>
        <w:autoSpaceDE w:val="0"/>
        <w:rPr>
          <w:color w:val="000000"/>
        </w:rPr>
      </w:pPr>
      <w:r w:rsidRPr="00E62DDE">
        <w:rPr>
          <w:color w:val="000000"/>
        </w:rPr>
        <w:lastRenderedPageBreak/>
        <w:t xml:space="preserve">Zināmu neizpratni vairāki eksperti pauda par to, ka Izvērtējumā kā atsevišķa mērķa grupa tiek izdalītas </w:t>
      </w:r>
      <w:r w:rsidRPr="00E62DDE">
        <w:rPr>
          <w:b/>
          <w:color w:val="000000"/>
        </w:rPr>
        <w:t>vardarbībā cietušas personas</w:t>
      </w:r>
      <w:r w:rsidRPr="00E62DDE">
        <w:rPr>
          <w:color w:val="000000"/>
        </w:rPr>
        <w:t>. Viņuprāt, šīs grupas mājokļa problēmas ir atrisinātas līdz ar 13.02.2014. grozījumiem Civilprocesa likumā par pagaidu aizsardzību pret vardarbību, kas cita starpā nosaka arī normu par varmākas nošķiršanu no upura (viens no pagaidu aizsardzības veidiem ir tiesas noteiks lēmums par aizliegumu varmākam atrasties cietušās personas mājoklī vai tās tuvumā</w:t>
      </w:r>
      <w:r w:rsidRPr="00E62DDE">
        <w:rPr>
          <w:rStyle w:val="FootnoteReference"/>
          <w:color w:val="000000"/>
        </w:rPr>
        <w:footnoteReference w:id="386"/>
      </w:r>
      <w:r w:rsidRPr="00E62DDE">
        <w:rPr>
          <w:color w:val="000000"/>
        </w:rPr>
        <w:t xml:space="preserve">). Savukārt, krīzes situācijās mājokļa palīdzību šai mērķa grupai sniedzot krīzes centri. </w:t>
      </w:r>
    </w:p>
    <w:p w:rsidR="000B7024" w:rsidRPr="00971AFD" w:rsidRDefault="000B7024" w:rsidP="00C33A64">
      <w:pPr>
        <w:pStyle w:val="virsrakstslvl4"/>
      </w:pPr>
      <w:bookmarkStart w:id="1374" w:name="_Toc2432949"/>
      <w:bookmarkStart w:id="1375" w:name="_Toc2761203"/>
      <w:bookmarkStart w:id="1376" w:name="_Toc2848310"/>
      <w:bookmarkStart w:id="1377" w:name="_Toc6219369"/>
      <w:bookmarkStart w:id="1378" w:name="_Toc6220312"/>
      <w:bookmarkStart w:id="1379" w:name="_Toc6841741"/>
      <w:r w:rsidRPr="00971AFD">
        <w:t>Līdzšinējās</w:t>
      </w:r>
      <w:r>
        <w:t xml:space="preserve"> un nepieciešamās politikas </w:t>
      </w:r>
      <w:r w:rsidRPr="00971AFD">
        <w:t xml:space="preserve"> iniciatīvas</w:t>
      </w:r>
      <w:bookmarkEnd w:id="1374"/>
      <w:bookmarkEnd w:id="1375"/>
      <w:bookmarkEnd w:id="1376"/>
      <w:bookmarkEnd w:id="1377"/>
      <w:bookmarkEnd w:id="1378"/>
      <w:bookmarkEnd w:id="1379"/>
    </w:p>
    <w:p w:rsidR="000B7024" w:rsidRDefault="000B7024" w:rsidP="000B7024">
      <w:r>
        <w:t>Eksperti intervijās minēja un komentēja vairākas līdzšinējās iniciatīvas mājokļu jomas attīstīšanā un sakārtošanā. Pamatā tās attiecas ne tik daudz uz atbalsta pasākumiem sociālās atstumtības un nabadzības riskam pakļauto grupu situācijas risināšanai mājokļa jomā, bet gan uz atbalstu maksātspējīgiem iedzīvotājiem (t.s. vidusslānim):</w:t>
      </w:r>
    </w:p>
    <w:p w:rsidR="000B7024" w:rsidRDefault="000B7024" w:rsidP="003F469F">
      <w:pPr>
        <w:pStyle w:val="ListParagraph"/>
        <w:numPr>
          <w:ilvl w:val="0"/>
          <w:numId w:val="141"/>
        </w:numPr>
        <w:spacing w:line="276" w:lineRule="auto"/>
        <w:jc w:val="both"/>
      </w:pPr>
      <w:r>
        <w:t>valsts atbalsta programma ALTUM (mērķa grupas: maksātspējīgas ģimenes ar bērniem un jaunie speciālisti);</w:t>
      </w:r>
    </w:p>
    <w:p w:rsidR="000B7024" w:rsidRDefault="000B7024" w:rsidP="003F469F">
      <w:pPr>
        <w:pStyle w:val="ListParagraph"/>
        <w:numPr>
          <w:ilvl w:val="0"/>
          <w:numId w:val="141"/>
        </w:numPr>
        <w:spacing w:line="276" w:lineRule="auto"/>
        <w:jc w:val="both"/>
      </w:pPr>
      <w:r>
        <w:t>īres namu būvniecība pašvaldībās (mērķa grupas: maksātspējīgais iedzīvotāju vidusslānis);</w:t>
      </w:r>
    </w:p>
    <w:p w:rsidR="000B7024" w:rsidRDefault="000B7024" w:rsidP="003F469F">
      <w:pPr>
        <w:pStyle w:val="ListParagraph"/>
        <w:numPr>
          <w:ilvl w:val="0"/>
          <w:numId w:val="141"/>
        </w:numPr>
        <w:spacing w:line="276" w:lineRule="auto"/>
        <w:jc w:val="both"/>
      </w:pPr>
      <w:r>
        <w:t xml:space="preserve">mājokļu siltināšanas programma (liels administratīvais slogs iedzīvotājiem). </w:t>
      </w:r>
    </w:p>
    <w:p w:rsidR="000B7024" w:rsidRDefault="000B7024" w:rsidP="000B7024"/>
    <w:p w:rsidR="000B7024" w:rsidRDefault="000B7024" w:rsidP="000B7024">
      <w:r>
        <w:t>Valsts atbalsta programmu ALTUM, kas darbojas kopš 2015.</w:t>
      </w:r>
      <w:r w:rsidR="00DE1C08">
        <w:t xml:space="preserve"> </w:t>
      </w:r>
      <w:r>
        <w:t>gada, eksperti kopumā vērtē kā pozitīvu iniciatīvu (Izvērtējumā nav veikts programmas padziļināta analīze</w:t>
      </w:r>
      <w:r>
        <w:rPr>
          <w:rStyle w:val="FootnoteReference"/>
        </w:rPr>
        <w:footnoteReference w:id="387"/>
      </w:r>
      <w:r>
        <w:t xml:space="preserve">). Tās galvenie trūkumi nevienlīdzības mājokļu pieejamības jomā ir, pirmkārt, </w:t>
      </w:r>
      <w:r w:rsidRPr="009124EB">
        <w:rPr>
          <w:b/>
        </w:rPr>
        <w:t>programmas nepietiekamā darbība reģionos</w:t>
      </w:r>
      <w:r>
        <w:t xml:space="preserve"> (kā skaidroja intervētie eksperti, programmu pamatā izmanto Rīgā un Pierīgā dzīvojošās ģimenes, kas daļēji skaidrojams arī ar reģionu nepietiekamo dzīvojamo fondu, mazākām nodarbinātības iespējām, zemāku visa veida pakalpojumu pieejamību); otrkārt, atbalstāmās </w:t>
      </w:r>
      <w:r w:rsidRPr="009124EB">
        <w:rPr>
          <w:b/>
        </w:rPr>
        <w:t>mērķa grupas ierobežojumi</w:t>
      </w:r>
      <w:r>
        <w:t xml:space="preserve"> – programma ir pieejama maksātspējīgām ģimenēm un jaunajiem speciālistiem līdz 35 gadiem. Kā norādīja EM pārstāvji, tiek plānots paplašināt programmas mērķa grupu (skat. arī 3.2.1. sadaļu). </w:t>
      </w:r>
    </w:p>
    <w:p w:rsidR="000B7024" w:rsidRDefault="000B7024" w:rsidP="000B7024"/>
    <w:p w:rsidR="000B7024" w:rsidRDefault="000B7024" w:rsidP="000B7024">
      <w:r>
        <w:t>Īres namu būvniecības iniciatīvu eksperti komentēja kontekstā ar valsts, pašvaldību un privātā sektora atbildību un finanšu resursu sadalījumu mājokļa jomā. Kā jau iepriekš norādīts, e</w:t>
      </w:r>
      <w:r w:rsidRPr="00C5784F">
        <w:t xml:space="preserve">kspertu vērtējumā </w:t>
      </w:r>
      <w:r>
        <w:t xml:space="preserve">galvenā problēma mājokļu pieejamības jomā ir dzīvojamā fonda trūkums un tā neapmierinošā kvalitāte. Tāpēc daļas ekspertu skatījumā </w:t>
      </w:r>
      <w:r w:rsidRPr="00C5784F">
        <w:t xml:space="preserve">pašvaldībām ir jāplāno budžeta </w:t>
      </w:r>
      <w:r w:rsidRPr="009124EB">
        <w:rPr>
          <w:b/>
        </w:rPr>
        <w:t>līdzekļi dzīvojamā fonda attīstībai un pilnveidošanai</w:t>
      </w:r>
      <w:r w:rsidRPr="00C5784F">
        <w:t xml:space="preserve">, jārisina jautājums par jaunu mājokļu būvniecību, kas nenotiek finanšu resursu trūkuma dēļ. </w:t>
      </w:r>
      <w:r w:rsidRPr="00007649">
        <w:t>Normatīvajā regulējumā noteiktie ierobežojumi pašvaldībām īstenot uzņēmējdarbību rada šķēršļus mājokļa jautājumu risināšanā</w:t>
      </w:r>
      <w:r>
        <w:t>, t.sk. būvniecībai</w:t>
      </w:r>
      <w:r w:rsidRPr="00007649">
        <w:t>. Tāpēc, piemēram, Valmieras pašvaldības iniciatīvu īres namu būvniecībā atsevišķi eksperti vērtē kā riskantu, ja vien tai nav valsts vai starptautisko finanšu instrumentu atbalsta.</w:t>
      </w:r>
      <w:r>
        <w:t xml:space="preserve"> Daļa ekspertu uzskata, ka </w:t>
      </w:r>
      <w:r w:rsidRPr="00C5784F">
        <w:t xml:space="preserve">jaunu mājokļu būvniecība </w:t>
      </w:r>
      <w:r>
        <w:t xml:space="preserve">nav </w:t>
      </w:r>
      <w:r w:rsidRPr="00C5784F">
        <w:t>pašvaldību uzdevums. Tika pausta nostāja, galvenokārt no pašvaldību puses, ka valstij ir jāsniedz atbalsts pašvaldībām šajā ziņā</w:t>
      </w:r>
      <w:r>
        <w:t>, t.sk. dotāciju veidā</w:t>
      </w:r>
      <w:r w:rsidRPr="00C5784F">
        <w:t>. No vienas puses, ir pašvaldība kā teritorijas attīstītāja, no otras puses, mājokļu būvniecība ir tieši saistīta ar uzņēmējdarbību, tā</w:t>
      </w:r>
      <w:r>
        <w:t>pēc, kā skaidroja atsevišķi eksperti, tā</w:t>
      </w:r>
      <w:r w:rsidRPr="00C5784F">
        <w:t xml:space="preserve"> nav definējama kā </w:t>
      </w:r>
      <w:r>
        <w:t xml:space="preserve">tikai </w:t>
      </w:r>
      <w:r w:rsidRPr="00C5784F">
        <w:t xml:space="preserve">sociālā funkcija. </w:t>
      </w:r>
      <w:r>
        <w:lastRenderedPageBreak/>
        <w:t>Viens no risinājumiem būtu</w:t>
      </w:r>
      <w:r w:rsidRPr="00C5784F">
        <w:t xml:space="preserve"> </w:t>
      </w:r>
      <w:r w:rsidRPr="00F7764B">
        <w:rPr>
          <w:b/>
        </w:rPr>
        <w:t>subsidiaritātes principa ieviešana mājokļa jomā</w:t>
      </w:r>
      <w:r w:rsidRPr="00C5784F">
        <w:t xml:space="preserve"> (publiskās varas pienākumus pēc iespējas realizē tā vara, kas atrodas vistuvāk personai un spēj nodrošināt pienākumu efektīvu īstenošanu zemākā pārvaldes līmenī</w:t>
      </w:r>
      <w:r w:rsidRPr="00C5784F">
        <w:rPr>
          <w:vertAlign w:val="superscript"/>
        </w:rPr>
        <w:footnoteReference w:id="388"/>
      </w:r>
      <w:r w:rsidRPr="00C5784F">
        <w:t>). Šis princips paredz risināt jautājumu, kā sadalīt kompetences un varu starp valsti un pašvaldību, pašvaldību un privāto sektoru.</w:t>
      </w:r>
      <w:r>
        <w:t xml:space="preserve"> </w:t>
      </w:r>
    </w:p>
    <w:p w:rsidR="000B7024" w:rsidRDefault="000B7024" w:rsidP="000B7024"/>
    <w:p w:rsidR="000B7024" w:rsidRDefault="000B7024" w:rsidP="000B7024">
      <w:r>
        <w:t>Izvērtējuma veikšanas laikā (02.10.2018.) MK konceptuāli atbalstīja EM piedāvājumu</w:t>
      </w:r>
      <w:r>
        <w:rPr>
          <w:rStyle w:val="FootnoteReference"/>
        </w:rPr>
        <w:footnoteReference w:id="389"/>
      </w:r>
      <w:r w:rsidR="001C3FB6">
        <w:t xml:space="preserve"> </w:t>
      </w:r>
      <w:r>
        <w:t xml:space="preserve">radīt </w:t>
      </w:r>
      <w:r w:rsidRPr="00305929">
        <w:rPr>
          <w:b/>
        </w:rPr>
        <w:t>atbalsta programmu pašvaldībām īres namu būvniecībai</w:t>
      </w:r>
      <w:r>
        <w:t>. P</w:t>
      </w:r>
      <w:r w:rsidRPr="00305929">
        <w:t>rogrammas ietvaros pašvaldību kapitālsabiedrības varēs saņemt ilgtermiņa aizdevumus daudzdzīvokļu dzīvojamo māju būvniecībai reģionos</w:t>
      </w:r>
      <w:r>
        <w:t xml:space="preserve">. </w:t>
      </w:r>
    </w:p>
    <w:p w:rsidR="000B7024" w:rsidRDefault="000B7024" w:rsidP="000B7024"/>
    <w:p w:rsidR="000B7024" w:rsidRDefault="000B7024" w:rsidP="000B7024">
      <w:r w:rsidRPr="00202319">
        <w:t xml:space="preserve">Mājokļu būvniecības kontekstā jāmin Rīgas pašvaldībā aktuālā </w:t>
      </w:r>
      <w:r w:rsidRPr="00CE10AF">
        <w:rPr>
          <w:b/>
        </w:rPr>
        <w:t>sociālo māju būvniecības iniciatīva</w:t>
      </w:r>
      <w:r w:rsidRPr="00202319">
        <w:t>. Kā intervijā skaidroja Rīgas pašvaldības pārstāve, pēdējos gados Rīga ir palielinājusi to personu loku, kuras tiek reģistrētas rindā uz sociālo dzīvokli, t.sk. atsevišķi dzīvojošas pensijas vecuma personas, atsevišķi dzīvojošas personas ar I un II grupas invaliditāti, kā arī ģimenes ar bērniem ar invaliditāti, „ja bērns nav nodrošināts ar atsevišķu istabu”.</w:t>
      </w:r>
      <w:r>
        <w:t xml:space="preserve"> </w:t>
      </w:r>
      <w:r w:rsidRPr="00202319">
        <w:t>Sociālo dzīvokļu kategorijā ietilpst arī servisa dzīvokļi, kas ir paredzēti cilvēkiem ar funkcionāliem traucējumiem. Tiek īstenota arī īres namu iegāde ārpus Rīgas (Baldonē, Ropažos, Silakrogā, Ādažos, Olainē, Siguldā, Dreiliņos), kur ir zemākas nekustamā īpašuma cenas. Iedzīvotāju atsaucība uz šiem mājokļiem neesot augsta (galvenie iemesli ir mājokļa telpiskā</w:t>
      </w:r>
      <w:r w:rsidR="008D4165">
        <w:t>/ ģeogrāfiskā</w:t>
      </w:r>
      <w:r w:rsidRPr="00202319">
        <w:t xml:space="preserve"> segregācija – papildu sabiedriskā transporta izdevumi, darba vietas, skolu un bērnu dārzu atrašanās tālu no dzīves vietas, gados veciem cilvēkiem šķērslis esot arī kapu atrašanās vieta tālu no dzīves vietas), taču, ņemot vērā kopējo rindas garumu (Rīgā ir desmit dažādi reģistri), arī šāda iniciatīva palīdz samazināt rindu uz mājokli.</w:t>
      </w:r>
    </w:p>
    <w:p w:rsidR="000B7024" w:rsidRDefault="000B7024" w:rsidP="000B7024"/>
    <w:p w:rsidR="000B7024" w:rsidRDefault="000B7024" w:rsidP="000B7024">
      <w:r w:rsidRPr="00243D68">
        <w:rPr>
          <w:b/>
        </w:rPr>
        <w:t>Mājokļu siltināšanas programmas</w:t>
      </w:r>
      <w:r>
        <w:t xml:space="preserve"> ietekmi uz nevienlīdzības mājokļa jomā mazināšanu eksperti nekomentēja, taču par šīs politikas pozitīvo ietekmi netieši liecina Izvērtējumā veiktā statistikas datu analīze, proti, ir vērojama tendence samazināties to iedzīvotāju īpatsvaram, kuriem ir finansiālas problēmas mājās uzturēt siltumu (2015.</w:t>
      </w:r>
      <w:r w:rsidR="00DE1C08">
        <w:t xml:space="preserve"> </w:t>
      </w:r>
      <w:r>
        <w:t>gadā šādas grūtības bija 17,5%, 2017.</w:t>
      </w:r>
      <w:r w:rsidR="00DE1C08">
        <w:t xml:space="preserve"> </w:t>
      </w:r>
      <w:r>
        <w:t xml:space="preserve">gadā – 13,3.% iedzīvotāju). Atsevišķi eksperti gan norādīja, ka iedzīvotāju iesaistīšanos šajās programmās apgrūtina administratīvās procedūras, turklāt, raugoties uz situāciju kopumā visā Latvijā, esot redzams, ka māju siltināšana ir veikta salīdzinoši nelielai daļai dzīvojamo māju (precīzus datus eksperts neminēja). </w:t>
      </w:r>
    </w:p>
    <w:p w:rsidR="000B7024" w:rsidRDefault="000B7024" w:rsidP="000B7024"/>
    <w:p w:rsidR="000B7024" w:rsidRDefault="000B7024" w:rsidP="000B7024">
      <w:r>
        <w:t xml:space="preserve">Viena no ekspertu intervijās identificētajām iniciatīvām, kas attiecas tieši uz sociālās atstumtības un nabadzības riskam pakļautajām iedzīvotāju grupām nevienlīdzības mazināšanai mājokļa jomā, ir </w:t>
      </w:r>
      <w:r w:rsidRPr="009124EB">
        <w:rPr>
          <w:b/>
        </w:rPr>
        <w:t>atvieglojumi maksājumiem par elektroenerģiju</w:t>
      </w:r>
      <w:r>
        <w:t xml:space="preserve">. Šie atvieglojumi attiecas uz trīs mērķa grupām: trūcīgie un maznodrošinātie </w:t>
      </w:r>
      <w:r w:rsidRPr="00AD7561">
        <w:t>iedzīvotāji, ģimenes ar bērniem un personas ar invaliditāti (izvērsti likumā „Elektroenerģijas tirgus likums” un 12.07.2016. MK noteikumos Nr. 459 „Aizsargātā lietotāja tirdzniecības pakalpojuma sniegšanas, obligātā iepirkuma komponentes un sadales sistēmas pakalpojuma kompensēšanas</w:t>
      </w:r>
      <w:r w:rsidRPr="00B9589E">
        <w:t xml:space="preserve"> kārtība”</w:t>
      </w:r>
      <w:r>
        <w:t xml:space="preserve"> noteiktie atvieglojumi raksturoti normatīvā regulējuma analīzes sadaļā). </w:t>
      </w:r>
    </w:p>
    <w:p w:rsidR="000B7024" w:rsidRDefault="000B7024" w:rsidP="000B7024">
      <w:r>
        <w:lastRenderedPageBreak/>
        <w:t xml:space="preserve">Mājokļa pieejamības atbalsta pasākumi pašvaldībās var būt gan sociālās atstumtības un nabadzības riskam pakļautajām mērķa grupām, gan citām iedzīvotāju grupām, kas jau ir pilnībā pašvaldības pašas izvēle un lēmums. Piemēram, Cēsu pašvaldība sniedz īpašu </w:t>
      </w:r>
      <w:r w:rsidRPr="009124EB">
        <w:rPr>
          <w:b/>
        </w:rPr>
        <w:t>atbalstu ģimenēm ar bērniem</w:t>
      </w:r>
      <w:r>
        <w:t xml:space="preserve"> – ja ģimenē abi vecāku strādā, tad pašvaldība sniedz palīdzību dzīvojamās platības nodrošināšanai, lai ģimenei būtu mazāki izdevumi par mājokli (proti, mājokļa īre privātajā mājokļu tirgū ir dārgāka nekā pašvaldības mājokļu īre). Šāds atbalsta tiek sniegts ģimenēm ar bērniem, kuras pārceļas uz dzīvi pilsētā pirmos divu līdz trīs gadu periodā. Atbalsts mājokļa pieejamībai tiek sniegts arī </w:t>
      </w:r>
      <w:r w:rsidRPr="009124EB">
        <w:rPr>
          <w:b/>
        </w:rPr>
        <w:t>reemigrantiem</w:t>
      </w:r>
      <w:r>
        <w:t xml:space="preserve"> – cilvēkiem, kas atgriežas dzīvot Latvijā. šāda atbalsta sniegšana tiek pamatota ar to, ka šī mērķa grupa visbiezāk devusies uz ārzemēm, lai varētu nokārtot hipotekārā kredīta saistības. Prakse rāda, ka šie cilvēki, kaut arī ir nokārtojuši savas parādsaistības, ir zaudējuši savu mājokli, līdz ar to ģimenei, pat ja tā vēlas, nav kur atgriezties. </w:t>
      </w:r>
    </w:p>
    <w:p w:rsidR="000B7024" w:rsidRDefault="000B7024" w:rsidP="000B7024"/>
    <w:p w:rsidR="000B7024" w:rsidRDefault="000B7024" w:rsidP="000B7024">
      <w:r>
        <w:t xml:space="preserve">Pašvaldībās ir pieejams arī </w:t>
      </w:r>
      <w:r w:rsidRPr="009124EB">
        <w:rPr>
          <w:b/>
        </w:rPr>
        <w:t>ģimenes asistenta pakalpojums</w:t>
      </w:r>
      <w:r>
        <w:t>, kas cita starpā ietver arī palīdzību mājokļa jautājuma risināšanā. Tas ir „</w:t>
      </w:r>
      <w:r w:rsidRPr="00350BC3">
        <w:t>sociālais pakalpojums, kura ietvaros personai (ģimenei) atbilstoši personas (ģimenes) vajadzībām saskaņā ar individuāli izstrādātu sociālās rehabilitācijas plānu tiek nodrošināts atbalsts un palīdzība mājokļa, nodarbinātības, izglītības, atkarības, veselības problēmu risināšanā, sociālo un sadzīves prasmju attīstīšanā, kā arī bērnu aprūpē un audzināšanā</w:t>
      </w:r>
      <w:r>
        <w:t>”</w:t>
      </w:r>
      <w:r w:rsidRPr="00CD6CE1">
        <w:rPr>
          <w:rStyle w:val="FootnoteReference"/>
        </w:rPr>
        <w:t xml:space="preserve"> </w:t>
      </w:r>
      <w:r w:rsidRPr="008C74D6">
        <w:rPr>
          <w:rStyle w:val="FootnoteReference"/>
        </w:rPr>
        <w:footnoteReference w:id="390"/>
      </w:r>
      <w:r w:rsidRPr="00350BC3">
        <w:t>.</w:t>
      </w:r>
      <w:r>
        <w:t xml:space="preserve"> Konkrētās mērķa grupas un pakalpojuma apmēru stundās nosaka katra pašvaldība atsevišķi. Piemēram, Rīgas gadījumā šo pakalpojumu var saņemt šādas mērķa grupas: </w:t>
      </w:r>
    </w:p>
    <w:p w:rsidR="000B7024" w:rsidRDefault="000B7024" w:rsidP="003F469F">
      <w:pPr>
        <w:pStyle w:val="ListParagraph"/>
        <w:numPr>
          <w:ilvl w:val="0"/>
          <w:numId w:val="139"/>
        </w:numPr>
        <w:spacing w:line="276" w:lineRule="auto"/>
        <w:jc w:val="both"/>
      </w:pPr>
      <w:r>
        <w:t xml:space="preserve">jaunieši pēc </w:t>
      </w:r>
      <w:r w:rsidRPr="00350BC3">
        <w:t>ārpusģimenes aprūpes līdz 24 gadu vecuma sasniegšanai</w:t>
      </w:r>
      <w:r>
        <w:t xml:space="preserve">; </w:t>
      </w:r>
    </w:p>
    <w:p w:rsidR="000B7024" w:rsidRPr="00350BC3" w:rsidRDefault="000B7024" w:rsidP="003F469F">
      <w:pPr>
        <w:pStyle w:val="ListParagraph"/>
        <w:numPr>
          <w:ilvl w:val="0"/>
          <w:numId w:val="139"/>
        </w:numPr>
        <w:spacing w:line="276" w:lineRule="auto"/>
        <w:jc w:val="both"/>
      </w:pPr>
      <w:r w:rsidRPr="00350BC3">
        <w:t>personas bez noteiktas dzīvesvietas;</w:t>
      </w:r>
    </w:p>
    <w:p w:rsidR="000B7024" w:rsidRPr="00350BC3" w:rsidRDefault="000B7024" w:rsidP="003F469F">
      <w:pPr>
        <w:pStyle w:val="ListParagraph"/>
        <w:numPr>
          <w:ilvl w:val="0"/>
          <w:numId w:val="139"/>
        </w:numPr>
        <w:spacing w:line="276" w:lineRule="auto"/>
        <w:jc w:val="both"/>
      </w:pPr>
      <w:r w:rsidRPr="00350BC3">
        <w:t>ģimenes, kurām nav pietiekamu prasmju un iemaņu bērnu audzināšanā un aprūpē;</w:t>
      </w:r>
    </w:p>
    <w:p w:rsidR="000B7024" w:rsidRPr="00350BC3" w:rsidRDefault="000B7024" w:rsidP="003F469F">
      <w:pPr>
        <w:pStyle w:val="ListParagraph"/>
        <w:numPr>
          <w:ilvl w:val="0"/>
          <w:numId w:val="139"/>
        </w:numPr>
        <w:spacing w:line="276" w:lineRule="auto"/>
        <w:jc w:val="both"/>
      </w:pPr>
      <w:r w:rsidRPr="00350BC3">
        <w:t>pilngadīgas personas ar garīga rakstura traucējumiem.</w:t>
      </w:r>
    </w:p>
    <w:p w:rsidR="000B7024" w:rsidRDefault="000B7024" w:rsidP="000B7024">
      <w:pPr>
        <w:rPr>
          <w:highlight w:val="yellow"/>
        </w:rPr>
      </w:pPr>
    </w:p>
    <w:p w:rsidR="000B7024" w:rsidRDefault="000B7024" w:rsidP="000B7024">
      <w:r w:rsidRPr="00C5784F">
        <w:t xml:space="preserve">Nevienlīdzības mājokļa pieejamības jomā mazināšanai viena no nepieciešamajām iniciatīvām, kas tika minēta ekspertu intervijās, ir </w:t>
      </w:r>
      <w:r w:rsidRPr="0020160B">
        <w:rPr>
          <w:b/>
        </w:rPr>
        <w:t>vienotas pieejas izveidošana mājokļa pabalsta noteikšanai un piešķiršanai pašvaldībās</w:t>
      </w:r>
      <w:r w:rsidRPr="00C5784F">
        <w:t xml:space="preserve">. </w:t>
      </w:r>
      <w:r>
        <w:t xml:space="preserve">Vienlaikus atsevišķi eksperti uzskata, ka šāda vienota pieeja nav atbalstāma, jo situācija katrā pašvaldībā gan attiecībā uz dzīvojamo fondu, gan atbalstāmajām mērķa grupām var atšķirties. </w:t>
      </w:r>
    </w:p>
    <w:p w:rsidR="000B7024" w:rsidRPr="00971AFD" w:rsidRDefault="000B7024" w:rsidP="00C33A64">
      <w:pPr>
        <w:pStyle w:val="virsrakstslvl4"/>
      </w:pPr>
      <w:bookmarkStart w:id="1380" w:name="_Toc2432950"/>
      <w:bookmarkStart w:id="1381" w:name="_Toc2761204"/>
      <w:bookmarkStart w:id="1382" w:name="_Toc2848311"/>
      <w:bookmarkStart w:id="1383" w:name="_Toc6219370"/>
      <w:bookmarkStart w:id="1384" w:name="_Toc6220313"/>
      <w:bookmarkStart w:id="1385" w:name="_Toc6841742"/>
      <w:r>
        <w:t>Normatīvais regulējums</w:t>
      </w:r>
      <w:bookmarkEnd w:id="1380"/>
      <w:bookmarkEnd w:id="1381"/>
      <w:bookmarkEnd w:id="1382"/>
      <w:bookmarkEnd w:id="1383"/>
      <w:bookmarkEnd w:id="1384"/>
      <w:bookmarkEnd w:id="1385"/>
    </w:p>
    <w:p w:rsidR="000B7024" w:rsidRDefault="000B7024" w:rsidP="000B7024">
      <w:r w:rsidRPr="00347217">
        <w:t xml:space="preserve">Kopumā </w:t>
      </w:r>
      <w:r>
        <w:t xml:space="preserve">ekspertu vērtējumā esošais </w:t>
      </w:r>
      <w:r w:rsidRPr="00365442">
        <w:rPr>
          <w:b/>
        </w:rPr>
        <w:t>mājokļa jomas tiesiskais regulējums ir novecojis</w:t>
      </w:r>
      <w:r>
        <w:t xml:space="preserve">, to nepieciešams sistemātiski pārskatīt un pilnveidot atbilstoši aktuālajai situācijai un vajadzībām ar mērķi attīstīt gan mājokļu īres tirgu, gan mājokļu būvniecību, gan risināt novecojušā dzīvojamā fonda problēmas. </w:t>
      </w:r>
    </w:p>
    <w:p w:rsidR="000B7024" w:rsidRDefault="000B7024" w:rsidP="000B7024"/>
    <w:p w:rsidR="000B7024" w:rsidRDefault="000B7024" w:rsidP="000B7024">
      <w:r>
        <w:t xml:space="preserve">Izvērtējuma veikšanas periodā īpaši aktuāls bija </w:t>
      </w:r>
      <w:r w:rsidRPr="00365442">
        <w:rPr>
          <w:b/>
        </w:rPr>
        <w:t>likumprojekts „Dzīvojamo telpu īres likums”</w:t>
      </w:r>
      <w:r>
        <w:t xml:space="preserve"> (izvērsti par tā būtību, mērķiem un ietekmi skat. 3.2.2. sadaļu). Eksperti pozitīvi vērtē likumprojekta virzīšanu, tajā ietvertās normas, kas paredz sakārtot īres tirgu, līdzsvarot īrnieka un dzīvokļa īpašnieka (izīrētāja) tiesību kopumu, uzlabot īres strīdu izskatīšanas kārtību, risināt problēmu ar </w:t>
      </w:r>
      <w:r>
        <w:lastRenderedPageBreak/>
        <w:t xml:space="preserve">īrniekiem, kas nepilda savus pienākumus, īpaši attiecībā uz pašvaldību mājokļiem, tādejādi arī netieši sekmējot īres namu būvniecību pašvaldībās. </w:t>
      </w:r>
    </w:p>
    <w:p w:rsidR="000B7024" w:rsidRDefault="000B7024" w:rsidP="000B7024"/>
    <w:p w:rsidR="000B7024" w:rsidRDefault="000B7024" w:rsidP="000B7024">
      <w:r>
        <w:t xml:space="preserve">Atsevišķi eksperti izteica pieņēmumu, ka jaunais tiesiskais regulējums sākotnēji varētu palielināt nevienlīdzību, taču ilgtermiņā gluži otrādi – samazināt. Attīstot dzīvokļu tirgu, tiks veicināta arī darba tirgus attīstība, kā rezultātā ir sagaidāma pozitīva ietekme arī uz ienākumu nevienlīdzības samazināšanos. Likumprojektam nav sagaidāma tieša ietekme uz nevienlīdzības mājokļa jomā mazināšanu, taču tas ir būtisks priekšnoteikums tam, lai mājokļa jomā tiktu risinātas jau minētās problēmas, kas, savukārt, sekmēs mājokļu pieejamību iedzīvotājiem atbilstoši viņu iespējām un vajadzībām. </w:t>
      </w:r>
    </w:p>
    <w:p w:rsidR="000B7024" w:rsidRPr="00701495" w:rsidRDefault="000B7024" w:rsidP="000B7024"/>
    <w:p w:rsidR="000B7024" w:rsidRDefault="000B7024" w:rsidP="000B7024">
      <w:r>
        <w:t xml:space="preserve">Nākamais jautājums, kas tika intervijās aktualizēts, runājot par vēlamajām izmaiņām, ir </w:t>
      </w:r>
      <w:r w:rsidRPr="00365442">
        <w:rPr>
          <w:b/>
        </w:rPr>
        <w:t>nepieciešamība pilnveidot tiesisko regulējumu par valsts un pašvaldības tiesībām nodarboties ar uzņēmējdarbību</w:t>
      </w:r>
      <w:r>
        <w:t>, lai mazinātu šķēršļus pašvaldību dzīvojamā fonda atjaunošanai un attīstīšanai. 06.06.2002. Valsts pārvaldes iekārtas likums</w:t>
      </w:r>
      <w:r>
        <w:rPr>
          <w:rStyle w:val="FootnoteReference"/>
        </w:rPr>
        <w:footnoteReference w:id="391"/>
      </w:r>
      <w:r>
        <w:t xml:space="preserve"> nosaka, ka pašvaldība var noteikt stratēģiskos mērķus un atbilstoši tiem dibināt uzņēmumus. Vienlaikus, kā norādīja eksperts, ir nepieciešams pilnveidot saistītos tiesību aktus. </w:t>
      </w:r>
    </w:p>
    <w:p w:rsidR="000B7024" w:rsidRDefault="000B7024" w:rsidP="000B7024"/>
    <w:p w:rsidR="000B7024" w:rsidRDefault="000B7024" w:rsidP="000B7024">
      <w:r>
        <w:t xml:space="preserve">Izmaiņas ir nepieciešamas </w:t>
      </w:r>
      <w:r w:rsidRPr="00782616">
        <w:rPr>
          <w:b/>
        </w:rPr>
        <w:t>„Dzīvojamo māju pārvaldīšanas likumā”</w:t>
      </w:r>
      <w:r>
        <w:t xml:space="preserve">, jo, kā skaidroja EM pārstāvji, nav pamatota norma, ka par jebkuru jautājumu lēmumu pieņem dzīvokļu īpašnieki. Nepieciešams būtu paplašināt dzīvojamās mājas pārvaldnieka kompetencē esošos jautājumus, par kuriem pārvaldnieks drīkst patstāvīgi pieņemt lēmumus. Kopumā ir nepieciešams padarīt dzīvojamo māju pārvaldīšanas modeli ilgtspējīgāku, kas ļautu nodrošināt ilgtermiņa ieguldījumus mājās. </w:t>
      </w:r>
    </w:p>
    <w:p w:rsidR="000B7024" w:rsidRDefault="000B7024" w:rsidP="000B7024"/>
    <w:p w:rsidR="000B7024" w:rsidRPr="009D655B" w:rsidRDefault="000B7024" w:rsidP="000B7024">
      <w:r>
        <w:t xml:space="preserve">Izmaiņas ir nepieciešamas arī </w:t>
      </w:r>
      <w:r w:rsidRPr="009D655B">
        <w:rPr>
          <w:b/>
        </w:rPr>
        <w:t>likumā</w:t>
      </w:r>
      <w:r>
        <w:t xml:space="preserve"> </w:t>
      </w:r>
      <w:r>
        <w:rPr>
          <w:b/>
        </w:rPr>
        <w:t>„Par palīdzību dzīvokļa jautājumu risināšanā”</w:t>
      </w:r>
      <w:r>
        <w:t xml:space="preserve">. Esošais regulējums primāri nosaka mērķa grupas, kurām jāsniedz atbalsts mājokļa jomā, vienlaikus pašvaldībām nav šī atbalsts pilnvērtīgais sniegšanai nepieciešamie resursi (pienācīgas kvalitātes dzīvojamais fonds atbilstoši pieprasījuma apmēram). Turklāt, ja arī šie resursi būtu, tukšu mājokļu uzturēšana no izdevumu viedokļa nav efektīva. Tāpēc EM pārstāvju skatījumā būtu ieteicams mainīt atbalsta sniegšanas pieeju, lielāku uzsvaru liekot tieši uz dzīvokļa pabalstiem. Tas nozīmētu, ka situācijā, kad iestājas situācija, kurā pašvaldībai ir jāsniedz atbalsts konkrētām personām, tām tas sniegts finanšu resursu veidā ar iespēju risināt radušos mājokļa problēmu brīvajā tirgū, īrējot savām tā brīža iespējām un vajadzībām atbilstošu mājokli. </w:t>
      </w:r>
    </w:p>
    <w:p w:rsidR="000B7024" w:rsidRDefault="000B7024" w:rsidP="000B7024"/>
    <w:p w:rsidR="000B7024" w:rsidRPr="009F5501" w:rsidRDefault="000B7024" w:rsidP="000B7024">
      <w:r>
        <w:t xml:space="preserve">Attiecībā uz </w:t>
      </w:r>
      <w:r w:rsidRPr="00782616">
        <w:rPr>
          <w:b/>
        </w:rPr>
        <w:t>iekšējiem normatīvajiem aktiem</w:t>
      </w:r>
      <w:r>
        <w:t xml:space="preserve"> (t.i., pašvaldību saistošie noteikumi), kā problēma tika identificēts tas, ka pašvaldības tās īpašumā esošajiem mājokļiem īres maksu nosaka nevis pēc faktiskajiem izdevumiem, bet gan tīri administratīvi, turklāt īres likmes netiekot pārskatītas. Ekspertu skatījumā ir nepieciešams, pirmkārt, pārskatīt pašvaldību mājokļu īres periodus, otrkārt, īres cenu noteikt atbilstoši faktiskajiem izdevumiem par mājokļa uzturēšanu. </w:t>
      </w:r>
    </w:p>
    <w:p w:rsidR="000B7024" w:rsidRDefault="000B7024" w:rsidP="00C33A64">
      <w:pPr>
        <w:pStyle w:val="virsrakstslvl4"/>
      </w:pPr>
      <w:bookmarkStart w:id="1386" w:name="_Toc2432951"/>
      <w:bookmarkStart w:id="1387" w:name="_Toc2761205"/>
      <w:bookmarkStart w:id="1388" w:name="_Toc2848312"/>
      <w:bookmarkStart w:id="1389" w:name="_Toc6219371"/>
      <w:bookmarkStart w:id="1390" w:name="_Toc6220314"/>
      <w:bookmarkStart w:id="1391" w:name="_Toc6841743"/>
      <w:r>
        <w:lastRenderedPageBreak/>
        <w:t>Datu pieejamība mājokļa jomā</w:t>
      </w:r>
      <w:bookmarkEnd w:id="1386"/>
      <w:bookmarkEnd w:id="1387"/>
      <w:bookmarkEnd w:id="1388"/>
      <w:bookmarkEnd w:id="1389"/>
      <w:bookmarkEnd w:id="1390"/>
      <w:bookmarkEnd w:id="1391"/>
    </w:p>
    <w:p w:rsidR="000B7024" w:rsidRDefault="000B7024" w:rsidP="000B7024">
      <w:r>
        <w:t xml:space="preserve">Galvenie datu avoti, kurus izmantot mājokļu jomā strādājošie eksperti, ir CSP, NVA, VID un Zemesgrāmatas dati, kā arī pašvaldību administratīvie dati. </w:t>
      </w:r>
    </w:p>
    <w:p w:rsidR="000B7024" w:rsidRDefault="000B7024" w:rsidP="000B7024"/>
    <w:p w:rsidR="000B7024" w:rsidRDefault="000B7024" w:rsidP="000B7024">
      <w:r>
        <w:t>Pašvaldības, kā liecina ekspertu intervijās apzinātā pieredze, pamatā izmanto savus iekšējos administratīvos datus. Savukārt, mājokļa politikas jomā darbojošās institūcijas, papildus publiski pieejamajiem datiem, pašas vāc un apkopo datus par dažādiem mājokļa aspektiem atkarībā no konkrētās vajadzības (risināmā jautājuma). Mājokļa politikas veidotājiem svarīgi ir dati pēc iespējas sīkākā administratīvajā sadalījumā (ciemi, pagasti, novadi, pilsētas, pilsētu apkaimes), kā arī tādos griezumos, kādos CSP datus par mājokli nepiedāvā</w:t>
      </w:r>
      <w:r w:rsidRPr="00C044ED">
        <w:t xml:space="preserve"> (piemēram</w:t>
      </w:r>
      <w:r>
        <w:t>,</w:t>
      </w:r>
      <w:r w:rsidRPr="00C044ED">
        <w:t xml:space="preserve"> nedalot iedzīvotājus vecuma grupas vai ienākumus kvintilēs).</w:t>
      </w:r>
      <w:r>
        <w:t xml:space="preserve"> EM pārstāvji norādīja trīs pamata jomas, kurās trūkst datu: statistiska par īri, statistika par mājokļu kvalitāti, statistika par </w:t>
      </w:r>
      <w:r w:rsidRPr="00C044ED">
        <w:t>mājsaimniecības sastāvu, dzīves līmeni</w:t>
      </w:r>
      <w:r>
        <w:t xml:space="preserve"> </w:t>
      </w:r>
      <w:r w:rsidRPr="00C044ED">
        <w:t>(šajā kategorijā galvenokārt pietrūkst iespēja statistiku atlasīt pēc dažādām pazīmēm)</w:t>
      </w:r>
      <w:r>
        <w:t>.</w:t>
      </w:r>
    </w:p>
    <w:p w:rsidR="000B7024" w:rsidRDefault="000B7024" w:rsidP="000B7024"/>
    <w:p w:rsidR="000B7024" w:rsidRDefault="000B7024" w:rsidP="000B7024">
      <w:r>
        <w:t>Līdz 2016.</w:t>
      </w:r>
      <w:r w:rsidR="00DE1C08">
        <w:t xml:space="preserve"> </w:t>
      </w:r>
      <w:r>
        <w:t xml:space="preserve">gadam EM regulāri vāca, apkopoja un publiskoja pašvaldību datus par situāciju mājokļa jomā. Lai iegūtu datus no pašvaldībām, piemēram, EM ir sadarbība ar LPS, ar kuras starpniecību pašvaldībām tiek sniegts datu pieprasījums par dzīvojamo fondu, īres cenām, veiktajiem uzlabojumiem u.c. aspektiem, kas ļauj izvērtēt mājokļu pieejamību pēc dažādiem aspektiem. Izvērtējuma veikšanas laikā EM plānoja veikt apjomīgu pašvaldību aptauju ar mērķi iegūt informāciju, lai varētu uzsākt nākamā plānošanas perioda ES fondu apguvi šajā jomā (t.sk. nepieciešamība noskaidrot datus par sociālo dzīvokļu skaitu, brīvo dzīvojamo platību, mājokļu stāvokli, īres cenas, īres līgumu pārskatīšanas kārtība u.c.). </w:t>
      </w:r>
    </w:p>
    <w:p w:rsidR="000B7024" w:rsidRDefault="000B7024" w:rsidP="000B7024"/>
    <w:p w:rsidR="000B7024" w:rsidRDefault="000B7024" w:rsidP="000B7024">
      <w:r>
        <w:t>Zemāk tabulā ir atspoguļota EM pārstāvji apkopotā informāciju par trūkstošajiem statiskas datiem mājokļa jomā.</w:t>
      </w:r>
    </w:p>
    <w:p w:rsidR="000B7024" w:rsidRDefault="000B7024" w:rsidP="000B7024"/>
    <w:tbl>
      <w:tblPr>
        <w:tblStyle w:val="TableGrid"/>
        <w:tblW w:w="0" w:type="auto"/>
        <w:tblLook w:val="04A0"/>
      </w:tblPr>
      <w:tblGrid>
        <w:gridCol w:w="2518"/>
        <w:gridCol w:w="7390"/>
      </w:tblGrid>
      <w:tr w:rsidR="000B7024" w:rsidRPr="00615C75" w:rsidTr="0088759D">
        <w:tc>
          <w:tcPr>
            <w:tcW w:w="2518" w:type="dxa"/>
            <w:shd w:val="clear" w:color="auto" w:fill="B8CCE4" w:themeFill="accent1" w:themeFillTint="66"/>
          </w:tcPr>
          <w:p w:rsidR="000B7024" w:rsidRPr="00615C75" w:rsidRDefault="000B7024" w:rsidP="0088759D">
            <w:pPr>
              <w:spacing w:before="120" w:after="120"/>
              <w:jc w:val="center"/>
              <w:rPr>
                <w:b/>
                <w:color w:val="002060"/>
                <w:sz w:val="22"/>
                <w:szCs w:val="22"/>
              </w:rPr>
            </w:pPr>
            <w:r w:rsidRPr="00615C75">
              <w:rPr>
                <w:b/>
                <w:color w:val="002060"/>
                <w:sz w:val="22"/>
                <w:szCs w:val="22"/>
              </w:rPr>
              <w:t>Statistikas datu joma</w:t>
            </w:r>
          </w:p>
        </w:tc>
        <w:tc>
          <w:tcPr>
            <w:tcW w:w="7390" w:type="dxa"/>
            <w:shd w:val="clear" w:color="auto" w:fill="B8CCE4" w:themeFill="accent1" w:themeFillTint="66"/>
          </w:tcPr>
          <w:p w:rsidR="000B7024" w:rsidRPr="00615C75" w:rsidRDefault="000B7024" w:rsidP="0088759D">
            <w:pPr>
              <w:spacing w:before="120" w:after="120"/>
              <w:jc w:val="center"/>
              <w:rPr>
                <w:b/>
                <w:color w:val="002060"/>
                <w:sz w:val="22"/>
                <w:szCs w:val="22"/>
              </w:rPr>
            </w:pPr>
            <w:r w:rsidRPr="00615C75">
              <w:rPr>
                <w:b/>
                <w:color w:val="002060"/>
                <w:sz w:val="22"/>
                <w:szCs w:val="22"/>
              </w:rPr>
              <w:t>Statistikas datu rādītāji</w:t>
            </w:r>
          </w:p>
        </w:tc>
      </w:tr>
      <w:tr w:rsidR="000B7024" w:rsidRPr="000A682A" w:rsidTr="007A5786">
        <w:tc>
          <w:tcPr>
            <w:tcW w:w="2518" w:type="dxa"/>
          </w:tcPr>
          <w:p w:rsidR="000B7024" w:rsidRPr="000A682A" w:rsidRDefault="000B7024" w:rsidP="0088759D">
            <w:pPr>
              <w:jc w:val="left"/>
              <w:rPr>
                <w:sz w:val="22"/>
                <w:szCs w:val="22"/>
              </w:rPr>
            </w:pPr>
            <w:r w:rsidRPr="000A682A">
              <w:rPr>
                <w:sz w:val="22"/>
                <w:szCs w:val="22"/>
              </w:rPr>
              <w:t>Statistikas rādītāji par dzīvojamo telpu īri</w:t>
            </w:r>
          </w:p>
        </w:tc>
        <w:tc>
          <w:tcPr>
            <w:tcW w:w="7390" w:type="dxa"/>
          </w:tcPr>
          <w:p w:rsidR="000B7024" w:rsidRPr="000A682A" w:rsidRDefault="000B7024" w:rsidP="0088759D">
            <w:pPr>
              <w:numPr>
                <w:ilvl w:val="1"/>
                <w:numId w:val="144"/>
              </w:numPr>
              <w:ind w:left="406" w:hanging="265"/>
              <w:rPr>
                <w:sz w:val="22"/>
                <w:szCs w:val="22"/>
              </w:rPr>
            </w:pPr>
            <w:r w:rsidRPr="000A682A">
              <w:rPr>
                <w:sz w:val="22"/>
                <w:szCs w:val="22"/>
              </w:rPr>
              <w:t>mājsaimniecību skaits, kuras dzīvo īrētā mājoklī (ar iedalījumu pilsētās un novados);</w:t>
            </w:r>
          </w:p>
          <w:p w:rsidR="000B7024" w:rsidRPr="000A682A" w:rsidRDefault="000B7024" w:rsidP="0088759D">
            <w:pPr>
              <w:numPr>
                <w:ilvl w:val="1"/>
                <w:numId w:val="144"/>
              </w:numPr>
              <w:ind w:left="406" w:hanging="265"/>
              <w:rPr>
                <w:sz w:val="22"/>
                <w:szCs w:val="22"/>
              </w:rPr>
            </w:pPr>
            <w:r w:rsidRPr="000A682A">
              <w:rPr>
                <w:sz w:val="22"/>
                <w:szCs w:val="22"/>
              </w:rPr>
              <w:t>vidējā īres maksa par m</w:t>
            </w:r>
            <w:r w:rsidRPr="000A682A">
              <w:rPr>
                <w:sz w:val="22"/>
                <w:szCs w:val="22"/>
                <w:vertAlign w:val="superscript"/>
              </w:rPr>
              <w:t>2</w:t>
            </w:r>
            <w:r w:rsidRPr="000A682A">
              <w:rPr>
                <w:sz w:val="22"/>
                <w:szCs w:val="22"/>
              </w:rPr>
              <w:t xml:space="preserve"> un mājokli kopumā (ar iedalījumu pilsētās un novados un iespēju iedalīt mājokļa veidos – viena dzīvokļa mājā, daudzdzīvokļu mājā, no istabu skaita, m</w:t>
            </w:r>
            <w:r w:rsidRPr="000A682A">
              <w:rPr>
                <w:sz w:val="22"/>
                <w:szCs w:val="22"/>
                <w:vertAlign w:val="superscript"/>
              </w:rPr>
              <w:t>2</w:t>
            </w:r>
            <w:r w:rsidRPr="000A682A">
              <w:rPr>
                <w:sz w:val="22"/>
                <w:szCs w:val="22"/>
              </w:rPr>
              <w:t xml:space="preserve">); </w:t>
            </w:r>
          </w:p>
          <w:p w:rsidR="000B7024" w:rsidRPr="000A682A" w:rsidRDefault="000B7024" w:rsidP="0088759D">
            <w:pPr>
              <w:numPr>
                <w:ilvl w:val="1"/>
                <w:numId w:val="144"/>
              </w:numPr>
              <w:ind w:left="406" w:hanging="265"/>
              <w:rPr>
                <w:sz w:val="22"/>
                <w:szCs w:val="22"/>
              </w:rPr>
            </w:pPr>
            <w:r w:rsidRPr="000A682A">
              <w:rPr>
                <w:sz w:val="22"/>
                <w:szCs w:val="22"/>
              </w:rPr>
              <w:t>personu skaits, kas īrē mājokli;</w:t>
            </w:r>
          </w:p>
          <w:p w:rsidR="000B7024" w:rsidRPr="000A682A" w:rsidRDefault="000B7024" w:rsidP="0088759D">
            <w:pPr>
              <w:numPr>
                <w:ilvl w:val="1"/>
                <w:numId w:val="144"/>
              </w:numPr>
              <w:ind w:left="406" w:hanging="265"/>
              <w:rPr>
                <w:sz w:val="22"/>
                <w:szCs w:val="22"/>
              </w:rPr>
            </w:pPr>
            <w:r w:rsidRPr="000A682A">
              <w:rPr>
                <w:sz w:val="22"/>
                <w:szCs w:val="22"/>
              </w:rPr>
              <w:t>cik vidēji m</w:t>
            </w:r>
            <w:r w:rsidRPr="000A682A">
              <w:rPr>
                <w:sz w:val="22"/>
                <w:szCs w:val="22"/>
                <w:vertAlign w:val="superscript"/>
              </w:rPr>
              <w:t>2</w:t>
            </w:r>
            <w:r w:rsidRPr="000A682A">
              <w:rPr>
                <w:sz w:val="22"/>
                <w:szCs w:val="22"/>
              </w:rPr>
              <w:t xml:space="preserve"> liels ir īrēts mājoklis;</w:t>
            </w:r>
          </w:p>
          <w:p w:rsidR="000B7024" w:rsidRPr="000A682A" w:rsidRDefault="000B7024" w:rsidP="0088759D">
            <w:pPr>
              <w:numPr>
                <w:ilvl w:val="1"/>
                <w:numId w:val="144"/>
              </w:numPr>
              <w:ind w:left="406" w:hanging="265"/>
              <w:rPr>
                <w:sz w:val="22"/>
                <w:szCs w:val="22"/>
              </w:rPr>
            </w:pPr>
            <w:r w:rsidRPr="000A682A">
              <w:rPr>
                <w:sz w:val="22"/>
                <w:szCs w:val="22"/>
              </w:rPr>
              <w:t>mājsaimniecības ienākumi pret izdevumiem mājoklim (arī izdalot īri un kredītmaksājumu) un komunālajiem maksājumiem (% un absolūtos skaitļos)</w:t>
            </w:r>
          </w:p>
        </w:tc>
      </w:tr>
      <w:tr w:rsidR="000B7024" w:rsidRPr="000A682A" w:rsidTr="007A5786">
        <w:tc>
          <w:tcPr>
            <w:tcW w:w="2518" w:type="dxa"/>
          </w:tcPr>
          <w:p w:rsidR="000B7024" w:rsidRPr="000A682A" w:rsidRDefault="000B7024" w:rsidP="0088759D">
            <w:pPr>
              <w:jc w:val="left"/>
              <w:rPr>
                <w:sz w:val="22"/>
                <w:szCs w:val="22"/>
              </w:rPr>
            </w:pPr>
            <w:r w:rsidRPr="000A682A">
              <w:rPr>
                <w:sz w:val="22"/>
                <w:szCs w:val="22"/>
              </w:rPr>
              <w:t>Iedzīvotāju sadalījums pēc mājokļa īpašumtiesību statusa</w:t>
            </w:r>
          </w:p>
        </w:tc>
        <w:tc>
          <w:tcPr>
            <w:tcW w:w="7390" w:type="dxa"/>
          </w:tcPr>
          <w:p w:rsidR="000B7024" w:rsidRPr="000A682A" w:rsidRDefault="000B7024" w:rsidP="0088759D">
            <w:pPr>
              <w:ind w:left="459" w:hanging="284"/>
              <w:rPr>
                <w:sz w:val="22"/>
                <w:szCs w:val="22"/>
              </w:rPr>
            </w:pPr>
            <w:r w:rsidRPr="000A682A">
              <w:rPr>
                <w:sz w:val="22"/>
                <w:szCs w:val="22"/>
              </w:rPr>
              <w:t>-</w:t>
            </w:r>
          </w:p>
        </w:tc>
      </w:tr>
      <w:tr w:rsidR="000B7024" w:rsidRPr="000A682A" w:rsidTr="007A5786">
        <w:tc>
          <w:tcPr>
            <w:tcW w:w="2518" w:type="dxa"/>
          </w:tcPr>
          <w:p w:rsidR="000B7024" w:rsidRPr="000A682A" w:rsidRDefault="000B7024" w:rsidP="0088759D">
            <w:pPr>
              <w:jc w:val="left"/>
              <w:rPr>
                <w:sz w:val="22"/>
                <w:szCs w:val="22"/>
              </w:rPr>
            </w:pPr>
            <w:r w:rsidRPr="000A682A">
              <w:rPr>
                <w:sz w:val="22"/>
                <w:szCs w:val="22"/>
              </w:rPr>
              <w:t>Statistika par mājokļu kvalitāti</w:t>
            </w:r>
          </w:p>
        </w:tc>
        <w:tc>
          <w:tcPr>
            <w:tcW w:w="7390" w:type="dxa"/>
          </w:tcPr>
          <w:p w:rsidR="000B7024" w:rsidRPr="000A682A" w:rsidRDefault="000B7024" w:rsidP="0088759D">
            <w:pPr>
              <w:numPr>
                <w:ilvl w:val="1"/>
                <w:numId w:val="143"/>
              </w:numPr>
              <w:ind w:left="459" w:hanging="284"/>
              <w:rPr>
                <w:sz w:val="22"/>
                <w:szCs w:val="22"/>
              </w:rPr>
            </w:pPr>
            <w:r w:rsidRPr="000A682A">
              <w:rPr>
                <w:sz w:val="22"/>
                <w:szCs w:val="22"/>
              </w:rPr>
              <w:t xml:space="preserve">apdzīvojamu/neapdzīvojamu ēku skaits (ar iespēju iedalīt pēc uzbūvēšanas gada, pilsētās un novados); </w:t>
            </w:r>
          </w:p>
          <w:p w:rsidR="000B7024" w:rsidRPr="000A682A" w:rsidRDefault="000B7024" w:rsidP="0088759D">
            <w:pPr>
              <w:numPr>
                <w:ilvl w:val="1"/>
                <w:numId w:val="143"/>
              </w:numPr>
              <w:ind w:left="459" w:hanging="284"/>
              <w:rPr>
                <w:sz w:val="22"/>
                <w:szCs w:val="22"/>
              </w:rPr>
            </w:pPr>
            <w:r w:rsidRPr="000A682A">
              <w:rPr>
                <w:sz w:val="22"/>
                <w:szCs w:val="22"/>
              </w:rPr>
              <w:t>esošais nedzīvojamo ēku skaits (ar iespēju iedalīt pēc uzbūvēšanas gada, pilsētās un novados, pēc ēkas lietošanas veida);</w:t>
            </w:r>
          </w:p>
          <w:p w:rsidR="000B7024" w:rsidRPr="000A682A" w:rsidRDefault="000B7024" w:rsidP="0088759D">
            <w:pPr>
              <w:numPr>
                <w:ilvl w:val="1"/>
                <w:numId w:val="143"/>
              </w:numPr>
              <w:ind w:left="459" w:hanging="284"/>
              <w:rPr>
                <w:sz w:val="22"/>
                <w:szCs w:val="22"/>
              </w:rPr>
            </w:pPr>
            <w:r w:rsidRPr="000A682A">
              <w:rPr>
                <w:sz w:val="22"/>
                <w:szCs w:val="22"/>
              </w:rPr>
              <w:lastRenderedPageBreak/>
              <w:t>uzbūvēto dzīvojamo un nedzīvojamo ēku platība (iedalījumā pa gadiem, pa pilsētām un novadiem);</w:t>
            </w:r>
          </w:p>
          <w:p w:rsidR="000B7024" w:rsidRPr="000A682A" w:rsidRDefault="000B7024" w:rsidP="0088759D">
            <w:pPr>
              <w:numPr>
                <w:ilvl w:val="1"/>
                <w:numId w:val="143"/>
              </w:numPr>
              <w:ind w:left="459" w:hanging="284"/>
              <w:rPr>
                <w:sz w:val="22"/>
                <w:szCs w:val="22"/>
              </w:rPr>
            </w:pPr>
            <w:r w:rsidRPr="000A682A">
              <w:rPr>
                <w:sz w:val="22"/>
                <w:szCs w:val="22"/>
              </w:rPr>
              <w:t>šobrīd esošais ēku fonds (ar iespēju iedalīt pēc uzbūvēšanas gada, pilsētās un novados);</w:t>
            </w:r>
          </w:p>
          <w:p w:rsidR="000B7024" w:rsidRPr="000A682A" w:rsidRDefault="000B7024" w:rsidP="0088759D">
            <w:pPr>
              <w:numPr>
                <w:ilvl w:val="1"/>
                <w:numId w:val="143"/>
              </w:numPr>
              <w:ind w:left="459" w:hanging="284"/>
              <w:rPr>
                <w:sz w:val="22"/>
                <w:szCs w:val="22"/>
              </w:rPr>
            </w:pPr>
            <w:r w:rsidRPr="000A682A">
              <w:rPr>
                <w:sz w:val="22"/>
                <w:szCs w:val="22"/>
              </w:rPr>
              <w:t>nojaukto ēku skaits (ar iespēju iedalīt pēc uzbūvēšanas gada, nojaukšanas gada, pilsētās un novados);</w:t>
            </w:r>
          </w:p>
          <w:p w:rsidR="000B7024" w:rsidRPr="000A682A" w:rsidRDefault="000B7024" w:rsidP="0088759D">
            <w:pPr>
              <w:numPr>
                <w:ilvl w:val="1"/>
                <w:numId w:val="143"/>
              </w:numPr>
              <w:ind w:left="459" w:hanging="284"/>
              <w:rPr>
                <w:sz w:val="22"/>
                <w:szCs w:val="22"/>
              </w:rPr>
            </w:pPr>
            <w:r w:rsidRPr="000A682A">
              <w:rPr>
                <w:sz w:val="22"/>
                <w:szCs w:val="22"/>
              </w:rPr>
              <w:t>renovēto un siltināto mājokļu skaits (ar iespēju iedalīt pēc uzbūvēšanas gada, pilsētās un novados)</w:t>
            </w:r>
          </w:p>
        </w:tc>
      </w:tr>
      <w:tr w:rsidR="000B7024" w:rsidRPr="000A682A" w:rsidTr="007A5786">
        <w:tc>
          <w:tcPr>
            <w:tcW w:w="2518" w:type="dxa"/>
          </w:tcPr>
          <w:p w:rsidR="000B7024" w:rsidRPr="000A682A" w:rsidRDefault="000B7024" w:rsidP="0088759D">
            <w:pPr>
              <w:jc w:val="left"/>
              <w:rPr>
                <w:sz w:val="22"/>
                <w:szCs w:val="22"/>
              </w:rPr>
            </w:pPr>
            <w:r w:rsidRPr="000A682A">
              <w:rPr>
                <w:sz w:val="22"/>
                <w:szCs w:val="22"/>
              </w:rPr>
              <w:lastRenderedPageBreak/>
              <w:t>Statistika par iedzīvotājiem</w:t>
            </w:r>
          </w:p>
        </w:tc>
        <w:tc>
          <w:tcPr>
            <w:tcW w:w="7390" w:type="dxa"/>
          </w:tcPr>
          <w:p w:rsidR="000B7024" w:rsidRPr="000A682A" w:rsidRDefault="000B7024" w:rsidP="0088759D">
            <w:pPr>
              <w:numPr>
                <w:ilvl w:val="1"/>
                <w:numId w:val="143"/>
              </w:numPr>
              <w:ind w:left="459" w:hanging="284"/>
              <w:rPr>
                <w:sz w:val="22"/>
                <w:szCs w:val="22"/>
              </w:rPr>
            </w:pPr>
            <w:r w:rsidRPr="000A682A">
              <w:rPr>
                <w:sz w:val="22"/>
                <w:szCs w:val="22"/>
              </w:rPr>
              <w:t>profesionālo izglītību ieguvušo personu skaits (ar iedalījumu pilsētās un novados);</w:t>
            </w:r>
          </w:p>
          <w:p w:rsidR="000B7024" w:rsidRPr="000A682A" w:rsidRDefault="000B7024" w:rsidP="0088759D">
            <w:pPr>
              <w:numPr>
                <w:ilvl w:val="1"/>
                <w:numId w:val="143"/>
              </w:numPr>
              <w:ind w:left="459" w:hanging="284"/>
              <w:rPr>
                <w:sz w:val="22"/>
                <w:szCs w:val="22"/>
              </w:rPr>
            </w:pPr>
            <w:r w:rsidRPr="000A682A">
              <w:rPr>
                <w:sz w:val="22"/>
                <w:szCs w:val="22"/>
              </w:rPr>
              <w:t>personu vecumu struktūra, pabeidzot augstskolu;</w:t>
            </w:r>
          </w:p>
          <w:p w:rsidR="000B7024" w:rsidRPr="000A682A" w:rsidRDefault="000B7024" w:rsidP="0088759D">
            <w:pPr>
              <w:numPr>
                <w:ilvl w:val="1"/>
                <w:numId w:val="143"/>
              </w:numPr>
              <w:ind w:left="459" w:hanging="284"/>
              <w:rPr>
                <w:sz w:val="22"/>
                <w:szCs w:val="22"/>
              </w:rPr>
            </w:pPr>
            <w:r w:rsidRPr="000A682A">
              <w:rPr>
                <w:sz w:val="22"/>
                <w:szCs w:val="22"/>
              </w:rPr>
              <w:t>personu skaits līdz 24 gadu vecumam (vecuma iedalījums ir cits);</w:t>
            </w:r>
          </w:p>
          <w:p w:rsidR="000B7024" w:rsidRPr="000A682A" w:rsidRDefault="000B7024" w:rsidP="0088759D">
            <w:pPr>
              <w:numPr>
                <w:ilvl w:val="1"/>
                <w:numId w:val="143"/>
              </w:numPr>
              <w:ind w:left="459" w:hanging="284"/>
              <w:rPr>
                <w:sz w:val="22"/>
                <w:szCs w:val="22"/>
              </w:rPr>
            </w:pPr>
            <w:r w:rsidRPr="000A682A">
              <w:rPr>
                <w:sz w:val="22"/>
                <w:szCs w:val="22"/>
              </w:rPr>
              <w:t>iespēja brīvi izvēlēties vecuma iedalījumu, nevis pa vecuma grupām;</w:t>
            </w:r>
          </w:p>
          <w:p w:rsidR="000B7024" w:rsidRPr="000A682A" w:rsidRDefault="000B7024" w:rsidP="0088759D">
            <w:pPr>
              <w:numPr>
                <w:ilvl w:val="1"/>
                <w:numId w:val="143"/>
              </w:numPr>
              <w:ind w:left="459" w:hanging="284"/>
              <w:rPr>
                <w:sz w:val="22"/>
                <w:szCs w:val="22"/>
              </w:rPr>
            </w:pPr>
            <w:r w:rsidRPr="000A682A">
              <w:rPr>
                <w:sz w:val="22"/>
                <w:szCs w:val="22"/>
              </w:rPr>
              <w:t>personu skaits, kurām piešķirts trūcīgas ģimenes (personas) statuss (ar iedalījumu pilsētās un novados);</w:t>
            </w:r>
          </w:p>
          <w:p w:rsidR="000B7024" w:rsidRPr="000A682A" w:rsidRDefault="000B7024" w:rsidP="0088759D">
            <w:pPr>
              <w:numPr>
                <w:ilvl w:val="1"/>
                <w:numId w:val="143"/>
              </w:numPr>
              <w:ind w:left="459" w:hanging="284"/>
              <w:rPr>
                <w:sz w:val="22"/>
                <w:szCs w:val="22"/>
              </w:rPr>
            </w:pPr>
            <w:r w:rsidRPr="000A682A">
              <w:rPr>
                <w:sz w:val="22"/>
                <w:szCs w:val="22"/>
              </w:rPr>
              <w:t>personas ienākumi ne tikai pēc kvintilēm, bet arī pēc ienākumu robežām/grupām;</w:t>
            </w:r>
          </w:p>
          <w:p w:rsidR="000B7024" w:rsidRPr="000A682A" w:rsidRDefault="000B7024" w:rsidP="0088759D">
            <w:pPr>
              <w:numPr>
                <w:ilvl w:val="1"/>
                <w:numId w:val="143"/>
              </w:numPr>
              <w:ind w:left="459" w:hanging="284"/>
              <w:rPr>
                <w:sz w:val="22"/>
                <w:szCs w:val="22"/>
              </w:rPr>
            </w:pPr>
            <w:r w:rsidRPr="000A682A">
              <w:rPr>
                <w:sz w:val="22"/>
                <w:szCs w:val="22"/>
              </w:rPr>
              <w:t>iekšējā darbaspēka migrācija, norādot darba ņēmēju skaitu, kas dodas uz darbu ārpus dzīvesvietas pilsētas (pa pilsētām un novadiem) un pilsētas un novadi, kur ieplūst darbaspēks no citās pilsētās dzīvojošajiem (skaits);</w:t>
            </w:r>
          </w:p>
          <w:p w:rsidR="000B7024" w:rsidRPr="000A682A" w:rsidRDefault="000B7024" w:rsidP="0088759D">
            <w:pPr>
              <w:numPr>
                <w:ilvl w:val="1"/>
                <w:numId w:val="143"/>
              </w:numPr>
              <w:ind w:left="459" w:hanging="284"/>
              <w:rPr>
                <w:sz w:val="22"/>
                <w:szCs w:val="22"/>
              </w:rPr>
            </w:pPr>
            <w:r w:rsidRPr="000A682A">
              <w:rPr>
                <w:sz w:val="22"/>
                <w:szCs w:val="22"/>
              </w:rPr>
              <w:t>nodarbināto skaits pilsētās un novados ieskaitot uzņēmumus, kuru darbinieku skaits ir mazāks par 50</w:t>
            </w:r>
          </w:p>
        </w:tc>
      </w:tr>
    </w:tbl>
    <w:p w:rsidR="00ED542D" w:rsidRDefault="00ED542D">
      <w:pPr>
        <w:jc w:val="left"/>
        <w:rPr>
          <w:rFonts w:asciiTheme="majorHAnsi" w:eastAsiaTheme="majorEastAsia" w:hAnsiTheme="majorHAnsi" w:cstheme="majorBidi"/>
          <w:b/>
          <w:i/>
          <w:color w:val="002060"/>
          <w:sz w:val="28"/>
        </w:rPr>
      </w:pPr>
      <w:r>
        <w:br w:type="page"/>
      </w:r>
    </w:p>
    <w:p w:rsidR="00E96CB5" w:rsidRDefault="00E96CB5" w:rsidP="004C1ABB">
      <w:pPr>
        <w:pStyle w:val="pielikumiem"/>
      </w:pPr>
      <w:bookmarkStart w:id="1392" w:name="_Toc6841744"/>
      <w:r w:rsidRPr="00775EB0">
        <w:lastRenderedPageBreak/>
        <w:t xml:space="preserve">pielikums. </w:t>
      </w:r>
      <w:r w:rsidR="00D6730D">
        <w:t>Fokusa grupas diskusijas nevienlīdzības veselības aprūpes jomā apkopojums</w:t>
      </w:r>
      <w:bookmarkEnd w:id="1392"/>
    </w:p>
    <w:p w:rsidR="00D43D52" w:rsidRDefault="00D43D52" w:rsidP="00D43D52">
      <w:r>
        <w:t>Kopumā fokusa grupu diskusijā piedalījās septiņi dalībnieki, kas pārstāvēja gan politikas veidotāju, gan politikas īstenotāju, gan citu ieinteresēto pušu (profesionālo asociāciju un NVO) viedokli par pētījumā identificētajām problēmām attiecībā uz nevienlīdzību veselības aprūpes jomā. Fokusa grupu diskusijas gaitā tās dalībnieki tika iepazīstināti ar galvenajām Izvērtējumā konstatētājām problēmu grupām, kas tika izklāstītas prezentācijas formā, turpinājumā secīgi pārrunājot jautājumus par problēmas iespējamajiem risinājumiem. Diskusijas gaitā problēmas tika aplūkotas plašākā tvērumā, nekā to paredz šis Izvērtējums, nozīmīgu uzmanības daļu veltot arī to cēloņu pārskatam.</w:t>
      </w:r>
    </w:p>
    <w:p w:rsidR="002A5A69" w:rsidRDefault="002A5A69" w:rsidP="002A5A69"/>
    <w:p w:rsidR="002A5A69" w:rsidRDefault="002A5A69" w:rsidP="002A5A69">
      <w:r>
        <w:t>Aplūkojot nevienlīdzības veselības aprūpes jomā jautājuma aktualitāti Latvijas politikas veidotāju dienaskārtībā, secināts, ka kopumā nevienlīdzība tiek skaidrota ar veselības aprūpes sistēmas nepietiekamo publisko finansējumu. Atzīstot šo problēmu par aktuālu, Izvērtējuma autori vērš uzmanību arī uz to, ka salīdzinoši maza vērība tiek veltīta tēriņu lietderīgumam pie jau šobrīd ierobežotā valsts budžeta. Ekspertiem tiek piedāvāti diskusijai divi jautājumi, un proti, pirmkārt, kāpēc līdzšinējās publiskā finansējuma piesaistīšanas iniciatīvas ir bijušas nepietiekamas, un, otrkārt, kādas ir īstenotās iniciatīvas tēriņu lietderības izvērtējumam.</w:t>
      </w:r>
    </w:p>
    <w:p w:rsidR="002A5A69" w:rsidRDefault="002A5A69" w:rsidP="002A5A69"/>
    <w:p w:rsidR="002A5A69" w:rsidRDefault="002A5A69" w:rsidP="002A5A69">
      <w:r>
        <w:t>Savas kompetences robežās eksperti izsaka pārliecību, ka nozīmīgākais iemesls ir tāds, ka atdeve no ieguldījumiem veselības aprūpē, t.sk., publiskā finansējuma ieguldījumiem, ir redzama ilgtermiņā, t.i., garākā posmā nekā Latvijas vēlēšanu cikls (četru gadu robežās). Tādējādi politiķi nav ieinteresēti ieguldīt vairāk veselības aprūpes finansēšanā. Turklāt ir novērots, ka, runājot par veselības aprūpes publisko finansējumu, bieži centrālais diskurss publiskajā telpā ir ārstniecības personu atalgojuma palielināšana, kas savukārt sabiedrības skatījumā nav svarīgākais jautājums. No iedzīvotāju viedokļa raugoties, būtu jāuzsver, ka publiskā finansējuma piešķiršana paaugstinās iespēju pakalpojumu saņemt savlaicīgi.</w:t>
      </w:r>
    </w:p>
    <w:p w:rsidR="002A5A69" w:rsidRDefault="002A5A69" w:rsidP="002A5A69"/>
    <w:p w:rsidR="002A5A69" w:rsidRDefault="002A5A69" w:rsidP="002A5A69">
      <w:r>
        <w:t>Eksperti diskusijas rezultātā vēlreiz nonāk pie secinājuma, kas noformulēts Izvērtējumā, balstoties uz intervijām, un proti, publiskajā telpā pastāv pieprasījums pēc tūlītējiem un īslaicīgiem risinājumiem veselības aprūpē, kamēr sistemātiskas politikas iniciatīvas ir ilgtermiņa ieguldījums, kas gan politiķu skatījumā, gan sabiedrībā kopumā šobrīd netiek pienācīgi novērtēts.</w:t>
      </w:r>
    </w:p>
    <w:p w:rsidR="002A5A69" w:rsidRDefault="002A5A69" w:rsidP="002A5A69"/>
    <w:p w:rsidR="002A5A69" w:rsidRDefault="002A5A69" w:rsidP="002A5A69">
      <w:r>
        <w:t xml:space="preserve">Veselības ministrijas pārstāvji norāda, ka, neskatoties uz nepietiekamo publisko finansējumu situāciju raksturojošie rādītāji uzlabojas, par ko liecina Sabiedrības veselības pamatnostādņu 2014. – 2020. gadam vidusposma izvērtējums, kas veikts 2016. gadā, piemēram, mērķis attiecībā uz </w:t>
      </w:r>
      <w:r w:rsidRPr="008D30A5">
        <w:t>potenciāli zaudētie</w:t>
      </w:r>
      <w:r>
        <w:t>m</w:t>
      </w:r>
      <w:r w:rsidRPr="008D30A5">
        <w:t xml:space="preserve"> mūža gadi</w:t>
      </w:r>
      <w:r>
        <w:t>em</w:t>
      </w:r>
      <w:r w:rsidRPr="008D30A5">
        <w:t xml:space="preserve"> ir sasni</w:t>
      </w:r>
      <w:r>
        <w:t>e</w:t>
      </w:r>
      <w:r w:rsidRPr="008D30A5">
        <w:t>g</w:t>
      </w:r>
      <w:r>
        <w:t>ts</w:t>
      </w:r>
      <w:r w:rsidRPr="008D30A5">
        <w:t xml:space="preserve"> gandrīz 100%</w:t>
      </w:r>
      <w:r>
        <w:t xml:space="preserve"> apmērā. Klātesošajiem ekspertiem ir atšķirīgs viedoklis par izvērtējuma secinājumiem. Vienlaikus tiek atzīts, ka papildu i</w:t>
      </w:r>
      <w:r w:rsidRPr="00B1324E">
        <w:t xml:space="preserve">eguldījumi </w:t>
      </w:r>
      <w:r>
        <w:t>veselības aprūpes nozares publiskajā finansējumā</w:t>
      </w:r>
      <w:r w:rsidRPr="00B1324E">
        <w:t xml:space="preserve"> ir </w:t>
      </w:r>
      <w:r>
        <w:t xml:space="preserve">veikti </w:t>
      </w:r>
      <w:r w:rsidRPr="00B1324E">
        <w:t>samērā nesen</w:t>
      </w:r>
      <w:r>
        <w:t>, attiecīgi to patieso atdevi būs iespējams noteikt tikai pēc vairākiem gadiem</w:t>
      </w:r>
      <w:r w:rsidRPr="00B1324E">
        <w:t>.</w:t>
      </w:r>
    </w:p>
    <w:p w:rsidR="002A5A69" w:rsidRDefault="002A5A69" w:rsidP="002A5A69"/>
    <w:p w:rsidR="002A5A69" w:rsidRDefault="002A5A69" w:rsidP="002A5A69">
      <w:r>
        <w:t xml:space="preserve">Kā atzīst eksperti, nodrošināt īstenoto politisko iniciatīvu veselības aprūpes nozarē ilglaicīgumu traucē arī Ministru kabineta un attiecīgi – veselības ministra maiņa, jo katrs ministrs nāk ar savu prioritāro jautājumu redzējumu, tādējādi tiek mainīti arī īstenotās politikas uzstādījumi. Eksperti </w:t>
      </w:r>
      <w:r>
        <w:lastRenderedPageBreak/>
        <w:t xml:space="preserve">norāda, ka dažādu ministru vadībā Latvijā kopš ekonomiskās recesijas ir veikti vairāki nozīmīgi un liela apjoma izvērtējumi par veselības aprūpes nozares vajadzībām, kuru izstrādātās rekomendācijas vairs netiek ņemtas vērā, mainoties nozares ministram. Tādējādi vairākas būtiskas ieceres tiek atliktas, un tā arī netiek īstenotas. </w:t>
      </w:r>
    </w:p>
    <w:p w:rsidR="002A5A69" w:rsidRDefault="002A5A69" w:rsidP="002A5A69"/>
    <w:p w:rsidR="002A5A69" w:rsidRDefault="002A5A69" w:rsidP="002A5A69">
      <w:r>
        <w:t>Diskusijas dienaskārtības turpinājumā tiek aplūkots jautājums, vai nepieciešams Sabiedrības veselības pamatnostādnēs, kas ir galvenais nozares politikas dokuments, vairāk pievērst uzmanību iedzīvotāju grupām, kuras tiek pakļautas nevienlīdzībai veselības aprūpes jomā. Šī brīža dokumentā, t.i., Sabiedrības veselības pamatnostādnēs 2014. – 2020. gadam, kopumā ir identificēta nevienlīdzība, kas izriet no personas sociāli demogrāfiskā raksturojuma (dzīvesvietas, ienākumiem un izglītības līmeņa), un identificēta viena specifiska nevienlīdzībai pakļauta iedzīvotāju grupa – ieslodzītās personas. Viena daļa ekspertu norāda, ka vienādas tiesības ir jāparedz visiem, otra daļa norāda, ka būtu jāidentificē vismaz pirmspensijas un daudzbērnu ģimeņu vajadzības. Eksperti aktualizē arī veselības aprūpes pieejamību bērniem, norādot, ka tiesiskajā regulējumā būtu jānosaka saprātīgs laika posms, kurā personai ir jāsaņem pakalpojums (līdzīgi kā zaļais koridors onkoloģijas pacientiem).</w:t>
      </w:r>
    </w:p>
    <w:p w:rsidR="002A5A69" w:rsidRDefault="002A5A69" w:rsidP="002A5A69"/>
    <w:p w:rsidR="002A5A69" w:rsidRDefault="002A5A69" w:rsidP="002A5A69">
      <w:r>
        <w:t>Diskusijas turpinājumā klātesošiem eksperti tiek iepazīstināti ar nozīmīgākajiem datiem, kas liecina par nevienlīdzību veselības aprūpes pieejamībā, raugoties no iedzīvotāju ienākumu viedokļa. Diskusijai tiek piedāvāts jautājums, vai būtu nepieciešams paplašināt to personu loku, kas atbrīvotas no pacienta līdzmaksājuma, piemēram, aptverot maznodrošinātas personas, pensijas vecuma cilvēkus un iedzīvotājus, kuriem ir grūtības nokārtot trūcīgā statusu. Saistībā ar šiem jautājumiem eksperti atgādina, ka ienākumu līmeni, saskaņā ar kuru personai tiek piešķirts maznodrošinātā statuss, nosaka katra pašvaldība atsevišķi, un tas ir ļoti variabls Latvijas robežās. Tādējādi nav iespējams panākt vienlīdzīgu attieksmi pret visiem valsts iedzīvotājiem. Atsevišķi eksperti atgādina, ka būtisks ir ne tikai pacienta līdzmaksājums, bet kopējais iedzīvotāju tiešmaksājumu apjoms veselības aprūpē.</w:t>
      </w:r>
    </w:p>
    <w:p w:rsidR="002A5A69" w:rsidRDefault="002A5A69" w:rsidP="002A5A69"/>
    <w:p w:rsidR="002A5A69" w:rsidRDefault="002A5A69" w:rsidP="002A5A69">
      <w:r>
        <w:t>Attiecībā uz līdzmaksājumiem eksperti norāda, ka gan iedzīvotāju ienākumu pieauguma, gan administrēšanas dēļ, esošo līdzmaksājumu apmērs būtu jānoapaļo (piemēram, par vizīti pie ģimenes ārsta no EUR 1,42 uz 1,50). Līdzmaksājuma apmērs, ekspertu skatījumā, rada finanšu slogu hroniskiem pacientiem, kuriem gada griezumā atkārtoti ir jāārstējas stacionārā. Tādā gadījumā noteiktais līdzmaksājuma maksimālais apmērs kalendārā gada griezumā ir par augstu (EUR 380), un to būtu ieteicams samazināt. Par minēto priekšlikumu ietekmi uz publisko finansējumu NVD ir veicis aprēķinus un iesniedzis VM, taču iniciatīvas, cik noprotams, tālāk nav virzītas. Runājot par līdzmaksājumiem par dažādiem veselības aprūpes pakalpojumiem, eksperti, ka šobrīd trūcīgā statusa novērtēšanas kritēriji (ienākumi, ņemot vērā visus mājsaimniecībā deklarētās personas, neskatoties uz viņu patieso dzīvesvietu) kavē iegūt statusu personām, kurām tās pēc būtības atbilst. Eksperti rosina, ka būtu jāpārskata trūcīgās personas noteikšanas kritēriji, dodot sociālajiem darbiniekiem (pašvaldības sociālajā dienestā) mandātu to piešķirt, balstoties uz personas patiesās situācijas izvērtējumu (piemēram, skaidrību, ka ne visas mājsaimniecībā deklarētās personas patiešām tur dzīvo un savstarpēji dalās ar ienākumiem). Eksperti norāda, ka jāpārskata 2010. gada 30. marta Ministru kabineta noteikumi Nr. 299 „</w:t>
      </w:r>
      <w:r w:rsidRPr="007C55A8">
        <w:t>Noteikumi par ģimenes vai atsevišķi dzīvojošas personas atzīšanu par trūcīgu</w:t>
      </w:r>
      <w:r>
        <w:t>”.</w:t>
      </w:r>
    </w:p>
    <w:p w:rsidR="002A5A69" w:rsidRDefault="002A5A69" w:rsidP="002A5A69"/>
    <w:p w:rsidR="002A5A69" w:rsidRDefault="002A5A69" w:rsidP="002A5A69">
      <w:r>
        <w:t>Attiecībā uz Veselības aprūpes finansēšanas likuma ietvaru Izvērtējumā ir identificēta problēma, ka veselības aprūpes publiskā finansējuma nozīmīgāko daļu joprojām nākotnē veidos ieņēmumi no vispārējiem nodokļiem, kamēr no VSAOI – samērā nelielu daļu (pēc dažādiem aprēķiniem ~10%). Tādējādi ir secināts, ka VSAOI relatīvā nozīme (ietekme uz iedzīvotāju iespējām saņemt pakalpojumus) ir būtiski lielāka nekā to pienesums. Tādējādi diskusijai tiek piedāvāts jautājumus par risinājuma samērīgumu un iespējamajām alternatīvām. Eksperti norāda, ka likums ir pretrunā ar Satversmi, tas ir saņēmis kritiku no Tiesībsarga. Sākotnējais tā radīšanas mērķis (un attiecīgi – saturs) ir bijis veicināt darba nodokļu iekasēšanu un piesaistīt papildu finansējumu veselības aprūpei. Vienlaikus likumā tika iekļauts plašs atbalstāmo grupu loks (11. pants). Eksperti norāda, ka jaunā valdība plāno pārskatīt personu loku, kuras saņem likumā noteiktos pakalpojumu grozus. Tiek prognozēts, ka pakalpojumi būs pieejami visiem Latvijas rezidentiem. Vienlaikus ekspertiem ir atšķirīgs uzskats par to, vai Latvijas pilsoņiem, kas pastāvīgi dzīvo ārvalstīs, būtu jābūt pieejamiem Latvijas valsts apmaksātajiem veselības aprūpes pakalpojumiem, ja viņi ir citas valsts nodokļu maksātāji.</w:t>
      </w:r>
    </w:p>
    <w:p w:rsidR="002A5A69" w:rsidRDefault="002A5A69" w:rsidP="00D43D52"/>
    <w:p w:rsidR="00D43D52" w:rsidRPr="00D43D52" w:rsidRDefault="002A5A69" w:rsidP="00D43D52">
      <w:r>
        <w:t>Veselības aprūpes publisko budžetu pārslogo arī iedzīvotāju rīcības stratēģijas, kā rīkoties gadījumā, ja veselības aprūpes pakalpojums nav pieejams. Tādējādi iedzīvotāju zemā maksātspēja vienā veselības aprūpes posmā rada sistēmas pārslodzi citā posmā, piemēram, ja ir grūtības apmeklēt ģimenes ārstu un iegādāties tā izrakstītās zāles, tiek saukta neatliekamā medicīniskā palīdzība, turklāt iedzīvotājiem ir raksturīgs paļauties uz NMP. Eksperti diskutē, cik lielā mērā iespējams mainīt iedzīvotāju ieradumus un kā mazināt sistēmas pārslodzi. Eksperti norāda uz iespējamajiem risinājumiem veselības aprūpes organizācijā, piemēram, dežūrārsta kabinetam ir jābūt pieejamam katrā „standarta” veselības aprūpes iestādē, kur iedzīvotāji ir raduši vērsties, t.i., svarīgi ir nodrošināt, lai dežūrārsta kabineta adrese/ ģeogrāfiskais izvietojums, nebūtu mainīgs. Atsevišķi eksperti norāda, ka joprojām nepieciešams stiprināt ģimenes ārstu kapacitāti, veidot kopprakses, tāpat tiek pārrunāta vajadzība lauku reģionos stiprināt feldšerpunktus, veicināt ģimenes ārstu konsultatīvā tālruņa izmantošanu.</w:t>
      </w:r>
    </w:p>
    <w:p w:rsidR="00ED542D" w:rsidRDefault="00ED542D">
      <w:pPr>
        <w:jc w:val="left"/>
        <w:rPr>
          <w:rFonts w:asciiTheme="majorHAnsi" w:eastAsiaTheme="majorEastAsia" w:hAnsiTheme="majorHAnsi" w:cstheme="majorBidi"/>
          <w:b/>
          <w:i/>
          <w:color w:val="002060"/>
          <w:sz w:val="28"/>
        </w:rPr>
      </w:pPr>
      <w:r>
        <w:br w:type="page"/>
      </w:r>
    </w:p>
    <w:p w:rsidR="005535D6" w:rsidRDefault="005535D6" w:rsidP="004C1ABB">
      <w:pPr>
        <w:pStyle w:val="pielikumiem"/>
      </w:pPr>
      <w:bookmarkStart w:id="1393" w:name="_Toc6841745"/>
      <w:r w:rsidRPr="00775EB0">
        <w:lastRenderedPageBreak/>
        <w:t xml:space="preserve">pielikums. </w:t>
      </w:r>
      <w:r w:rsidR="00D6730D">
        <w:t>Fokusa grupas diskusijas mājokļa pieejamības jomā apkopojums</w:t>
      </w:r>
      <w:bookmarkEnd w:id="1393"/>
    </w:p>
    <w:p w:rsidR="00E92F53" w:rsidRPr="00116E53" w:rsidRDefault="00E92F53" w:rsidP="00E92F53">
      <w:r w:rsidRPr="00116E53">
        <w:t xml:space="preserve">Fokusa grupas diskusijas kopsavilkumā ir apkoptas galvenās apspriestās tēmas, dalībnieku viedokļi un vērtējumi par Izvērtējuma rezultātiem, identificētajām problēmām un ieteikumiem to risinājumiem. Diskusijā iegūtie kvalitatīvie dati ir integrēti arī Izvērtējuma ziņojumā attiecīgajās saturiskajās sadaļās. Diskusijas norises metodoloģiju sk. 4.pielikumā. </w:t>
      </w:r>
    </w:p>
    <w:p w:rsidR="00E92F53" w:rsidRPr="00116E53" w:rsidRDefault="00E92F53" w:rsidP="00E92F53">
      <w:pPr>
        <w:rPr>
          <w:b/>
        </w:rPr>
      </w:pPr>
    </w:p>
    <w:p w:rsidR="00E92F53" w:rsidRPr="00116E53" w:rsidRDefault="00E92F53" w:rsidP="00E92F53">
      <w:r w:rsidRPr="00116E53">
        <w:t>Diskusijas dalībnieki vērsa uzmanību, ka starp piedāvātajiem</w:t>
      </w:r>
      <w:r>
        <w:t xml:space="preserve"> nevienlīdzības mājokļa pieejamībai</w:t>
      </w:r>
      <w:r w:rsidRPr="00116E53">
        <w:t xml:space="preserve"> rādītājiem iztrūkst rādītājs, kas raksturo pielāgota mājokļa pieejamību personām ar invaliditāti.  Konceptuāli šis rādītājs tiek iekļauts mājokļa infrastruktūras pieejamības rādītājā, kas noteiktām mērķa grupām, kā piemēram, personām ar invaliditāti paredz arī īpašas mājokļa infrastruktūras pazīmes.</w:t>
      </w:r>
    </w:p>
    <w:p w:rsidR="00E92F53" w:rsidRPr="00116E53" w:rsidRDefault="00E92F53" w:rsidP="00E92F53"/>
    <w:p w:rsidR="00E92F53" w:rsidRPr="00116E53" w:rsidRDefault="00E92F53" w:rsidP="00E92F53">
      <w:r w:rsidRPr="00116E53">
        <w:t>Attiecībā uz pārējiem rādītājiem diskusijas dalībniekiem būtisku komentāru vai papildinājumu nebija, izņemot mājokļu sociālās pieejamības rādītāju, kas tik</w:t>
      </w:r>
      <w:r>
        <w:t>a</w:t>
      </w:r>
      <w:r w:rsidRPr="00116E53">
        <w:t xml:space="preserve"> interpretēts kā sociālo mājokļu pieejamība un/vai mājokļa pieejamība noteikta sociālā statusa grupām. Konceptuāli šis rādītājs raksturo mājokļa pieejamību ierobežojošos sociālos faktorus. </w:t>
      </w:r>
    </w:p>
    <w:p w:rsidR="00E92F53" w:rsidRPr="00116E53" w:rsidRDefault="00E92F53" w:rsidP="00E92F53"/>
    <w:p w:rsidR="00E92F53" w:rsidRPr="00116E53" w:rsidRDefault="00E92F53" w:rsidP="00E92F53">
      <w:r w:rsidRPr="00116E53">
        <w:t>Diskusijas dalībnieki tika iepazīstināti ar statistikas datu analīzes rezultātiem par atsevišķie</w:t>
      </w:r>
      <w:r>
        <w:t>m</w:t>
      </w:r>
      <w:r w:rsidRPr="00116E53">
        <w:t xml:space="preserve"> vispārējo situāciju raksturojošiem rādītājiem. Tika diskutēts par vairākiem tehniska rakstura jautājumiem saistībā ar CSP EU-SILC datiem, to vākšanas un analīzes metodiku. Galvenie diskusijā aplūkotie rādītāji:</w:t>
      </w:r>
    </w:p>
    <w:p w:rsidR="00E92F53" w:rsidRPr="00116E53" w:rsidRDefault="00E92F53" w:rsidP="003F469F">
      <w:pPr>
        <w:pStyle w:val="ListParagraph"/>
        <w:numPr>
          <w:ilvl w:val="0"/>
          <w:numId w:val="150"/>
        </w:numPr>
        <w:spacing w:line="276" w:lineRule="auto"/>
        <w:jc w:val="both"/>
      </w:pPr>
      <w:r w:rsidRPr="00116E53">
        <w:t>mājokļa īpašuma statusa tipi;</w:t>
      </w:r>
    </w:p>
    <w:p w:rsidR="00E92F53" w:rsidRPr="00116E53" w:rsidRDefault="00E92F53" w:rsidP="003F469F">
      <w:pPr>
        <w:pStyle w:val="ListParagraph"/>
        <w:numPr>
          <w:ilvl w:val="0"/>
          <w:numId w:val="150"/>
        </w:numPr>
        <w:spacing w:line="276" w:lineRule="auto"/>
        <w:jc w:val="both"/>
      </w:pPr>
      <w:r w:rsidRPr="00116E53">
        <w:t>mājokļa piederības tipu profils 2017.</w:t>
      </w:r>
      <w:r w:rsidR="00DE1C08">
        <w:t xml:space="preserve"> </w:t>
      </w:r>
      <w:r w:rsidRPr="00116E53">
        <w:t>gadā;</w:t>
      </w:r>
    </w:p>
    <w:p w:rsidR="00E92F53" w:rsidRPr="00116E53" w:rsidRDefault="00E92F53" w:rsidP="003F469F">
      <w:pPr>
        <w:pStyle w:val="ListParagraph"/>
        <w:numPr>
          <w:ilvl w:val="0"/>
          <w:numId w:val="150"/>
        </w:numPr>
        <w:spacing w:line="276" w:lineRule="auto"/>
        <w:jc w:val="both"/>
      </w:pPr>
      <w:r w:rsidRPr="00116E53">
        <w:t>mājokļa uzturēšanas izdevumu ietekme uz mājsaimniecības finansiālo situāciju (%);</w:t>
      </w:r>
    </w:p>
    <w:p w:rsidR="00E92F53" w:rsidRPr="00116E53" w:rsidRDefault="00E92F53" w:rsidP="003F469F">
      <w:pPr>
        <w:pStyle w:val="ListParagraph"/>
        <w:numPr>
          <w:ilvl w:val="0"/>
          <w:numId w:val="150"/>
        </w:numPr>
        <w:spacing w:line="276" w:lineRule="auto"/>
        <w:jc w:val="both"/>
      </w:pPr>
      <w:r w:rsidRPr="00116E53">
        <w:t>mājokļa izdevumi uz mājsaimniecības locekli % pret rīcībā esošo ienākumu;</w:t>
      </w:r>
    </w:p>
    <w:p w:rsidR="00E92F53" w:rsidRPr="00116E53" w:rsidRDefault="00E92F53" w:rsidP="003F469F">
      <w:pPr>
        <w:pStyle w:val="ListParagraph"/>
        <w:numPr>
          <w:ilvl w:val="0"/>
          <w:numId w:val="150"/>
        </w:numPr>
        <w:spacing w:line="276" w:lineRule="auto"/>
        <w:jc w:val="both"/>
      </w:pPr>
      <w:r w:rsidRPr="00116E53">
        <w:t>mājokļa kvalitātes problēmas mājsaimniecībās;</w:t>
      </w:r>
    </w:p>
    <w:p w:rsidR="00E92F53" w:rsidRPr="00116E53" w:rsidRDefault="00E92F53" w:rsidP="003F469F">
      <w:pPr>
        <w:pStyle w:val="ListParagraph"/>
        <w:numPr>
          <w:ilvl w:val="0"/>
          <w:numId w:val="150"/>
        </w:numPr>
        <w:spacing w:line="276" w:lineRule="auto"/>
        <w:jc w:val="both"/>
      </w:pPr>
      <w:r w:rsidRPr="00116E53">
        <w:t>mājokļa kvalitāte iedzīvotājiem dziļā materiālajā nenodrošinātībā;</w:t>
      </w:r>
    </w:p>
    <w:p w:rsidR="00E92F53" w:rsidRPr="00116E53" w:rsidRDefault="00E92F53" w:rsidP="003F469F">
      <w:pPr>
        <w:pStyle w:val="ListParagraph"/>
        <w:numPr>
          <w:ilvl w:val="0"/>
          <w:numId w:val="150"/>
        </w:numPr>
        <w:spacing w:line="276" w:lineRule="auto"/>
        <w:jc w:val="both"/>
      </w:pPr>
      <w:r w:rsidRPr="00116E53">
        <w:t xml:space="preserve">mājokļa problēmas kvinitļu (ienākumu) grupās. </w:t>
      </w:r>
    </w:p>
    <w:p w:rsidR="00E92F53" w:rsidRPr="00116E53" w:rsidRDefault="00E92F53" w:rsidP="00E92F53">
      <w:pPr>
        <w:pStyle w:val="ListParagraph"/>
      </w:pPr>
    </w:p>
    <w:p w:rsidR="00E92F53" w:rsidRPr="00116E53" w:rsidRDefault="00E92F53" w:rsidP="00E92F53">
      <w:r w:rsidRPr="00116E53">
        <w:t xml:space="preserve">Diskusijas dalībnieki atzina </w:t>
      </w:r>
      <w:r>
        <w:t xml:space="preserve">pētnieku identificētās problēmas </w:t>
      </w:r>
      <w:r w:rsidRPr="00116E53">
        <w:t xml:space="preserve">mājokļu pieejamības jomā kā tādas, kas raksturo reālo un aktuālo situāciju. Diskusijas gaitā pētnieku piedāvātās problēmas tika papildinātas un izvērstas. </w:t>
      </w:r>
      <w:r w:rsidRPr="009D1FD6">
        <w:rPr>
          <w:b/>
        </w:rPr>
        <w:t>Kopējo apspriesto problēmu grupas</w:t>
      </w:r>
      <w:r w:rsidRPr="00116E53">
        <w:t>:</w:t>
      </w:r>
    </w:p>
    <w:p w:rsidR="00E92F53" w:rsidRPr="00116E53" w:rsidRDefault="00E92F53" w:rsidP="00E92F53"/>
    <w:p w:rsidR="00E92F53" w:rsidRPr="00116E53" w:rsidRDefault="00E92F53" w:rsidP="003F469F">
      <w:pPr>
        <w:pStyle w:val="ListParagraph"/>
        <w:numPr>
          <w:ilvl w:val="0"/>
          <w:numId w:val="151"/>
        </w:numPr>
        <w:spacing w:line="276" w:lineRule="auto"/>
        <w:ind w:left="714" w:hanging="357"/>
        <w:jc w:val="both"/>
      </w:pPr>
      <w:r w:rsidRPr="00116E53">
        <w:t>politikas plānošanas dokumenta (mājokļu politikas pamatnostādņu) trūkums, kas liedz attīstīt vienotu pieeju mājokļa problēmu risināšanā, t.sk. attiecībā uz īres namu būvniecību;</w:t>
      </w:r>
    </w:p>
    <w:p w:rsidR="00E92F53" w:rsidRPr="00116E53" w:rsidRDefault="00E92F53" w:rsidP="003F469F">
      <w:pPr>
        <w:pStyle w:val="ListParagraph"/>
        <w:numPr>
          <w:ilvl w:val="0"/>
          <w:numId w:val="151"/>
        </w:numPr>
        <w:spacing w:line="276" w:lineRule="auto"/>
        <w:ind w:left="714" w:hanging="357"/>
        <w:jc w:val="both"/>
      </w:pPr>
      <w:r w:rsidRPr="00116E53">
        <w:t>tiesiskā regulējuma pilnveidošanas gausā gaita (likumprojekta “Dzīvojamo telpu īres likums” ilgstošā izstrāde un virzība uz pieņemšanu Saeimā);</w:t>
      </w:r>
    </w:p>
    <w:p w:rsidR="00E92F53" w:rsidRPr="00116E53" w:rsidRDefault="00E92F53" w:rsidP="003F469F">
      <w:pPr>
        <w:pStyle w:val="ListParagraph"/>
        <w:numPr>
          <w:ilvl w:val="0"/>
          <w:numId w:val="151"/>
        </w:numPr>
        <w:spacing w:line="276" w:lineRule="auto"/>
        <w:ind w:left="714" w:hanging="357"/>
        <w:jc w:val="both"/>
      </w:pPr>
      <w:r w:rsidRPr="00116E53">
        <w:rPr>
          <w:bCs/>
        </w:rPr>
        <w:t>nevienlīdzība</w:t>
      </w:r>
      <w:r>
        <w:rPr>
          <w:bCs/>
        </w:rPr>
        <w:t>s</w:t>
      </w:r>
      <w:r w:rsidRPr="00116E53">
        <w:rPr>
          <w:bCs/>
        </w:rPr>
        <w:t xml:space="preserve"> mājokļu jomā tiešā saikne ar ienākumu nevienlīdzību: jo zemāki mājsaimniecības ienākumi, jo zemākas kvalitātes mājokļos tās dzīvo;</w:t>
      </w:r>
    </w:p>
    <w:p w:rsidR="00E92F53" w:rsidRPr="00116E53" w:rsidRDefault="00E92F53" w:rsidP="003F469F">
      <w:pPr>
        <w:pStyle w:val="ListParagraph"/>
        <w:numPr>
          <w:ilvl w:val="0"/>
          <w:numId w:val="151"/>
        </w:numPr>
        <w:spacing w:line="276" w:lineRule="auto"/>
        <w:ind w:left="714" w:hanging="357"/>
        <w:jc w:val="both"/>
      </w:pPr>
      <w:r w:rsidRPr="00116E53">
        <w:t>ilgstošas rindas uz pašvaldības mājokļiem, sociālajiem mājokļiem;</w:t>
      </w:r>
    </w:p>
    <w:p w:rsidR="00E92F53" w:rsidRPr="00116E53" w:rsidRDefault="00E92F53" w:rsidP="003F469F">
      <w:pPr>
        <w:pStyle w:val="ListParagraph"/>
        <w:numPr>
          <w:ilvl w:val="0"/>
          <w:numId w:val="151"/>
        </w:numPr>
        <w:spacing w:line="276" w:lineRule="auto"/>
        <w:ind w:left="714" w:hanging="357"/>
        <w:jc w:val="both"/>
      </w:pPr>
      <w:r w:rsidRPr="00116E53">
        <w:rPr>
          <w:bCs/>
        </w:rPr>
        <w:lastRenderedPageBreak/>
        <w:t>dzīvojamā fonda neapmierinošais tehniskais stāvoklis un neatbilstība iedzīvotāju, t.sk. specifisku mērķa grupu (piemēram, personu ar invaliditāti) pieprasījumam;</w:t>
      </w:r>
    </w:p>
    <w:p w:rsidR="00E92F53" w:rsidRPr="00116E53" w:rsidRDefault="00E92F53" w:rsidP="003F469F">
      <w:pPr>
        <w:pStyle w:val="ListParagraph"/>
        <w:numPr>
          <w:ilvl w:val="0"/>
          <w:numId w:val="151"/>
        </w:numPr>
        <w:spacing w:line="276" w:lineRule="auto"/>
        <w:ind w:left="714" w:hanging="357"/>
        <w:jc w:val="both"/>
      </w:pPr>
      <w:r w:rsidRPr="00116E53">
        <w:t xml:space="preserve">risks pieaugt iedzīvotāju īpatsvaram, kuriem ir apgrūtināta mājokļa pieejamība, kas ir saistīts ar dzīvojamā fonda novecošanos; </w:t>
      </w:r>
    </w:p>
    <w:p w:rsidR="00E92F53" w:rsidRPr="00116E53" w:rsidRDefault="00E92F53" w:rsidP="003F469F">
      <w:pPr>
        <w:pStyle w:val="ListParagraph"/>
        <w:numPr>
          <w:ilvl w:val="0"/>
          <w:numId w:val="151"/>
        </w:numPr>
        <w:spacing w:line="276" w:lineRule="auto"/>
        <w:ind w:left="714" w:hanging="357"/>
        <w:jc w:val="both"/>
      </w:pPr>
      <w:r w:rsidRPr="00116E53">
        <w:t xml:space="preserve">dzīvojamā fonda atjaunošanas un būvniecības problēmas; </w:t>
      </w:r>
    </w:p>
    <w:p w:rsidR="00E92F53" w:rsidRPr="00116E53" w:rsidRDefault="00E92F53" w:rsidP="003F469F">
      <w:pPr>
        <w:pStyle w:val="ListParagraph"/>
        <w:numPr>
          <w:ilvl w:val="0"/>
          <w:numId w:val="151"/>
        </w:numPr>
        <w:spacing w:line="276" w:lineRule="auto"/>
        <w:ind w:left="714" w:hanging="357"/>
        <w:jc w:val="both"/>
      </w:pPr>
      <w:r w:rsidRPr="00116E53">
        <w:t>mājokļu būvniecība un īres tirgus nesakārtotība, stagnācija, valsts nodokļu politikas radītie šķēršļi legālā īres tirgus attīstībai un jaunu mājokļu būvniecībai;</w:t>
      </w:r>
    </w:p>
    <w:p w:rsidR="00E92F53" w:rsidRPr="00116E53" w:rsidRDefault="00E92F53" w:rsidP="003F469F">
      <w:pPr>
        <w:pStyle w:val="ListParagraph"/>
        <w:numPr>
          <w:ilvl w:val="0"/>
          <w:numId w:val="151"/>
        </w:numPr>
        <w:spacing w:line="276" w:lineRule="auto"/>
        <w:ind w:left="714" w:hanging="357"/>
        <w:jc w:val="both"/>
      </w:pPr>
      <w:r w:rsidRPr="00116E53">
        <w:rPr>
          <w:bCs/>
        </w:rPr>
        <w:t>privātā un publiskā sektora attiecības mājokļa jomā</w:t>
      </w:r>
      <w:r w:rsidRPr="00116E53">
        <w:t>: mājokļu brīvā tirgus principu un pašvaldību autonomās funkcijas sniegt palīdzību mājokļa jomā salāgošana;</w:t>
      </w:r>
    </w:p>
    <w:p w:rsidR="00E92F53" w:rsidRPr="00116E53" w:rsidRDefault="00E92F53" w:rsidP="003F469F">
      <w:pPr>
        <w:pStyle w:val="ListParagraph"/>
        <w:numPr>
          <w:ilvl w:val="0"/>
          <w:numId w:val="151"/>
        </w:numPr>
        <w:spacing w:line="276" w:lineRule="auto"/>
        <w:ind w:left="714" w:hanging="357"/>
        <w:jc w:val="both"/>
      </w:pPr>
      <w:r w:rsidRPr="00116E53">
        <w:rPr>
          <w:bCs/>
        </w:rPr>
        <w:t xml:space="preserve">nepietiekami attīstīts mājokļu īres tirgus; </w:t>
      </w:r>
    </w:p>
    <w:p w:rsidR="00E92F53" w:rsidRPr="00116E53" w:rsidRDefault="00E92F53" w:rsidP="003F469F">
      <w:pPr>
        <w:pStyle w:val="ListParagraph"/>
        <w:numPr>
          <w:ilvl w:val="0"/>
          <w:numId w:val="151"/>
        </w:numPr>
        <w:spacing w:line="276" w:lineRule="auto"/>
        <w:ind w:left="714" w:hanging="357"/>
        <w:jc w:val="both"/>
      </w:pPr>
      <w:r w:rsidRPr="00116E53">
        <w:rPr>
          <w:bCs/>
        </w:rPr>
        <w:t>vienotas pieejas trūkums dzīvokļa pabalsta sniegšanas kārtībā pašvaldībās, radot nevienlīdzīgu pieeju sociālo grupu atbalsta sniegšanā atkarībā no pašvaldības;</w:t>
      </w:r>
    </w:p>
    <w:p w:rsidR="00E92F53" w:rsidRPr="00116E53" w:rsidRDefault="00E92F53" w:rsidP="003F469F">
      <w:pPr>
        <w:pStyle w:val="ListParagraph"/>
        <w:numPr>
          <w:ilvl w:val="0"/>
          <w:numId w:val="151"/>
        </w:numPr>
        <w:spacing w:line="276" w:lineRule="auto"/>
        <w:ind w:left="714" w:hanging="357"/>
        <w:jc w:val="both"/>
      </w:pPr>
      <w:r w:rsidRPr="00116E53">
        <w:rPr>
          <w:bCs/>
        </w:rPr>
        <w:t>pagaidu mājokļu pieejamības problēma specifiskām mērķa grupām (no ieslodzījuma vietām atbrīvotas personas, vardarbībā cietušas personas u.c.).</w:t>
      </w:r>
    </w:p>
    <w:p w:rsidR="00E92F53" w:rsidRPr="00116E53" w:rsidRDefault="00E92F53" w:rsidP="00E92F53"/>
    <w:p w:rsidR="00E92F53" w:rsidRPr="00116E53" w:rsidRDefault="00E92F53" w:rsidP="00E92F53">
      <w:r w:rsidRPr="00116E53">
        <w:t xml:space="preserve">Diskusijas gaitā izvērsti tika apspriests jautājums par </w:t>
      </w:r>
      <w:r w:rsidRPr="009D1FD6">
        <w:rPr>
          <w:b/>
        </w:rPr>
        <w:t>īres namu būvniecības nepieciešamību</w:t>
      </w:r>
      <w:r w:rsidRPr="00116E53">
        <w:t xml:space="preserve">, ārvalstu pieredzi šādu mājokļu būvniecībā un ekspluatācijā, pastāvošajiem šķēršļiem Latvijas gadījumā. Tika skaidrots, ka Eiropas valstīs, kurās sekmīgi darbojas īres dzīvokļu būvniecība un ekspluatācija, ir uzkrāta pieredze gadsimta garumā, rodot efektīvākās pieejas kā būvniecībā, tā šo mājokļu izmantošanā. Latvijas gadījumā ir vērojami pirmie mēģinājumi – pašvaldību iniciatīvas, kā piemēram, Valmieras, Cēsu, Smiltenes, Siguldas u.c. – būvēt īres mājokļus ar mērķi piesaistīt iedzīvotājus konkrētajai administratīvajai teritorijai. Vienlaikus pašvaldības uzņemas vairākus riskus, kas saitīti gan ar investīciju atmaksu, gan īres cenu noteikšanu un īrnieku maksātspēju. </w:t>
      </w:r>
    </w:p>
    <w:p w:rsidR="00E92F53" w:rsidRPr="00116E53" w:rsidRDefault="00E92F53" w:rsidP="00E92F53">
      <w:pPr>
        <w:rPr>
          <w:b/>
        </w:rPr>
      </w:pPr>
    </w:p>
    <w:p w:rsidR="00E92F53" w:rsidRPr="00116E53" w:rsidRDefault="00E92F53" w:rsidP="00E92F53">
      <w:r w:rsidRPr="00116E53">
        <w:t xml:space="preserve">Diskusijas dalībnieki tika iepazīstināti ar galvenajiem no statistikas datu analīzes, sekundāro datu analīzes un ekspertu interviju rezultātiem izrietošajām </w:t>
      </w:r>
      <w:r w:rsidRPr="009D1FD6">
        <w:rPr>
          <w:b/>
        </w:rPr>
        <w:t>specifisko mērķa grupu problēmām</w:t>
      </w:r>
      <w:r w:rsidRPr="00116E53">
        <w:t>, kurām kopumā eksperti piekrita ar atsevišķiem precizējošiem komentāriem.</w:t>
      </w:r>
    </w:p>
    <w:p w:rsidR="00E92F53" w:rsidRPr="00116E53" w:rsidRDefault="00E92F53" w:rsidP="00E92F53"/>
    <w:p w:rsidR="00E92F53" w:rsidRPr="00116E53" w:rsidRDefault="00E92F53" w:rsidP="00E92F53">
      <w:r w:rsidRPr="00116E53">
        <w:t>Pirmkārt, tika pausts viedoklis, ka Izvērtējumā definētā mērķa grupa “internātskolu absolventi” nav korekti formulēta un tas būtu jāmaina, apzīmējot šo grupu par “bērniem pēc ārpusģimenes aprūpes”, jo internātskolu absolventu vidū ir gan bērni/ jaunieši, kuri ir bāreņi un/vai palikuši bez vecāku gādības, gan arī tādi, kuriem ir ģimenes un kuri turpina tajās dzīvot. 24 gad</w:t>
      </w:r>
      <w:r>
        <w:t>i ir</w:t>
      </w:r>
      <w:r w:rsidRPr="00116E53">
        <w:t xml:space="preserve"> vecums, līdz kuram šādas personas var pieteikties tai paredzētajiem sociālās palīdzības un pakalpojumu veidiem, pēc 24 gadiem tiek zaudēts bāreņa/ bez vecāka gādības palikuša bērna statuss. </w:t>
      </w:r>
    </w:p>
    <w:p w:rsidR="00E92F53" w:rsidRPr="00116E53" w:rsidRDefault="00E92F53" w:rsidP="00E92F53"/>
    <w:p w:rsidR="00E92F53" w:rsidRPr="00116E53" w:rsidRDefault="00E92F53" w:rsidP="00E92F53">
      <w:r w:rsidRPr="00116E53">
        <w:t>Otrkārt, tika pastiprināta uzmanība pievērsta mērķa grupai ģimenes ar bērniem, kuras neatbilst trūcīgās vai maznodrošinātās ģimenes statusam un vienlaikus to ienākumi neatbilst valsts mājokļa garantijas programmas nosacījumiem.</w:t>
      </w:r>
    </w:p>
    <w:p w:rsidR="00E92F53" w:rsidRPr="00116E53" w:rsidRDefault="00E92F53" w:rsidP="00E92F53"/>
    <w:p w:rsidR="00E92F53" w:rsidRPr="00116E53" w:rsidRDefault="00E92F53" w:rsidP="00E92F53">
      <w:r w:rsidRPr="00116E53">
        <w:t xml:space="preserve">Treškārt, kā īpaša grupa tika akcentētas personas ar invaliditāti. No vienas puses, tika uzsvērts, ka šai grupai ir paredzēts īpašs atbalsts mājokļa jomā, no otras puses, pastāvošie ierobežojumi šī atbalsta saņemšanā. Tika diskutēts par to, kura no pazīmēm ir primārā – invaliditāte vai personas zemie ienākumi, iegūstot tiesības uz pašvaldības atbalstu. </w:t>
      </w:r>
    </w:p>
    <w:p w:rsidR="00E92F53" w:rsidRPr="00116E53" w:rsidRDefault="00E92F53" w:rsidP="00E92F53">
      <w:r w:rsidRPr="00116E53">
        <w:lastRenderedPageBreak/>
        <w:t xml:space="preserve">Ceturtkārt, diskusijas dalībnieku vidū izskanēja viedoklis, ka no ieslodzījuma atbrīvotas personas nebūtu iekļaujamas starp tām mērķa grupām, kurām pašvaldības pienākums ir nodrošināt mājokli. Šai mērķa grupai būtu nodrošināms pagaidu mājoklis. Vienlaikus tika norādīts, ka sešus mēnešus pēc atbrīvošanās šīs personas zaudē savu sākotnējo statusu (no ieslodzījuma atbrīvotas personas) un, visdrīzāk, iegūst citas sociāli atbalstāmās mērķa grupas statusu. </w:t>
      </w:r>
    </w:p>
    <w:p w:rsidR="00E92F53" w:rsidRPr="00116E53" w:rsidRDefault="00E92F53" w:rsidP="00E92F53">
      <w:pPr>
        <w:rPr>
          <w:b/>
          <w:bCs/>
        </w:rPr>
      </w:pPr>
    </w:p>
    <w:p w:rsidR="00E92F53" w:rsidRPr="00116E53" w:rsidRDefault="00E92F53" w:rsidP="00E92F53">
      <w:pPr>
        <w:rPr>
          <w:bCs/>
        </w:rPr>
      </w:pPr>
      <w:r w:rsidRPr="00116E53">
        <w:rPr>
          <w:bCs/>
        </w:rPr>
        <w:t xml:space="preserve">Diskusijas dalībnieki vērsa uzmanību uz to, ka mājokļa jomā kopumā ir divas lielas politikas mērķa grupas – iedzīvotāji ar zemiem ienākumiem (dažādas sociālās grupas, kurām ir paredzēts pašvaldības atbalsts un kuras sabiedrībai būs jāatbalsta) un iedzīvotāji, kuri neatbilst kategorijai ar zemiem ienākumiem (trūcīgas vai mazturīgas personas/ ģimenes), bet kuriem vienlaikus izdevumi par mājokli </w:t>
      </w:r>
      <w:r>
        <w:rPr>
          <w:bCs/>
        </w:rPr>
        <w:t>pārsniedz</w:t>
      </w:r>
      <w:r w:rsidRPr="00116E53">
        <w:rPr>
          <w:bCs/>
        </w:rPr>
        <w:t xml:space="preserve"> 20-30% no kopējiem ienākumiem. </w:t>
      </w:r>
    </w:p>
    <w:p w:rsidR="00E92F53" w:rsidRPr="00116E53" w:rsidRDefault="00E92F53" w:rsidP="00E92F53">
      <w:pPr>
        <w:rPr>
          <w:bCs/>
        </w:rPr>
      </w:pPr>
    </w:p>
    <w:p w:rsidR="00E92F53" w:rsidRPr="00116E53" w:rsidRDefault="00E92F53" w:rsidP="00E92F53">
      <w:pPr>
        <w:rPr>
          <w:bCs/>
        </w:rPr>
      </w:pPr>
      <w:r w:rsidRPr="00116E53">
        <w:rPr>
          <w:bCs/>
        </w:rPr>
        <w:t xml:space="preserve">Domājot par augstāk identificēto </w:t>
      </w:r>
      <w:r w:rsidRPr="009D1FD6">
        <w:rPr>
          <w:b/>
          <w:bCs/>
        </w:rPr>
        <w:t>problēmu risinājumiem</w:t>
      </w:r>
      <w:r w:rsidRPr="00116E53">
        <w:rPr>
          <w:bCs/>
        </w:rPr>
        <w:t xml:space="preserve">, diskusijas dalībnieki norādīja, ka ir trīs pamata virzieni, kuros ir jāstrādā. Pirmkārt, ir nepieciešams pilnveidot mājokļa politikas plānošanas dokumentus, izstrādājot vienotu skatījumu, piemēram, par pašvaldību īres mājokļu attīstību; vienotas pieejas izstrādi attiecībā uz noteiktām sociālajām grupām, lai novērstu situāciju, ka personas ar vienādiem ienākumiem un sociālo situāciju nevar saņemt līdzvērtīgu atbalstu. Otrkārt, ir jāsakārto mājokļa jomas tiesiskais regulējums, vispirms ir jāpieņem izstrādātais likumprojekts „Dzīvojamo telpu īres likums”, kas ir būtisks priekšnosacījums īres tirgus attīstībai un īres mājokļu būvniecībai. Treškārt, ir jānovērš pastāvošie nodokļu politikas radītie šķēršļi mājokļa tirgus attīstībai (piemēram, iedzīvotāju ienākuma nodoklis par dzīvokļa izīrēšanu, nodoklis par dzīvokļa reģistrēšanu Zemesgrāmatā u.c.). </w:t>
      </w:r>
    </w:p>
    <w:p w:rsidR="00E92F53" w:rsidRPr="00116E53" w:rsidRDefault="00E92F53" w:rsidP="00E92F53">
      <w:pPr>
        <w:rPr>
          <w:bCs/>
        </w:rPr>
      </w:pPr>
    </w:p>
    <w:p w:rsidR="00E92F53" w:rsidRPr="00116E53" w:rsidRDefault="00E92F53" w:rsidP="00E92F53">
      <w:pPr>
        <w:rPr>
          <w:bCs/>
        </w:rPr>
      </w:pPr>
      <w:r w:rsidRPr="00116E53">
        <w:rPr>
          <w:bCs/>
        </w:rPr>
        <w:t xml:space="preserve">Diskusijas dalībniekiem tika piedāvāti faktori, kas jāņem vērā, izstrādājot </w:t>
      </w:r>
      <w:r w:rsidRPr="009D1FD6">
        <w:rPr>
          <w:b/>
          <w:bCs/>
        </w:rPr>
        <w:t>priekšlikumu atbalsta mehānismam, lai noteiktu laiku pasargātu īrnieku un viņa ģimeni no izlikšanas no dzīvokļa</w:t>
      </w:r>
      <w:r w:rsidRPr="00116E53">
        <w:rPr>
          <w:bCs/>
        </w:rPr>
        <w:t>:</w:t>
      </w:r>
    </w:p>
    <w:p w:rsidR="00E92F53" w:rsidRPr="00116E53" w:rsidRDefault="00E92F53" w:rsidP="003F469F">
      <w:pPr>
        <w:numPr>
          <w:ilvl w:val="0"/>
          <w:numId w:val="152"/>
        </w:numPr>
        <w:rPr>
          <w:bCs/>
        </w:rPr>
      </w:pPr>
      <w:r w:rsidRPr="00116E53">
        <w:rPr>
          <w:bCs/>
        </w:rPr>
        <w:t>esošais regulējums attiecībā uz izlikšanu no mājokļa (piemēram, likums aizsargā ģimenes ar bērniem);</w:t>
      </w:r>
    </w:p>
    <w:p w:rsidR="00E92F53" w:rsidRPr="00116E53" w:rsidRDefault="00E92F53" w:rsidP="003F469F">
      <w:pPr>
        <w:numPr>
          <w:ilvl w:val="0"/>
          <w:numId w:val="152"/>
        </w:numPr>
        <w:rPr>
          <w:bCs/>
        </w:rPr>
      </w:pPr>
      <w:r w:rsidRPr="00116E53">
        <w:rPr>
          <w:bCs/>
        </w:rPr>
        <w:t>mehānisma veids un palīdzības/ pakalpojuma sniedzēji (finansiāls atbalsts no valsts vai pašvaldības puses);</w:t>
      </w:r>
    </w:p>
    <w:p w:rsidR="00E92F53" w:rsidRPr="00116E53" w:rsidRDefault="00E92F53" w:rsidP="003F469F">
      <w:pPr>
        <w:numPr>
          <w:ilvl w:val="0"/>
          <w:numId w:val="152"/>
        </w:numPr>
        <w:rPr>
          <w:bCs/>
        </w:rPr>
      </w:pPr>
      <w:r w:rsidRPr="00116E53">
        <w:rPr>
          <w:bCs/>
        </w:rPr>
        <w:t xml:space="preserve">atbalsta sniegšanas kritēriji (krīzes situācijas kritēriji, atbalsta ilgums mēnešos, mērķa grupas); </w:t>
      </w:r>
    </w:p>
    <w:p w:rsidR="00E92F53" w:rsidRPr="00116E53" w:rsidRDefault="00E92F53" w:rsidP="003F469F">
      <w:pPr>
        <w:numPr>
          <w:ilvl w:val="0"/>
          <w:numId w:val="152"/>
        </w:numPr>
        <w:rPr>
          <w:bCs/>
        </w:rPr>
      </w:pPr>
      <w:r w:rsidRPr="00116E53">
        <w:rPr>
          <w:bCs/>
        </w:rPr>
        <w:t>indikatīvās izmaksas veidojošās pozīcijas un tās ietekmējošie faktori (izdevumi par mājokļa īri, komunālajiem pakalpojumiem, vidējā īres maksa pašvaldībā un/vai valstī, mājsaimniecība locekļu skaits u.c.).</w:t>
      </w:r>
    </w:p>
    <w:p w:rsidR="00E92F53" w:rsidRPr="00116E53" w:rsidRDefault="00E92F53" w:rsidP="00E92F53">
      <w:pPr>
        <w:rPr>
          <w:bCs/>
        </w:rPr>
      </w:pPr>
    </w:p>
    <w:p w:rsidR="00E92F53" w:rsidRPr="00EE3333" w:rsidRDefault="00E92F53" w:rsidP="00E92F53">
      <w:pPr>
        <w:rPr>
          <w:rFonts w:eastAsiaTheme="majorEastAsia"/>
          <w:b/>
          <w:i/>
          <w:color w:val="002060"/>
        </w:rPr>
      </w:pPr>
      <w:r w:rsidRPr="00116E53">
        <w:rPr>
          <w:bCs/>
        </w:rPr>
        <w:t>Diskusijas dalībnieki vērsa uzmanību uz to, ka, pirmkārt, ir jāizvērtē, vai, iestājoties krīzes situācijai, konkrētā mājsaimniecība neatbilst kādai no sociālo grupu kategorijām, kurām ir jau normatīvi noteikta atbalsta sniegšanas kārtība. Šādos gadījumos nav jārada papildu mehānisms. Otrkārt, nedrīkstētu veidoties situācija, ka dzīvokļa izīrētājam ir jāuzņemas sociālās funkcijas pildīšana. Treškārt, tika pausts viedoklis, ka</w:t>
      </w:r>
      <w:r>
        <w:rPr>
          <w:bCs/>
        </w:rPr>
        <w:t>,</w:t>
      </w:r>
      <w:r w:rsidRPr="00116E53">
        <w:rPr>
          <w:bCs/>
        </w:rPr>
        <w:t xml:space="preserve"> līdzīgi kā ar citiem atbalsta veidiem</w:t>
      </w:r>
      <w:r>
        <w:rPr>
          <w:bCs/>
        </w:rPr>
        <w:t>,</w:t>
      </w:r>
      <w:r w:rsidRPr="00116E53">
        <w:rPr>
          <w:bCs/>
        </w:rPr>
        <w:t xml:space="preserve"> ir nepieciešams paredzēt individuālu katra gadījuma izvērtēšanu, par kuru galvenā atbildība būtu jāuzņemas sociālajiem dienestiem.</w:t>
      </w:r>
    </w:p>
    <w:p w:rsidR="00ED542D" w:rsidRPr="00116E53" w:rsidRDefault="00ED542D" w:rsidP="00116E53">
      <w:pPr>
        <w:rPr>
          <w:rFonts w:eastAsiaTheme="majorEastAsia"/>
          <w:b/>
          <w:i/>
          <w:color w:val="002060"/>
        </w:rPr>
      </w:pPr>
      <w:r w:rsidRPr="00116E53">
        <w:br w:type="page"/>
      </w:r>
    </w:p>
    <w:p w:rsidR="005535D6" w:rsidRDefault="005535D6" w:rsidP="004C1ABB">
      <w:pPr>
        <w:pStyle w:val="pielikumiem"/>
      </w:pPr>
      <w:bookmarkStart w:id="1394" w:name="_Toc6841746"/>
      <w:r w:rsidRPr="00775EB0">
        <w:lastRenderedPageBreak/>
        <w:t xml:space="preserve">pielikums. </w:t>
      </w:r>
      <w:r>
        <w:t>Tiesību aktu izmaiņas 2015., 2016.</w:t>
      </w:r>
      <w:r w:rsidR="00DE1C08">
        <w:t xml:space="preserve"> </w:t>
      </w:r>
      <w:r>
        <w:t>gadā, kuras vērstas uz nabadzības, sociālās atstumtības un ienākumu nevienlīdzības samazināšanu</w:t>
      </w:r>
      <w:bookmarkEnd w:id="1394"/>
    </w:p>
    <w:p w:rsidR="00ED542D" w:rsidRDefault="00ED542D" w:rsidP="004C1ABB">
      <w:pPr>
        <w:pStyle w:val="pielikumiem"/>
      </w:pPr>
      <w:bookmarkStart w:id="1395" w:name="_Toc6841747"/>
      <w:r>
        <w:t xml:space="preserve">pielikums. </w:t>
      </w:r>
      <w:r w:rsidRPr="00ED542D">
        <w:t>Valsts noteiktie atvieglojumi veselības aprūpes pakalpojumu saņemšanai</w:t>
      </w:r>
      <w:bookmarkEnd w:id="1395"/>
    </w:p>
    <w:p w:rsidR="00ED542D" w:rsidRDefault="00ED542D" w:rsidP="004C1ABB">
      <w:pPr>
        <w:pStyle w:val="pielikumiem"/>
      </w:pPr>
      <w:bookmarkStart w:id="1396" w:name="_Toc6841748"/>
      <w:r>
        <w:t>pielikums. Pašvaldību</w:t>
      </w:r>
      <w:r w:rsidRPr="00ED542D">
        <w:t xml:space="preserve"> noteiktie atvieglojumi veselības aprūpes pakalpojumu saņemšanai</w:t>
      </w:r>
      <w:bookmarkEnd w:id="1396"/>
    </w:p>
    <w:p w:rsidR="00ED542D" w:rsidRPr="00ED542D" w:rsidRDefault="00ED542D" w:rsidP="004C1ABB">
      <w:pPr>
        <w:pStyle w:val="pielikumiem"/>
      </w:pPr>
      <w:bookmarkStart w:id="1397" w:name="_Toc6841749"/>
      <w:r>
        <w:t>pielikums. Pašvaldību</w:t>
      </w:r>
      <w:r w:rsidRPr="00ED542D">
        <w:t xml:space="preserve"> noteiktie atvieglojumi </w:t>
      </w:r>
      <w:r>
        <w:t>mājokļa pieejamības jomā</w:t>
      </w:r>
      <w:bookmarkEnd w:id="1397"/>
    </w:p>
    <w:p w:rsidR="005535D6" w:rsidRPr="005535D6" w:rsidRDefault="005535D6" w:rsidP="00064C1E"/>
    <w:p w:rsidR="00E96CB5" w:rsidRPr="004C1ABB" w:rsidRDefault="00AE0C5C" w:rsidP="004C1ABB">
      <w:r>
        <w:t>9</w:t>
      </w:r>
      <w:r w:rsidR="00860662">
        <w:t>.-</w:t>
      </w:r>
      <w:r w:rsidR="00ED542D">
        <w:t xml:space="preserve">12. pielikumi </w:t>
      </w:r>
      <w:r w:rsidR="00ED542D">
        <w:rPr>
          <w:i/>
        </w:rPr>
        <w:t xml:space="preserve">Excel </w:t>
      </w:r>
      <w:r w:rsidR="00ED542D" w:rsidRPr="00ED542D">
        <w:t>formātā</w:t>
      </w:r>
      <w:r w:rsidR="00860662">
        <w:t xml:space="preserve"> elektroniski. </w:t>
      </w:r>
    </w:p>
    <w:sectPr w:rsidR="00E96CB5" w:rsidRPr="004C1ABB" w:rsidSect="00671056">
      <w:footerReference w:type="default" r:id="rId361"/>
      <w:pgSz w:w="11906" w:h="16838"/>
      <w:pgMar w:top="1440" w:right="1080" w:bottom="1440"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4B50" w:rsidRDefault="00224B50" w:rsidP="00CC0D3C">
      <w:r>
        <w:separator/>
      </w:r>
    </w:p>
  </w:endnote>
  <w:endnote w:type="continuationSeparator" w:id="1">
    <w:p w:rsidR="00224B50" w:rsidRDefault="00224B50" w:rsidP="00CC0D3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Cambria">
    <w:panose1 w:val="02040503050406030204"/>
    <w:charset w:val="BA"/>
    <w:family w:val="roman"/>
    <w:pitch w:val="variable"/>
    <w:sig w:usb0="A00002EF" w:usb1="4000004B" w:usb2="00000000" w:usb3="00000000" w:csb0="0000009F" w:csb1="00000000"/>
  </w:font>
  <w:font w:name="Garamond">
    <w:panose1 w:val="02020404030301010803"/>
    <w:charset w:val="BA"/>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BA"/>
    <w:family w:val="swiss"/>
    <w:pitch w:val="variable"/>
    <w:sig w:usb0="61002A87" w:usb1="80000000" w:usb2="00000008" w:usb3="00000000" w:csb0="000101FF" w:csb1="00000000"/>
  </w:font>
  <w:font w:name="Arial">
    <w:panose1 w:val="020B0604020202020204"/>
    <w:charset w:val="BA"/>
    <w:family w:val="swiss"/>
    <w:pitch w:val="variable"/>
    <w:sig w:usb0="20002A87" w:usb1="80000000" w:usb2="00000008"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Roboto">
    <w:altName w:val="Times New Roman"/>
    <w:charset w:val="00"/>
    <w:family w:val="auto"/>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BA"/>
    <w:family w:val="swiss"/>
    <w:pitch w:val="variable"/>
    <w:sig w:usb0="20000287" w:usb1="00000000" w:usb2="00000000" w:usb3="00000000" w:csb0="0000019F" w:csb1="00000000"/>
  </w:font>
  <w:font w:name="Cambria Math">
    <w:panose1 w:val="02040503050406030204"/>
    <w:charset w:val="BA"/>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5771298"/>
      <w:docPartObj>
        <w:docPartGallery w:val="Page Numbers (Bottom of Page)"/>
        <w:docPartUnique/>
      </w:docPartObj>
    </w:sdtPr>
    <w:sdtContent>
      <w:p w:rsidR="00224B50" w:rsidRDefault="00224B50">
        <w:pPr>
          <w:pStyle w:val="Footer"/>
          <w:jc w:val="center"/>
        </w:pPr>
        <w:fldSimple w:instr=" PAGE   \* MERGEFORMAT ">
          <w:r w:rsidR="001E2BEB">
            <w:rPr>
              <w:noProof/>
            </w:rPr>
            <w:t>31</w:t>
          </w:r>
        </w:fldSimple>
      </w:p>
    </w:sdtContent>
  </w:sdt>
  <w:p w:rsidR="00224B50" w:rsidRDefault="00224B5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165767"/>
      <w:docPartObj>
        <w:docPartGallery w:val="Page Numbers (Bottom of Page)"/>
        <w:docPartUnique/>
      </w:docPartObj>
    </w:sdtPr>
    <w:sdtContent>
      <w:p w:rsidR="00224B50" w:rsidRDefault="00224B50" w:rsidP="00922A20">
        <w:pPr>
          <w:pStyle w:val="Footer"/>
          <w:jc w:val="center"/>
        </w:pPr>
        <w:r>
          <w:rPr>
            <w:noProof/>
          </w:rPr>
          <w:fldChar w:fldCharType="begin"/>
        </w:r>
        <w:r>
          <w:rPr>
            <w:noProof/>
          </w:rPr>
          <w:instrText xml:space="preserve"> PAGE   \* MERGEFORMAT </w:instrText>
        </w:r>
        <w:r>
          <w:rPr>
            <w:noProof/>
          </w:rPr>
          <w:fldChar w:fldCharType="separate"/>
        </w:r>
        <w:r w:rsidR="001E2BEB">
          <w:rPr>
            <w:noProof/>
          </w:rPr>
          <w:t>419</w:t>
        </w:r>
        <w:r>
          <w:rPr>
            <w:noProof/>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08054"/>
      <w:docPartObj>
        <w:docPartGallery w:val="Page Numbers (Bottom of Page)"/>
        <w:docPartUnique/>
      </w:docPartObj>
    </w:sdtPr>
    <w:sdtContent>
      <w:p w:rsidR="00224B50" w:rsidRDefault="00224B50">
        <w:pPr>
          <w:pStyle w:val="Footer"/>
          <w:jc w:val="center"/>
        </w:pPr>
        <w:r>
          <w:rPr>
            <w:noProof/>
          </w:rPr>
          <w:fldChar w:fldCharType="begin"/>
        </w:r>
        <w:r>
          <w:rPr>
            <w:noProof/>
          </w:rPr>
          <w:instrText xml:space="preserve"> PAGE   \* MERGEFORMAT </w:instrText>
        </w:r>
        <w:r>
          <w:rPr>
            <w:noProof/>
          </w:rPr>
          <w:fldChar w:fldCharType="separate"/>
        </w:r>
        <w:r w:rsidR="001E2BEB">
          <w:rPr>
            <w:noProof/>
          </w:rPr>
          <w:t>454</w:t>
        </w:r>
        <w:r>
          <w:rPr>
            <w:noProof/>
          </w:rPr>
          <w:fldChar w:fldCharType="end"/>
        </w:r>
      </w:p>
    </w:sdtContent>
  </w:sdt>
  <w:p w:rsidR="00224B50" w:rsidRDefault="00224B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4B50" w:rsidRDefault="00224B50" w:rsidP="00CC0D3C">
      <w:r>
        <w:separator/>
      </w:r>
    </w:p>
  </w:footnote>
  <w:footnote w:type="continuationSeparator" w:id="1">
    <w:p w:rsidR="00224B50" w:rsidRDefault="00224B50" w:rsidP="00CC0D3C">
      <w:r>
        <w:continuationSeparator/>
      </w:r>
    </w:p>
  </w:footnote>
  <w:footnote w:id="2">
    <w:p w:rsidR="00224B50" w:rsidRPr="008674B5" w:rsidRDefault="00224B50" w:rsidP="00754957">
      <w:pPr>
        <w:pStyle w:val="FootnoteText"/>
        <w:spacing w:line="240" w:lineRule="auto"/>
      </w:pPr>
      <w:r w:rsidRPr="008674B5">
        <w:rPr>
          <w:rStyle w:val="FootnoteReference"/>
        </w:rPr>
        <w:footnoteRef/>
      </w:r>
      <w:r w:rsidRPr="008674B5">
        <w:t xml:space="preserve"> CSP (2019). Pieejams: </w:t>
      </w:r>
      <w:hyperlink r:id="rId1" w:history="1">
        <w:r w:rsidRPr="008674B5">
          <w:rPr>
            <w:rStyle w:val="Hyperlink"/>
            <w:sz w:val="20"/>
          </w:rPr>
          <w:t>https://www.csb.gov.lv/lv/statistika/statistikas-temas/socialie-procesi/nabadziba/tabulas/nig120/dzini-koeficients</w:t>
        </w:r>
      </w:hyperlink>
      <w:r w:rsidRPr="008674B5">
        <w:t xml:space="preserve"> (sk. 11.02.2019.)</w:t>
      </w:r>
    </w:p>
  </w:footnote>
  <w:footnote w:id="3">
    <w:p w:rsidR="00224B50" w:rsidRPr="008674B5" w:rsidRDefault="00224B50" w:rsidP="00754957">
      <w:pPr>
        <w:pStyle w:val="FootnoteText"/>
        <w:spacing w:line="240" w:lineRule="auto"/>
        <w:jc w:val="both"/>
      </w:pPr>
      <w:r w:rsidRPr="008674B5">
        <w:rPr>
          <w:rStyle w:val="FootnoteReference"/>
        </w:rPr>
        <w:footnoteRef/>
      </w:r>
      <w:r w:rsidRPr="008674B5">
        <w:t xml:space="preserve"> Iepirkuma Nr. LRLM2017/28-3-03/13ESF ''Ikgadējs nabadzības un sociālās atstumtības mazināšanas rīcībpolitikas izvērtējums (t.sk. izvērtējums par nevienlīdzību veselības aprūpē un </w:t>
      </w:r>
      <w:r w:rsidRPr="008674B5">
        <w:rPr>
          <w:bCs/>
        </w:rPr>
        <w:t xml:space="preserve">nevienlīdzību </w:t>
      </w:r>
      <w:r w:rsidRPr="008674B5">
        <w:t>mājokļa pieejamības jomā)'' nolikuma 1.pielikums „Tehniskā specifikācija”, 17.lpp.</w:t>
      </w:r>
    </w:p>
  </w:footnote>
  <w:footnote w:id="4">
    <w:p w:rsidR="00224B50" w:rsidRPr="008674B5" w:rsidRDefault="00224B50" w:rsidP="00754957">
      <w:pPr>
        <w:pStyle w:val="FootnoteText"/>
        <w:spacing w:line="240" w:lineRule="auto"/>
      </w:pPr>
      <w:r w:rsidRPr="008674B5">
        <w:rPr>
          <w:rStyle w:val="FootnoteReference"/>
        </w:rPr>
        <w:footnoteRef/>
      </w:r>
      <w:r w:rsidRPr="008674B5">
        <w:t xml:space="preserve"> CSP (2019). Pieejams: </w:t>
      </w:r>
      <w:hyperlink r:id="rId2" w:history="1">
        <w:r w:rsidRPr="008674B5">
          <w:rPr>
            <w:rStyle w:val="Hyperlink"/>
            <w:sz w:val="20"/>
          </w:rPr>
          <w:t>https://www.csb.gov.lv/lv/statistika/statistikas-temas/socialie-procesi/nabadziba/tabulas/nig020/nabadzibas-riska-slieksnis-ilustrativas-vertibas</w:t>
        </w:r>
      </w:hyperlink>
      <w:r w:rsidRPr="008674B5">
        <w:t xml:space="preserve"> (sk. 11.02.2019.)</w:t>
      </w:r>
    </w:p>
  </w:footnote>
  <w:footnote w:id="5">
    <w:p w:rsidR="00224B50" w:rsidRPr="008674B5" w:rsidRDefault="00224B50" w:rsidP="00754957">
      <w:pPr>
        <w:pStyle w:val="FootnoteText"/>
        <w:spacing w:line="240" w:lineRule="auto"/>
      </w:pPr>
      <w:r w:rsidRPr="008674B5">
        <w:rPr>
          <w:rStyle w:val="FootnoteReference"/>
        </w:rPr>
        <w:footnoteRef/>
      </w:r>
      <w:r>
        <w:t xml:space="preserve"> </w:t>
      </w:r>
      <w:r w:rsidRPr="008674B5">
        <w:t xml:space="preserve">Iepirkuma Nr. LRLM2017/28-3-03/13ESF ''Ikgadējs nabadzības un sociālās atstumtības mazināšanas rīcībpolitikas izvērtējums (t.sk. izvērtējums par nevienlīdzību veselības aprūpē un </w:t>
      </w:r>
      <w:r w:rsidRPr="008674B5">
        <w:rPr>
          <w:bCs/>
        </w:rPr>
        <w:t xml:space="preserve">nevienlīdzību </w:t>
      </w:r>
      <w:r w:rsidRPr="008674B5">
        <w:t>mājokļa pieejamības jomā)'' nolikuma 1.pielikums „Tehniskā specifikācija”, 17.lpp.</w:t>
      </w:r>
    </w:p>
  </w:footnote>
  <w:footnote w:id="6">
    <w:p w:rsidR="00224B50" w:rsidRDefault="00224B50" w:rsidP="00754957">
      <w:pPr>
        <w:pStyle w:val="FootnoteText"/>
        <w:spacing w:line="240" w:lineRule="auto"/>
      </w:pPr>
      <w:r>
        <w:rPr>
          <w:rStyle w:val="FootnoteReference"/>
          <w:rFonts w:eastAsiaTheme="majorEastAsia"/>
        </w:rPr>
        <w:footnoteRef/>
      </w:r>
      <w:r>
        <w:t xml:space="preserve"> CSP, “Sociālie transferti”.</w:t>
      </w:r>
    </w:p>
  </w:footnote>
  <w:footnote w:id="7">
    <w:p w:rsidR="00224B50" w:rsidRPr="008674B5" w:rsidRDefault="00224B50" w:rsidP="00754957">
      <w:pPr>
        <w:pStyle w:val="FootnoteText"/>
        <w:spacing w:line="240" w:lineRule="auto"/>
      </w:pPr>
      <w:r w:rsidRPr="008674B5">
        <w:rPr>
          <w:rStyle w:val="FootnoteReference"/>
        </w:rPr>
        <w:footnoteRef/>
      </w:r>
      <w:r w:rsidRPr="008674B5">
        <w:t xml:space="preserve"> Iepirkuma Nr. LRLM2017/28-3-03/13ESF ''Ikgadējs nabadzības un sociālās atstumtības mazināšanas rīcībpolitikas izvērtējums (t.sk. izvērtējums par nevienlīdzību veselības aprūpē un </w:t>
      </w:r>
      <w:r w:rsidRPr="008674B5">
        <w:rPr>
          <w:bCs/>
        </w:rPr>
        <w:t xml:space="preserve">nevienlīdzību </w:t>
      </w:r>
      <w:r w:rsidRPr="008674B5">
        <w:t>mājokļa pieejamības jomā)'' nolikuma 1.pielikums „Tehniskā specifikācij</w:t>
      </w:r>
      <w:r>
        <w:t>a”, 17.lpp</w:t>
      </w:r>
      <w:r w:rsidRPr="008674B5">
        <w:t xml:space="preserve">. </w:t>
      </w:r>
    </w:p>
  </w:footnote>
  <w:footnote w:id="8">
    <w:p w:rsidR="00224B50" w:rsidRPr="00C15312" w:rsidRDefault="00224B50" w:rsidP="00C85EB4">
      <w:pPr>
        <w:pStyle w:val="FootnoteText"/>
        <w:spacing w:line="240" w:lineRule="auto"/>
      </w:pPr>
      <w:r w:rsidRPr="00C15312">
        <w:rPr>
          <w:rStyle w:val="FootnoteReference"/>
        </w:rPr>
        <w:footnoteRef/>
      </w:r>
      <w:r w:rsidRPr="00C15312">
        <w:t xml:space="preserve"> CSP (2019). Pieejams: </w:t>
      </w:r>
      <w:hyperlink r:id="rId3" w:history="1">
        <w:r w:rsidRPr="00C15312">
          <w:rPr>
            <w:rStyle w:val="Hyperlink"/>
            <w:sz w:val="20"/>
          </w:rPr>
          <w:t>https://www.csb.gov.lv/lv/statistika/statistikas-temas/socialie-procesi/mba/tabulas/iig090/majsaimniecibu-riciba-esosie-ienakumi-kvintilu-grupas</w:t>
        </w:r>
      </w:hyperlink>
      <w:r w:rsidRPr="00C15312">
        <w:t xml:space="preserve"> (sk. 11.02.2019.)</w:t>
      </w:r>
    </w:p>
  </w:footnote>
  <w:footnote w:id="9">
    <w:p w:rsidR="00224B50" w:rsidRPr="008674B5" w:rsidRDefault="00224B50" w:rsidP="00032697">
      <w:pPr>
        <w:pStyle w:val="FootnoteText"/>
        <w:spacing w:line="240" w:lineRule="auto"/>
      </w:pPr>
      <w:r w:rsidRPr="008674B5">
        <w:rPr>
          <w:rStyle w:val="FootnoteReference"/>
        </w:rPr>
        <w:footnoteRef/>
      </w:r>
      <w:r w:rsidRPr="008674B5">
        <w:t xml:space="preserve"> CSP. Termini. Pieejams: </w:t>
      </w:r>
      <w:hyperlink r:id="rId4" w:history="1">
        <w:r w:rsidRPr="008674B5">
          <w:rPr>
            <w:rStyle w:val="Hyperlink"/>
            <w:sz w:val="20"/>
          </w:rPr>
          <w:t>https://www.csb.gov.lv/lv/statistika/termini?tid=Priv%C4%81t%C4%81+m%C4%81jsaimniec%C4%ABba+%28m%C4%81jsaimniec%C4%ABba%29+%28199%29</w:t>
        </w:r>
      </w:hyperlink>
      <w:r w:rsidRPr="008674B5">
        <w:t xml:space="preserve"> (sk. 02.11. 2018.)</w:t>
      </w:r>
    </w:p>
  </w:footnote>
  <w:footnote w:id="10">
    <w:p w:rsidR="00224B50" w:rsidRPr="00C15312" w:rsidRDefault="00224B50" w:rsidP="00C85EB4">
      <w:pPr>
        <w:pStyle w:val="FootnoteText"/>
        <w:spacing w:line="240" w:lineRule="auto"/>
        <w:jc w:val="both"/>
      </w:pPr>
      <w:r w:rsidRPr="00C15312">
        <w:rPr>
          <w:rStyle w:val="FootnoteReference"/>
        </w:rPr>
        <w:footnoteRef/>
      </w:r>
      <w:r w:rsidRPr="00C15312">
        <w:t xml:space="preserve"> Apsekojums "Eiropas Savienības statistika par ienākumiem un dzīves apstākļiem" (angļu valodā - t</w:t>
      </w:r>
      <w:r w:rsidRPr="00C15312">
        <w:rPr>
          <w:lang w:val="en-US"/>
        </w:rPr>
        <w:t>he European Union Statistics on Income and Living Conditions</w:t>
      </w:r>
      <w:r w:rsidRPr="00C15312">
        <w:t>, saīsinājums EU-SILC).</w:t>
      </w:r>
    </w:p>
  </w:footnote>
  <w:footnote w:id="11">
    <w:p w:rsidR="00224B50" w:rsidRPr="00C15312" w:rsidRDefault="00224B50" w:rsidP="00C85EB4">
      <w:pPr>
        <w:pStyle w:val="FootnoteText"/>
        <w:spacing w:line="240" w:lineRule="auto"/>
        <w:jc w:val="both"/>
      </w:pPr>
      <w:r w:rsidRPr="00C15312">
        <w:rPr>
          <w:rStyle w:val="FootnoteReference"/>
        </w:rPr>
        <w:footnoteRef/>
      </w:r>
      <w:r w:rsidRPr="00C15312">
        <w:t xml:space="preserve"> CSP </w:t>
      </w:r>
      <w:hyperlink r:id="rId5" w:history="1">
        <w:r w:rsidRPr="00C15312">
          <w:rPr>
            <w:rStyle w:val="Hyperlink"/>
            <w:sz w:val="20"/>
          </w:rPr>
          <w:t>http://www.csb.gov.lv/statistikas-temas/metodologija/materiala-nenodrosinatiba-37053.html</w:t>
        </w:r>
      </w:hyperlink>
      <w:r w:rsidRPr="00C15312">
        <w:t xml:space="preserve">. skatīts 14.01.2013. </w:t>
      </w:r>
    </w:p>
  </w:footnote>
  <w:footnote w:id="12">
    <w:p w:rsidR="00224B50" w:rsidRPr="008674B5" w:rsidRDefault="00224B50" w:rsidP="00032697">
      <w:pPr>
        <w:pStyle w:val="FootnoteText"/>
        <w:spacing w:line="240" w:lineRule="auto"/>
        <w:jc w:val="both"/>
      </w:pPr>
      <w:r w:rsidRPr="008674B5">
        <w:rPr>
          <w:rStyle w:val="FootnoteReference"/>
        </w:rPr>
        <w:footnoteRef/>
      </w:r>
      <w:r w:rsidRPr="008674B5">
        <w:t xml:space="preserve"> Atbilstoši </w:t>
      </w:r>
      <w:r w:rsidRPr="008674B5">
        <w:rPr>
          <w:color w:val="000000"/>
          <w:shd w:val="clear" w:color="auto" w:fill="FFFFFF"/>
        </w:rPr>
        <w:t>MK 30.03.2010. not. Nr.299 "Noteikumi par ģimenes vai atsevišķi dzīvojošas personas atzīšanu par trūcīgu"</w:t>
      </w:r>
      <w:r w:rsidRPr="008674B5">
        <w:t xml:space="preserve">. Pieejams: </w:t>
      </w:r>
      <w:hyperlink r:id="rId6" w:history="1">
        <w:r w:rsidRPr="008674B5">
          <w:rPr>
            <w:rStyle w:val="Hyperlink"/>
            <w:sz w:val="20"/>
          </w:rPr>
          <w:t>https://likumi.lv/doc.php?id=207462</w:t>
        </w:r>
      </w:hyperlink>
      <w:r w:rsidRPr="008674B5">
        <w:t xml:space="preserve"> (sk. 20.09.2018.) </w:t>
      </w:r>
    </w:p>
  </w:footnote>
  <w:footnote w:id="13">
    <w:p w:rsidR="00224B50" w:rsidRPr="00C15312" w:rsidRDefault="00224B50" w:rsidP="00C85EB4">
      <w:pPr>
        <w:pStyle w:val="FootnoteText"/>
        <w:spacing w:line="240" w:lineRule="auto"/>
      </w:pPr>
      <w:r w:rsidRPr="00C15312">
        <w:rPr>
          <w:rStyle w:val="FootnoteReference"/>
        </w:rPr>
        <w:footnoteRef/>
      </w:r>
      <w:r w:rsidRPr="00C15312">
        <w:t xml:space="preserve"> Sabiedrības veselības pamatnostādnes 2014.-2020.</w:t>
      </w:r>
      <w:r>
        <w:t xml:space="preserve"> </w:t>
      </w:r>
      <w:r w:rsidRPr="00C15312">
        <w:t xml:space="preserve">gadam. 1. Pielikums, 3.lpp. Pieejams: </w:t>
      </w:r>
      <w:hyperlink r:id="rId7" w:history="1">
        <w:r w:rsidRPr="00C15312">
          <w:rPr>
            <w:rStyle w:val="Hyperlink"/>
            <w:sz w:val="20"/>
          </w:rPr>
          <w:t>http://polsis.mk.gov.lv/documents/4965</w:t>
        </w:r>
      </w:hyperlink>
      <w:r w:rsidRPr="00C15312">
        <w:t xml:space="preserve"> (sk. 03.10.2018.)</w:t>
      </w:r>
    </w:p>
  </w:footnote>
  <w:footnote w:id="14">
    <w:p w:rsidR="00224B50" w:rsidRDefault="00224B50" w:rsidP="00FB37BD">
      <w:pPr>
        <w:pStyle w:val="FootnoteText"/>
        <w:spacing w:line="240" w:lineRule="auto"/>
      </w:pPr>
      <w:r>
        <w:rPr>
          <w:rStyle w:val="FootnoteReference"/>
        </w:rPr>
        <w:footnoteRef/>
      </w:r>
      <w:r>
        <w:t xml:space="preserve"> </w:t>
      </w:r>
      <w:r w:rsidRPr="00A00279">
        <w:t>Veselības aprūpes finansēšanas likums</w:t>
      </w:r>
      <w:r>
        <w:t>, 2. panta 2. daļa.</w:t>
      </w:r>
    </w:p>
  </w:footnote>
  <w:footnote w:id="15">
    <w:p w:rsidR="00224B50" w:rsidRPr="00C15312" w:rsidRDefault="00224B50" w:rsidP="00FB37BD">
      <w:pPr>
        <w:pStyle w:val="FootnoteText"/>
        <w:spacing w:line="240" w:lineRule="auto"/>
      </w:pPr>
      <w:r w:rsidRPr="00C15312">
        <w:rPr>
          <w:rStyle w:val="FootnoteReference"/>
        </w:rPr>
        <w:footnoteRef/>
      </w:r>
      <w:r w:rsidRPr="00C15312">
        <w:t xml:space="preserve"> Sabiedrības veselības pamatnostādnes 2014.-2020.</w:t>
      </w:r>
      <w:r>
        <w:t xml:space="preserve"> gadam. 1. p</w:t>
      </w:r>
      <w:r w:rsidRPr="00C15312">
        <w:t>ielikums, 2.lpp.</w:t>
      </w:r>
    </w:p>
  </w:footnote>
  <w:footnote w:id="16">
    <w:p w:rsidR="00224B50" w:rsidRPr="00C15312" w:rsidRDefault="00224B50" w:rsidP="00FB37BD">
      <w:pPr>
        <w:pStyle w:val="FootnoteText"/>
        <w:spacing w:line="240" w:lineRule="auto"/>
      </w:pPr>
      <w:r w:rsidRPr="00C15312">
        <w:rPr>
          <w:rStyle w:val="FootnoteReference"/>
        </w:rPr>
        <w:footnoteRef/>
      </w:r>
      <w:r>
        <w:t xml:space="preserve"> </w:t>
      </w:r>
      <w:r w:rsidRPr="00A00279">
        <w:t>Veselības aprūpes finansēšanas likums</w:t>
      </w:r>
      <w:r>
        <w:t>, 2. panta 3. daļa.</w:t>
      </w:r>
    </w:p>
  </w:footnote>
  <w:footnote w:id="17">
    <w:p w:rsidR="00224B50" w:rsidRPr="00C15312" w:rsidRDefault="00224B50" w:rsidP="00FB37BD">
      <w:pPr>
        <w:pStyle w:val="FootnoteText"/>
        <w:spacing w:line="240" w:lineRule="auto"/>
      </w:pPr>
      <w:r w:rsidRPr="00C15312">
        <w:rPr>
          <w:rStyle w:val="FootnoteReference"/>
        </w:rPr>
        <w:footnoteRef/>
      </w:r>
      <w:r>
        <w:t xml:space="preserve"> Turpat, 2. panta 4. daļa</w:t>
      </w:r>
      <w:r w:rsidRPr="00C15312">
        <w:t>.</w:t>
      </w:r>
    </w:p>
  </w:footnote>
  <w:footnote w:id="18">
    <w:p w:rsidR="00224B50" w:rsidRPr="008674B5" w:rsidRDefault="00224B50" w:rsidP="0059184A">
      <w:pPr>
        <w:pStyle w:val="FootnoteText"/>
        <w:spacing w:line="240" w:lineRule="auto"/>
      </w:pPr>
      <w:r w:rsidRPr="008674B5">
        <w:rPr>
          <w:rStyle w:val="FootnoteReference"/>
        </w:rPr>
        <w:footnoteRef/>
      </w:r>
      <w:r w:rsidRPr="008674B5">
        <w:t xml:space="preserve"> Sabiedrības veselības pamatnostādnes 2014.-2020.</w:t>
      </w:r>
      <w:r>
        <w:t xml:space="preserve"> </w:t>
      </w:r>
      <w:r w:rsidRPr="008674B5">
        <w:t xml:space="preserve">gadam. 1. pielikums. Pieejams: </w:t>
      </w:r>
      <w:hyperlink r:id="rId8" w:history="1">
        <w:r w:rsidRPr="008674B5">
          <w:rPr>
            <w:rStyle w:val="Hyperlink"/>
            <w:sz w:val="20"/>
          </w:rPr>
          <w:t>http://polsis.mk.gov.lv/documents/4965</w:t>
        </w:r>
      </w:hyperlink>
      <w:r w:rsidRPr="008674B5">
        <w:t xml:space="preserve"> (sk. 03.10.2018.)</w:t>
      </w:r>
    </w:p>
  </w:footnote>
  <w:footnote w:id="19">
    <w:p w:rsidR="00224B50" w:rsidRDefault="00224B50">
      <w:pPr>
        <w:pStyle w:val="FootnoteText"/>
      </w:pPr>
      <w:r>
        <w:rPr>
          <w:rStyle w:val="FootnoteReference"/>
        </w:rPr>
        <w:footnoteRef/>
      </w:r>
      <w:r>
        <w:t xml:space="preserve"> Pēc: </w:t>
      </w:r>
      <w:hyperlink r:id="rId9" w:history="1">
        <w:r w:rsidRPr="009D76F8">
          <w:rPr>
            <w:rStyle w:val="Hyperlink"/>
            <w:sz w:val="20"/>
          </w:rPr>
          <w:t>https://www.eveseliba.gov.lv/sakums/informativie-raksti/slimibas-un-to-profilakses</w:t>
        </w:r>
      </w:hyperlink>
      <w:r>
        <w:t xml:space="preserve"> (17.04.2019.)</w:t>
      </w:r>
    </w:p>
  </w:footnote>
  <w:footnote w:id="20">
    <w:p w:rsidR="00224B50" w:rsidRDefault="00224B50">
      <w:pPr>
        <w:pStyle w:val="FootnoteText"/>
      </w:pPr>
      <w:r>
        <w:rPr>
          <w:rStyle w:val="FootnoteReference"/>
        </w:rPr>
        <w:footnoteRef/>
      </w:r>
      <w:r>
        <w:t xml:space="preserve"> Pēc: </w:t>
      </w:r>
      <w:hyperlink r:id="rId10" w:history="1">
        <w:r w:rsidRPr="009D76F8">
          <w:rPr>
            <w:rStyle w:val="Hyperlink"/>
            <w:sz w:val="20"/>
          </w:rPr>
          <w:t>https://www.eveseliba.gov.lv/sakums/informativie-raksti/veselibas-veicinasana</w:t>
        </w:r>
      </w:hyperlink>
      <w:r>
        <w:t xml:space="preserve"> (17.04.2019.)</w:t>
      </w:r>
    </w:p>
  </w:footnote>
  <w:footnote w:id="21">
    <w:p w:rsidR="00224B50" w:rsidRPr="008674B5" w:rsidRDefault="00224B50" w:rsidP="0059184A">
      <w:pPr>
        <w:pStyle w:val="FootnoteText"/>
        <w:spacing w:line="240" w:lineRule="auto"/>
      </w:pPr>
      <w:r w:rsidRPr="008674B5">
        <w:rPr>
          <w:rStyle w:val="FootnoteReference"/>
        </w:rPr>
        <w:footnoteRef/>
      </w:r>
      <w:r w:rsidRPr="008674B5">
        <w:t xml:space="preserve"> Pēc: Office of the High Commisioner for Human Rights. Committee on Economic, Social and Cultural Rights, General Comment 4: The Right to Adequate Housing (Art. 11 (1) of the Covenant). Adopted at the Sixth Session of the Committee on Economic, Social and Cultural Rights, on 13 December 1991 (Contained in Document E/1992/23), p.  Pieejams: </w:t>
      </w:r>
      <w:hyperlink r:id="rId11" w:history="1">
        <w:r w:rsidRPr="008674B5">
          <w:rPr>
            <w:rStyle w:val="Hyperlink"/>
            <w:sz w:val="20"/>
          </w:rPr>
          <w:t>http://www.refworld.org/pdfid/47a7079a1.pdf</w:t>
        </w:r>
      </w:hyperlink>
      <w:r w:rsidRPr="008674B5">
        <w:t xml:space="preserve"> (sk. 31.10.2018.).</w:t>
      </w:r>
    </w:p>
  </w:footnote>
  <w:footnote w:id="22">
    <w:p w:rsidR="00224B50" w:rsidRPr="008674B5" w:rsidRDefault="00224B50" w:rsidP="00F74B8F">
      <w:pPr>
        <w:pStyle w:val="FootnoteText"/>
        <w:spacing w:line="240" w:lineRule="auto"/>
      </w:pPr>
      <w:r w:rsidRPr="008674B5">
        <w:rPr>
          <w:rStyle w:val="FootnoteReference"/>
        </w:rPr>
        <w:footnoteRef/>
      </w:r>
      <w:r w:rsidRPr="008674B5">
        <w:t xml:space="preserve"> </w:t>
      </w:r>
      <w:r>
        <w:t xml:space="preserve">Džugleja, T. (2011). </w:t>
      </w:r>
      <w:r w:rsidRPr="008674B5">
        <w:t xml:space="preserve">Tiesību pamati. </w:t>
      </w:r>
      <w:r>
        <w:t xml:space="preserve">Mācību līdzeklis. Rīgas Tirdzniecības tehnikums. </w:t>
      </w:r>
      <w:r w:rsidRPr="008674B5">
        <w:t xml:space="preserve">Pieejams: </w:t>
      </w:r>
      <w:hyperlink r:id="rId12" w:history="1">
        <w:r w:rsidRPr="008674B5">
          <w:rPr>
            <w:rStyle w:val="Hyperlink"/>
            <w:sz w:val="20"/>
          </w:rPr>
          <w:t>http://www.rtpv.edu.lv/spaw/uploads/files/TIESIBU_PAMATI.pdf</w:t>
        </w:r>
      </w:hyperlink>
      <w:r w:rsidRPr="008674B5">
        <w:t xml:space="preserve"> (sk. 20.09.2018.)</w:t>
      </w:r>
    </w:p>
  </w:footnote>
  <w:footnote w:id="23">
    <w:p w:rsidR="00224B50" w:rsidRPr="00C85EB4" w:rsidRDefault="00224B50" w:rsidP="000C647F">
      <w:pPr>
        <w:pStyle w:val="FootnoteText"/>
        <w:spacing w:line="240" w:lineRule="auto"/>
        <w:jc w:val="both"/>
      </w:pPr>
      <w:r w:rsidRPr="00C85EB4">
        <w:rPr>
          <w:rStyle w:val="FootnoteReference"/>
        </w:rPr>
        <w:footnoteRef/>
      </w:r>
      <w:r w:rsidRPr="00C85EB4">
        <w:t xml:space="preserve"> Bela et al. (2018). </w:t>
      </w:r>
      <w:r w:rsidRPr="00C85EB4">
        <w:rPr>
          <w:i/>
        </w:rPr>
        <w:t>Ilgtspējīgas attīstības sociālie izaicinājumi</w:t>
      </w:r>
      <w:r w:rsidRPr="00C85EB4">
        <w:t>. Grāmatā: Inovatīvi risinājumi ceļā uz ilgtspēju: sabiedrība, ekonomika, vide</w:t>
      </w:r>
      <w:r>
        <w:t xml:space="preserve">. </w:t>
      </w:r>
      <w:r w:rsidRPr="00C85EB4">
        <w:t>Zobena, A.</w:t>
      </w:r>
      <w:r>
        <w:t xml:space="preserve"> (zin. red.)</w:t>
      </w:r>
      <w:r w:rsidRPr="00C85EB4">
        <w:t xml:space="preserve">,  LU </w:t>
      </w:r>
      <w:r>
        <w:t>Akadēmiskais a</w:t>
      </w:r>
      <w:r w:rsidRPr="00C85EB4">
        <w:t xml:space="preserve">pgāds, 19.lpp. pēc Stiglitz (2012). The Price of Inequality. Nwe York, London: W.W.Norton&amp;Company. </w:t>
      </w:r>
    </w:p>
  </w:footnote>
  <w:footnote w:id="24">
    <w:p w:rsidR="00224B50" w:rsidRPr="00C85EB4" w:rsidRDefault="00224B50" w:rsidP="000C647F">
      <w:pPr>
        <w:pStyle w:val="FootnoteText"/>
        <w:tabs>
          <w:tab w:val="left" w:pos="4820"/>
        </w:tabs>
        <w:spacing w:line="240" w:lineRule="auto"/>
        <w:jc w:val="both"/>
        <w:rPr>
          <w:lang w:eastAsia="lv-LV"/>
        </w:rPr>
      </w:pPr>
      <w:r w:rsidRPr="00C85EB4">
        <w:rPr>
          <w:rStyle w:val="FootnoteReference"/>
        </w:rPr>
        <w:footnoteRef/>
      </w:r>
      <w:r w:rsidRPr="00C85EB4">
        <w:t xml:space="preserve"> Latvijas Nacionālais attīstības plāns 2014.-2020.</w:t>
      </w:r>
      <w:r>
        <w:t xml:space="preserve"> </w:t>
      </w:r>
      <w:r w:rsidRPr="00C85EB4">
        <w:t xml:space="preserve">gadam, Pārresoru koordinācijas centrs (2012), 37. lpp. </w:t>
      </w:r>
    </w:p>
  </w:footnote>
  <w:footnote w:id="25">
    <w:p w:rsidR="00224B50" w:rsidRPr="00C85EB4" w:rsidRDefault="00224B50" w:rsidP="000C647F">
      <w:pPr>
        <w:pStyle w:val="FootnoteText"/>
        <w:tabs>
          <w:tab w:val="left" w:pos="4820"/>
        </w:tabs>
        <w:spacing w:line="240" w:lineRule="auto"/>
        <w:jc w:val="both"/>
      </w:pPr>
      <w:r w:rsidRPr="00C85EB4">
        <w:rPr>
          <w:rStyle w:val="FootnoteReference"/>
        </w:rPr>
        <w:footnoteRef/>
      </w:r>
      <w:r w:rsidRPr="00C85EB4">
        <w:t xml:space="preserve"> Turpat, 40. lpp.</w:t>
      </w:r>
    </w:p>
  </w:footnote>
  <w:footnote w:id="26">
    <w:p w:rsidR="00224B50" w:rsidRPr="00C85EB4" w:rsidRDefault="00224B50" w:rsidP="000C647F">
      <w:pPr>
        <w:tabs>
          <w:tab w:val="left" w:pos="4820"/>
        </w:tabs>
        <w:spacing w:line="240" w:lineRule="auto"/>
        <w:rPr>
          <w:sz w:val="20"/>
          <w:szCs w:val="20"/>
          <w:lang w:eastAsia="en-GB"/>
        </w:rPr>
      </w:pPr>
      <w:r w:rsidRPr="00C85EB4">
        <w:rPr>
          <w:rStyle w:val="FootnoteReference"/>
          <w:sz w:val="20"/>
          <w:szCs w:val="20"/>
        </w:rPr>
        <w:footnoteRef/>
      </w:r>
      <w:r w:rsidRPr="00C85EB4">
        <w:rPr>
          <w:sz w:val="20"/>
          <w:szCs w:val="20"/>
        </w:rPr>
        <w:t xml:space="preserve"> </w:t>
      </w:r>
      <w:r w:rsidRPr="00C85EB4">
        <w:rPr>
          <w:sz w:val="20"/>
          <w:szCs w:val="20"/>
          <w:lang w:eastAsia="en-GB"/>
        </w:rPr>
        <w:t>Latvijā Eiropas Sociālā harta ir spēkā no 2002. gada 2. marta. Saskaņā ar tās 13. pantu ikvienai personai, kurai trūkst attiecīgu līdzekļu, ir tiesības uz sociālo un medicīnisko palīdzību, paredzot Latvijas valstij kā līgumslēdzējai pusei pienākumu nodrošināt to, ka ikvienai personai, kam trūkst attiecīgu līdzekļu un kas nespēj nodrošināt šos līdzekļus vai.</w:t>
      </w:r>
    </w:p>
  </w:footnote>
  <w:footnote w:id="27">
    <w:p w:rsidR="00224B50" w:rsidRPr="00C85EB4" w:rsidRDefault="00224B50" w:rsidP="000C647F">
      <w:pPr>
        <w:pStyle w:val="FootnoteText"/>
        <w:tabs>
          <w:tab w:val="left" w:pos="4820"/>
        </w:tabs>
        <w:spacing w:line="240" w:lineRule="auto"/>
        <w:jc w:val="both"/>
      </w:pPr>
      <w:r w:rsidRPr="00C85EB4">
        <w:rPr>
          <w:rStyle w:val="FootnoteReference"/>
        </w:rPr>
        <w:footnoteRef/>
      </w:r>
      <w:r w:rsidRPr="00C85EB4">
        <w:t xml:space="preserve"> Atklāta konkursa „Ikgadējā </w:t>
      </w:r>
      <w:r w:rsidRPr="00C85EB4">
        <w:rPr>
          <w:bCs/>
        </w:rPr>
        <w:t xml:space="preserve">nabadzības un sociālās atstumtības mazināšanas rīcībpolitikas izvērtējuma (t.sk. izvērtējuma par nevienlīdzību veselības aprūpē un nevienlīdzību mājokļa pieejamības jomā)” iepirkuma (Nr. </w:t>
      </w:r>
      <w:r w:rsidRPr="00C85EB4">
        <w:rPr>
          <w:bCs/>
          <w:caps/>
        </w:rPr>
        <w:t>LRLM2018/28-3-03/13ESF</w:t>
      </w:r>
      <w:r w:rsidRPr="00C85EB4">
        <w:rPr>
          <w:bCs/>
        </w:rPr>
        <w:t xml:space="preserve">) nolikums, Labklājības ministrija, 2017,16.lpp. </w:t>
      </w:r>
    </w:p>
  </w:footnote>
  <w:footnote w:id="28">
    <w:p w:rsidR="00224B50" w:rsidRDefault="00224B50" w:rsidP="00026E03">
      <w:pPr>
        <w:autoSpaceDE w:val="0"/>
        <w:autoSpaceDN w:val="0"/>
        <w:adjustRightInd w:val="0"/>
        <w:spacing w:line="240" w:lineRule="auto"/>
        <w:jc w:val="left"/>
      </w:pPr>
      <w:r w:rsidRPr="00026E03">
        <w:rPr>
          <w:rStyle w:val="FootnoteReference"/>
          <w:sz w:val="20"/>
          <w:szCs w:val="20"/>
        </w:rPr>
        <w:footnoteRef/>
      </w:r>
      <w:r w:rsidRPr="00026E03">
        <w:rPr>
          <w:sz w:val="20"/>
          <w:szCs w:val="20"/>
          <w:lang w:eastAsia="en-GB"/>
        </w:rPr>
        <w:t>United Nations (1995). Report of the World Summit for Social Development. A/CONF.166/9. Copenhagen, Denmark, 6 to 12 March 1995</w:t>
      </w:r>
      <w:r w:rsidRPr="00541B68">
        <w:rPr>
          <w:sz w:val="20"/>
          <w:szCs w:val="20"/>
          <w:lang w:eastAsia="en-GB"/>
        </w:rPr>
        <w:t xml:space="preserve"> p. 38</w:t>
      </w:r>
      <w:r w:rsidRPr="00026E03">
        <w:rPr>
          <w:sz w:val="20"/>
          <w:szCs w:val="20"/>
          <w:lang w:eastAsia="en-GB"/>
        </w:rPr>
        <w:t>.</w:t>
      </w:r>
      <w:r w:rsidRPr="00541B68">
        <w:rPr>
          <w:sz w:val="20"/>
          <w:szCs w:val="20"/>
          <w:lang w:eastAsia="en-GB"/>
        </w:rPr>
        <w:t xml:space="preserve"> Pēc: </w:t>
      </w:r>
      <w:r w:rsidRPr="00E87305">
        <w:rPr>
          <w:sz w:val="20"/>
          <w:szCs w:val="20"/>
          <w:lang w:eastAsia="en-GB"/>
        </w:rPr>
        <w:t xml:space="preserve">Bela et al. (2018). </w:t>
      </w:r>
      <w:r w:rsidRPr="000F7514">
        <w:rPr>
          <w:i/>
          <w:sz w:val="20"/>
          <w:szCs w:val="20"/>
          <w:lang w:eastAsia="en-GB"/>
        </w:rPr>
        <w:t>Ilgtsp</w:t>
      </w:r>
      <w:r w:rsidRPr="000F7514">
        <w:rPr>
          <w:rFonts w:hint="eastAsia"/>
          <w:i/>
          <w:sz w:val="20"/>
          <w:szCs w:val="20"/>
          <w:lang w:eastAsia="en-GB"/>
        </w:rPr>
        <w:t>ē</w:t>
      </w:r>
      <w:r w:rsidRPr="000F7514">
        <w:rPr>
          <w:i/>
          <w:sz w:val="20"/>
          <w:szCs w:val="20"/>
          <w:lang w:eastAsia="en-GB"/>
        </w:rPr>
        <w:t>jas soci</w:t>
      </w:r>
      <w:r w:rsidRPr="000F7514">
        <w:rPr>
          <w:rFonts w:hint="eastAsia"/>
          <w:i/>
          <w:sz w:val="20"/>
          <w:szCs w:val="20"/>
          <w:lang w:eastAsia="en-GB"/>
        </w:rPr>
        <w:t>ā</w:t>
      </w:r>
      <w:r w:rsidRPr="000F7514">
        <w:rPr>
          <w:i/>
          <w:sz w:val="20"/>
          <w:szCs w:val="20"/>
          <w:lang w:eastAsia="en-GB"/>
        </w:rPr>
        <w:t>l</w:t>
      </w:r>
      <w:r w:rsidRPr="000F7514">
        <w:rPr>
          <w:rFonts w:hint="eastAsia"/>
          <w:i/>
          <w:sz w:val="20"/>
          <w:szCs w:val="20"/>
          <w:lang w:eastAsia="en-GB"/>
        </w:rPr>
        <w:t>ā</w:t>
      </w:r>
      <w:r w:rsidRPr="000F7514">
        <w:rPr>
          <w:i/>
          <w:sz w:val="20"/>
          <w:szCs w:val="20"/>
          <w:lang w:eastAsia="en-GB"/>
        </w:rPr>
        <w:t xml:space="preserve"> dimensija: vai virz</w:t>
      </w:r>
      <w:r w:rsidRPr="000F7514">
        <w:rPr>
          <w:rFonts w:hint="eastAsia"/>
          <w:i/>
          <w:sz w:val="20"/>
          <w:szCs w:val="20"/>
          <w:lang w:eastAsia="en-GB"/>
        </w:rPr>
        <w:t>ā</w:t>
      </w:r>
      <w:r w:rsidRPr="000F7514">
        <w:rPr>
          <w:i/>
          <w:sz w:val="20"/>
          <w:szCs w:val="20"/>
          <w:lang w:eastAsia="en-GB"/>
        </w:rPr>
        <w:t>mies pret</w:t>
      </w:r>
      <w:r w:rsidRPr="000F7514">
        <w:rPr>
          <w:rFonts w:hint="eastAsia"/>
          <w:i/>
          <w:sz w:val="20"/>
          <w:szCs w:val="20"/>
          <w:lang w:eastAsia="en-GB"/>
        </w:rPr>
        <w:t>ī</w:t>
      </w:r>
      <w:r w:rsidRPr="000F7514">
        <w:rPr>
          <w:i/>
          <w:sz w:val="20"/>
          <w:szCs w:val="20"/>
          <w:lang w:eastAsia="en-GB"/>
        </w:rPr>
        <w:t xml:space="preserve"> labkl</w:t>
      </w:r>
      <w:r w:rsidRPr="000F7514">
        <w:rPr>
          <w:rFonts w:hint="eastAsia"/>
          <w:i/>
          <w:sz w:val="20"/>
          <w:szCs w:val="20"/>
          <w:lang w:eastAsia="en-GB"/>
        </w:rPr>
        <w:t>ā</w:t>
      </w:r>
      <w:r w:rsidRPr="000F7514">
        <w:rPr>
          <w:i/>
          <w:sz w:val="20"/>
          <w:szCs w:val="20"/>
          <w:lang w:eastAsia="en-GB"/>
        </w:rPr>
        <w:t>j</w:t>
      </w:r>
      <w:r w:rsidRPr="000F7514">
        <w:rPr>
          <w:rFonts w:hint="eastAsia"/>
          <w:i/>
          <w:sz w:val="20"/>
          <w:szCs w:val="20"/>
          <w:lang w:eastAsia="en-GB"/>
        </w:rPr>
        <w:t>ī</w:t>
      </w:r>
      <w:r w:rsidRPr="000F7514">
        <w:rPr>
          <w:i/>
          <w:sz w:val="20"/>
          <w:szCs w:val="20"/>
          <w:lang w:eastAsia="en-GB"/>
        </w:rPr>
        <w:t>bai un cie</w:t>
      </w:r>
      <w:r w:rsidRPr="000F7514">
        <w:rPr>
          <w:rFonts w:hint="eastAsia"/>
          <w:i/>
          <w:sz w:val="20"/>
          <w:szCs w:val="20"/>
          <w:lang w:eastAsia="en-GB"/>
        </w:rPr>
        <w:t>ņ</w:t>
      </w:r>
      <w:r w:rsidRPr="000F7514">
        <w:rPr>
          <w:i/>
          <w:sz w:val="20"/>
          <w:szCs w:val="20"/>
          <w:lang w:eastAsia="en-GB"/>
        </w:rPr>
        <w:t>pilnai dz</w:t>
      </w:r>
      <w:r w:rsidRPr="000F7514">
        <w:rPr>
          <w:rFonts w:hint="eastAsia"/>
          <w:i/>
          <w:sz w:val="20"/>
          <w:szCs w:val="20"/>
          <w:lang w:eastAsia="en-GB"/>
        </w:rPr>
        <w:t>ī</w:t>
      </w:r>
      <w:r w:rsidRPr="000F7514">
        <w:rPr>
          <w:i/>
          <w:sz w:val="20"/>
          <w:szCs w:val="20"/>
          <w:lang w:eastAsia="en-GB"/>
        </w:rPr>
        <w:t>vei?</w:t>
      </w:r>
      <w:r>
        <w:rPr>
          <w:sz w:val="20"/>
          <w:szCs w:val="20"/>
          <w:lang w:eastAsia="en-GB"/>
        </w:rPr>
        <w:t xml:space="preserve"> </w:t>
      </w:r>
      <w:r w:rsidRPr="00E87305">
        <w:rPr>
          <w:sz w:val="20"/>
          <w:szCs w:val="20"/>
          <w:lang w:eastAsia="en-GB"/>
        </w:rPr>
        <w:t xml:space="preserve">Grāmatā: </w:t>
      </w:r>
      <w:r>
        <w:rPr>
          <w:sz w:val="20"/>
          <w:szCs w:val="20"/>
          <w:lang w:eastAsia="en-GB"/>
        </w:rPr>
        <w:t>Ilgtspējīga attīstība un sociālās inovācijas</w:t>
      </w:r>
      <w:r w:rsidRPr="00E87305">
        <w:rPr>
          <w:sz w:val="20"/>
          <w:szCs w:val="20"/>
          <w:lang w:eastAsia="en-GB"/>
        </w:rPr>
        <w:t xml:space="preserve">. </w:t>
      </w:r>
      <w:r>
        <w:rPr>
          <w:sz w:val="20"/>
          <w:szCs w:val="20"/>
          <w:lang w:eastAsia="en-GB"/>
        </w:rPr>
        <w:t>Bela, B. (zin. red.)</w:t>
      </w:r>
      <w:r w:rsidRPr="00E87305">
        <w:rPr>
          <w:sz w:val="20"/>
          <w:szCs w:val="20"/>
          <w:lang w:eastAsia="en-GB"/>
        </w:rPr>
        <w:t xml:space="preserve">,  LU </w:t>
      </w:r>
      <w:r>
        <w:rPr>
          <w:sz w:val="20"/>
          <w:szCs w:val="20"/>
          <w:lang w:eastAsia="en-GB"/>
        </w:rPr>
        <w:t>Akadēmiskais a</w:t>
      </w:r>
      <w:r w:rsidRPr="00E87305">
        <w:rPr>
          <w:sz w:val="20"/>
          <w:szCs w:val="20"/>
          <w:lang w:eastAsia="en-GB"/>
        </w:rPr>
        <w:t>pgāds, 112.lpp.</w:t>
      </w:r>
    </w:p>
  </w:footnote>
  <w:footnote w:id="29">
    <w:p w:rsidR="00224B50" w:rsidRPr="00026E03" w:rsidRDefault="00224B50" w:rsidP="00026E03">
      <w:pPr>
        <w:autoSpaceDE w:val="0"/>
        <w:autoSpaceDN w:val="0"/>
        <w:adjustRightInd w:val="0"/>
        <w:spacing w:line="240" w:lineRule="auto"/>
        <w:jc w:val="left"/>
        <w:rPr>
          <w:rFonts w:eastAsia="Times New Roman"/>
          <w:sz w:val="20"/>
          <w:szCs w:val="20"/>
          <w:lang w:eastAsia="zh-CN"/>
        </w:rPr>
      </w:pPr>
      <w:r w:rsidRPr="00E87305">
        <w:rPr>
          <w:sz w:val="20"/>
          <w:szCs w:val="20"/>
          <w:vertAlign w:val="superscript"/>
          <w:lang w:eastAsia="en-GB"/>
        </w:rPr>
        <w:footnoteRef/>
      </w:r>
      <w:r w:rsidRPr="00E87305">
        <w:rPr>
          <w:sz w:val="20"/>
          <w:szCs w:val="20"/>
          <w:vertAlign w:val="superscript"/>
          <w:lang w:eastAsia="en-GB"/>
        </w:rPr>
        <w:t xml:space="preserve"> </w:t>
      </w:r>
      <w:r w:rsidRPr="00026E03">
        <w:rPr>
          <w:rFonts w:eastAsia="Times New Roman"/>
          <w:sz w:val="20"/>
          <w:szCs w:val="20"/>
          <w:lang w:eastAsia="zh-CN"/>
        </w:rPr>
        <w:t>Council of the European Union (2004). Joint report by the Commission and the</w:t>
      </w:r>
      <w:r>
        <w:rPr>
          <w:rFonts w:eastAsia="Times New Roman"/>
          <w:sz w:val="20"/>
          <w:szCs w:val="20"/>
          <w:lang w:eastAsia="zh-CN"/>
        </w:rPr>
        <w:t xml:space="preserve"> </w:t>
      </w:r>
      <w:r w:rsidRPr="00026E03">
        <w:rPr>
          <w:rFonts w:eastAsia="Times New Roman"/>
          <w:sz w:val="20"/>
          <w:szCs w:val="20"/>
          <w:lang w:eastAsia="zh-CN"/>
        </w:rPr>
        <w:t>Council on social inclusion, 7101/04 C.F.R. Brussels, 5 March 2004, p.8. Pēc: Bela et al. (2018). Ilgtsp</w:t>
      </w:r>
      <w:r w:rsidRPr="00026E03">
        <w:rPr>
          <w:rFonts w:eastAsia="Times New Roman" w:hint="eastAsia"/>
          <w:sz w:val="20"/>
          <w:szCs w:val="20"/>
          <w:lang w:eastAsia="zh-CN"/>
        </w:rPr>
        <w:t>ē</w:t>
      </w:r>
      <w:r w:rsidRPr="00026E03">
        <w:rPr>
          <w:rFonts w:eastAsia="Times New Roman"/>
          <w:sz w:val="20"/>
          <w:szCs w:val="20"/>
          <w:lang w:eastAsia="zh-CN"/>
        </w:rPr>
        <w:t>jas soci</w:t>
      </w:r>
      <w:r w:rsidRPr="00026E03">
        <w:rPr>
          <w:rFonts w:eastAsia="Times New Roman" w:hint="eastAsia"/>
          <w:sz w:val="20"/>
          <w:szCs w:val="20"/>
          <w:lang w:eastAsia="zh-CN"/>
        </w:rPr>
        <w:t>ā</w:t>
      </w:r>
      <w:r w:rsidRPr="00026E03">
        <w:rPr>
          <w:rFonts w:eastAsia="Times New Roman"/>
          <w:sz w:val="20"/>
          <w:szCs w:val="20"/>
          <w:lang w:eastAsia="zh-CN"/>
        </w:rPr>
        <w:t>l</w:t>
      </w:r>
      <w:r w:rsidRPr="00026E03">
        <w:rPr>
          <w:rFonts w:eastAsia="Times New Roman" w:hint="eastAsia"/>
          <w:sz w:val="20"/>
          <w:szCs w:val="20"/>
          <w:lang w:eastAsia="zh-CN"/>
        </w:rPr>
        <w:t>ā</w:t>
      </w:r>
      <w:r w:rsidRPr="00026E03">
        <w:rPr>
          <w:rFonts w:eastAsia="Times New Roman"/>
          <w:sz w:val="20"/>
          <w:szCs w:val="20"/>
          <w:lang w:eastAsia="zh-CN"/>
        </w:rPr>
        <w:t xml:space="preserve"> dimensija: vai virz</w:t>
      </w:r>
      <w:r w:rsidRPr="00026E03">
        <w:rPr>
          <w:rFonts w:eastAsia="Times New Roman" w:hint="eastAsia"/>
          <w:sz w:val="20"/>
          <w:szCs w:val="20"/>
          <w:lang w:eastAsia="zh-CN"/>
        </w:rPr>
        <w:t>ā</w:t>
      </w:r>
      <w:r w:rsidRPr="00026E03">
        <w:rPr>
          <w:rFonts w:eastAsia="Times New Roman"/>
          <w:sz w:val="20"/>
          <w:szCs w:val="20"/>
          <w:lang w:eastAsia="zh-CN"/>
        </w:rPr>
        <w:t>mies pret</w:t>
      </w:r>
      <w:r w:rsidRPr="00026E03">
        <w:rPr>
          <w:rFonts w:eastAsia="Times New Roman" w:hint="eastAsia"/>
          <w:sz w:val="20"/>
          <w:szCs w:val="20"/>
          <w:lang w:eastAsia="zh-CN"/>
        </w:rPr>
        <w:t>ī</w:t>
      </w:r>
      <w:r w:rsidRPr="00026E03">
        <w:rPr>
          <w:rFonts w:eastAsia="Times New Roman"/>
          <w:sz w:val="20"/>
          <w:szCs w:val="20"/>
          <w:lang w:eastAsia="zh-CN"/>
        </w:rPr>
        <w:t xml:space="preserve"> labkl</w:t>
      </w:r>
      <w:r w:rsidRPr="00026E03">
        <w:rPr>
          <w:rFonts w:eastAsia="Times New Roman" w:hint="eastAsia"/>
          <w:sz w:val="20"/>
          <w:szCs w:val="20"/>
          <w:lang w:eastAsia="zh-CN"/>
        </w:rPr>
        <w:t>ā</w:t>
      </w:r>
      <w:r w:rsidRPr="00026E03">
        <w:rPr>
          <w:rFonts w:eastAsia="Times New Roman"/>
          <w:sz w:val="20"/>
          <w:szCs w:val="20"/>
          <w:lang w:eastAsia="zh-CN"/>
        </w:rPr>
        <w:t>j</w:t>
      </w:r>
      <w:r w:rsidRPr="00026E03">
        <w:rPr>
          <w:rFonts w:eastAsia="Times New Roman" w:hint="eastAsia"/>
          <w:sz w:val="20"/>
          <w:szCs w:val="20"/>
          <w:lang w:eastAsia="zh-CN"/>
        </w:rPr>
        <w:t>ī</w:t>
      </w:r>
      <w:r w:rsidRPr="00026E03">
        <w:rPr>
          <w:rFonts w:eastAsia="Times New Roman"/>
          <w:sz w:val="20"/>
          <w:szCs w:val="20"/>
          <w:lang w:eastAsia="zh-CN"/>
        </w:rPr>
        <w:t>bai un cie</w:t>
      </w:r>
      <w:r w:rsidRPr="00026E03">
        <w:rPr>
          <w:rFonts w:eastAsia="Times New Roman" w:hint="eastAsia"/>
          <w:sz w:val="20"/>
          <w:szCs w:val="20"/>
          <w:lang w:eastAsia="zh-CN"/>
        </w:rPr>
        <w:t>ņ</w:t>
      </w:r>
      <w:r w:rsidRPr="00026E03">
        <w:rPr>
          <w:rFonts w:eastAsia="Times New Roman"/>
          <w:sz w:val="20"/>
          <w:szCs w:val="20"/>
          <w:lang w:eastAsia="zh-CN"/>
        </w:rPr>
        <w:t>pilnai dz</w:t>
      </w:r>
      <w:r w:rsidRPr="00026E03">
        <w:rPr>
          <w:rFonts w:eastAsia="Times New Roman" w:hint="eastAsia"/>
          <w:sz w:val="20"/>
          <w:szCs w:val="20"/>
          <w:lang w:eastAsia="zh-CN"/>
        </w:rPr>
        <w:t>ī</w:t>
      </w:r>
      <w:r w:rsidRPr="00026E03">
        <w:rPr>
          <w:rFonts w:eastAsia="Times New Roman"/>
          <w:sz w:val="20"/>
          <w:szCs w:val="20"/>
          <w:lang w:eastAsia="zh-CN"/>
        </w:rPr>
        <w:t>vei? Grāmatā: Ilgtspējīga attīstība un sociālās inovācijas. Bela, B. (zin. red.),  LU Akadēmiskais apgāds, 112.lpp.</w:t>
      </w:r>
    </w:p>
  </w:footnote>
  <w:footnote w:id="30">
    <w:p w:rsidR="00224B50" w:rsidRDefault="00224B50" w:rsidP="000C647F">
      <w:pPr>
        <w:pStyle w:val="FootnoteText"/>
        <w:spacing w:line="240" w:lineRule="auto"/>
      </w:pPr>
      <w:r>
        <w:rPr>
          <w:rStyle w:val="FootnoteReference"/>
        </w:rPr>
        <w:footnoteRef/>
      </w:r>
      <w:r>
        <w:t xml:space="preserve"> </w:t>
      </w:r>
      <w:r w:rsidRPr="00C85EB4">
        <w:t xml:space="preserve">Bela et al. (2018). </w:t>
      </w:r>
      <w:r w:rsidRPr="00C85EB4">
        <w:rPr>
          <w:i/>
        </w:rPr>
        <w:t>Ilgtspējīgas attīstības sociālie izaicinājumi</w:t>
      </w:r>
      <w:r w:rsidRPr="00C85EB4">
        <w:t>. Grāmatā: Inovatīvi risinājumi ceļā uz ilgtspēju: sabiedrība, ekonomika, vide</w:t>
      </w:r>
      <w:r>
        <w:t xml:space="preserve">. </w:t>
      </w:r>
      <w:r w:rsidRPr="00C85EB4">
        <w:t>Zobena, A.</w:t>
      </w:r>
      <w:r>
        <w:t xml:space="preserve"> (zin. red.)</w:t>
      </w:r>
      <w:r w:rsidRPr="00C85EB4">
        <w:t xml:space="preserve">,  LU </w:t>
      </w:r>
      <w:r>
        <w:t>Akadēmiskais a</w:t>
      </w:r>
      <w:r w:rsidRPr="00C85EB4">
        <w:t xml:space="preserve">pgāds, </w:t>
      </w:r>
      <w:r>
        <w:t>21.-22</w:t>
      </w:r>
      <w:r w:rsidRPr="00C85EB4">
        <w:t>.lpp.</w:t>
      </w:r>
    </w:p>
  </w:footnote>
  <w:footnote w:id="31">
    <w:p w:rsidR="00224B50" w:rsidRPr="008674B5" w:rsidRDefault="00224B50" w:rsidP="00C85EB4">
      <w:pPr>
        <w:pStyle w:val="Default"/>
        <w:rPr>
          <w:sz w:val="20"/>
          <w:szCs w:val="20"/>
        </w:rPr>
      </w:pPr>
      <w:r w:rsidRPr="008674B5">
        <w:rPr>
          <w:rStyle w:val="FootnoteReference"/>
          <w:sz w:val="20"/>
          <w:szCs w:val="20"/>
        </w:rPr>
        <w:footnoteRef/>
      </w:r>
      <w:r w:rsidRPr="008674B5">
        <w:rPr>
          <w:bCs/>
          <w:sz w:val="20"/>
          <w:szCs w:val="20"/>
        </w:rPr>
        <w:t xml:space="preserve"> EVALSED - The resource for the evaluation of Socio-Economic Development: Sourcebook - </w:t>
      </w:r>
      <w:r w:rsidRPr="008674B5">
        <w:rPr>
          <w:sz w:val="20"/>
          <w:szCs w:val="20"/>
        </w:rPr>
        <w:t xml:space="preserve">Method and Techniques. (2013). European Comission. Pieejams: </w:t>
      </w:r>
      <w:hyperlink r:id="rId13" w:history="1">
        <w:r w:rsidRPr="008674B5">
          <w:rPr>
            <w:rStyle w:val="Hyperlink"/>
            <w:sz w:val="20"/>
            <w:szCs w:val="20"/>
          </w:rPr>
          <w:t>http://ec.europa.eu/regional_policy/sources/docgener/evaluation/guide/evaluation_sourcebook.pdf</w:t>
        </w:r>
      </w:hyperlink>
      <w:r w:rsidRPr="008674B5">
        <w:rPr>
          <w:sz w:val="20"/>
          <w:szCs w:val="20"/>
        </w:rPr>
        <w:t xml:space="preserve"> (sk. 15.01.2018.); </w:t>
      </w:r>
      <w:r w:rsidRPr="008674B5">
        <w:rPr>
          <w:bCs/>
          <w:sz w:val="20"/>
          <w:szCs w:val="20"/>
        </w:rPr>
        <w:t xml:space="preserve">Vadlīnijas par ietekmes izvērtējumu metožu pielietošanu 2014. –2020. gada plānošanas perioda ES KP fondu prioritārajiem virzieniem (2014. gada 31. janvārī). Pieejams: </w:t>
      </w:r>
      <w:hyperlink r:id="rId14" w:history="1">
        <w:r w:rsidRPr="008674B5">
          <w:rPr>
            <w:rStyle w:val="Hyperlink"/>
            <w:bCs/>
            <w:sz w:val="20"/>
            <w:szCs w:val="20"/>
          </w:rPr>
          <w:t>http://m.esfondi.lv/upload/Petijumi_un_izvertejumi/apraksti/Izvertesanas_vadlinijas_31012014_final.pdf</w:t>
        </w:r>
      </w:hyperlink>
      <w:r w:rsidRPr="008674B5">
        <w:rPr>
          <w:bCs/>
          <w:sz w:val="20"/>
          <w:szCs w:val="20"/>
        </w:rPr>
        <w:t xml:space="preserve"> (sk.15.01.2018.)</w:t>
      </w:r>
    </w:p>
  </w:footnote>
  <w:footnote w:id="32">
    <w:p w:rsidR="00224B50" w:rsidRPr="008674B5" w:rsidRDefault="00224B50" w:rsidP="00C85EB4">
      <w:pPr>
        <w:spacing w:line="240" w:lineRule="auto"/>
        <w:jc w:val="left"/>
        <w:rPr>
          <w:kern w:val="12"/>
          <w:sz w:val="20"/>
          <w:szCs w:val="20"/>
        </w:rPr>
      </w:pPr>
      <w:r w:rsidRPr="008674B5">
        <w:rPr>
          <w:rStyle w:val="FootnoteReference"/>
          <w:sz w:val="20"/>
          <w:szCs w:val="20"/>
        </w:rPr>
        <w:footnoteRef/>
      </w:r>
      <w:r w:rsidRPr="008674B5">
        <w:rPr>
          <w:sz w:val="20"/>
          <w:szCs w:val="20"/>
        </w:rPr>
        <w:t xml:space="preserve"> Finanšu ministrija (2014). </w:t>
      </w:r>
      <w:r w:rsidRPr="008674B5">
        <w:rPr>
          <w:i/>
          <w:kern w:val="12"/>
          <w:sz w:val="20"/>
          <w:szCs w:val="20"/>
        </w:rPr>
        <w:t>Vadlīnijas par ietekmes izvērtējumu metožu pielietošanu 2014. – 2020. gada plānošanas perioda ES KP fondu prioritārajiem virzieniem</w:t>
      </w:r>
      <w:r w:rsidRPr="008674B5">
        <w:rPr>
          <w:kern w:val="12"/>
          <w:sz w:val="20"/>
          <w:szCs w:val="20"/>
        </w:rPr>
        <w:t xml:space="preserve">, 18.lpp. Pieejams: </w:t>
      </w:r>
      <w:hyperlink r:id="rId15" w:history="1">
        <w:r w:rsidRPr="008674B5">
          <w:rPr>
            <w:rStyle w:val="Hyperlink"/>
            <w:kern w:val="12"/>
            <w:sz w:val="20"/>
            <w:szCs w:val="20"/>
          </w:rPr>
          <w:t>http://m.esfondi.lv/upload/Petijumi_un_izvertejumi/apraksti/Izvertesanas_vadlinijas_31012014_final.pdf</w:t>
        </w:r>
      </w:hyperlink>
      <w:r w:rsidRPr="008674B5">
        <w:rPr>
          <w:kern w:val="12"/>
          <w:sz w:val="20"/>
          <w:szCs w:val="20"/>
        </w:rPr>
        <w:t xml:space="preserve"> (sk. 03.10.2018.)</w:t>
      </w:r>
    </w:p>
  </w:footnote>
  <w:footnote w:id="33">
    <w:p w:rsidR="00224B50" w:rsidRPr="008674B5" w:rsidRDefault="00224B50" w:rsidP="00C85EB4">
      <w:pPr>
        <w:pStyle w:val="FootnoteText"/>
        <w:spacing w:line="240" w:lineRule="auto"/>
      </w:pPr>
      <w:r w:rsidRPr="008674B5">
        <w:rPr>
          <w:rStyle w:val="FootnoteReference"/>
        </w:rPr>
        <w:footnoteRef/>
      </w:r>
      <w:r w:rsidRPr="008674B5">
        <w:t xml:space="preserve"> Turpat</w:t>
      </w:r>
      <w:r w:rsidRPr="008674B5">
        <w:rPr>
          <w:kern w:val="12"/>
        </w:rPr>
        <w:t xml:space="preserve">, 17.-18.lpp. </w:t>
      </w:r>
    </w:p>
  </w:footnote>
  <w:footnote w:id="34">
    <w:p w:rsidR="00224B50" w:rsidRPr="008674B5" w:rsidRDefault="00224B50" w:rsidP="00C85EB4">
      <w:pPr>
        <w:pStyle w:val="FootnoteText"/>
        <w:spacing w:line="240" w:lineRule="auto"/>
      </w:pPr>
      <w:r w:rsidRPr="008674B5">
        <w:rPr>
          <w:rStyle w:val="FootnoteReference"/>
          <w:rFonts w:eastAsiaTheme="majorEastAsia"/>
        </w:rPr>
        <w:footnoteRef/>
      </w:r>
      <w:r w:rsidRPr="008674B5">
        <w:t xml:space="preserve"> SIA Jaunrades laboratorija (2017). „Nabadzības un sociālās atstumtības mazināšanas rīcībpolitiku ietekmes izvērtējums. Ziņojums”. Rīga. Pieejams: </w:t>
      </w:r>
      <w:hyperlink r:id="rId16" w:history="1">
        <w:r w:rsidRPr="00A73DCD">
          <w:rPr>
            <w:rStyle w:val="Hyperlink"/>
            <w:sz w:val="20"/>
          </w:rPr>
          <w:t>http://www.lm.gov.lv/upload/sociala_ieklausana/lm_nabadzibas_izvertejums_nodevums.pdf</w:t>
        </w:r>
      </w:hyperlink>
      <w:r>
        <w:t xml:space="preserve"> </w:t>
      </w:r>
      <w:r w:rsidRPr="008674B5">
        <w:t xml:space="preserve"> (sk. 29.09.2018.)</w:t>
      </w:r>
    </w:p>
  </w:footnote>
  <w:footnote w:id="35">
    <w:p w:rsidR="00224B50" w:rsidRDefault="00224B50" w:rsidP="00E258AC">
      <w:pPr>
        <w:pStyle w:val="FootnoteText"/>
        <w:spacing w:line="240" w:lineRule="auto"/>
        <w:jc w:val="both"/>
      </w:pPr>
      <w:r>
        <w:rPr>
          <w:rStyle w:val="FootnoteReference"/>
          <w:rFonts w:eastAsiaTheme="majorEastAsia"/>
        </w:rPr>
        <w:footnoteRef/>
      </w:r>
      <w:r>
        <w:t xml:space="preserve"> Kā norādīts Nacionālās reformu programmas (NRP) Progresa ziņojumā par 2016. gadu, „b</w:t>
      </w:r>
      <w:r w:rsidRPr="00581548">
        <w:t>ūtisku atbalstu nabadzības un sociālās atstumtības mazināšanai 2014.-2020.gada periodā paredz ES fondu līdzfinansētie pasākumi. 225 milj. EUR jeb 35% no ESF finansējuma paredzēti sociālās iekļaušanas veicināšanai, nabadzību un jebkādas diskriminācijas apkarošanai. Papildus, šim mērķim plānots novirzīti arī 193 milj. EUR jeb 8% no ERAF finansējuma.</w:t>
      </w:r>
      <w:r>
        <w:t>”</w:t>
      </w:r>
    </w:p>
  </w:footnote>
  <w:footnote w:id="36">
    <w:p w:rsidR="00224B50" w:rsidRDefault="00224B50" w:rsidP="00903901">
      <w:pPr>
        <w:pStyle w:val="FootnoteText"/>
        <w:spacing w:line="240" w:lineRule="auto"/>
      </w:pPr>
      <w:r>
        <w:rPr>
          <w:rStyle w:val="FootnoteReference"/>
          <w:rFonts w:eastAsiaTheme="majorEastAsia"/>
        </w:rPr>
        <w:footnoteRef/>
      </w:r>
      <w:r>
        <w:t xml:space="preserve"> Tādā nozīmē, ka pamatā ir izmantotas kvalitatīvās datu analīzes metodes. </w:t>
      </w:r>
    </w:p>
  </w:footnote>
  <w:footnote w:id="37">
    <w:p w:rsidR="00224B50" w:rsidRDefault="00224B50" w:rsidP="00903901">
      <w:pPr>
        <w:pStyle w:val="FootnoteText"/>
        <w:spacing w:line="240" w:lineRule="auto"/>
      </w:pPr>
      <w:r>
        <w:rPr>
          <w:rStyle w:val="FootnoteReference"/>
        </w:rPr>
        <w:footnoteRef/>
      </w:r>
      <w:r>
        <w:t xml:space="preserve"> Avots: LM interneta vietne. Pieejams: </w:t>
      </w:r>
      <w:hyperlink r:id="rId17" w:history="1">
        <w:r w:rsidRPr="0009575E">
          <w:rPr>
            <w:rStyle w:val="Hyperlink"/>
          </w:rPr>
          <w:t>http://www.lm.gov.lv/lv/index.php?option=com_content&amp;view=article&amp;id=81239</w:t>
        </w:r>
      </w:hyperlink>
      <w:r>
        <w:t xml:space="preserve"> (sk. 12.04.2019.)</w:t>
      </w:r>
    </w:p>
  </w:footnote>
  <w:footnote w:id="38">
    <w:p w:rsidR="00224B50" w:rsidRDefault="00224B50" w:rsidP="00E258AC">
      <w:pPr>
        <w:pStyle w:val="FootnoteText"/>
        <w:spacing w:line="240" w:lineRule="auto"/>
      </w:pPr>
      <w:r>
        <w:rPr>
          <w:rStyle w:val="FootnoteReference"/>
        </w:rPr>
        <w:footnoteRef/>
      </w:r>
      <w:r>
        <w:t xml:space="preserve"> Statistikas dati ir ierobežoti vai nav pieejami par šādām grupām: romi, </w:t>
      </w:r>
      <w:r w:rsidRPr="009A14E3">
        <w:t>ieslodzītie un no ieslodzījuma vietām atbrīvotās personas</w:t>
      </w:r>
      <w:r>
        <w:t xml:space="preserve">, bezpajumtnieki, </w:t>
      </w:r>
      <w:r w:rsidRPr="009A14E3">
        <w:t>cilvēku tirdzniecības upuri</w:t>
      </w:r>
      <w:r>
        <w:t xml:space="preserve">, </w:t>
      </w:r>
      <w:r w:rsidRPr="009A14E3">
        <w:t>no psihoaktīvām vielām atkarīgās personas</w:t>
      </w:r>
      <w:r>
        <w:t xml:space="preserve">. </w:t>
      </w:r>
    </w:p>
  </w:footnote>
  <w:footnote w:id="39">
    <w:p w:rsidR="00224B50" w:rsidRPr="006D1607" w:rsidRDefault="00224B50" w:rsidP="00903901">
      <w:pPr>
        <w:pStyle w:val="FootnoteText"/>
        <w:spacing w:line="240" w:lineRule="auto"/>
      </w:pPr>
      <w:r w:rsidRPr="006D1607">
        <w:rPr>
          <w:rStyle w:val="FootnoteReference"/>
          <w:rFonts w:eastAsiaTheme="majorEastAsia"/>
        </w:rPr>
        <w:footnoteRef/>
      </w:r>
      <w:r w:rsidRPr="006D1607">
        <w:t xml:space="preserve"> Latvijas nacionālā reformu programma „Eiropa 2020” stratēģijas īstenošanai progresa ziņojums. Rīga, 2016.gada aprīlis, 66.lpp. Pieejams: </w:t>
      </w:r>
      <w:hyperlink r:id="rId18" w:history="1">
        <w:r w:rsidRPr="006D1607">
          <w:rPr>
            <w:rStyle w:val="Hyperlink"/>
            <w:rFonts w:eastAsiaTheme="majorEastAsia"/>
            <w:sz w:val="20"/>
          </w:rPr>
          <w:t>https://www.em.gov.lv/files/eiropas_savieniba/Annex_LV_NRP_2016_Latvian.pdf</w:t>
        </w:r>
      </w:hyperlink>
      <w:r w:rsidRPr="006D1607">
        <w:t xml:space="preserve">  (sk.12.02.2019.)</w:t>
      </w:r>
    </w:p>
  </w:footnote>
  <w:footnote w:id="40">
    <w:p w:rsidR="00224B50" w:rsidRPr="006D1607" w:rsidRDefault="00224B50" w:rsidP="00903901">
      <w:pPr>
        <w:pStyle w:val="FootnoteText"/>
        <w:spacing w:line="240" w:lineRule="auto"/>
      </w:pPr>
      <w:r w:rsidRPr="006D1607">
        <w:rPr>
          <w:rStyle w:val="FootnoteReference"/>
          <w:rFonts w:eastAsiaTheme="majorEastAsia"/>
        </w:rPr>
        <w:footnoteRef/>
      </w:r>
      <w:r w:rsidRPr="006D1607">
        <w:t xml:space="preserve"> </w:t>
      </w:r>
      <w:r w:rsidRPr="006D1607">
        <w:rPr>
          <w:spacing w:val="4"/>
        </w:rPr>
        <w:t>Izmaiņas veiktas atbilstoši 24.11.2015. MK noteikumiem </w:t>
      </w:r>
      <w:hyperlink r:id="rId19" w:tgtFrame="_blank" w:history="1">
        <w:r w:rsidRPr="006D1607">
          <w:rPr>
            <w:spacing w:val="4"/>
          </w:rPr>
          <w:t>Nr.665</w:t>
        </w:r>
      </w:hyperlink>
      <w:r w:rsidRPr="006D1607">
        <w:rPr>
          <w:spacing w:val="4"/>
        </w:rPr>
        <w:t xml:space="preserve"> „Noteikumi par minimālo mēneša darba algu un minimālo stundas tarifa likmi”. </w:t>
      </w:r>
      <w:r w:rsidRPr="006D1607">
        <w:t xml:space="preserve">Pieejams: </w:t>
      </w:r>
      <w:hyperlink r:id="rId20" w:history="1">
        <w:r w:rsidRPr="006D1607">
          <w:rPr>
            <w:rStyle w:val="Hyperlink"/>
            <w:rFonts w:eastAsiaTheme="majorEastAsia"/>
            <w:sz w:val="20"/>
          </w:rPr>
          <w:t>https://likumi.lv/ta/id/278067-noteikumi-par-minimalas-menesa-darba-algas-apmeru-normala-darba-laika-ietvaros-un-minimalas-stundas-tarifa-likmes-aprekinasanu</w:t>
        </w:r>
      </w:hyperlink>
      <w:r w:rsidRPr="006D1607">
        <w:t xml:space="preserve"> (sk. 02.01.2019.)</w:t>
      </w:r>
    </w:p>
  </w:footnote>
  <w:footnote w:id="41">
    <w:p w:rsidR="00224B50" w:rsidRDefault="00224B50" w:rsidP="003C6EB3">
      <w:pPr>
        <w:pStyle w:val="FootnoteText"/>
      </w:pPr>
      <w:r>
        <w:rPr>
          <w:rStyle w:val="FootnoteReference"/>
        </w:rPr>
        <w:footnoteRef/>
      </w:r>
      <w:r>
        <w:t xml:space="preserve"> Atšķirību skaidrojumu starp OECD modificēto un nemoficiēto skalu sk. 1.2.2.sadaļā un 1.8.tabulā. </w:t>
      </w:r>
    </w:p>
  </w:footnote>
  <w:footnote w:id="42">
    <w:p w:rsidR="00224B50" w:rsidRPr="006D1607" w:rsidRDefault="00224B50" w:rsidP="00903901">
      <w:pPr>
        <w:pStyle w:val="FootnoteText"/>
        <w:spacing w:line="240" w:lineRule="auto"/>
      </w:pPr>
      <w:r w:rsidRPr="006D1607">
        <w:rPr>
          <w:vertAlign w:val="superscript"/>
        </w:rPr>
        <w:footnoteRef/>
      </w:r>
      <w:r w:rsidRPr="006D1607">
        <w:rPr>
          <w:vertAlign w:val="superscript"/>
        </w:rPr>
        <w:t xml:space="preserve"> </w:t>
      </w:r>
      <w:r w:rsidRPr="006D1607">
        <w:t>15.01.2013.</w:t>
      </w:r>
      <w:r w:rsidRPr="006D1607">
        <w:rPr>
          <w:vertAlign w:val="superscript"/>
        </w:rPr>
        <w:t xml:space="preserve"> </w:t>
      </w:r>
      <w:r w:rsidRPr="006D1607">
        <w:t xml:space="preserve">MK noteikumi </w:t>
      </w:r>
      <w:hyperlink r:id="rId21" w:tgtFrame="_blank" w:history="1">
        <w:r w:rsidRPr="006D1607">
          <w:t>Nr.37 </w:t>
        </w:r>
      </w:hyperlink>
      <w:r w:rsidRPr="006D1607">
        <w:t xml:space="preserve">"Noteikumi par minimālo uzturlīdzekļu apmēru bērnam". Pieejami: </w:t>
      </w:r>
      <w:hyperlink r:id="rId22" w:history="1">
        <w:r w:rsidRPr="006D1607">
          <w:rPr>
            <w:rStyle w:val="Hyperlink"/>
            <w:rFonts w:eastAsiaTheme="majorEastAsia"/>
            <w:sz w:val="20"/>
          </w:rPr>
          <w:t>https://likumi.lv/doc.php?id=254128</w:t>
        </w:r>
      </w:hyperlink>
      <w:r w:rsidRPr="006D1607">
        <w:t xml:space="preserve"> (sk. 08.03.2019.)</w:t>
      </w:r>
    </w:p>
  </w:footnote>
  <w:footnote w:id="43">
    <w:p w:rsidR="00224B50" w:rsidRPr="006D1607" w:rsidRDefault="00224B50" w:rsidP="00903901">
      <w:pPr>
        <w:pStyle w:val="FootnoteText"/>
        <w:spacing w:line="240" w:lineRule="auto"/>
      </w:pPr>
      <w:r w:rsidRPr="006D1607">
        <w:rPr>
          <w:rStyle w:val="FootnoteReference"/>
        </w:rPr>
        <w:footnoteRef/>
      </w:r>
      <w:r w:rsidRPr="006D1607">
        <w:t xml:space="preserve"> Aprēķini pēc CSP datiem: MVG060. Mājsaimniecību sadalījums pēc to demogrāfiskā tipa (%);ISG060. Mājsaimniecību kopējais skaits un mājsaimniecības vidējais lielums statistiskajos reģionos, republikas pilsētās, laukos/ pilsētās.</w:t>
      </w:r>
    </w:p>
  </w:footnote>
  <w:footnote w:id="44">
    <w:p w:rsidR="00224B50" w:rsidRPr="006D1607" w:rsidRDefault="00224B50" w:rsidP="00903901">
      <w:pPr>
        <w:pStyle w:val="FootnoteText"/>
        <w:spacing w:line="240" w:lineRule="auto"/>
      </w:pPr>
      <w:r w:rsidRPr="006D1607">
        <w:rPr>
          <w:rStyle w:val="FootnoteReference"/>
          <w:rFonts w:eastAsiaTheme="majorEastAsia"/>
        </w:rPr>
        <w:footnoteRef/>
      </w:r>
      <w:r w:rsidRPr="006D1607">
        <w:t xml:space="preserve"> Pieejams: </w:t>
      </w:r>
      <w:hyperlink r:id="rId23" w:history="1">
        <w:r w:rsidRPr="006D1607">
          <w:rPr>
            <w:rStyle w:val="Hyperlink"/>
            <w:rFonts w:eastAsiaTheme="majorEastAsia"/>
            <w:sz w:val="20"/>
          </w:rPr>
          <w:t>https://likumi.lv/ta/id/269034-grozijumi-elektroenergijas-tirgus-likuma</w:t>
        </w:r>
      </w:hyperlink>
      <w:r w:rsidRPr="006D1607">
        <w:t xml:space="preserve"> (sk. 02.03.2019.)</w:t>
      </w:r>
    </w:p>
  </w:footnote>
  <w:footnote w:id="45">
    <w:p w:rsidR="00224B50" w:rsidRPr="006D1607" w:rsidRDefault="00224B50" w:rsidP="00903901">
      <w:pPr>
        <w:pStyle w:val="FootnoteText"/>
        <w:spacing w:line="240" w:lineRule="auto"/>
      </w:pPr>
      <w:r w:rsidRPr="006D1607">
        <w:rPr>
          <w:rStyle w:val="FootnoteReference"/>
          <w:rFonts w:eastAsiaTheme="majorEastAsia"/>
        </w:rPr>
        <w:footnoteRef/>
      </w:r>
      <w:r w:rsidRPr="006D1607">
        <w:t xml:space="preserve"> </w:t>
      </w:r>
      <w:r w:rsidRPr="006D1607">
        <w:rPr>
          <w:spacing w:val="4"/>
        </w:rPr>
        <w:t xml:space="preserve">25.11.2014. MK noteikumi Nr.727 „Darbības programmas "Pārtikas un pamata materiālās palīdzības sniegšana vistrūcīgākajām personām 2014.–2020.gada plānošanas periodā" īstenošanas noteikumi”. </w:t>
      </w:r>
      <w:r w:rsidRPr="006D1607">
        <w:t xml:space="preserve">Pieejams: </w:t>
      </w:r>
      <w:hyperlink r:id="rId24" w:history="1">
        <w:r w:rsidRPr="006D1607">
          <w:rPr>
            <w:rStyle w:val="Hyperlink"/>
            <w:rFonts w:eastAsiaTheme="majorEastAsia"/>
            <w:sz w:val="20"/>
          </w:rPr>
          <w:t>https://likumi.lv/ta/id/270789-darbibas-programmas-partikas-un-pamata-materialas-palidzibas-sniegsana-vistrucigakajam-personam-2014-2020-gada-planosanas</w:t>
        </w:r>
      </w:hyperlink>
      <w:r w:rsidRPr="006D1607">
        <w:t xml:space="preserve"> (sk. 12.01.2019.)</w:t>
      </w:r>
    </w:p>
  </w:footnote>
  <w:footnote w:id="46">
    <w:p w:rsidR="00224B50" w:rsidRPr="006D1607" w:rsidRDefault="00224B50" w:rsidP="00903901">
      <w:pPr>
        <w:pStyle w:val="FootnoteText"/>
      </w:pPr>
      <w:r w:rsidRPr="006D1607">
        <w:rPr>
          <w:rStyle w:val="FootnoteReference"/>
        </w:rPr>
        <w:footnoteRef/>
      </w:r>
      <w:r w:rsidRPr="006D1607">
        <w:t xml:space="preserve"> Avots: </w:t>
      </w:r>
      <w:hyperlink r:id="rId25" w:history="1">
        <w:r w:rsidRPr="006D1607">
          <w:rPr>
            <w:rStyle w:val="Hyperlink"/>
            <w:sz w:val="20"/>
          </w:rPr>
          <w:t>www.sif.gov.lv</w:t>
        </w:r>
      </w:hyperlink>
      <w:r w:rsidRPr="006D1607">
        <w:t xml:space="preserve"> ; Eiropas atbalsta fonds vistrūcīgākajām personām</w:t>
      </w:r>
      <w:r w:rsidRPr="006D1607">
        <w:rPr>
          <w:color w:val="333333"/>
          <w:shd w:val="clear" w:color="auto" w:fill="FFFFFF"/>
        </w:rPr>
        <w:t xml:space="preserve">. </w:t>
      </w:r>
      <w:r w:rsidRPr="006D1607">
        <w:t>(sk. 12.04.2019.)</w:t>
      </w:r>
    </w:p>
  </w:footnote>
  <w:footnote w:id="47">
    <w:p w:rsidR="00224B50" w:rsidRPr="006D1607" w:rsidRDefault="00224B50" w:rsidP="00903901">
      <w:pPr>
        <w:pStyle w:val="FootnoteText"/>
        <w:spacing w:line="240" w:lineRule="auto"/>
      </w:pPr>
      <w:r w:rsidRPr="006D1607">
        <w:rPr>
          <w:rStyle w:val="FootnoteReference"/>
          <w:rFonts w:eastAsiaTheme="majorEastAsia"/>
        </w:rPr>
        <w:footnoteRef/>
      </w:r>
      <w:r w:rsidRPr="006D1607">
        <w:t xml:space="preserve"> Pieejams: </w:t>
      </w:r>
      <w:hyperlink r:id="rId26" w:history="1">
        <w:r w:rsidRPr="006D1607">
          <w:rPr>
            <w:rStyle w:val="Hyperlink"/>
            <w:rFonts w:eastAsiaTheme="majorEastAsia"/>
            <w:sz w:val="20"/>
          </w:rPr>
          <w:t>https://likumi.lv/doc.php?id=194076</w:t>
        </w:r>
      </w:hyperlink>
      <w:r w:rsidRPr="006D1607">
        <w:t xml:space="preserve"> (sk. 12.01.2019.)</w:t>
      </w:r>
    </w:p>
  </w:footnote>
  <w:footnote w:id="48">
    <w:p w:rsidR="00224B50" w:rsidRPr="00B208B0" w:rsidRDefault="00224B50">
      <w:pPr>
        <w:pStyle w:val="FootnoteText"/>
      </w:pPr>
      <w:r>
        <w:rPr>
          <w:rStyle w:val="FootnoteReference"/>
        </w:rPr>
        <w:footnoteRef/>
      </w:r>
      <w:r>
        <w:t xml:space="preserve"> </w:t>
      </w:r>
      <w:r w:rsidRPr="00B208B0">
        <w:t>LM (</w:t>
      </w:r>
      <w:r>
        <w:t>01.10.2014.</w:t>
      </w:r>
      <w:r w:rsidRPr="00B208B0">
        <w:t>).</w:t>
      </w:r>
      <w:r>
        <w:t xml:space="preserve"> </w:t>
      </w:r>
      <w:r w:rsidRPr="00B208B0">
        <w:rPr>
          <w:bCs/>
        </w:rPr>
        <w:t>Informatīvais ziņojums „P</w:t>
      </w:r>
      <w:r w:rsidRPr="00B208B0">
        <w:t>ar turpmāku valsts pabalstu izmaksas ierobežojumu noteikšanas pamatotību”</w:t>
      </w:r>
      <w:r>
        <w:t xml:space="preserve">. </w:t>
      </w:r>
    </w:p>
  </w:footnote>
  <w:footnote w:id="49">
    <w:p w:rsidR="00224B50" w:rsidRPr="006D1607" w:rsidRDefault="00224B50" w:rsidP="00903901">
      <w:pPr>
        <w:pStyle w:val="FootnoteText"/>
        <w:spacing w:line="240" w:lineRule="auto"/>
      </w:pPr>
      <w:r w:rsidRPr="006D1607">
        <w:rPr>
          <w:rStyle w:val="FootnoteReference"/>
          <w:rFonts w:eastAsiaTheme="majorEastAsia"/>
        </w:rPr>
        <w:footnoteRef/>
      </w:r>
      <w:r w:rsidRPr="006D1607">
        <w:t xml:space="preserve"> </w:t>
      </w:r>
      <w:r w:rsidRPr="006D1607">
        <w:rPr>
          <w:spacing w:val="4"/>
        </w:rPr>
        <w:t xml:space="preserve">31.10.2002. </w:t>
      </w:r>
      <w:hyperlink r:id="rId27" w:tgtFrame="_blank" w:history="1">
        <w:r w:rsidRPr="006D1607">
          <w:rPr>
            <w:spacing w:val="4"/>
          </w:rPr>
          <w:t>Valsts sociālo pabalstu likums</w:t>
        </w:r>
      </w:hyperlink>
      <w:r w:rsidRPr="006D1607">
        <w:rPr>
          <w:spacing w:val="4"/>
        </w:rPr>
        <w:t> un 22.12.2009. MK noteikumi </w:t>
      </w:r>
      <w:hyperlink r:id="rId28" w:tgtFrame="_blank" w:history="1">
        <w:r w:rsidRPr="006D1607">
          <w:rPr>
            <w:spacing w:val="4"/>
          </w:rPr>
          <w:t>Nr.1517</w:t>
        </w:r>
      </w:hyperlink>
      <w:r w:rsidRPr="006D1607">
        <w:rPr>
          <w:spacing w:val="4"/>
        </w:rPr>
        <w:t xml:space="preserve"> „Noteikumi par ģimenes valsts pabalsta un piemaksas pie ģimenes valsts pabalsta par bērnu invalīdu apmēru, tā pārskatīšanas kārtību un pabalsta un piemaksas piešķiršanas un izmaksas kārtību”. </w:t>
      </w:r>
      <w:r w:rsidRPr="006D1607">
        <w:t xml:space="preserve">Pieejams: </w:t>
      </w:r>
      <w:hyperlink r:id="rId29" w:history="1">
        <w:r w:rsidRPr="006D1607">
          <w:rPr>
            <w:rStyle w:val="Hyperlink"/>
            <w:rFonts w:eastAsiaTheme="majorEastAsia"/>
            <w:sz w:val="20"/>
          </w:rPr>
          <w:t>https://likumi.lv/doc.php?id=202676</w:t>
        </w:r>
      </w:hyperlink>
      <w:r w:rsidRPr="006D1607">
        <w:t xml:space="preserve"> (sk. 12.01.2019.)</w:t>
      </w:r>
    </w:p>
  </w:footnote>
  <w:footnote w:id="50">
    <w:p w:rsidR="00224B50" w:rsidRPr="006D1607" w:rsidRDefault="00224B50" w:rsidP="00903901">
      <w:pPr>
        <w:pStyle w:val="FootnoteText"/>
        <w:spacing w:line="240" w:lineRule="auto"/>
      </w:pPr>
      <w:r w:rsidRPr="006D1607">
        <w:rPr>
          <w:rStyle w:val="FootnoteReference"/>
        </w:rPr>
        <w:footnoteRef/>
      </w:r>
      <w:r w:rsidRPr="006D1607">
        <w:t xml:space="preserve"> CSP, MVG060. Mājsaimniecību sadalījums pēc to demogrāfiskā tipa (%). </w:t>
      </w:r>
    </w:p>
  </w:footnote>
  <w:footnote w:id="51">
    <w:p w:rsidR="00224B50" w:rsidRPr="006D1607" w:rsidRDefault="00224B50" w:rsidP="00903901">
      <w:pPr>
        <w:pStyle w:val="FootnoteText"/>
        <w:spacing w:line="240" w:lineRule="auto"/>
      </w:pPr>
      <w:r w:rsidRPr="006D1607">
        <w:rPr>
          <w:rStyle w:val="FootnoteReference"/>
        </w:rPr>
        <w:footnoteRef/>
      </w:r>
      <w:r w:rsidRPr="006D1607">
        <w:t xml:space="preserve"> Situācija, kurā pabalsti veicina nabadzības stāvokļa noturīgumu un turpināšanos, jo mazatalgotā darbā nodokļu un iemaksu atvilkšana no darba algas un saņemamā pabalsta summas samazināšana panāk darbā iesaistītās personas apstākļu maz jūtamu uzlabošanos vai pat pasliktināšanos, salīdzinot ar laiku, kad persona bija bez nodarbošanās un saņēma pabalstu. Avots: Terminu un svešvārdu skaidrojošā vārdnīca. Pieejams: </w:t>
      </w:r>
      <w:hyperlink r:id="rId30" w:history="1">
        <w:r w:rsidRPr="006D1607">
          <w:rPr>
            <w:rStyle w:val="Hyperlink"/>
            <w:rFonts w:eastAsiaTheme="majorEastAsia"/>
            <w:sz w:val="20"/>
          </w:rPr>
          <w:t>https://www.letonika.lv/groups/default.aspx?r=1107&amp;q=jo&amp;id=2060051&amp;g=1</w:t>
        </w:r>
      </w:hyperlink>
      <w:r w:rsidRPr="006D1607">
        <w:t xml:space="preserve"> (sk. 12.04.2019.)</w:t>
      </w:r>
    </w:p>
  </w:footnote>
  <w:footnote w:id="52">
    <w:p w:rsidR="00224B50" w:rsidRPr="006D1607" w:rsidRDefault="00224B50" w:rsidP="00903901">
      <w:pPr>
        <w:pStyle w:val="FootnoteText"/>
        <w:spacing w:line="240" w:lineRule="auto"/>
      </w:pPr>
      <w:r w:rsidRPr="006D1607">
        <w:rPr>
          <w:rStyle w:val="FootnoteReference"/>
        </w:rPr>
        <w:footnoteRef/>
      </w:r>
      <w:r w:rsidRPr="006D1607">
        <w:t xml:space="preserve"> LU Biznesa, vadības un ekonomikas fakultāte, LR tiesībsargs (2019). Nodokļu reforma neapliekamā minimuma, atvieglojumu un attaisnoto izdevumu piemērošanas problēmu, efektivitātes un risinājumu izvērtējumā. Pētījuma kopsavilkums, 24.lpp.</w:t>
      </w:r>
    </w:p>
  </w:footnote>
  <w:footnote w:id="53">
    <w:p w:rsidR="00224B50" w:rsidRPr="006D1607" w:rsidRDefault="00224B50" w:rsidP="00903901">
      <w:pPr>
        <w:pStyle w:val="FootnoteText"/>
        <w:spacing w:line="240" w:lineRule="auto"/>
      </w:pPr>
      <w:r w:rsidRPr="006D1607">
        <w:rPr>
          <w:rStyle w:val="FootnoteReference"/>
          <w:rFonts w:eastAsiaTheme="majorEastAsia"/>
        </w:rPr>
        <w:footnoteRef/>
      </w:r>
      <w:r w:rsidRPr="006D1607">
        <w:t xml:space="preserve"> </w:t>
      </w:r>
      <w:r w:rsidRPr="006D1607">
        <w:rPr>
          <w:spacing w:val="4"/>
        </w:rPr>
        <w:t xml:space="preserve">21.05.2013. MK noteikumi Nr. 261 „Noteikumi par valsts atbalstu ar celiakiju slimiem bērniem, kuriem nav noteikta invaliditāte”. </w:t>
      </w:r>
      <w:r w:rsidRPr="006D1607">
        <w:t xml:space="preserve">Pieejams: </w:t>
      </w:r>
      <w:hyperlink r:id="rId31" w:history="1">
        <w:r w:rsidRPr="006D1607">
          <w:rPr>
            <w:rStyle w:val="Hyperlink"/>
            <w:rFonts w:eastAsiaTheme="majorEastAsia"/>
            <w:sz w:val="20"/>
          </w:rPr>
          <w:t>https://likumi.lv/doc.php?id=256929</w:t>
        </w:r>
      </w:hyperlink>
      <w:r w:rsidRPr="006D1607">
        <w:t xml:space="preserve"> (sk. 12.01.2019.)</w:t>
      </w:r>
    </w:p>
  </w:footnote>
  <w:footnote w:id="54">
    <w:p w:rsidR="00224B50" w:rsidRPr="00903901" w:rsidRDefault="00224B50" w:rsidP="00903901">
      <w:pPr>
        <w:pStyle w:val="FootnoteText"/>
        <w:spacing w:line="240" w:lineRule="auto"/>
      </w:pPr>
      <w:r w:rsidRPr="00903901">
        <w:rPr>
          <w:rStyle w:val="FootnoteReference"/>
        </w:rPr>
        <w:footnoteRef/>
      </w:r>
      <w:r w:rsidRPr="00903901">
        <w:t xml:space="preserve"> LM oficiālā statistika, Valsts sociālo pabalstu, atlīdzību skaits un vidējais apmērs (izmaksāti no valsts budžeta). Pieejams:</w:t>
      </w:r>
      <w:r w:rsidRPr="00903901">
        <w:rPr>
          <w:color w:val="FF0000"/>
        </w:rPr>
        <w:t xml:space="preserve"> </w:t>
      </w:r>
      <w:hyperlink r:id="rId32" w:history="1">
        <w:r w:rsidRPr="00903901">
          <w:rPr>
            <w:rStyle w:val="Hyperlink"/>
            <w:sz w:val="20"/>
          </w:rPr>
          <w:t>http://www.lm.gov.lv/lv/nozares-politika/sociala-apdrosinasana/2-statistika</w:t>
        </w:r>
      </w:hyperlink>
      <w:r w:rsidRPr="00903901">
        <w:rPr>
          <w:color w:val="FF0000"/>
        </w:rPr>
        <w:t xml:space="preserve"> </w:t>
      </w:r>
      <w:r w:rsidRPr="00903901">
        <w:rPr>
          <w:shd w:val="clear" w:color="auto" w:fill="FFFFFF" w:themeFill="background1"/>
        </w:rPr>
        <w:t>(sk. 12.04.2019.)</w:t>
      </w:r>
    </w:p>
  </w:footnote>
  <w:footnote w:id="55">
    <w:p w:rsidR="00224B50" w:rsidRPr="00903901" w:rsidRDefault="00224B50" w:rsidP="00903901">
      <w:pPr>
        <w:pStyle w:val="FootnoteText"/>
        <w:spacing w:line="240" w:lineRule="auto"/>
      </w:pPr>
      <w:r w:rsidRPr="00903901">
        <w:rPr>
          <w:rStyle w:val="FootnoteReference"/>
          <w:rFonts w:eastAsiaTheme="majorEastAsia"/>
        </w:rPr>
        <w:footnoteRef/>
      </w:r>
      <w:r w:rsidRPr="00903901">
        <w:t xml:space="preserve"> </w:t>
      </w:r>
      <w:r w:rsidRPr="00903901">
        <w:rPr>
          <w:bCs/>
          <w:spacing w:val="4"/>
        </w:rPr>
        <w:t xml:space="preserve">30.11.2010. MK </w:t>
      </w:r>
      <w:r w:rsidRPr="00903901">
        <w:rPr>
          <w:spacing w:val="4"/>
        </w:rPr>
        <w:t>noteikumi Nr. 1077 „Noteikumi par valsts sociālo pabalstu Černobiļas atomelektrostacijas avārijas seku likvidēšanas dalībniekiem un mirušo Černobiļas atomelektrostacijas avārijas seku likvidēšanas dalībnieku ģimenēm”. Pieejams:</w:t>
      </w:r>
      <w:r w:rsidRPr="00903901">
        <w:rPr>
          <w:rStyle w:val="Hyperlink"/>
          <w:rFonts w:eastAsiaTheme="majorEastAsia"/>
          <w:sz w:val="20"/>
        </w:rPr>
        <w:t xml:space="preserve"> </w:t>
      </w:r>
      <w:hyperlink r:id="rId33" w:history="1">
        <w:r w:rsidRPr="00903901">
          <w:rPr>
            <w:rStyle w:val="Hyperlink"/>
            <w:rFonts w:eastAsiaTheme="majorEastAsia"/>
            <w:sz w:val="20"/>
          </w:rPr>
          <w:t>https://likumi.lv/ta/id/222142-noteikumi-par-valsts-socialo-pabalstu-cernobilas-atomelektrostacijas-avarijas-seku-likvidesanas-dalibniekiem-un-miruso-cernobil</w:t>
        </w:r>
      </w:hyperlink>
      <w:r w:rsidRPr="00903901">
        <w:t>... (sk. 12.01.2019.)</w:t>
      </w:r>
    </w:p>
  </w:footnote>
  <w:footnote w:id="56">
    <w:p w:rsidR="00224B50" w:rsidRPr="00903901" w:rsidRDefault="00224B50" w:rsidP="00903901">
      <w:pPr>
        <w:pStyle w:val="FootnoteText"/>
      </w:pPr>
      <w:r w:rsidRPr="00903901">
        <w:rPr>
          <w:rStyle w:val="FootnoteReference"/>
        </w:rPr>
        <w:footnoteRef/>
      </w:r>
      <w:r w:rsidRPr="00903901">
        <w:t xml:space="preserve"> Pieejams: </w:t>
      </w:r>
      <w:hyperlink r:id="rId34" w:history="1">
        <w:r w:rsidRPr="00903901">
          <w:rPr>
            <w:rStyle w:val="Hyperlink"/>
            <w:sz w:val="20"/>
          </w:rPr>
          <w:t>http://www.lm.gov.lv/lv/nozares-politika/valsts-socialie-pabalsti/8-publikacijas-petijumi-un-statistika/8-statistika</w:t>
        </w:r>
      </w:hyperlink>
      <w:r w:rsidRPr="00903901">
        <w:t xml:space="preserve"> (sk. 12.04.2019.)</w:t>
      </w:r>
    </w:p>
  </w:footnote>
  <w:footnote w:id="57">
    <w:p w:rsidR="00224B50" w:rsidRPr="00903901" w:rsidRDefault="00224B50" w:rsidP="00903901">
      <w:pPr>
        <w:pStyle w:val="FootnoteText"/>
        <w:spacing w:line="240" w:lineRule="auto"/>
      </w:pPr>
      <w:r w:rsidRPr="00903901">
        <w:rPr>
          <w:rStyle w:val="FootnoteReference"/>
          <w:rFonts w:eastAsiaTheme="majorEastAsia"/>
        </w:rPr>
        <w:footnoteRef/>
      </w:r>
      <w:r w:rsidRPr="00903901">
        <w:t xml:space="preserve"> 17.12.2014. Grozījumi likumā „Par iedzīvotāju ienākuma nodokli”. Pieejami: </w:t>
      </w:r>
      <w:hyperlink r:id="rId35" w:history="1">
        <w:r w:rsidRPr="00903901">
          <w:rPr>
            <w:rStyle w:val="Hyperlink"/>
            <w:rFonts w:eastAsiaTheme="majorEastAsia"/>
            <w:sz w:val="20"/>
          </w:rPr>
          <w:t>https://likumi.lv/ta/id/271317-grozijumi-likuma-par-iedzivotaju-ienakuma-nodokli</w:t>
        </w:r>
      </w:hyperlink>
      <w:r w:rsidRPr="00903901">
        <w:t xml:space="preserve"> (sk. 02.03.2019)</w:t>
      </w:r>
    </w:p>
  </w:footnote>
  <w:footnote w:id="58">
    <w:p w:rsidR="00224B50" w:rsidRPr="00903901" w:rsidRDefault="00224B50" w:rsidP="00903901">
      <w:pPr>
        <w:pStyle w:val="NormalWeb"/>
        <w:spacing w:line="240" w:lineRule="auto"/>
        <w:rPr>
          <w:sz w:val="20"/>
          <w:szCs w:val="20"/>
        </w:rPr>
      </w:pPr>
      <w:r w:rsidRPr="00903901">
        <w:rPr>
          <w:rStyle w:val="FootnoteReference"/>
          <w:sz w:val="20"/>
          <w:szCs w:val="20"/>
        </w:rPr>
        <w:footnoteRef/>
      </w:r>
      <w:r w:rsidRPr="00903901">
        <w:rPr>
          <w:sz w:val="20"/>
          <w:szCs w:val="20"/>
        </w:rPr>
        <w:t xml:space="preserve"> </w:t>
      </w:r>
      <w:r w:rsidRPr="00903901">
        <w:rPr>
          <w:color w:val="1F1F1F"/>
          <w:sz w:val="20"/>
          <w:szCs w:val="20"/>
        </w:rPr>
        <w:t>11.05.1993. likuma „Par iedzīvotāju ienākuma nodokli”  15.panta</w:t>
      </w:r>
      <w:r w:rsidRPr="00903901">
        <w:rPr>
          <w:rStyle w:val="apple-converted-space"/>
          <w:color w:val="1F1F1F"/>
          <w:sz w:val="20"/>
          <w:szCs w:val="20"/>
        </w:rPr>
        <w:t> </w:t>
      </w:r>
      <w:r w:rsidRPr="00903901">
        <w:rPr>
          <w:color w:val="1F1F1F"/>
          <w:sz w:val="20"/>
          <w:szCs w:val="20"/>
        </w:rPr>
        <w:t xml:space="preserve">otrā daļa (ar 06.11.2013. grozījumiem, Pārejas noteikumu 90.punkts). </w:t>
      </w:r>
    </w:p>
  </w:footnote>
  <w:footnote w:id="59">
    <w:p w:rsidR="00224B50" w:rsidRPr="00903901" w:rsidRDefault="00224B50" w:rsidP="00903901">
      <w:pPr>
        <w:pStyle w:val="FootnoteText"/>
        <w:spacing w:line="240" w:lineRule="auto"/>
      </w:pPr>
      <w:r w:rsidRPr="00903901">
        <w:rPr>
          <w:rStyle w:val="FootnoteReference"/>
        </w:rPr>
        <w:footnoteRef/>
      </w:r>
      <w:r w:rsidRPr="00903901">
        <w:t xml:space="preserve"> LU Biznesa, vadības un ekonomikas fakultāte, LR tiesībsargs (2019). Nodokļu reforma neapliekamā minimuma, atvieglojumu un attaisnoto izdevumu piemērošanas problēmu, efektivitātes un risinājumu izvērtējumā. Pētījums. 2.sējums, 13.-14.lpp. Pieejams: </w:t>
      </w:r>
      <w:hyperlink r:id="rId36" w:history="1">
        <w:r w:rsidRPr="00903901">
          <w:rPr>
            <w:rStyle w:val="Hyperlink"/>
            <w:sz w:val="20"/>
          </w:rPr>
          <w:t>http://www.tiesibsargs.lv/uploads/content/2_sejums_1551263667.pdf</w:t>
        </w:r>
      </w:hyperlink>
      <w:r w:rsidRPr="00903901">
        <w:t xml:space="preserve"> (sk. 12.04.2019.)</w:t>
      </w:r>
    </w:p>
  </w:footnote>
  <w:footnote w:id="60">
    <w:p w:rsidR="00224B50" w:rsidRPr="00903901" w:rsidRDefault="00224B50" w:rsidP="00903901">
      <w:pPr>
        <w:pStyle w:val="FootnoteText"/>
        <w:spacing w:line="240" w:lineRule="auto"/>
      </w:pPr>
      <w:r w:rsidRPr="00903901">
        <w:rPr>
          <w:rStyle w:val="FootnoteReference"/>
        </w:rPr>
        <w:footnoteRef/>
      </w:r>
      <w:r w:rsidRPr="00903901">
        <w:t xml:space="preserve"> Turpat, 57.lpp.</w:t>
      </w:r>
    </w:p>
  </w:footnote>
  <w:footnote w:id="61">
    <w:p w:rsidR="00224B50" w:rsidRPr="00903901" w:rsidRDefault="00224B50" w:rsidP="00903901">
      <w:pPr>
        <w:pStyle w:val="FootnoteText"/>
        <w:spacing w:line="240" w:lineRule="auto"/>
      </w:pPr>
      <w:r w:rsidRPr="00903901">
        <w:rPr>
          <w:rStyle w:val="FootnoteReference"/>
          <w:rFonts w:eastAsiaTheme="majorEastAsia"/>
        </w:rPr>
        <w:footnoteRef/>
      </w:r>
      <w:r w:rsidRPr="00903901">
        <w:t xml:space="preserve"> 23.12.2014. </w:t>
      </w:r>
      <w:r w:rsidRPr="00903901">
        <w:rPr>
          <w:rFonts w:ascii="Roboto" w:hAnsi="Roboto"/>
        </w:rPr>
        <w:t xml:space="preserve">MK noteikumi Nr.807 </w:t>
      </w:r>
      <w:r w:rsidRPr="00903901">
        <w:rPr>
          <w:rFonts w:ascii="Roboto" w:hAnsi="Roboto" w:hint="eastAsia"/>
          <w:color w:val="1F1F1F"/>
        </w:rPr>
        <w:t>„</w:t>
      </w:r>
      <w:r w:rsidRPr="00903901">
        <w:rPr>
          <w:rFonts w:ascii="Roboto" w:hAnsi="Roboto"/>
          <w:color w:val="1F1F1F"/>
        </w:rPr>
        <w:t>Noteikumi par valsts sociālās apdrošināšanas iemaksu likmes sadalījumu pa valsts sociālās apdrošināšanas veidiem 2015.gadā</w:t>
      </w:r>
      <w:r w:rsidRPr="00903901">
        <w:rPr>
          <w:rFonts w:ascii="Roboto" w:hAnsi="Roboto" w:hint="eastAsia"/>
          <w:color w:val="1F1F1F"/>
        </w:rPr>
        <w:t>”</w:t>
      </w:r>
      <w:r w:rsidRPr="00903901">
        <w:rPr>
          <w:rFonts w:ascii="Roboto" w:hAnsi="Roboto"/>
          <w:color w:val="1F1F1F"/>
        </w:rPr>
        <w:t xml:space="preserve"> (stājās spēkā 01.01.2015., zaudējuši spēku 01.01.2016.) . Pieejami: </w:t>
      </w:r>
      <w:hyperlink r:id="rId37" w:history="1">
        <w:r w:rsidRPr="00903901">
          <w:rPr>
            <w:rStyle w:val="Hyperlink"/>
            <w:rFonts w:ascii="Roboto" w:eastAsiaTheme="majorEastAsia" w:hAnsi="Roboto"/>
            <w:sz w:val="20"/>
          </w:rPr>
          <w:t>https://likumi.lv/ta/id/271255-noteikumi-par-valsts-socialas-apdrosinasanas-iemaksu-likmes-sadalijumu-pa-valsts-socialas-apdrosinasanas-veidiem-2015-gada</w:t>
        </w:r>
      </w:hyperlink>
      <w:r w:rsidRPr="00903901">
        <w:rPr>
          <w:rFonts w:ascii="Roboto" w:hAnsi="Roboto"/>
          <w:color w:val="1F1F1F"/>
        </w:rPr>
        <w:t xml:space="preserve"> (sk. 02.03.2019.)</w:t>
      </w:r>
    </w:p>
  </w:footnote>
  <w:footnote w:id="62">
    <w:p w:rsidR="00224B50" w:rsidRPr="00903901" w:rsidRDefault="00224B50" w:rsidP="00903901">
      <w:pPr>
        <w:pStyle w:val="FootnoteText"/>
        <w:spacing w:line="240" w:lineRule="auto"/>
      </w:pPr>
      <w:r w:rsidRPr="00903901">
        <w:rPr>
          <w:rStyle w:val="FootnoteReference"/>
          <w:rFonts w:eastAsiaTheme="majorEastAsia"/>
        </w:rPr>
        <w:footnoteRef/>
      </w:r>
      <w:r w:rsidRPr="00903901">
        <w:t xml:space="preserve"> </w:t>
      </w:r>
      <w:r w:rsidRPr="00903901">
        <w:rPr>
          <w:spacing w:val="4"/>
        </w:rPr>
        <w:t>09.12.2014. MK noteikumi nr. 756 “Grozījumi Ministru kabineta 2013.gada 17.decembra noteikumos Nr.1478 „</w:t>
      </w:r>
      <w:hyperlink r:id="rId38" w:tgtFrame="_blank" w:history="1">
        <w:r w:rsidRPr="00903901">
          <w:rPr>
            <w:spacing w:val="4"/>
          </w:rPr>
          <w:t>Noteikumi par valsts sociālās apdrošināšanas obligāto un brīvprātīgo iemaksu objekta minimālo un maksimālo apmēru</w:t>
        </w:r>
      </w:hyperlink>
      <w:r w:rsidRPr="00903901">
        <w:rPr>
          <w:spacing w:val="4"/>
        </w:rPr>
        <w:t>””</w:t>
      </w:r>
    </w:p>
  </w:footnote>
  <w:footnote w:id="63">
    <w:p w:rsidR="00224B50" w:rsidRPr="00903901" w:rsidRDefault="00224B50" w:rsidP="00903901">
      <w:pPr>
        <w:pStyle w:val="FootnoteText"/>
        <w:spacing w:line="240" w:lineRule="auto"/>
      </w:pPr>
      <w:r w:rsidRPr="00903901">
        <w:rPr>
          <w:rStyle w:val="FootnoteReference"/>
          <w:rFonts w:eastAsiaTheme="majorEastAsia"/>
        </w:rPr>
        <w:footnoteRef/>
      </w:r>
      <w:r w:rsidRPr="00903901">
        <w:t xml:space="preserve"> Pieejams: </w:t>
      </w:r>
      <w:hyperlink r:id="rId39" w:history="1">
        <w:r w:rsidRPr="00903901">
          <w:rPr>
            <w:rStyle w:val="Hyperlink"/>
            <w:rFonts w:eastAsiaTheme="majorEastAsia"/>
            <w:sz w:val="20"/>
          </w:rPr>
          <w:t>https://likumi.lv/ta/id/269374-kreditinformacijas-biroju-likums</w:t>
        </w:r>
      </w:hyperlink>
      <w:r w:rsidRPr="00903901">
        <w:t xml:space="preserve"> (sk. 02.03.2019) </w:t>
      </w:r>
    </w:p>
  </w:footnote>
  <w:footnote w:id="64">
    <w:p w:rsidR="00224B50" w:rsidRPr="00903901" w:rsidRDefault="00224B50" w:rsidP="00903901">
      <w:pPr>
        <w:pStyle w:val="FootnoteText"/>
        <w:spacing w:line="240" w:lineRule="auto"/>
      </w:pPr>
      <w:r w:rsidRPr="00903901">
        <w:rPr>
          <w:rStyle w:val="FootnoteReference"/>
          <w:rFonts w:eastAsiaTheme="majorEastAsia"/>
        </w:rPr>
        <w:footnoteRef/>
      </w:r>
      <w:r w:rsidRPr="00903901">
        <w:t xml:space="preserve"> Pieejams: </w:t>
      </w:r>
      <w:hyperlink r:id="rId40" w:history="1">
        <w:r w:rsidRPr="00903901">
          <w:rPr>
            <w:rStyle w:val="Hyperlink"/>
            <w:rFonts w:eastAsiaTheme="majorEastAsia"/>
            <w:sz w:val="20"/>
          </w:rPr>
          <w:t>https://likumi.lv/ta/id/269517-grozijumi-maksatnespejas-likuma</w:t>
        </w:r>
      </w:hyperlink>
      <w:r w:rsidRPr="00903901">
        <w:t xml:space="preserve"> (sk. 01.03.2019.)</w:t>
      </w:r>
    </w:p>
  </w:footnote>
  <w:footnote w:id="65">
    <w:p w:rsidR="00224B50" w:rsidRPr="00903901" w:rsidRDefault="00224B50" w:rsidP="00903901">
      <w:pPr>
        <w:pStyle w:val="FootnoteText"/>
        <w:spacing w:line="240" w:lineRule="auto"/>
      </w:pPr>
      <w:r w:rsidRPr="00903901">
        <w:rPr>
          <w:rStyle w:val="FootnoteReference"/>
          <w:rFonts w:eastAsiaTheme="majorEastAsia"/>
        </w:rPr>
        <w:footnoteRef/>
      </w:r>
      <w:r w:rsidRPr="00903901">
        <w:t xml:space="preserve"> Pieejams: </w:t>
      </w:r>
      <w:hyperlink r:id="rId41" w:history="1">
        <w:r w:rsidRPr="00903901">
          <w:rPr>
            <w:rStyle w:val="Hyperlink"/>
            <w:rFonts w:eastAsiaTheme="majorEastAsia"/>
            <w:sz w:val="20"/>
          </w:rPr>
          <w:t>https://likumi.lv/ta/id/272497-grozijumi-maksatnespejas-likuma</w:t>
        </w:r>
      </w:hyperlink>
      <w:r w:rsidRPr="00903901">
        <w:t xml:space="preserve"> (01.03.2019.)</w:t>
      </w:r>
    </w:p>
  </w:footnote>
  <w:footnote w:id="66">
    <w:p w:rsidR="00224B50" w:rsidRPr="00903901" w:rsidRDefault="00224B50" w:rsidP="00903901">
      <w:pPr>
        <w:pStyle w:val="FootnoteText"/>
        <w:spacing w:line="240" w:lineRule="auto"/>
      </w:pPr>
      <w:r w:rsidRPr="00903901">
        <w:rPr>
          <w:rStyle w:val="FootnoteReference"/>
          <w:rFonts w:eastAsiaTheme="majorEastAsia"/>
        </w:rPr>
        <w:footnoteRef/>
      </w:r>
      <w:r w:rsidRPr="00903901">
        <w:t xml:space="preserve"> Pieejams: </w:t>
      </w:r>
      <w:hyperlink r:id="rId42" w:history="1">
        <w:r w:rsidRPr="00903901">
          <w:rPr>
            <w:rStyle w:val="Hyperlink"/>
            <w:rFonts w:eastAsiaTheme="majorEastAsia"/>
            <w:sz w:val="20"/>
          </w:rPr>
          <w:t>https://likumi.lv/ta/id/270232-grozijumi-darba-likuma</w:t>
        </w:r>
      </w:hyperlink>
      <w:r w:rsidRPr="00903901">
        <w:t xml:space="preserve">  (sk. 01.03.2019.) </w:t>
      </w:r>
    </w:p>
  </w:footnote>
  <w:footnote w:id="67">
    <w:p w:rsidR="00224B50" w:rsidRPr="00903901" w:rsidRDefault="00224B50" w:rsidP="00903901">
      <w:pPr>
        <w:pStyle w:val="FootnoteText"/>
        <w:spacing w:line="240" w:lineRule="auto"/>
      </w:pPr>
      <w:r w:rsidRPr="00903901">
        <w:rPr>
          <w:rStyle w:val="FootnoteReference"/>
          <w:rFonts w:eastAsiaTheme="majorEastAsia"/>
        </w:rPr>
        <w:footnoteRef/>
      </w:r>
      <w:r w:rsidRPr="00903901">
        <w:t xml:space="preserve"> Latvijas nacionālā reformu programma „Eiropa 2020” stratēģijas īstenošanai progresa ziņojums. Rīga, 2017. gada aprīlis, 6.lpp. Pieejams: </w:t>
      </w:r>
      <w:hyperlink r:id="rId43" w:history="1">
        <w:r w:rsidRPr="00903901">
          <w:rPr>
            <w:rStyle w:val="Hyperlink"/>
            <w:rFonts w:eastAsiaTheme="majorEastAsia"/>
            <w:sz w:val="20"/>
          </w:rPr>
          <w:t>https://www.em.gov.lv/files/eiropas_savieniba/Annex_LV_NRP_2016_Latvian.pdf</w:t>
        </w:r>
      </w:hyperlink>
      <w:r w:rsidRPr="00903901">
        <w:t xml:space="preserve"> (sk.12.02.2019.)</w:t>
      </w:r>
    </w:p>
  </w:footnote>
  <w:footnote w:id="68">
    <w:p w:rsidR="00224B50" w:rsidRPr="00903901" w:rsidRDefault="00224B50" w:rsidP="00903901">
      <w:pPr>
        <w:pStyle w:val="FootnoteText"/>
        <w:spacing w:line="240" w:lineRule="auto"/>
      </w:pPr>
      <w:r w:rsidRPr="00903901">
        <w:rPr>
          <w:rStyle w:val="FootnoteReference"/>
          <w:rFonts w:eastAsiaTheme="majorEastAsia"/>
        </w:rPr>
        <w:footnoteRef/>
      </w:r>
      <w:r w:rsidRPr="00903901">
        <w:t xml:space="preserve"> </w:t>
      </w:r>
      <w:r w:rsidRPr="00903901">
        <w:rPr>
          <w:spacing w:val="4"/>
        </w:rPr>
        <w:t xml:space="preserve">Izmaiņas veiktas atbilstoši 02.12.2014. </w:t>
      </w:r>
      <w:r w:rsidRPr="00903901">
        <w:t>MK noteikumu Nr.734 „Grozījumi Ministru kabineta 2013. gada 27. augusta noteikumos Nr.665 „Noteikumi par minimālo mēneša darba algu un minimālo stundas tarifa likmi””. Pieejams:</w:t>
      </w:r>
      <w:r w:rsidRPr="00AF5085">
        <w:t xml:space="preserve"> </w:t>
      </w:r>
      <w:hyperlink r:id="rId44" w:history="1">
        <w:r w:rsidRPr="00903901">
          <w:rPr>
            <w:rStyle w:val="Hyperlink"/>
            <w:rFonts w:eastAsiaTheme="majorEastAsia"/>
            <w:sz w:val="20"/>
          </w:rPr>
          <w:t>https://likumi.lv/ta/id/270686-grozijumi-ministru-kabineta-2013-gada-27-augusta-noteikumos-nr-665-noteikumi-par-minimalo-menesa-darba-algu-un-minimalo-stundas</w:t>
        </w:r>
      </w:hyperlink>
      <w:r w:rsidRPr="00903901">
        <w:t>... (sk. 02.01.2019.)</w:t>
      </w:r>
    </w:p>
  </w:footnote>
  <w:footnote w:id="69">
    <w:p w:rsidR="00224B50" w:rsidRPr="00903901" w:rsidRDefault="00224B50" w:rsidP="00903901">
      <w:pPr>
        <w:pStyle w:val="FootnoteText"/>
        <w:spacing w:line="240" w:lineRule="auto"/>
      </w:pPr>
      <w:r w:rsidRPr="00903901">
        <w:rPr>
          <w:rStyle w:val="FootnoteReference"/>
          <w:rFonts w:eastAsiaTheme="majorEastAsia"/>
        </w:rPr>
        <w:footnoteRef/>
      </w:r>
      <w:r w:rsidRPr="00903901">
        <w:t xml:space="preserve"> Sk. aprēķinu par 2019. gadu: </w:t>
      </w:r>
      <w:hyperlink r:id="rId45" w:history="1">
        <w:r w:rsidRPr="00903901">
          <w:rPr>
            <w:rStyle w:val="Hyperlink"/>
            <w:rFonts w:eastAsiaTheme="majorEastAsia"/>
            <w:sz w:val="20"/>
          </w:rPr>
          <w:t>http://www.lm.gov.lv/lv/index.php?option=com_content&amp;view=article&amp;id=80635</w:t>
        </w:r>
      </w:hyperlink>
      <w:r w:rsidRPr="00903901">
        <w:t xml:space="preserve"> (sk. 12.01.2019.)</w:t>
      </w:r>
    </w:p>
  </w:footnote>
  <w:footnote w:id="70">
    <w:p w:rsidR="00224B50" w:rsidRPr="00903901" w:rsidRDefault="00224B50" w:rsidP="00903901">
      <w:pPr>
        <w:pStyle w:val="FootnoteText"/>
        <w:spacing w:line="240" w:lineRule="auto"/>
      </w:pPr>
      <w:r w:rsidRPr="00903901">
        <w:rPr>
          <w:vertAlign w:val="superscript"/>
        </w:rPr>
        <w:footnoteRef/>
      </w:r>
      <w:r w:rsidRPr="00903901">
        <w:rPr>
          <w:vertAlign w:val="superscript"/>
        </w:rPr>
        <w:t xml:space="preserve"> </w:t>
      </w:r>
      <w:r w:rsidRPr="00903901">
        <w:t>15.01.2013.</w:t>
      </w:r>
      <w:r w:rsidRPr="00903901">
        <w:rPr>
          <w:vertAlign w:val="superscript"/>
        </w:rPr>
        <w:t xml:space="preserve"> </w:t>
      </w:r>
      <w:r w:rsidRPr="00903901">
        <w:t xml:space="preserve">MK noteikumi </w:t>
      </w:r>
      <w:hyperlink r:id="rId46" w:tgtFrame="_blank" w:history="1">
        <w:r w:rsidRPr="00903901">
          <w:t>Nr.37 </w:t>
        </w:r>
      </w:hyperlink>
      <w:r w:rsidRPr="00903901">
        <w:t xml:space="preserve">"Noteikumi par minimālo uzturlīdzekļu apmēru bērnam". Pieejami: </w:t>
      </w:r>
      <w:hyperlink r:id="rId47" w:history="1">
        <w:r w:rsidRPr="00903901">
          <w:rPr>
            <w:rStyle w:val="Hyperlink"/>
            <w:rFonts w:eastAsiaTheme="majorEastAsia"/>
            <w:sz w:val="20"/>
          </w:rPr>
          <w:t>https://likumi.lv/doc.php?id=254128</w:t>
        </w:r>
      </w:hyperlink>
      <w:r w:rsidRPr="00903901">
        <w:t xml:space="preserve"> (sk. 08.03.2019.)</w:t>
      </w:r>
    </w:p>
  </w:footnote>
  <w:footnote w:id="71">
    <w:p w:rsidR="00224B50" w:rsidRPr="00903901" w:rsidRDefault="00224B50" w:rsidP="00903901">
      <w:pPr>
        <w:pStyle w:val="FootnoteText"/>
      </w:pPr>
      <w:r w:rsidRPr="00903901">
        <w:rPr>
          <w:rStyle w:val="FootnoteReference"/>
        </w:rPr>
        <w:footnoteRef/>
      </w:r>
      <w:r w:rsidRPr="00903901">
        <w:t xml:space="preserve"> Pieejams: </w:t>
      </w:r>
      <w:hyperlink r:id="rId48" w:history="1">
        <w:r w:rsidRPr="00903901">
          <w:rPr>
            <w:rStyle w:val="Hyperlink"/>
            <w:sz w:val="20"/>
          </w:rPr>
          <w:t>https://likumi.lv/doc.php?id=90223</w:t>
        </w:r>
      </w:hyperlink>
      <w:r w:rsidRPr="00903901">
        <w:t xml:space="preserve"> (sk. 12.04.2019.)</w:t>
      </w:r>
    </w:p>
  </w:footnote>
  <w:footnote w:id="72">
    <w:p w:rsidR="00224B50" w:rsidRPr="00903901" w:rsidRDefault="00224B50" w:rsidP="00903901">
      <w:pPr>
        <w:pStyle w:val="FootnoteText"/>
        <w:spacing w:line="240" w:lineRule="auto"/>
      </w:pPr>
      <w:r w:rsidRPr="00903901">
        <w:rPr>
          <w:rStyle w:val="FootnoteReference"/>
          <w:rFonts w:eastAsiaTheme="majorEastAsia"/>
        </w:rPr>
        <w:footnoteRef/>
      </w:r>
      <w:r w:rsidRPr="00903901">
        <w:t xml:space="preserve"> Pieejams: </w:t>
      </w:r>
      <w:hyperlink r:id="rId49" w:history="1">
        <w:r w:rsidRPr="00903901">
          <w:rPr>
            <w:rStyle w:val="Hyperlink"/>
            <w:rFonts w:eastAsiaTheme="majorEastAsia"/>
            <w:sz w:val="20"/>
          </w:rPr>
          <w:t>https://likumi.lv/ta/id/276770-grozijumi-elektroenergijas-tirgus-likuma</w:t>
        </w:r>
      </w:hyperlink>
      <w:r w:rsidRPr="00903901">
        <w:t xml:space="preserve"> (sk. 01.03.2019.)</w:t>
      </w:r>
    </w:p>
  </w:footnote>
  <w:footnote w:id="73">
    <w:p w:rsidR="00224B50" w:rsidRPr="00903901" w:rsidRDefault="00224B50" w:rsidP="00903901">
      <w:pPr>
        <w:pStyle w:val="FootnoteText"/>
        <w:spacing w:line="240" w:lineRule="auto"/>
      </w:pPr>
      <w:r w:rsidRPr="00903901">
        <w:rPr>
          <w:rStyle w:val="FootnoteReference"/>
          <w:rFonts w:eastAsiaTheme="majorEastAsia"/>
        </w:rPr>
        <w:footnoteRef/>
      </w:r>
      <w:r w:rsidRPr="00903901">
        <w:t xml:space="preserve"> Latvijas nacionālā reformu programma „Eiropa 2020” stratēģijas īstenošanai progresa ziņojums. Rīga, 2017.gada aprīlis, 632.lpp. Pieejams: </w:t>
      </w:r>
      <w:hyperlink r:id="rId50" w:history="1">
        <w:r w:rsidRPr="00903901">
          <w:rPr>
            <w:rStyle w:val="Hyperlink"/>
            <w:rFonts w:eastAsiaTheme="majorEastAsia"/>
            <w:sz w:val="20"/>
          </w:rPr>
          <w:t>https://www.em.gov.lv/files/eiropas_savieniba/Annex_LV_NRP_2016_Latvian.pdf</w:t>
        </w:r>
      </w:hyperlink>
      <w:r w:rsidRPr="00903901">
        <w:t xml:space="preserve"> (sk.12.01.2019.)</w:t>
      </w:r>
    </w:p>
  </w:footnote>
  <w:footnote w:id="74">
    <w:p w:rsidR="00224B50" w:rsidRPr="00903901" w:rsidRDefault="00224B50" w:rsidP="00903901">
      <w:pPr>
        <w:pStyle w:val="FootnoteText"/>
        <w:spacing w:line="240" w:lineRule="auto"/>
      </w:pPr>
      <w:r w:rsidRPr="00903901">
        <w:rPr>
          <w:rStyle w:val="FootnoteReference"/>
        </w:rPr>
        <w:footnoteRef/>
      </w:r>
      <w:r w:rsidRPr="00903901">
        <w:t xml:space="preserve"> </w:t>
      </w:r>
      <w:r w:rsidRPr="00CE5642">
        <w:t>27.03.2007. MK noteikumi Nr. 205 „Apdrošināšanas iemaksu algas indeksa aprēķināšanas un vecuma pensijas kapitāla aktualizācijas kārtība”.</w:t>
      </w:r>
      <w:r w:rsidRPr="00903901">
        <w:t xml:space="preserve"> Pieejams: </w:t>
      </w:r>
      <w:hyperlink r:id="rId51" w:history="1">
        <w:r w:rsidRPr="003F4C2A">
          <w:rPr>
            <w:rStyle w:val="Hyperlink"/>
            <w:sz w:val="20"/>
          </w:rPr>
          <w:t>https://likumi.lv/doc.php?id=155220</w:t>
        </w:r>
      </w:hyperlink>
      <w:r>
        <w:t xml:space="preserve"> </w:t>
      </w:r>
      <w:r w:rsidRPr="00903901">
        <w:t xml:space="preserve"> (sk. 17.04.2019.)</w:t>
      </w:r>
    </w:p>
  </w:footnote>
  <w:footnote w:id="75">
    <w:p w:rsidR="00224B50" w:rsidRPr="00903901" w:rsidRDefault="00224B50" w:rsidP="00903901">
      <w:pPr>
        <w:pStyle w:val="FootnoteText"/>
        <w:spacing w:line="240" w:lineRule="auto"/>
      </w:pPr>
      <w:r w:rsidRPr="00903901">
        <w:rPr>
          <w:rStyle w:val="FootnoteReference"/>
        </w:rPr>
        <w:footnoteRef/>
      </w:r>
      <w:r w:rsidRPr="00903901">
        <w:t xml:space="preserve"> Likumprojekta „Grozījumi likumā „Par valsts pensijām” sākotnējās ietekmes novērtējuma ziņojums (anotācija). Pieejams: </w:t>
      </w:r>
      <w:hyperlink r:id="rId52" w:history="1">
        <w:r w:rsidRPr="00903901">
          <w:rPr>
            <w:rStyle w:val="Hyperlink"/>
            <w:sz w:val="20"/>
          </w:rPr>
          <w:t>http://titania.saeima.lv/LIVS12/SaeimaLIVS12.nsf/0/C31CBED7BAE8551BC2257E50002625A0?OpenDocument</w:t>
        </w:r>
      </w:hyperlink>
      <w:r w:rsidRPr="00903901">
        <w:t xml:space="preserve"> (sk. 17.04.2019.)</w:t>
      </w:r>
    </w:p>
  </w:footnote>
  <w:footnote w:id="76">
    <w:p w:rsidR="00224B50" w:rsidRPr="00903901" w:rsidRDefault="00224B50" w:rsidP="00903901">
      <w:pPr>
        <w:pStyle w:val="FootnoteText"/>
        <w:spacing w:line="240" w:lineRule="auto"/>
      </w:pPr>
      <w:r w:rsidRPr="00903901">
        <w:rPr>
          <w:rStyle w:val="FootnoteReference"/>
          <w:rFonts w:eastAsiaTheme="majorEastAsia"/>
        </w:rPr>
        <w:footnoteRef/>
      </w:r>
      <w:r w:rsidRPr="00903901">
        <w:t xml:space="preserve"> 18.06.2015. Grozījumi likumā „Par valsts pensijām”. Pieejams: </w:t>
      </w:r>
      <w:hyperlink r:id="rId53" w:history="1">
        <w:r w:rsidRPr="00903901">
          <w:rPr>
            <w:rStyle w:val="Hyperlink"/>
            <w:rFonts w:eastAsiaTheme="majorEastAsia"/>
            <w:sz w:val="20"/>
          </w:rPr>
          <w:t>https://likumi.lv/ta/id/274899-grozijumi-likuma-par-valsts-pensijam-</w:t>
        </w:r>
      </w:hyperlink>
      <w:r w:rsidRPr="00903901">
        <w:t xml:space="preserve"> (sk. 12.01.2019.)</w:t>
      </w:r>
    </w:p>
  </w:footnote>
  <w:footnote w:id="77">
    <w:p w:rsidR="00224B50" w:rsidRPr="00903901" w:rsidRDefault="00224B50" w:rsidP="00903901">
      <w:pPr>
        <w:pStyle w:val="FootnoteText"/>
        <w:spacing w:line="240" w:lineRule="auto"/>
      </w:pPr>
      <w:r w:rsidRPr="00903901">
        <w:rPr>
          <w:rStyle w:val="FootnoteReference"/>
          <w:rFonts w:eastAsiaTheme="majorEastAsia"/>
        </w:rPr>
        <w:footnoteRef/>
      </w:r>
      <w:r w:rsidRPr="00903901">
        <w:t xml:space="preserve"> Pieejams: </w:t>
      </w:r>
      <w:hyperlink r:id="rId54" w:history="1">
        <w:r w:rsidRPr="00903901">
          <w:rPr>
            <w:rStyle w:val="Hyperlink"/>
            <w:rFonts w:eastAsiaTheme="majorEastAsia"/>
            <w:sz w:val="20"/>
          </w:rPr>
          <w:t>https://likumi.lv/doc.php?id=65827</w:t>
        </w:r>
      </w:hyperlink>
      <w:r w:rsidRPr="00903901">
        <w:t xml:space="preserve"> (sk. 12.01.2019.)</w:t>
      </w:r>
    </w:p>
  </w:footnote>
  <w:footnote w:id="78">
    <w:p w:rsidR="00224B50" w:rsidRPr="00903901" w:rsidRDefault="00224B50" w:rsidP="00903901">
      <w:pPr>
        <w:pStyle w:val="FootnoteText"/>
        <w:spacing w:line="240" w:lineRule="auto"/>
      </w:pPr>
      <w:r w:rsidRPr="00903901">
        <w:rPr>
          <w:rStyle w:val="FootnoteReference"/>
          <w:rFonts w:eastAsiaTheme="majorEastAsia"/>
        </w:rPr>
        <w:footnoteRef/>
      </w:r>
      <w:r w:rsidRPr="00903901">
        <w:t xml:space="preserve"> Latvijas nacionālā reformu programma „Eiropa 2020” stratēģijas īstenošanai progresa ziņojums. Rīga, 2017.gada aprīlis, 22.lpp. Pieejams: </w:t>
      </w:r>
      <w:hyperlink r:id="rId55" w:history="1">
        <w:r w:rsidRPr="00903901">
          <w:rPr>
            <w:rStyle w:val="Hyperlink"/>
            <w:rFonts w:eastAsiaTheme="majorEastAsia"/>
            <w:sz w:val="20"/>
          </w:rPr>
          <w:t>https://www.em.gov.lv/files/eiropas_savieniba/Annex_LV_NRP_2016_Latvian.pdf</w:t>
        </w:r>
      </w:hyperlink>
      <w:r w:rsidRPr="00903901">
        <w:t xml:space="preserve"> (sk.12.01.2019.)</w:t>
      </w:r>
    </w:p>
  </w:footnote>
  <w:footnote w:id="79">
    <w:p w:rsidR="00224B50" w:rsidRPr="00903901" w:rsidRDefault="00224B50" w:rsidP="00903901">
      <w:pPr>
        <w:pStyle w:val="FootnoteText"/>
        <w:spacing w:line="240" w:lineRule="auto"/>
      </w:pPr>
      <w:r w:rsidRPr="00903901">
        <w:rPr>
          <w:rStyle w:val="FootnoteReference"/>
        </w:rPr>
        <w:footnoteRef/>
      </w:r>
      <w:r w:rsidRPr="00903901">
        <w:t xml:space="preserve"> Likums „Par valsts pensijām”, 12.pants. </w:t>
      </w:r>
    </w:p>
  </w:footnote>
  <w:footnote w:id="80">
    <w:p w:rsidR="00224B50" w:rsidRPr="00903901" w:rsidRDefault="00224B50" w:rsidP="00903901">
      <w:pPr>
        <w:pStyle w:val="FootnoteText"/>
        <w:spacing w:line="240" w:lineRule="auto"/>
      </w:pPr>
      <w:r w:rsidRPr="00903901">
        <w:rPr>
          <w:rStyle w:val="FootnoteReference"/>
          <w:rFonts w:eastAsiaTheme="majorEastAsia"/>
        </w:rPr>
        <w:footnoteRef/>
      </w:r>
      <w:r w:rsidRPr="00903901">
        <w:t xml:space="preserve"> Ja pensijas kapitāla aktualizācijai aprēķinātais ikgadējais apdrošināšanas iemaksu algas indekss ir mazāks par skaitli „1”, pensijas kapitāla aktualizācijai piemēro indeksu „1”. Nākamo gadu, kas seko gadiem, kuros minētais indekss bijis mazāks par skaitli „1”, pensijas kapitāla aktualizācijai aprēķinātos pozitīvos indeksus aizstāj ar indeksu „1” līdz gadam, kamēr aizstāto indeksu reizinājums ir lielāks par skaitli „1”. 18.06.2015. Grozījumi likumā „Par valsts pensijām” (12.panta ceturtā daļa). </w:t>
      </w:r>
    </w:p>
  </w:footnote>
  <w:footnote w:id="81">
    <w:p w:rsidR="00224B50" w:rsidRPr="00903901" w:rsidRDefault="00224B50" w:rsidP="00903901">
      <w:pPr>
        <w:pStyle w:val="FootnoteText"/>
        <w:spacing w:line="240" w:lineRule="auto"/>
      </w:pPr>
      <w:r w:rsidRPr="00903901">
        <w:rPr>
          <w:rStyle w:val="FootnoteReference"/>
        </w:rPr>
        <w:footnoteRef/>
      </w:r>
      <w:r w:rsidRPr="00903901">
        <w:t xml:space="preserve"> Pluta A. &amp; A.Zasova (2018). „Distributional effects of recent benefit and tax reforms in Latvia.” SSE Riga/ BICEPS Occasional papers No.11. Pieejams: </w:t>
      </w:r>
      <w:hyperlink r:id="rId56" w:history="1">
        <w:r w:rsidRPr="00903901">
          <w:rPr>
            <w:rStyle w:val="Hyperlink"/>
            <w:sz w:val="20"/>
          </w:rPr>
          <w:t>http://www.biceps.org/assets/docs/neregulara-rakstura/OccasionalPaperNo11</w:t>
        </w:r>
      </w:hyperlink>
      <w:r w:rsidRPr="00903901">
        <w:t xml:space="preserve"> (sk. 10.04.2019.)</w:t>
      </w:r>
    </w:p>
  </w:footnote>
  <w:footnote w:id="82">
    <w:p w:rsidR="00224B50" w:rsidRPr="00903901" w:rsidRDefault="00224B50" w:rsidP="00903901">
      <w:pPr>
        <w:pStyle w:val="FootnoteText"/>
        <w:spacing w:line="240" w:lineRule="auto"/>
      </w:pPr>
      <w:r w:rsidRPr="00903901">
        <w:rPr>
          <w:rStyle w:val="FootnoteReference"/>
          <w:rFonts w:eastAsiaTheme="majorEastAsia"/>
        </w:rPr>
        <w:footnoteRef/>
      </w:r>
      <w:r w:rsidRPr="00903901">
        <w:t xml:space="preserve"> 26.11.2015. Grozījumi Bērnu tiesību aizsardzības likumā. Pieejams: </w:t>
      </w:r>
      <w:hyperlink r:id="rId57" w:history="1">
        <w:r w:rsidRPr="00903901">
          <w:rPr>
            <w:rStyle w:val="Hyperlink"/>
            <w:rFonts w:eastAsiaTheme="majorEastAsia"/>
            <w:sz w:val="20"/>
          </w:rPr>
          <w:t>https://likumi.lv/ta/id/278512-grozijumi-bernu-tiesibu-aizsardzibas-likuma</w:t>
        </w:r>
      </w:hyperlink>
      <w:r w:rsidRPr="00903901">
        <w:t xml:space="preserve"> (sk. 12.01.2019.)</w:t>
      </w:r>
    </w:p>
  </w:footnote>
  <w:footnote w:id="83">
    <w:p w:rsidR="00224B50" w:rsidRPr="00903901" w:rsidRDefault="00224B50" w:rsidP="00903901">
      <w:pPr>
        <w:pStyle w:val="FootnoteText"/>
        <w:spacing w:line="240" w:lineRule="auto"/>
      </w:pPr>
      <w:r w:rsidRPr="00903901">
        <w:rPr>
          <w:rStyle w:val="FootnoteReference"/>
          <w:rFonts w:eastAsiaTheme="majorEastAsia"/>
        </w:rPr>
        <w:footnoteRef/>
      </w:r>
      <w:r w:rsidRPr="00903901">
        <w:t xml:space="preserve"> 08.10.2015. Grozījumi Dzīvesvietas deklarēšanas likumā. Pieejams: </w:t>
      </w:r>
      <w:hyperlink r:id="rId58" w:history="1">
        <w:r w:rsidRPr="00903901">
          <w:rPr>
            <w:rStyle w:val="Hyperlink"/>
            <w:rFonts w:eastAsiaTheme="majorEastAsia"/>
            <w:sz w:val="20"/>
          </w:rPr>
          <w:t>https://likumi.lv/ta/id/277316-grozijumi-dzivesvietas-deklaresanas-likuma</w:t>
        </w:r>
      </w:hyperlink>
      <w:r w:rsidRPr="00903901">
        <w:t xml:space="preserve"> (sk. 01.03.2019.)</w:t>
      </w:r>
    </w:p>
  </w:footnote>
  <w:footnote w:id="84">
    <w:p w:rsidR="00224B50" w:rsidRPr="00903901" w:rsidRDefault="00224B50" w:rsidP="00903901">
      <w:pPr>
        <w:pStyle w:val="FootnoteText"/>
        <w:spacing w:line="240" w:lineRule="auto"/>
      </w:pPr>
      <w:r w:rsidRPr="00903901">
        <w:rPr>
          <w:rStyle w:val="FootnoteReference"/>
          <w:rFonts w:eastAsiaTheme="majorEastAsia"/>
        </w:rPr>
        <w:footnoteRef/>
      </w:r>
      <w:r w:rsidRPr="00903901">
        <w:t xml:space="preserve"> </w:t>
      </w:r>
      <w:r w:rsidRPr="00903901">
        <w:rPr>
          <w:spacing w:val="6"/>
        </w:rPr>
        <w:t>Izmaiņas minēto pabalstu pieprasīšanas termiņos noteica 23.10.2014. grozījumi likumā „Par maternitātes un slimības apdrošināšanu” (25.panta pirmā daļa)</w:t>
      </w:r>
      <w:r w:rsidRPr="00903901">
        <w:rPr>
          <w:rStyle w:val="FootnoteReference"/>
          <w:rFonts w:eastAsiaTheme="majorEastAsia"/>
          <w:spacing w:val="6"/>
        </w:rPr>
        <w:t xml:space="preserve">. </w:t>
      </w:r>
      <w:r w:rsidRPr="00903901">
        <w:t xml:space="preserve">Pieejami: </w:t>
      </w:r>
      <w:hyperlink r:id="rId59" w:history="1">
        <w:r w:rsidRPr="00903901">
          <w:rPr>
            <w:rStyle w:val="Hyperlink"/>
            <w:rFonts w:eastAsiaTheme="majorEastAsia"/>
            <w:sz w:val="20"/>
          </w:rPr>
          <w:t>https://likumi.lv/ta/id/270231-grozijumi-likuma-par-maternitates-un-slimibas-apdrosinasanu-</w:t>
        </w:r>
      </w:hyperlink>
      <w:r w:rsidRPr="00903901">
        <w:t xml:space="preserve"> (sk.07.11.2018.). </w:t>
      </w:r>
      <w:r w:rsidRPr="00903901">
        <w:rPr>
          <w:spacing w:val="6"/>
        </w:rPr>
        <w:t xml:space="preserve">23.10.2014. grozījumi likumā „Par obligāto sociālo apdrošināšanu pret nelaimes gadījumiem darbā un arodslimībām” (4.panta sestā daļa). </w:t>
      </w:r>
      <w:r w:rsidRPr="00903901">
        <w:t xml:space="preserve">Pieejami: </w:t>
      </w:r>
      <w:hyperlink r:id="rId60" w:history="1">
        <w:r w:rsidRPr="00903901">
          <w:rPr>
            <w:rStyle w:val="Hyperlink"/>
            <w:rFonts w:eastAsiaTheme="majorEastAsia"/>
            <w:sz w:val="20"/>
          </w:rPr>
          <w:t>https://likumi.lv/ta/id/270225-grozijumi-likuma-par-obligato-socialo-apdrosinasanu-pret-nelaimes-gadijumiem-darba-un-arodslimibam-</w:t>
        </w:r>
      </w:hyperlink>
      <w:r w:rsidRPr="00903901">
        <w:t xml:space="preserve"> (sk. 07.12.2018.)</w:t>
      </w:r>
    </w:p>
  </w:footnote>
  <w:footnote w:id="85">
    <w:p w:rsidR="00224B50" w:rsidRPr="00903901" w:rsidRDefault="00224B50" w:rsidP="00903901">
      <w:pPr>
        <w:pStyle w:val="FootnoteText"/>
        <w:spacing w:line="240" w:lineRule="auto"/>
      </w:pPr>
      <w:r w:rsidRPr="00903901">
        <w:rPr>
          <w:rStyle w:val="FootnoteReference"/>
          <w:rFonts w:eastAsiaTheme="majorEastAsia"/>
        </w:rPr>
        <w:footnoteRef/>
      </w:r>
      <w:r w:rsidRPr="00903901">
        <w:t xml:space="preserve"> 30.11.2015. Grozījumi likumā „Par iedzīvotāju ienākuma nodokli”. Pieejams: </w:t>
      </w:r>
      <w:hyperlink r:id="rId61" w:history="1">
        <w:r w:rsidRPr="00903901">
          <w:rPr>
            <w:rStyle w:val="Hyperlink"/>
            <w:rFonts w:eastAsiaTheme="majorEastAsia"/>
            <w:sz w:val="20"/>
          </w:rPr>
          <w:t>https://likumi.lv/ta/id/278633-grozijumi-likuma-par-iedzivotaju-ienakuma-nodokli</w:t>
        </w:r>
      </w:hyperlink>
      <w:r w:rsidRPr="00903901">
        <w:t xml:space="preserve"> (sk. 01.03.2019.)</w:t>
      </w:r>
    </w:p>
  </w:footnote>
  <w:footnote w:id="86">
    <w:p w:rsidR="00224B50" w:rsidRPr="00903901" w:rsidRDefault="00224B50" w:rsidP="00903901">
      <w:pPr>
        <w:pStyle w:val="FootnoteText"/>
        <w:spacing w:line="240" w:lineRule="auto"/>
      </w:pPr>
      <w:r w:rsidRPr="00903901">
        <w:rPr>
          <w:rStyle w:val="FootnoteReference"/>
        </w:rPr>
        <w:footnoteRef/>
      </w:r>
      <w:r w:rsidRPr="00903901">
        <w:t xml:space="preserve"> Pluta A. &amp; A.Zasova (2018). „Distributional effects of recent benefit and tax reforms in Latvia.” SSE Riga/ BICEPS Occasional papers No.11. Pieejams: </w:t>
      </w:r>
      <w:hyperlink r:id="rId62" w:history="1">
        <w:r w:rsidRPr="00903901">
          <w:rPr>
            <w:rStyle w:val="Hyperlink"/>
            <w:sz w:val="20"/>
          </w:rPr>
          <w:t>http://www.biceps.org/assets/docs/neregulara-rakstura/OccasionalPaperNo11</w:t>
        </w:r>
      </w:hyperlink>
      <w:r w:rsidRPr="00903901">
        <w:t xml:space="preserve"> (sk. 10.04.2019.)</w:t>
      </w:r>
    </w:p>
  </w:footnote>
  <w:footnote w:id="87">
    <w:p w:rsidR="00224B50" w:rsidRPr="00AF5085" w:rsidRDefault="00224B50" w:rsidP="00903901">
      <w:pPr>
        <w:pStyle w:val="FootnoteText"/>
        <w:spacing w:line="240" w:lineRule="auto"/>
      </w:pPr>
      <w:r w:rsidRPr="00AF5085">
        <w:rPr>
          <w:rStyle w:val="FootnoteReference"/>
          <w:rFonts w:eastAsiaTheme="majorEastAsia"/>
        </w:rPr>
        <w:footnoteRef/>
      </w:r>
      <w:r w:rsidRPr="00AF5085">
        <w:t xml:space="preserve"> </w:t>
      </w:r>
      <w:r w:rsidRPr="00AF5085">
        <w:rPr>
          <w:color w:val="1F1F1F"/>
        </w:rPr>
        <w:t>29.10.2013. MK noteikumi Nr.1210 „Noteikumi par mēneša neapliekamā minimuma un nodokļa atvieglojuma apmēru iedzīvotāju ienākuma nodokļa aprēķināšanai”(zaudē spēku 07.01.2016.); 05.01.2016. MK noteikumi Nr.1 „Noteikumi par neapliekamā minimuma un nodokļa atvieglojuma apmēru iedzīvotāju ienākuma nodokļa aprēķināšanai” (stājas spēkā 07.01.2016, zaudē spēku 01.01.2018.)</w:t>
      </w:r>
    </w:p>
  </w:footnote>
  <w:footnote w:id="88">
    <w:p w:rsidR="00224B50" w:rsidRDefault="00224B50" w:rsidP="00903901">
      <w:pPr>
        <w:pStyle w:val="FootnoteText"/>
      </w:pPr>
      <w:r>
        <w:rPr>
          <w:rStyle w:val="FootnoteReference"/>
        </w:rPr>
        <w:footnoteRef/>
      </w:r>
      <w:r>
        <w:t xml:space="preserve"> LU Biznesa, vadības un ekonomikas fakultāte, LR tiesībsargs (2019). Nodokļu reforma neapliekamā minimuma, atvieglojumu un attaisnoto izdevumu piemērošanas problēmu, efektivitātes un risinājumu izvērtējumā. Pētījums. 2.sējums, 74.lpp.</w:t>
      </w:r>
    </w:p>
  </w:footnote>
  <w:footnote w:id="89">
    <w:p w:rsidR="00224B50" w:rsidRPr="00903901" w:rsidRDefault="00224B50" w:rsidP="00903901">
      <w:pPr>
        <w:pStyle w:val="FootnoteText"/>
        <w:spacing w:line="240" w:lineRule="auto"/>
      </w:pPr>
      <w:r w:rsidRPr="00903901">
        <w:rPr>
          <w:rStyle w:val="FootnoteReference"/>
          <w:rFonts w:eastAsiaTheme="majorEastAsia"/>
        </w:rPr>
        <w:footnoteRef/>
      </w:r>
      <w:r w:rsidRPr="00903901">
        <w:t xml:space="preserve"> 30.04.2015. Grozījumi likumā „Par iedzīvotāju ienākuma nodokli”. Pieejams: </w:t>
      </w:r>
      <w:hyperlink r:id="rId63" w:history="1">
        <w:r w:rsidRPr="00903901">
          <w:rPr>
            <w:rStyle w:val="Hyperlink"/>
            <w:rFonts w:eastAsiaTheme="majorEastAsia"/>
            <w:sz w:val="20"/>
          </w:rPr>
          <w:t>https://likumi.lv/ta/id/274117-grozijumi-likuma-par-iedzivotaju-ienakuma-nodokli-</w:t>
        </w:r>
      </w:hyperlink>
      <w:r w:rsidRPr="00903901">
        <w:t xml:space="preserve"> (sk. 08.03.2019.)</w:t>
      </w:r>
    </w:p>
  </w:footnote>
  <w:footnote w:id="90">
    <w:p w:rsidR="00224B50" w:rsidRPr="00903901" w:rsidRDefault="00224B50" w:rsidP="00903901">
      <w:pPr>
        <w:pStyle w:val="FootnoteText"/>
      </w:pPr>
      <w:r w:rsidRPr="00903901">
        <w:rPr>
          <w:rStyle w:val="FootnoteReference"/>
        </w:rPr>
        <w:footnoteRef/>
      </w:r>
      <w:r w:rsidRPr="00903901">
        <w:t xml:space="preserve"> CSP, MBG010. Mājsaimniecību patēriņa izdevumu struktūra (%). </w:t>
      </w:r>
    </w:p>
  </w:footnote>
  <w:footnote w:id="91">
    <w:p w:rsidR="00224B50" w:rsidRPr="00903901" w:rsidRDefault="00224B50" w:rsidP="00903901">
      <w:pPr>
        <w:pStyle w:val="NormalWeb"/>
        <w:spacing w:line="240" w:lineRule="auto"/>
        <w:rPr>
          <w:sz w:val="20"/>
          <w:szCs w:val="20"/>
        </w:rPr>
      </w:pPr>
      <w:r w:rsidRPr="00903901">
        <w:rPr>
          <w:rStyle w:val="FootnoteReference"/>
          <w:sz w:val="20"/>
          <w:szCs w:val="20"/>
        </w:rPr>
        <w:footnoteRef/>
      </w:r>
      <w:r w:rsidRPr="00903901">
        <w:rPr>
          <w:sz w:val="20"/>
          <w:szCs w:val="20"/>
        </w:rPr>
        <w:t xml:space="preserve"> </w:t>
      </w:r>
      <w:r w:rsidRPr="00903901">
        <w:rPr>
          <w:color w:val="1F1F1F"/>
          <w:sz w:val="20"/>
          <w:szCs w:val="20"/>
        </w:rPr>
        <w:t>11.05.1993. likuma „Par iedzīvotāju ienākuma nodokli”  15.panta</w:t>
      </w:r>
      <w:r w:rsidRPr="00903901">
        <w:rPr>
          <w:rStyle w:val="apple-converted-space"/>
          <w:color w:val="1F1F1F"/>
          <w:sz w:val="20"/>
          <w:szCs w:val="20"/>
        </w:rPr>
        <w:t> </w:t>
      </w:r>
      <w:r w:rsidRPr="00903901">
        <w:rPr>
          <w:color w:val="1F1F1F"/>
          <w:sz w:val="20"/>
          <w:szCs w:val="20"/>
        </w:rPr>
        <w:t>piektā daļa (ar 19.03.2013. grozījumiem, kas stājas spēkā 01.01.2014.)</w:t>
      </w:r>
    </w:p>
  </w:footnote>
  <w:footnote w:id="92">
    <w:p w:rsidR="00224B50" w:rsidRPr="00903901" w:rsidRDefault="00224B50" w:rsidP="00903901">
      <w:pPr>
        <w:pStyle w:val="FootnoteText"/>
        <w:spacing w:line="240" w:lineRule="auto"/>
        <w:rPr>
          <w:rFonts w:ascii="Roboto" w:hAnsi="Roboto"/>
        </w:rPr>
      </w:pPr>
      <w:r w:rsidRPr="00903901">
        <w:rPr>
          <w:rStyle w:val="FootnoteReference"/>
          <w:rFonts w:eastAsiaTheme="majorEastAsia"/>
        </w:rPr>
        <w:footnoteRef/>
      </w:r>
      <w:r w:rsidRPr="00903901">
        <w:t xml:space="preserve"> 21.05.2015. Grozījumi </w:t>
      </w:r>
      <w:r w:rsidRPr="00903901">
        <w:rPr>
          <w:rFonts w:ascii="Roboto" w:hAnsi="Roboto"/>
        </w:rPr>
        <w:t xml:space="preserve">Transportlīdzekļa ekspluatācijas nodokļa un uzņēmumu vieglo transportlīdzekļu nodokļa likumā. Pieejams: </w:t>
      </w:r>
      <w:hyperlink r:id="rId64" w:history="1">
        <w:r w:rsidRPr="00903901">
          <w:rPr>
            <w:rStyle w:val="Hyperlink"/>
            <w:rFonts w:ascii="Roboto" w:eastAsiaTheme="majorEastAsia" w:hAnsi="Roboto"/>
            <w:sz w:val="20"/>
          </w:rPr>
          <w:t>https://likumi.lv/ta/id/274418-grozijumi-transportlidzekla-ekspluatacijas-nodokla-un-uznemumu-vieglo-transportlidzeklu-nodokla-likuma</w:t>
        </w:r>
      </w:hyperlink>
      <w:r w:rsidRPr="00903901">
        <w:rPr>
          <w:rFonts w:ascii="Roboto" w:hAnsi="Roboto"/>
        </w:rPr>
        <w:t xml:space="preserve">  (sk. 28.02.2019.)</w:t>
      </w:r>
    </w:p>
  </w:footnote>
  <w:footnote w:id="93">
    <w:p w:rsidR="00224B50" w:rsidRPr="00903901" w:rsidRDefault="00224B50" w:rsidP="00903901">
      <w:pPr>
        <w:pStyle w:val="FootnoteText"/>
      </w:pPr>
      <w:r w:rsidRPr="00903901">
        <w:rPr>
          <w:rStyle w:val="FootnoteReference"/>
          <w:rFonts w:eastAsiaTheme="majorEastAsia"/>
        </w:rPr>
        <w:footnoteRef/>
      </w:r>
      <w:r w:rsidRPr="00903901">
        <w:t xml:space="preserve"> Pieejami: </w:t>
      </w:r>
      <w:hyperlink r:id="rId65" w:history="1">
        <w:r w:rsidRPr="00903901">
          <w:rPr>
            <w:rStyle w:val="Hyperlink"/>
            <w:rFonts w:eastAsiaTheme="majorEastAsia"/>
            <w:sz w:val="20"/>
          </w:rPr>
          <w:t>https://likumi.lv/ta/id/278635-grozijumi-likuma-par-nekustama-ipasuma-nodokli</w:t>
        </w:r>
      </w:hyperlink>
      <w:r w:rsidRPr="00903901">
        <w:t xml:space="preserve"> (sk. 01.03.2019.)</w:t>
      </w:r>
    </w:p>
  </w:footnote>
  <w:footnote w:id="94">
    <w:p w:rsidR="00224B50" w:rsidRPr="00AF5085" w:rsidRDefault="00224B50" w:rsidP="00255CC4">
      <w:pPr>
        <w:pStyle w:val="FootnoteText"/>
        <w:spacing w:line="240" w:lineRule="auto"/>
        <w:jc w:val="both"/>
      </w:pPr>
      <w:r w:rsidRPr="00AF5085">
        <w:rPr>
          <w:rStyle w:val="FootnoteReference"/>
          <w:rFonts w:eastAsiaTheme="majorEastAsia"/>
        </w:rPr>
        <w:footnoteRef/>
      </w:r>
      <w:r w:rsidRPr="00AF5085">
        <w:t xml:space="preserve"> CSP, </w:t>
      </w:r>
      <w:r>
        <w:t xml:space="preserve">Terminu skaidrojums, </w:t>
      </w:r>
      <w:r w:rsidRPr="00AF5085">
        <w:t>“S80/S20 kvintiļu attiecības indekss”.</w:t>
      </w:r>
    </w:p>
  </w:footnote>
  <w:footnote w:id="95">
    <w:p w:rsidR="00224B50" w:rsidRPr="008674B5" w:rsidRDefault="00224B50" w:rsidP="00255CC4">
      <w:pPr>
        <w:pStyle w:val="FootnoteText"/>
        <w:spacing w:line="240" w:lineRule="auto"/>
        <w:jc w:val="both"/>
      </w:pPr>
      <w:r w:rsidRPr="008674B5">
        <w:rPr>
          <w:rStyle w:val="FootnoteReference"/>
          <w:rFonts w:eastAsiaTheme="majorEastAsia"/>
        </w:rPr>
        <w:footnoteRef/>
      </w:r>
      <w:r w:rsidRPr="008674B5">
        <w:t xml:space="preserve"> CSP, </w:t>
      </w:r>
      <w:r>
        <w:t xml:space="preserve">Terminu skaidrojums, </w:t>
      </w:r>
      <w:r w:rsidRPr="008674B5">
        <w:t>“Džini koeficients”.</w:t>
      </w:r>
    </w:p>
  </w:footnote>
  <w:footnote w:id="96">
    <w:p w:rsidR="00224B50" w:rsidRPr="003C77DA" w:rsidRDefault="00224B50" w:rsidP="00255CC4">
      <w:pPr>
        <w:pStyle w:val="FootnoteText"/>
        <w:spacing w:line="240" w:lineRule="auto"/>
        <w:jc w:val="both"/>
        <w:rPr>
          <w:rStyle w:val="FootnoteReference"/>
          <w:rFonts w:eastAsiaTheme="majorEastAsia"/>
        </w:rPr>
      </w:pPr>
      <w:r w:rsidRPr="00DC37B0">
        <w:rPr>
          <w:rStyle w:val="FootnoteReference"/>
          <w:rFonts w:eastAsiaTheme="majorEastAsia"/>
        </w:rPr>
        <w:footnoteRef/>
      </w:r>
      <w:r w:rsidRPr="00DC37B0">
        <w:rPr>
          <w:rStyle w:val="FootnoteReference"/>
          <w:rFonts w:eastAsiaTheme="majorEastAsia"/>
        </w:rPr>
        <w:t xml:space="preserve"> </w:t>
      </w:r>
      <w:r w:rsidRPr="00EB54AA">
        <w:rPr>
          <w:rStyle w:val="FootnoteReference"/>
          <w:rFonts w:eastAsiaTheme="majorEastAsia"/>
          <w:vertAlign w:val="baseline"/>
        </w:rPr>
        <w:t>Eurostat (2018). Gini coefficient of equivalised disposable income - EU-SILC survey [ilc_di12]. Last update: 15-03-</w:t>
      </w:r>
      <w:r w:rsidRPr="003C77DA">
        <w:rPr>
          <w:rStyle w:val="FootnoteReference"/>
          <w:rFonts w:eastAsiaTheme="majorEastAsia"/>
          <w:vertAlign w:val="baseline"/>
        </w:rPr>
        <w:t>2019</w:t>
      </w:r>
      <w:r w:rsidRPr="003C77DA">
        <w:rPr>
          <w:rFonts w:eastAsiaTheme="majorEastAsia"/>
        </w:rPr>
        <w:t xml:space="preserve">. Pieejams: </w:t>
      </w:r>
      <w:hyperlink r:id="rId66" w:history="1">
        <w:r w:rsidRPr="003C77DA">
          <w:rPr>
            <w:rStyle w:val="Hyperlink"/>
            <w:rFonts w:eastAsiaTheme="majorEastAsia"/>
            <w:sz w:val="20"/>
          </w:rPr>
          <w:t>http://appsso.Eurostat.ec.EURpa.eu/nui/show.do?dataset=ilc_di12</w:t>
        </w:r>
      </w:hyperlink>
      <w:r w:rsidRPr="003C77DA">
        <w:t xml:space="preserve"> (sk. 12.04.2019.)</w:t>
      </w:r>
    </w:p>
    <w:p w:rsidR="00224B50" w:rsidRPr="00DC37B0" w:rsidRDefault="00224B50" w:rsidP="00255CC4">
      <w:pPr>
        <w:pStyle w:val="FootnoteText"/>
        <w:jc w:val="both"/>
        <w:rPr>
          <w:rStyle w:val="FootnoteReference"/>
          <w:rFonts w:eastAsiaTheme="majorEastAsia"/>
        </w:rPr>
      </w:pPr>
    </w:p>
  </w:footnote>
  <w:footnote w:id="97">
    <w:p w:rsidR="00224B50" w:rsidRDefault="00224B50" w:rsidP="00255CC4">
      <w:pPr>
        <w:pStyle w:val="FootnoteText"/>
        <w:spacing w:line="240" w:lineRule="auto"/>
        <w:jc w:val="both"/>
      </w:pPr>
      <w:r>
        <w:rPr>
          <w:rStyle w:val="FootnoteReference"/>
          <w:rFonts w:eastAsiaTheme="majorEastAsia"/>
        </w:rPr>
        <w:footnoteRef/>
      </w:r>
      <w:r>
        <w:t xml:space="preserve"> CSP, Terminu skaidrojums, “</w:t>
      </w:r>
      <w:r w:rsidRPr="006E12DC">
        <w:t>Mājsaimniecību rīcībā esošie ienākumi (EU-SILC apsekojums)</w:t>
      </w:r>
      <w:r>
        <w:t>”.</w:t>
      </w:r>
    </w:p>
  </w:footnote>
  <w:footnote w:id="98">
    <w:p w:rsidR="00224B50" w:rsidRDefault="00224B50" w:rsidP="00255CC4">
      <w:pPr>
        <w:pStyle w:val="FootnoteText"/>
        <w:spacing w:line="240" w:lineRule="auto"/>
        <w:jc w:val="both"/>
      </w:pPr>
      <w:r>
        <w:rPr>
          <w:rStyle w:val="FootnoteReference"/>
          <w:rFonts w:eastAsiaTheme="majorEastAsia"/>
        </w:rPr>
        <w:footnoteRef/>
      </w:r>
      <w:r>
        <w:t xml:space="preserve"> CSP, “</w:t>
      </w:r>
      <w:r w:rsidRPr="006E12DC">
        <w:t>Ekvivalentie rīcībā esošie ienākumi</w:t>
      </w:r>
      <w:r>
        <w:t>”.</w:t>
      </w:r>
    </w:p>
  </w:footnote>
  <w:footnote w:id="99">
    <w:p w:rsidR="00224B50" w:rsidRDefault="00224B50" w:rsidP="00255CC4">
      <w:pPr>
        <w:pStyle w:val="FootnoteText"/>
        <w:spacing w:line="240" w:lineRule="auto"/>
        <w:jc w:val="both"/>
      </w:pPr>
      <w:r>
        <w:rPr>
          <w:rStyle w:val="FootnoteReference"/>
        </w:rPr>
        <w:footnoteRef/>
      </w:r>
      <w:r>
        <w:t xml:space="preserve"> </w:t>
      </w:r>
      <w:r w:rsidRPr="002E463A">
        <w:t>M</w:t>
      </w:r>
      <w:r w:rsidRPr="002E463A">
        <w:rPr>
          <w:rFonts w:ascii="Open Sans" w:hAnsi="Open Sans"/>
          <w:color w:val="000000"/>
          <w:shd w:val="clear" w:color="auto" w:fill="FFFFFF"/>
        </w:rPr>
        <w:t>inimālā ienākuma līmeni nosaka 40 % apmērā no mājsaimniecību rīcībā esošo ienākumu mediānas vienam ekvivalentajam patērētājam, piemērojot ekvivalences skalā pirmajai vai vienīgajai personai mājsaimniecībā vērtību "1" un pārējām personām – "0.7"</w:t>
      </w:r>
      <w:r>
        <w:rPr>
          <w:rFonts w:ascii="Open Sans" w:hAnsi="Open Sans"/>
          <w:color w:val="000000"/>
          <w:shd w:val="clear" w:color="auto" w:fill="FFFFFF"/>
        </w:rPr>
        <w:t xml:space="preserve">, CSP. </w:t>
      </w:r>
    </w:p>
  </w:footnote>
  <w:footnote w:id="100">
    <w:p w:rsidR="00224B50" w:rsidRDefault="00224B50" w:rsidP="00255CC4">
      <w:pPr>
        <w:pStyle w:val="FootnoteText"/>
      </w:pPr>
      <w:r>
        <w:rPr>
          <w:rStyle w:val="FootnoteReference"/>
        </w:rPr>
        <w:footnoteRef/>
      </w:r>
      <w:r>
        <w:t xml:space="preserve"> CSP, “</w:t>
      </w:r>
      <w:r w:rsidRPr="005646EE">
        <w:t>MIG020. Personu īpatsvars zem minimālā ienākuma līmeņa Latvijas statiskajos reģionos (%)”</w:t>
      </w:r>
    </w:p>
  </w:footnote>
  <w:footnote w:id="101">
    <w:p w:rsidR="00224B50" w:rsidRPr="00446171" w:rsidRDefault="00224B50" w:rsidP="00373D88">
      <w:pPr>
        <w:pStyle w:val="FootnoteText"/>
        <w:spacing w:line="240" w:lineRule="auto"/>
      </w:pPr>
      <w:r w:rsidRPr="00446171">
        <w:rPr>
          <w:rStyle w:val="FootnoteReference"/>
        </w:rPr>
        <w:footnoteRef/>
      </w:r>
      <w:r w:rsidRPr="00446171">
        <w:t xml:space="preserve"> LU Biznesa, vadības un ekonomikas fakultāte, LR tiesībsargs (2019). Nodokļu reforma neapliekamā minimuma, atvieglojumu un attaisnoto izdevumu piemērošanas problēmu, efektivitātes un risinājumu izvērtējumā. Pētījums. 2.sējums, 70.lpp. Pieejams: </w:t>
      </w:r>
      <w:hyperlink r:id="rId67" w:history="1">
        <w:r w:rsidRPr="00446171">
          <w:rPr>
            <w:rStyle w:val="Hyperlink"/>
            <w:sz w:val="20"/>
          </w:rPr>
          <w:t>http://www.tiesibsargs.lv/uploads/content/2_sejums_1551263667.pdf</w:t>
        </w:r>
      </w:hyperlink>
      <w:r w:rsidRPr="00446171">
        <w:t xml:space="preserve"> (sk. 12.04.2019.)</w:t>
      </w:r>
    </w:p>
  </w:footnote>
  <w:footnote w:id="102">
    <w:p w:rsidR="00224B50" w:rsidRPr="00446171" w:rsidRDefault="00224B50" w:rsidP="00373D88">
      <w:pPr>
        <w:pStyle w:val="FootnoteText"/>
        <w:spacing w:line="240" w:lineRule="auto"/>
      </w:pPr>
      <w:r w:rsidRPr="00446171">
        <w:rPr>
          <w:rStyle w:val="FootnoteReference"/>
        </w:rPr>
        <w:footnoteRef/>
      </w:r>
      <w:r w:rsidRPr="00446171">
        <w:t xml:space="preserve"> CSP, “IIG070. Mājsaimniecību rīcībā esošo ienākumu sastāvs un struktūra Latvijas statistiskajos reģionos vidēji uz vienu mājsaimniecības locekli mēnesī”</w:t>
      </w:r>
    </w:p>
  </w:footnote>
  <w:footnote w:id="103">
    <w:p w:rsidR="00224B50" w:rsidRDefault="00224B50" w:rsidP="00255CC4">
      <w:pPr>
        <w:pStyle w:val="FootnoteText"/>
        <w:spacing w:line="240" w:lineRule="auto"/>
      </w:pPr>
      <w:r>
        <w:rPr>
          <w:rStyle w:val="FootnoteReference"/>
          <w:rFonts w:eastAsiaTheme="majorEastAsia"/>
        </w:rPr>
        <w:footnoteRef/>
      </w:r>
      <w:r>
        <w:t xml:space="preserve"> CSP, Terminu skaidrojums, “Nabadzības riska slieksnis”.</w:t>
      </w:r>
    </w:p>
  </w:footnote>
  <w:footnote w:id="104">
    <w:p w:rsidR="00224B50" w:rsidRPr="00764037" w:rsidRDefault="00224B50" w:rsidP="00931F0D">
      <w:pPr>
        <w:spacing w:line="240" w:lineRule="auto"/>
        <w:rPr>
          <w:sz w:val="20"/>
          <w:szCs w:val="20"/>
        </w:rPr>
      </w:pPr>
      <w:r>
        <w:rPr>
          <w:rStyle w:val="FootnoteReference"/>
        </w:rPr>
        <w:footnoteRef/>
      </w:r>
      <w:r>
        <w:t xml:space="preserve"> </w:t>
      </w:r>
      <w:r w:rsidRPr="007F0264">
        <w:rPr>
          <w:sz w:val="20"/>
          <w:szCs w:val="20"/>
        </w:rPr>
        <w:t xml:space="preserve">Avots: CSP, </w:t>
      </w:r>
      <w:r>
        <w:rPr>
          <w:sz w:val="20"/>
          <w:szCs w:val="20"/>
        </w:rPr>
        <w:t>“</w:t>
      </w:r>
      <w:r w:rsidRPr="007F0264">
        <w:rPr>
          <w:sz w:val="20"/>
          <w:szCs w:val="20"/>
        </w:rPr>
        <w:t>MVG070. Mājsaimniecību sad</w:t>
      </w:r>
      <w:r>
        <w:rPr>
          <w:sz w:val="20"/>
          <w:szCs w:val="20"/>
        </w:rPr>
        <w:t>alījums pēc kvintiļu grupām (%)”.</w:t>
      </w:r>
    </w:p>
  </w:footnote>
  <w:footnote w:id="105">
    <w:p w:rsidR="00224B50" w:rsidRDefault="00224B50" w:rsidP="00255CC4">
      <w:pPr>
        <w:pStyle w:val="FootnoteText"/>
        <w:jc w:val="both"/>
      </w:pPr>
      <w:r>
        <w:rPr>
          <w:rStyle w:val="FootnoteReference"/>
          <w:rFonts w:eastAsiaTheme="majorEastAsia"/>
        </w:rPr>
        <w:footnoteRef/>
      </w:r>
      <w:r>
        <w:t xml:space="preserve"> CSP, Terminu skaidrojums, “</w:t>
      </w:r>
      <w:r w:rsidRPr="00223D67">
        <w:t>Nabadzības riska indekss</w:t>
      </w:r>
      <w:r>
        <w:t>”.</w:t>
      </w:r>
    </w:p>
  </w:footnote>
  <w:footnote w:id="106">
    <w:p w:rsidR="00224B50" w:rsidRDefault="00224B50" w:rsidP="008C60A0">
      <w:pPr>
        <w:pStyle w:val="FootnoteText"/>
      </w:pPr>
      <w:r w:rsidRPr="00931F0D">
        <w:rPr>
          <w:rStyle w:val="FootnoteReference"/>
        </w:rPr>
        <w:footnoteRef/>
      </w:r>
      <w:r w:rsidRPr="00931F0D">
        <w:t xml:space="preserve"> Niklass, M. (2018). </w:t>
      </w:r>
      <w:r w:rsidRPr="00931F0D">
        <w:rPr>
          <w:i/>
        </w:rPr>
        <w:t>Strādājošo nabadzība Latvijā</w:t>
      </w:r>
      <w:r>
        <w:t xml:space="preserve"> </w:t>
      </w:r>
      <w:r w:rsidRPr="007C1452">
        <w:t>Sustinno projekta ietvaros</w:t>
      </w:r>
      <w:r w:rsidRPr="00931F0D">
        <w:t xml:space="preserve"> 7.lpp. (nepublicēts raksts, izmantots ar autora atļauju)</w:t>
      </w:r>
    </w:p>
  </w:footnote>
  <w:footnote w:id="107">
    <w:p w:rsidR="00224B50" w:rsidRDefault="00224B50" w:rsidP="008C60A0">
      <w:pPr>
        <w:pStyle w:val="FootnoteText"/>
      </w:pPr>
      <w:r>
        <w:rPr>
          <w:rStyle w:val="FootnoteReference"/>
        </w:rPr>
        <w:footnoteRef/>
      </w:r>
      <w:r>
        <w:t xml:space="preserve"> Turpat, 8.-14.lpp.</w:t>
      </w:r>
    </w:p>
  </w:footnote>
  <w:footnote w:id="108">
    <w:p w:rsidR="00224B50" w:rsidRDefault="00224B50" w:rsidP="00255CC4">
      <w:pPr>
        <w:pStyle w:val="FootnoteText"/>
      </w:pPr>
      <w:r>
        <w:rPr>
          <w:rStyle w:val="FootnoteReference"/>
        </w:rPr>
        <w:footnoteRef/>
      </w:r>
      <w:r>
        <w:t xml:space="preserve"> CSP (2016), </w:t>
      </w:r>
      <w:r w:rsidRPr="004B13DF">
        <w:t>MBG130. Patēriņa izdevumu sastāvs un struktūra pēc galvenā pelnītāja kvalifikācijas vidēji uz vienu mājsaimniecības locekli mēnesī (</w:t>
      </w:r>
      <w:r>
        <w:t>EUR</w:t>
      </w:r>
      <w:r w:rsidRPr="004B13DF">
        <w:t>; %)</w:t>
      </w:r>
    </w:p>
  </w:footnote>
  <w:footnote w:id="109">
    <w:p w:rsidR="00224B50" w:rsidRPr="003F2EFA" w:rsidRDefault="00224B50" w:rsidP="00931F0D">
      <w:pPr>
        <w:spacing w:line="240" w:lineRule="auto"/>
        <w:rPr>
          <w:sz w:val="20"/>
          <w:szCs w:val="20"/>
        </w:rPr>
      </w:pPr>
      <w:r>
        <w:rPr>
          <w:rStyle w:val="FootnoteReference"/>
        </w:rPr>
        <w:footnoteRef/>
      </w:r>
      <w:r>
        <w:t xml:space="preserve"> </w:t>
      </w:r>
      <w:r w:rsidRPr="00931F0D">
        <w:rPr>
          <w:sz w:val="20"/>
          <w:szCs w:val="20"/>
        </w:rPr>
        <w:t xml:space="preserve">Niklass, M. (2018). </w:t>
      </w:r>
      <w:r w:rsidRPr="007C1452">
        <w:rPr>
          <w:i/>
          <w:sz w:val="20"/>
          <w:szCs w:val="20"/>
        </w:rPr>
        <w:t xml:space="preserve">Strādājošo nabadzība Latvijā </w:t>
      </w:r>
      <w:r w:rsidRPr="007C1452">
        <w:rPr>
          <w:sz w:val="20"/>
          <w:szCs w:val="20"/>
        </w:rPr>
        <w:t>Sustinno projekta ietvaros</w:t>
      </w:r>
      <w:r w:rsidRPr="00931F0D">
        <w:rPr>
          <w:sz w:val="20"/>
          <w:szCs w:val="20"/>
        </w:rPr>
        <w:t xml:space="preserve">, 14.-22. lpp. (nepublicēts raksts, izmantots ar autora atļauju)  </w:t>
      </w:r>
    </w:p>
    <w:p w:rsidR="00224B50" w:rsidRDefault="00224B50" w:rsidP="00255CC4">
      <w:pPr>
        <w:pStyle w:val="FootnoteText"/>
      </w:pPr>
    </w:p>
  </w:footnote>
  <w:footnote w:id="110">
    <w:p w:rsidR="00224B50" w:rsidRDefault="00224B50">
      <w:pPr>
        <w:pStyle w:val="FootnoteText"/>
      </w:pPr>
      <w:r>
        <w:rPr>
          <w:rStyle w:val="FootnoteReference"/>
        </w:rPr>
        <w:footnoteRef/>
      </w:r>
      <w:r>
        <w:t xml:space="preserve"> </w:t>
      </w:r>
      <w:r w:rsidRPr="00A33088">
        <w:t>LM (07.10.2014.), Koncepcija „Par minimālā ienākuma līmeņa</w:t>
      </w:r>
      <w:r>
        <w:t xml:space="preserve"> noteikšanu” (informatīvā daļa), 15.lpp. </w:t>
      </w:r>
    </w:p>
  </w:footnote>
  <w:footnote w:id="111">
    <w:p w:rsidR="00224B50" w:rsidRPr="00685CD2" w:rsidRDefault="00224B50" w:rsidP="008C60A0">
      <w:pPr>
        <w:pStyle w:val="FootnoteText"/>
        <w:spacing w:line="240" w:lineRule="auto"/>
      </w:pPr>
      <w:r w:rsidRPr="00685CD2">
        <w:rPr>
          <w:rStyle w:val="FootnoteReference"/>
        </w:rPr>
        <w:footnoteRef/>
      </w:r>
      <w:r w:rsidRPr="00685CD2">
        <w:t xml:space="preserve"> 18.12.2012. MK noteikumi nr.913. „Noteikumi par garantēto minimālo ienākumu līmeni”. Pieejams: </w:t>
      </w:r>
      <w:hyperlink r:id="rId68" w:history="1">
        <w:r w:rsidRPr="00685CD2">
          <w:rPr>
            <w:rStyle w:val="Hyperlink"/>
            <w:sz w:val="20"/>
          </w:rPr>
          <w:t>https://likumi.lv/doc.php?id=253731</w:t>
        </w:r>
      </w:hyperlink>
      <w:r w:rsidRPr="00685CD2">
        <w:t xml:space="preserve"> (sk. 08.04.2019.)</w:t>
      </w:r>
    </w:p>
  </w:footnote>
  <w:footnote w:id="112">
    <w:p w:rsidR="00224B50" w:rsidRPr="00685CD2" w:rsidRDefault="00224B50" w:rsidP="008C60A0">
      <w:pPr>
        <w:pStyle w:val="FootnoteText"/>
        <w:spacing w:line="240" w:lineRule="auto"/>
      </w:pPr>
      <w:r w:rsidRPr="00685CD2">
        <w:rPr>
          <w:rStyle w:val="FootnoteReference"/>
        </w:rPr>
        <w:footnoteRef/>
      </w:r>
      <w:r w:rsidRPr="00685CD2">
        <w:t xml:space="preserve"> Avots: LM, </w:t>
      </w:r>
      <w:r w:rsidRPr="00685CD2">
        <w:rPr>
          <w:bCs/>
        </w:rPr>
        <w:t>Oficiālā statistika sociālo pakalpojumu un sociālās palīdzības jomā. Pabalsts garantētā minimālā ienākumu līmeņa nodrošināšanai</w:t>
      </w:r>
    </w:p>
  </w:footnote>
  <w:footnote w:id="113">
    <w:p w:rsidR="00224B50" w:rsidRPr="00620882" w:rsidRDefault="00224B50" w:rsidP="00620882">
      <w:pPr>
        <w:rPr>
          <w:sz w:val="20"/>
          <w:szCs w:val="20"/>
        </w:rPr>
      </w:pPr>
      <w:r w:rsidRPr="00620882">
        <w:rPr>
          <w:rStyle w:val="FootnoteReference"/>
          <w:sz w:val="20"/>
          <w:szCs w:val="20"/>
        </w:rPr>
        <w:footnoteRef/>
      </w:r>
      <w:r w:rsidRPr="00620882">
        <w:rPr>
          <w:sz w:val="20"/>
          <w:szCs w:val="20"/>
        </w:rPr>
        <w:t xml:space="preserve"> OECD (2019). Connecting People with Jobs. Evaluating Latvia’s Active Labour Market Policies. Paris: OECD, pp. 232 – 237.</w:t>
      </w:r>
    </w:p>
    <w:p w:rsidR="00224B50" w:rsidRDefault="00224B50">
      <w:pPr>
        <w:pStyle w:val="FootnoteText"/>
      </w:pPr>
    </w:p>
  </w:footnote>
  <w:footnote w:id="114">
    <w:p w:rsidR="00224B50" w:rsidRDefault="00224B50">
      <w:pPr>
        <w:pStyle w:val="FootnoteText"/>
      </w:pPr>
      <w:r>
        <w:rPr>
          <w:rStyle w:val="FootnoteReference"/>
        </w:rPr>
        <w:footnoteRef/>
      </w:r>
      <w:r>
        <w:t xml:space="preserve"> L</w:t>
      </w:r>
      <w:r w:rsidRPr="00A33088">
        <w:t>M (07.10.2014.), Koncepcija „Par minimālā ienākuma līmeņa</w:t>
      </w:r>
      <w:r>
        <w:t xml:space="preserve"> noteikšanu” (informatīvā daļa).</w:t>
      </w:r>
    </w:p>
  </w:footnote>
  <w:footnote w:id="115">
    <w:p w:rsidR="00224B50" w:rsidRDefault="00224B50">
      <w:pPr>
        <w:pStyle w:val="FootnoteText"/>
      </w:pPr>
      <w:r>
        <w:rPr>
          <w:rStyle w:val="FootnoteReference"/>
        </w:rPr>
        <w:footnoteRef/>
      </w:r>
      <w:r>
        <w:t xml:space="preserve"> </w:t>
      </w:r>
      <w:r w:rsidRPr="003D0FFA">
        <w:t xml:space="preserve">Pluta A. &amp; A.Zasova (2018). „Distributional effects of recent benefit and tax reforms in Latvia.” SSE Riga/ BICEPS Occasional papers No.11. Pieejams: </w:t>
      </w:r>
      <w:hyperlink r:id="rId69" w:history="1">
        <w:r w:rsidRPr="00D53A2B">
          <w:rPr>
            <w:rStyle w:val="Hyperlink"/>
            <w:sz w:val="20"/>
          </w:rPr>
          <w:t>http://www.biceps.org/assets/docs/neregulara-rakstura/OccasionalPaperNo11</w:t>
        </w:r>
      </w:hyperlink>
      <w:r>
        <w:t xml:space="preserve"> </w:t>
      </w:r>
      <w:r w:rsidRPr="003D0FFA">
        <w:t>(sk. 10.04.2019.)</w:t>
      </w:r>
    </w:p>
  </w:footnote>
  <w:footnote w:id="116">
    <w:p w:rsidR="00224B50" w:rsidRPr="008674B5" w:rsidRDefault="00224B50" w:rsidP="00F8585F">
      <w:pPr>
        <w:pStyle w:val="FootnoteText"/>
        <w:spacing w:line="240" w:lineRule="auto"/>
      </w:pPr>
      <w:r w:rsidRPr="008674B5">
        <w:rPr>
          <w:rStyle w:val="FootnoteReference"/>
          <w:rFonts w:eastAsiaTheme="majorEastAsia"/>
        </w:rPr>
        <w:footnoteRef/>
      </w:r>
      <w:r w:rsidRPr="008674B5">
        <w:t xml:space="preserve"> CSP, </w:t>
      </w:r>
      <w:r>
        <w:t xml:space="preserve">Terminu skaidrojums, </w:t>
      </w:r>
      <w:r w:rsidRPr="008674B5">
        <w:t>“Materiālās nenodrošinātības indekss”.</w:t>
      </w:r>
    </w:p>
  </w:footnote>
  <w:footnote w:id="117">
    <w:p w:rsidR="00224B50" w:rsidRDefault="00224B50" w:rsidP="00F8585F">
      <w:pPr>
        <w:pStyle w:val="FootnoteText"/>
        <w:spacing w:line="240" w:lineRule="auto"/>
      </w:pPr>
      <w:r>
        <w:rPr>
          <w:rStyle w:val="FootnoteReference"/>
        </w:rPr>
        <w:footnoteRef/>
      </w:r>
      <w:r>
        <w:t xml:space="preserve"> CSP, </w:t>
      </w:r>
      <w:r w:rsidRPr="00F8585F">
        <w:t>MNG130. Iedzīvotāju materiālās nenodrošinātības indekss (%)</w:t>
      </w:r>
    </w:p>
  </w:footnote>
  <w:footnote w:id="118">
    <w:p w:rsidR="00224B50" w:rsidRDefault="00224B50" w:rsidP="00E46E3C">
      <w:pPr>
        <w:pStyle w:val="FootnoteText"/>
        <w:spacing w:line="240" w:lineRule="auto"/>
      </w:pPr>
      <w:r>
        <w:rPr>
          <w:rStyle w:val="FootnoteReference"/>
        </w:rPr>
        <w:footnoteRef/>
      </w:r>
      <w:r>
        <w:t xml:space="preserve"> </w:t>
      </w:r>
      <w:r w:rsidRPr="00E0268C">
        <w:t xml:space="preserve">Niklass, M. (2018). </w:t>
      </w:r>
      <w:r w:rsidRPr="00931F0D">
        <w:rPr>
          <w:i/>
        </w:rPr>
        <w:t>Strādājošo nabadzība Latvijā</w:t>
      </w:r>
      <w:r>
        <w:t xml:space="preserve"> </w:t>
      </w:r>
      <w:r w:rsidRPr="007C1452">
        <w:t>Sustinno projekta ietvaros</w:t>
      </w:r>
      <w:r w:rsidRPr="00E0268C">
        <w:t xml:space="preserve">, </w:t>
      </w:r>
      <w:r>
        <w:t>14</w:t>
      </w:r>
      <w:r w:rsidRPr="00E0268C">
        <w:t>.</w:t>
      </w:r>
      <w:r>
        <w:t xml:space="preserve">-22. </w:t>
      </w:r>
      <w:r w:rsidRPr="00E0268C">
        <w:t>lpp. (nepublicēts raksts, izmantots ar autora atļauju)</w:t>
      </w:r>
    </w:p>
  </w:footnote>
  <w:footnote w:id="119">
    <w:p w:rsidR="00224B50" w:rsidRDefault="00224B50" w:rsidP="00E46E3C">
      <w:pPr>
        <w:pStyle w:val="FootnoteText"/>
        <w:spacing w:line="240" w:lineRule="auto"/>
      </w:pPr>
      <w:r>
        <w:rPr>
          <w:rStyle w:val="FootnoteReference"/>
        </w:rPr>
        <w:footnoteRef/>
      </w:r>
      <w:r>
        <w:t xml:space="preserve"> </w:t>
      </w:r>
      <w:r w:rsidRPr="001E4A83">
        <w:t>CSP, Terminu skaidrojums, “</w:t>
      </w:r>
      <w:r w:rsidRPr="00A62916">
        <w:rPr>
          <w:color w:val="000000"/>
          <w:lang w:eastAsia="en-US"/>
        </w:rPr>
        <w:t>Dziļa materiālā nenodrošinātība</w:t>
      </w:r>
      <w:r w:rsidRPr="001E4A83">
        <w:rPr>
          <w:color w:val="000000"/>
          <w:lang w:eastAsia="en-US"/>
        </w:rPr>
        <w:t>”</w:t>
      </w:r>
    </w:p>
  </w:footnote>
  <w:footnote w:id="120">
    <w:p w:rsidR="00224B50" w:rsidRPr="008674B5" w:rsidRDefault="00224B50" w:rsidP="00255CC4">
      <w:pPr>
        <w:pStyle w:val="FootnoteText"/>
      </w:pPr>
      <w:r w:rsidRPr="008674B5">
        <w:rPr>
          <w:rStyle w:val="FootnoteReference"/>
          <w:rFonts w:eastAsiaTheme="majorEastAsia"/>
        </w:rPr>
        <w:footnoteRef/>
      </w:r>
      <w:r w:rsidRPr="008674B5">
        <w:t xml:space="preserve"> CSP, </w:t>
      </w:r>
      <w:r>
        <w:t xml:space="preserve">Terminu skaidrojums, </w:t>
      </w:r>
      <w:r w:rsidRPr="008674B5">
        <w:t>“Ekonomiskā spriedze”.</w:t>
      </w:r>
    </w:p>
  </w:footnote>
  <w:footnote w:id="121">
    <w:p w:rsidR="00224B50" w:rsidRPr="00696446" w:rsidRDefault="00224B50" w:rsidP="00255CC4">
      <w:pPr>
        <w:pStyle w:val="FootnoteText"/>
        <w:spacing w:line="240" w:lineRule="auto"/>
      </w:pPr>
      <w:r>
        <w:rPr>
          <w:rStyle w:val="FootnoteReference"/>
        </w:rPr>
        <w:footnoteRef/>
      </w:r>
      <w:r>
        <w:t xml:space="preserve"> </w:t>
      </w:r>
      <w:r w:rsidRPr="00696446">
        <w:rPr>
          <w:color w:val="000000"/>
          <w:shd w:val="clear" w:color="auto" w:fill="FFFFFF"/>
        </w:rPr>
        <w:t xml:space="preserve">Personas, kuru ienākumi ir mazāki par nabadzības riska slieksni vai kuras ir dziļi materiāli nenodrošinātas, vai arī ir nodarbinātas darbā ar zemu intensitāti, CSP, Terminu skaidrojums. </w:t>
      </w:r>
    </w:p>
  </w:footnote>
  <w:footnote w:id="122">
    <w:p w:rsidR="00224B50" w:rsidRPr="00663CA9" w:rsidRDefault="00224B50" w:rsidP="004565D2">
      <w:pPr>
        <w:pStyle w:val="FootnoteText"/>
        <w:spacing w:line="240" w:lineRule="auto"/>
      </w:pPr>
      <w:r w:rsidRPr="00663CA9">
        <w:rPr>
          <w:rStyle w:val="FootnoteReference"/>
        </w:rPr>
        <w:footnoteRef/>
      </w:r>
      <w:r w:rsidRPr="00663CA9">
        <w:t xml:space="preserve"> Eurostat (bez datuma). European Union Statistics on Income and Living Conditions (EU-SILC). Pieejams: </w:t>
      </w:r>
      <w:hyperlink r:id="rId70" w:history="1">
        <w:r w:rsidRPr="00663CA9">
          <w:rPr>
            <w:rStyle w:val="Hyperlink"/>
            <w:rFonts w:eastAsiaTheme="majorEastAsia"/>
            <w:sz w:val="20"/>
          </w:rPr>
          <w:t>https://ec.europa.eu/eurostat/web/microdata/european-union-statistics-on-income-and-living-conditions</w:t>
        </w:r>
      </w:hyperlink>
      <w:r w:rsidRPr="00663CA9">
        <w:t xml:space="preserve"> (sk. 27.02.2019.)</w:t>
      </w:r>
    </w:p>
  </w:footnote>
  <w:footnote w:id="123">
    <w:p w:rsidR="00224B50" w:rsidRPr="00663CA9" w:rsidRDefault="00224B50" w:rsidP="004565D2">
      <w:pPr>
        <w:pStyle w:val="FootnoteText"/>
        <w:spacing w:line="240" w:lineRule="auto"/>
      </w:pPr>
      <w:r w:rsidRPr="00663CA9">
        <w:rPr>
          <w:rStyle w:val="FootnoteReference"/>
        </w:rPr>
        <w:footnoteRef/>
      </w:r>
      <w:r w:rsidRPr="00663CA9">
        <w:t xml:space="preserve"> SIA Jaunrades laboratorija (2017). „Nabadzības un sociālās atstumtības mazināšanas rīcībpolitiku ietekmes izvērtējums. Ziņojums”. Rīga, 52.lpp. </w:t>
      </w:r>
    </w:p>
  </w:footnote>
  <w:footnote w:id="124">
    <w:p w:rsidR="00224B50" w:rsidRDefault="00224B50" w:rsidP="004565D2">
      <w:pPr>
        <w:pStyle w:val="FootnoteText"/>
        <w:spacing w:line="240" w:lineRule="auto"/>
      </w:pPr>
      <w:r>
        <w:rPr>
          <w:rStyle w:val="FootnoteReference"/>
        </w:rPr>
        <w:footnoteRef/>
      </w:r>
      <w:r>
        <w:t xml:space="preserve"> </w:t>
      </w:r>
      <w:r>
        <w:rPr>
          <w:color w:val="0F243E"/>
        </w:rPr>
        <w:t xml:space="preserve">Niklass, M. (2018). </w:t>
      </w:r>
      <w:r>
        <w:rPr>
          <w:i/>
          <w:color w:val="0F243E"/>
        </w:rPr>
        <w:t>Strādājošo nabadzība Latvijā</w:t>
      </w:r>
      <w:r>
        <w:rPr>
          <w:color w:val="0F243E"/>
        </w:rPr>
        <w:t xml:space="preserve"> Sustinno projekta ietvaros. (nepublicēts raksts, izmantots ar autora atļauju)</w:t>
      </w:r>
    </w:p>
  </w:footnote>
  <w:footnote w:id="125">
    <w:p w:rsidR="00224B50" w:rsidRDefault="00224B50" w:rsidP="004565D2">
      <w:pPr>
        <w:pStyle w:val="FootnoteText"/>
        <w:spacing w:line="240" w:lineRule="auto"/>
      </w:pPr>
      <w:r>
        <w:rPr>
          <w:rStyle w:val="FootnoteReference"/>
        </w:rPr>
        <w:footnoteRef/>
      </w:r>
      <w:r>
        <w:t xml:space="preserve"> </w:t>
      </w:r>
      <w:r w:rsidRPr="001303CB">
        <w:t>OECD (2019). Connecting People with Jobs. Evaluating Latvia’s Active Labour Market Policies. Paris: OECD.</w:t>
      </w:r>
    </w:p>
  </w:footnote>
  <w:footnote w:id="126">
    <w:p w:rsidR="00224B50" w:rsidRDefault="00224B50" w:rsidP="003F469F">
      <w:pPr>
        <w:pStyle w:val="FootnoteText"/>
        <w:spacing w:line="240" w:lineRule="auto"/>
      </w:pPr>
      <w:r>
        <w:rPr>
          <w:rStyle w:val="FootnoteReference"/>
        </w:rPr>
        <w:footnoteRef/>
      </w:r>
      <w:r>
        <w:t xml:space="preserve"> 2016. gadā tika noteikts neaplikt ar IIN ienākumus bezdarbniekiem un darba meklētājiem no ESF darbības programmas "Cilvēkresursi un nodarbinātība" vai valsts budžeta līdzekļiem par aktīvajiem nodarbinātības pasākumiem izmaksātos ienākumus. </w:t>
      </w:r>
    </w:p>
  </w:footnote>
  <w:footnote w:id="127">
    <w:p w:rsidR="00224B50" w:rsidRPr="008674B5" w:rsidRDefault="00224B50" w:rsidP="00C85EB4">
      <w:pPr>
        <w:pStyle w:val="FootnoteText"/>
        <w:spacing w:line="240" w:lineRule="auto"/>
      </w:pPr>
      <w:r w:rsidRPr="008674B5">
        <w:rPr>
          <w:rStyle w:val="FootnoteReference"/>
        </w:rPr>
        <w:footnoteRef/>
      </w:r>
      <w:r w:rsidRPr="008674B5">
        <w:t xml:space="preserve"> Ivanovs, Andrejs (2016). Riska faktoru analīze saslimšanai ar tuberkulozi Latvijā. Promocijas darbs. Rīga: Rīgas Stradiņa universitāte, 22.-40.lpp. Pieejams: </w:t>
      </w:r>
      <w:hyperlink r:id="rId71" w:history="1">
        <w:r w:rsidRPr="008674B5">
          <w:rPr>
            <w:rStyle w:val="Hyperlink"/>
            <w:sz w:val="20"/>
          </w:rPr>
          <w:t>https://www.rsu.lv/sites/default/files/dissertations/AIvanovs_promocijas_darbs.pdf</w:t>
        </w:r>
      </w:hyperlink>
      <w:r w:rsidRPr="008674B5">
        <w:t xml:space="preserve"> (sk.14.12.2018.)</w:t>
      </w:r>
    </w:p>
  </w:footnote>
  <w:footnote w:id="128">
    <w:p w:rsidR="00224B50" w:rsidRPr="008674B5" w:rsidRDefault="00224B50" w:rsidP="00C85EB4">
      <w:pPr>
        <w:pStyle w:val="FootnoteText"/>
        <w:spacing w:line="240" w:lineRule="auto"/>
      </w:pPr>
      <w:r w:rsidRPr="008674B5">
        <w:rPr>
          <w:rStyle w:val="FootnoteReference"/>
        </w:rPr>
        <w:footnoteRef/>
      </w:r>
      <w:r>
        <w:t xml:space="preserve"> </w:t>
      </w:r>
      <w:r w:rsidRPr="008674B5">
        <w:t xml:space="preserve">Ivanovs, Andrejs (2016). Riska faktoru analīze saslimšanai ar tuberkulozi Latvijā. Promocijas darbs. Rīga: Rīgas Stradiņa universitāte, 22.-40.lpp. Pieejams: </w:t>
      </w:r>
      <w:hyperlink r:id="rId72" w:history="1">
        <w:r w:rsidRPr="008674B5">
          <w:rPr>
            <w:rStyle w:val="Hyperlink"/>
            <w:sz w:val="20"/>
          </w:rPr>
          <w:t>https://www.rsu.lv/sites/default/files/dissertations/AIvanovs_promocijas_darbs.pdf</w:t>
        </w:r>
      </w:hyperlink>
      <w:r w:rsidRPr="008674B5">
        <w:t xml:space="preserve"> (sk.14.12.2018.)</w:t>
      </w:r>
    </w:p>
  </w:footnote>
  <w:footnote w:id="129">
    <w:p w:rsidR="00224B50" w:rsidRPr="008674B5" w:rsidRDefault="00224B50" w:rsidP="00C85EB4">
      <w:pPr>
        <w:pStyle w:val="FootnoteText"/>
        <w:spacing w:line="240" w:lineRule="auto"/>
        <w:jc w:val="both"/>
      </w:pPr>
      <w:r w:rsidRPr="008674B5">
        <w:rPr>
          <w:rStyle w:val="FootnoteReference"/>
        </w:rPr>
        <w:footnoteRef/>
      </w:r>
      <w:r w:rsidRPr="008674B5">
        <w:t xml:space="preserve"> Sk. piemēram, World Health Organisation. Global Reference List of 100 Core Health Indicators (plus health-related SDGs), 2018. Pieejams: </w:t>
      </w:r>
      <w:hyperlink r:id="rId73" w:history="1">
        <w:r w:rsidRPr="008674B5">
          <w:rPr>
            <w:rStyle w:val="Hyperlink"/>
            <w:sz w:val="20"/>
          </w:rPr>
          <w:t>https://www.who.int/healthinfo/indicators/2018/en/</w:t>
        </w:r>
      </w:hyperlink>
      <w:r w:rsidRPr="008674B5">
        <w:t xml:space="preserve"> (sk.17.12.2018.)</w:t>
      </w:r>
    </w:p>
  </w:footnote>
  <w:footnote w:id="130">
    <w:p w:rsidR="00224B50" w:rsidRPr="008674B5" w:rsidRDefault="00224B50" w:rsidP="00C85EB4">
      <w:pPr>
        <w:pStyle w:val="FootnoteText"/>
        <w:spacing w:line="240" w:lineRule="auto"/>
        <w:jc w:val="both"/>
      </w:pPr>
      <w:r w:rsidRPr="008674B5">
        <w:rPr>
          <w:rStyle w:val="FootnoteReference"/>
        </w:rPr>
        <w:footnoteRef/>
      </w:r>
      <w:r w:rsidRPr="008674B5">
        <w:t xml:space="preserve"> World Health Organisation. Global Reference List of 100 Core Health Indicators (plus health-related SDGs), 2018. Pieejams: </w:t>
      </w:r>
      <w:hyperlink r:id="rId74" w:history="1">
        <w:r w:rsidRPr="008674B5">
          <w:rPr>
            <w:rStyle w:val="Hyperlink"/>
            <w:sz w:val="20"/>
          </w:rPr>
          <w:t>https://www.who.int/healthinfo/indicators/2018/en/</w:t>
        </w:r>
      </w:hyperlink>
      <w:r w:rsidRPr="008674B5">
        <w:t xml:space="preserve"> (sk.17.12.2018.); OECD (2016). </w:t>
      </w:r>
      <w:r w:rsidRPr="008674B5">
        <w:rPr>
          <w:color w:val="000000"/>
        </w:rPr>
        <w:t>OECD Reviews of Health Systems: Latvia 2016</w:t>
      </w:r>
      <w:r w:rsidRPr="008674B5">
        <w:t xml:space="preserve">. Paris: OECD. Pieejams: </w:t>
      </w:r>
      <w:hyperlink r:id="rId75" w:history="1">
        <w:r w:rsidRPr="008674B5">
          <w:rPr>
            <w:rStyle w:val="Hyperlink"/>
            <w:sz w:val="20"/>
          </w:rPr>
          <w:t>http://dx.doi.org/10.1787/9789264262782-en</w:t>
        </w:r>
      </w:hyperlink>
      <w:r w:rsidRPr="008674B5">
        <w:rPr>
          <w:rStyle w:val="Hyperlink"/>
          <w:sz w:val="20"/>
        </w:rPr>
        <w:t xml:space="preserve"> </w:t>
      </w:r>
      <w:r w:rsidRPr="008674B5">
        <w:rPr>
          <w:rStyle w:val="Hyperlink"/>
          <w:color w:val="auto"/>
          <w:sz w:val="20"/>
          <w:u w:val="none"/>
        </w:rPr>
        <w:t>(sk. 19.12.2018.)</w:t>
      </w:r>
    </w:p>
  </w:footnote>
  <w:footnote w:id="131">
    <w:p w:rsidR="00224B50" w:rsidRPr="008674B5" w:rsidRDefault="00224B50" w:rsidP="00C85EB4">
      <w:pPr>
        <w:spacing w:line="240" w:lineRule="auto"/>
        <w:rPr>
          <w:sz w:val="20"/>
          <w:szCs w:val="20"/>
        </w:rPr>
      </w:pPr>
      <w:r w:rsidRPr="008674B5">
        <w:rPr>
          <w:rStyle w:val="FootnoteReference"/>
          <w:sz w:val="20"/>
          <w:szCs w:val="20"/>
        </w:rPr>
        <w:footnoteRef/>
      </w:r>
      <w:r w:rsidRPr="008674B5">
        <w:rPr>
          <w:sz w:val="20"/>
          <w:szCs w:val="20"/>
        </w:rPr>
        <w:t xml:space="preserve"> European Commission (2009). Questions and Answer on Solidarity in health: Reducing health inequalities in the EU. Pieejams: </w:t>
      </w:r>
      <w:hyperlink r:id="rId76" w:history="1">
        <w:r w:rsidRPr="008674B5">
          <w:rPr>
            <w:rStyle w:val="Hyperlink"/>
            <w:sz w:val="20"/>
            <w:szCs w:val="20"/>
          </w:rPr>
          <w:t>http://europa.eu/rapid/press-release_MEMO-09-467_en.pdf</w:t>
        </w:r>
      </w:hyperlink>
      <w:r w:rsidRPr="008674B5">
        <w:rPr>
          <w:sz w:val="20"/>
          <w:szCs w:val="20"/>
        </w:rPr>
        <w:t xml:space="preserve"> (sk. 19.12.2018.)</w:t>
      </w:r>
    </w:p>
  </w:footnote>
  <w:footnote w:id="132">
    <w:p w:rsidR="00224B50" w:rsidRPr="008674B5" w:rsidRDefault="00224B50" w:rsidP="00C85EB4">
      <w:pPr>
        <w:pStyle w:val="FootnoteText"/>
        <w:spacing w:line="240" w:lineRule="auto"/>
        <w:jc w:val="both"/>
      </w:pPr>
      <w:r w:rsidRPr="008674B5">
        <w:rPr>
          <w:rStyle w:val="FootnoteReference"/>
        </w:rPr>
        <w:footnoteRef/>
      </w:r>
      <w:r w:rsidRPr="008674B5">
        <w:t xml:space="preserve"> Možajeva Irina (2012). Latvijas un Eiropas iedzīvotāju pašnovērtētās veselības modeļi un veselības riska faktori. Promocijas darbs. Rīga: Latvijas Universitāte, 32.-33.lpp. Pieejams: </w:t>
      </w:r>
      <w:hyperlink r:id="rId77" w:history="1">
        <w:r w:rsidRPr="008674B5">
          <w:rPr>
            <w:rStyle w:val="Hyperlink"/>
            <w:sz w:val="20"/>
          </w:rPr>
          <w:t>https://dspace.lu.lv/dspace/bitstream/handle/7/5082/19803-Irina_Mozajeva_2012.pdf?sequence=1</w:t>
        </w:r>
      </w:hyperlink>
      <w:r w:rsidRPr="008674B5">
        <w:t xml:space="preserve"> (sk. 19.12.2018.)</w:t>
      </w:r>
    </w:p>
  </w:footnote>
  <w:footnote w:id="133">
    <w:p w:rsidR="00224B50" w:rsidRPr="008674B5" w:rsidRDefault="00224B50" w:rsidP="00C85EB4">
      <w:pPr>
        <w:pStyle w:val="FootnoteText"/>
        <w:spacing w:line="240" w:lineRule="auto"/>
        <w:jc w:val="both"/>
      </w:pPr>
      <w:r w:rsidRPr="008674B5">
        <w:rPr>
          <w:rStyle w:val="FootnoteReference"/>
        </w:rPr>
        <w:footnoteRef/>
      </w:r>
      <w:r w:rsidRPr="008674B5">
        <w:t xml:space="preserve"> </w:t>
      </w:r>
      <w:r>
        <w:t>Turpat.</w:t>
      </w:r>
    </w:p>
  </w:footnote>
  <w:footnote w:id="134">
    <w:p w:rsidR="00224B50" w:rsidRPr="008674B5" w:rsidRDefault="00224B50" w:rsidP="00C85EB4">
      <w:pPr>
        <w:spacing w:line="240" w:lineRule="auto"/>
        <w:rPr>
          <w:sz w:val="20"/>
          <w:szCs w:val="20"/>
        </w:rPr>
      </w:pPr>
      <w:r w:rsidRPr="008674B5">
        <w:rPr>
          <w:rStyle w:val="FootnoteReference"/>
          <w:sz w:val="20"/>
          <w:szCs w:val="20"/>
        </w:rPr>
        <w:footnoteRef/>
      </w:r>
      <w:r w:rsidRPr="008674B5">
        <w:rPr>
          <w:sz w:val="20"/>
          <w:szCs w:val="20"/>
        </w:rPr>
        <w:t xml:space="preserve"> ICF Consulting Services (2017). VulnerABLE: Pilot project related to the development of evidence based strategies to improve the health of isolated and vulnerable persons, Literature Review 17 March 2017. Europeam Commision. Pieejams: </w:t>
      </w:r>
      <w:hyperlink r:id="rId78" w:history="1">
        <w:r w:rsidRPr="008674B5">
          <w:rPr>
            <w:rStyle w:val="Hyperlink"/>
            <w:sz w:val="20"/>
            <w:szCs w:val="20"/>
          </w:rPr>
          <w:t>https://ec.europa.eu/health/sites/health/files/social_determinants/docs/2017_vulnerable_literaturereview_en.pdf</w:t>
        </w:r>
      </w:hyperlink>
      <w:r w:rsidRPr="008674B5">
        <w:rPr>
          <w:sz w:val="20"/>
          <w:szCs w:val="20"/>
        </w:rPr>
        <w:t xml:space="preserve"> (sk. 19.12.2018.)</w:t>
      </w:r>
    </w:p>
    <w:p w:rsidR="00224B50" w:rsidRDefault="00224B50">
      <w:pPr>
        <w:pStyle w:val="FootnoteText"/>
      </w:pPr>
    </w:p>
  </w:footnote>
  <w:footnote w:id="135">
    <w:p w:rsidR="00224B50" w:rsidRDefault="00224B50" w:rsidP="004C28B5">
      <w:pPr>
        <w:pStyle w:val="FootnoteText"/>
        <w:spacing w:line="240" w:lineRule="auto"/>
      </w:pPr>
      <w:r>
        <w:rPr>
          <w:rStyle w:val="FootnoteReference"/>
        </w:rPr>
        <w:footnoteRef/>
      </w:r>
      <w:r>
        <w:t xml:space="preserve"> UN CESCR General Comment 14, The right to the highest attainable standard of health: 11/08/2000.  E/C. 12/2000/4, 12.punkts. Citēts pēc: Latvijas Republikas Tiesībsargs (2016). </w:t>
      </w:r>
      <w:r w:rsidRPr="004C28B5">
        <w:rPr>
          <w:i/>
        </w:rPr>
        <w:t>Latvijas valsts garantētā “medicīniskās palīdzības minimuma” atbilstība cilvēktiesību standartam</w:t>
      </w:r>
      <w:r w:rsidRPr="00CC785E">
        <w:t>, 9.lpp.</w:t>
      </w:r>
      <w:r>
        <w:t xml:space="preserve"> Pieejams: </w:t>
      </w:r>
      <w:hyperlink r:id="rId79" w:history="1">
        <w:r w:rsidRPr="00773B2F">
          <w:rPr>
            <w:rStyle w:val="Hyperlink"/>
            <w:sz w:val="20"/>
          </w:rPr>
          <w:t>http://www.tiesibsargs.lv/uploads/content/legacy/Petijums_Valsts_garantetais_mediciniskas_palidzibas_minimums_2016.pdf</w:t>
        </w:r>
      </w:hyperlink>
      <w:r>
        <w:t xml:space="preserve"> (sk. 17.04.2019.)</w:t>
      </w:r>
    </w:p>
  </w:footnote>
  <w:footnote w:id="136">
    <w:p w:rsidR="00224B50" w:rsidRPr="008674B5" w:rsidRDefault="00224B50" w:rsidP="00C85EB4">
      <w:pPr>
        <w:pStyle w:val="FootnoteText"/>
        <w:spacing w:line="240" w:lineRule="auto"/>
      </w:pPr>
      <w:r w:rsidRPr="008674B5">
        <w:rPr>
          <w:rStyle w:val="FootnoteReference"/>
        </w:rPr>
        <w:footnoteRef/>
      </w:r>
      <w:r w:rsidRPr="008674B5">
        <w:t xml:space="preserve"> Holla, Alaka (2016). „Support to develop a health system strategy for priority disease areas in Latvia. Health sector reform options for Latvia.” Konferences prezentācija. Pieejams: </w:t>
      </w:r>
      <w:hyperlink r:id="rId80" w:history="1">
        <w:r w:rsidRPr="008674B5">
          <w:rPr>
            <w:rStyle w:val="Hyperlink"/>
            <w:sz w:val="20"/>
          </w:rPr>
          <w:t>http://vmnvd.gov.lv/uploads/files/583d31a666f9a.pdf</w:t>
        </w:r>
      </w:hyperlink>
      <w:r w:rsidRPr="008674B5">
        <w:t xml:space="preserve"> (sk. 16.01.2019.)</w:t>
      </w:r>
    </w:p>
  </w:footnote>
  <w:footnote w:id="137">
    <w:p w:rsidR="00224B50" w:rsidRPr="008674B5" w:rsidRDefault="00224B50" w:rsidP="009049B5">
      <w:pPr>
        <w:pStyle w:val="FootnoteText"/>
        <w:spacing w:line="240" w:lineRule="auto"/>
        <w:jc w:val="both"/>
      </w:pPr>
      <w:r w:rsidRPr="008674B5">
        <w:rPr>
          <w:rStyle w:val="FootnoteReference"/>
        </w:rPr>
        <w:footnoteRef/>
      </w:r>
      <w:r w:rsidRPr="008674B5">
        <w:t xml:space="preserve"> World Bank Group (2016 novembris). Veselības aprūpes nozares reformu iespējas Latvijā. Pasaules bankas atmaksājamie analītiskie pakalpojumi. Atbalsts veselības aprūpes sistēmas stratēģijas izstrādei prioritārajās slimību jomās Latvijā, 4.-19.lpp. Pieejams: </w:t>
      </w:r>
      <w:hyperlink r:id="rId81" w:history="1">
        <w:r w:rsidRPr="008674B5">
          <w:rPr>
            <w:rStyle w:val="Hyperlink"/>
            <w:sz w:val="20"/>
          </w:rPr>
          <w:t>http://www.vmnvd.gov.lv/uploads/files/583d767fda31f.pdf</w:t>
        </w:r>
      </w:hyperlink>
      <w:r w:rsidRPr="008674B5">
        <w:t xml:space="preserve"> (sk. 21.11.2018.)</w:t>
      </w:r>
    </w:p>
  </w:footnote>
  <w:footnote w:id="138">
    <w:p w:rsidR="00224B50" w:rsidRDefault="00224B50" w:rsidP="008F0C89">
      <w:pPr>
        <w:pStyle w:val="FootnoteText"/>
        <w:spacing w:line="240" w:lineRule="auto"/>
        <w:jc w:val="both"/>
      </w:pPr>
      <w:r w:rsidRPr="00532684">
        <w:rPr>
          <w:rStyle w:val="FootnoteReference"/>
        </w:rPr>
        <w:footnoteRef/>
      </w:r>
      <w:r w:rsidRPr="00532684">
        <w:t xml:space="preserve"> Šajā Izvērtējumā intervētie eksperti norāda, ka, lai gan politikas veidošanas līmenī tiek pausts, ka Latvijā veselības aprūpes pakalpojumu samaksā starp NVD un ārstniecības iestādēm ir notikusi pāreja uz diagnozē (DRG) balstītu samaksas principu, nevar apgalvot, ka šis princips pilnvērtīgi darbojas praksē, jo pakalpojumu apmaksa joprojām notiek par manipulācijām.</w:t>
      </w:r>
      <w:r>
        <w:t xml:space="preserve"> </w:t>
      </w:r>
    </w:p>
  </w:footnote>
  <w:footnote w:id="139">
    <w:p w:rsidR="00224B50" w:rsidRDefault="00224B50" w:rsidP="00A8332B">
      <w:pPr>
        <w:pStyle w:val="FootnoteText"/>
        <w:spacing w:line="240" w:lineRule="auto"/>
        <w:jc w:val="both"/>
      </w:pPr>
      <w:r w:rsidRPr="00A8332B">
        <w:rPr>
          <w:rStyle w:val="FootnoteReference"/>
        </w:rPr>
        <w:footnoteRef/>
      </w:r>
      <w:r w:rsidRPr="00A8332B">
        <w:t xml:space="preserve"> Saskaņā ar Iepirkuma uzraudzības biroja mājas lapā pieejamo informāciju NVD 2017. un 2018. gadā ir secīgi izsludinājis vairākus iepirkumus „Klīnisko vadlīniju identificēšana un tām atbilstošo klīnisko algoritmu, klīnisko ceļu un indikatoru izstrāde prioritārajās veselības jomās”, tādējādi uzsākot klīnisko vadlīniju izstrādes procesu.</w:t>
      </w:r>
      <w:r>
        <w:t xml:space="preserve"> Saskaņā ar NVD mājas lapā sadaļā „Iepirkumi” pieejamo informāciju pēdējais līgums ar izpildītāju ir noslēgts 2018. gada augustā.</w:t>
      </w:r>
    </w:p>
  </w:footnote>
  <w:footnote w:id="140">
    <w:p w:rsidR="00224B50" w:rsidRPr="008674B5" w:rsidRDefault="00224B50" w:rsidP="00C85EB4">
      <w:pPr>
        <w:pStyle w:val="FootnoteText"/>
        <w:spacing w:line="240" w:lineRule="auto"/>
      </w:pPr>
      <w:r w:rsidRPr="008674B5">
        <w:rPr>
          <w:rStyle w:val="FootnoteReference"/>
        </w:rPr>
        <w:footnoteRef/>
      </w:r>
      <w:r w:rsidRPr="008674B5">
        <w:t xml:space="preserve"> Holla, Alaka, Amit Chandra, Paula Giovagnoli, un Christel Vermeersch (2016). Valsts apmaksāto pakalpojumu klāsta un pakalpojumu nodrošināšanas modeļa pārskats</w:t>
      </w:r>
      <w:r>
        <w:t>.</w:t>
      </w:r>
      <w:r w:rsidRPr="008674B5">
        <w:t xml:space="preserve"> Pieejams: </w:t>
      </w:r>
      <w:hyperlink r:id="rId82" w:history="1">
        <w:r w:rsidRPr="008674B5">
          <w:rPr>
            <w:rStyle w:val="Hyperlink"/>
            <w:sz w:val="20"/>
          </w:rPr>
          <w:t>http://www.vmnvd.gov.lv/uploads/files/58aef4ca681b0.pdf</w:t>
        </w:r>
      </w:hyperlink>
      <w:r w:rsidRPr="008674B5">
        <w:rPr>
          <w:rStyle w:val="Hyperlink"/>
          <w:sz w:val="20"/>
        </w:rPr>
        <w:t xml:space="preserve"> </w:t>
      </w:r>
      <w:r w:rsidRPr="008674B5">
        <w:t>(sk. 21.11.2018.)</w:t>
      </w:r>
    </w:p>
  </w:footnote>
  <w:footnote w:id="141">
    <w:p w:rsidR="00224B50" w:rsidRPr="008674B5" w:rsidRDefault="00224B50" w:rsidP="00C85EB4">
      <w:pPr>
        <w:pStyle w:val="FootnoteText"/>
        <w:spacing w:line="240" w:lineRule="auto"/>
      </w:pPr>
      <w:r w:rsidRPr="008674B5">
        <w:rPr>
          <w:rStyle w:val="FootnoteReference"/>
        </w:rPr>
        <w:footnoteRef/>
      </w:r>
      <w:r w:rsidRPr="008674B5">
        <w:t xml:space="preserve"> Pasaules Banka, nodibinājums „Baltic Institute of Social Sciences” (2016). Latvijas veselības aprūpes sistēmas trūkumi: interviju un fokusa grupu diskusiju rezultāti. Pieejams: </w:t>
      </w:r>
      <w:hyperlink r:id="rId83" w:history="1">
        <w:r w:rsidRPr="008674B5">
          <w:rPr>
            <w:rStyle w:val="Hyperlink"/>
            <w:sz w:val="20"/>
          </w:rPr>
          <w:t>http://www.vmnvd.gov.lv/uploads/files/58104acc690b4.pdf</w:t>
        </w:r>
      </w:hyperlink>
      <w:r w:rsidRPr="008674B5">
        <w:t xml:space="preserve"> (sk. 21.11.2018.)</w:t>
      </w:r>
    </w:p>
  </w:footnote>
  <w:footnote w:id="142">
    <w:p w:rsidR="00224B50" w:rsidRDefault="00224B50" w:rsidP="00E5276D">
      <w:pPr>
        <w:pStyle w:val="FootnoteText"/>
        <w:spacing w:line="240" w:lineRule="auto"/>
        <w:jc w:val="both"/>
      </w:pPr>
      <w:r>
        <w:rPr>
          <w:rStyle w:val="FootnoteReference"/>
        </w:rPr>
        <w:footnoteRef/>
      </w:r>
      <w:r>
        <w:t xml:space="preserve"> Šāda informācija ir iekļauta, piemēram, informatīvajā ziņojumā „Par veselības reformas pasākumu īstenošanu 2019.gadā”; informatīvajā ziņojumā „Par veselības reformas pasākumu īstenošanu 2018.gadā”. </w:t>
      </w:r>
    </w:p>
  </w:footnote>
  <w:footnote w:id="143">
    <w:p w:rsidR="00224B50" w:rsidRDefault="00224B50" w:rsidP="00C85EB4">
      <w:pPr>
        <w:pStyle w:val="FootnoteText"/>
        <w:spacing w:line="240" w:lineRule="auto"/>
      </w:pPr>
      <w:r w:rsidRPr="00E965F1">
        <w:rPr>
          <w:rStyle w:val="FootnoteReference"/>
        </w:rPr>
        <w:footnoteRef/>
      </w:r>
      <w:r w:rsidRPr="00E965F1">
        <w:t xml:space="preserve"> Eurostat (bez datuma). European Union Statistics on Income and Living Conditions (EU-SILC). Pieejams: </w:t>
      </w:r>
      <w:hyperlink r:id="rId84" w:history="1">
        <w:r w:rsidRPr="00E965F1">
          <w:rPr>
            <w:rStyle w:val="Hyperlink"/>
            <w:sz w:val="20"/>
          </w:rPr>
          <w:t>https://ec.europa.eu/eurostat/web/microdata/european-union-statistics-on-income-and-living-conditions</w:t>
        </w:r>
      </w:hyperlink>
      <w:r w:rsidRPr="00E965F1">
        <w:t xml:space="preserve"> (sk. 27.02.2019.)</w:t>
      </w:r>
    </w:p>
  </w:footnote>
  <w:footnote w:id="144">
    <w:p w:rsidR="00224B50" w:rsidRPr="00E965F1" w:rsidRDefault="00224B50" w:rsidP="00E61EFA">
      <w:pPr>
        <w:pStyle w:val="FootnoteText"/>
      </w:pPr>
      <w:r w:rsidRPr="00E965F1">
        <w:rPr>
          <w:rStyle w:val="FootnoteReference"/>
        </w:rPr>
        <w:footnoteRef/>
      </w:r>
      <w:r w:rsidRPr="00E965F1">
        <w:t xml:space="preserve"> SPKC (2017). Latvijas iedzīvotāju veselību ietekmējošo paradumu pētījums, 2016. Rīga. Pieejams: </w:t>
      </w:r>
      <w:hyperlink r:id="rId85" w:history="1">
        <w:r w:rsidRPr="00E965F1">
          <w:rPr>
            <w:rStyle w:val="Hyperlink"/>
            <w:sz w:val="20"/>
          </w:rPr>
          <w:t>https://www.spkc.gov.lv/upload/Petijumi%20un%20zinojumi/FINBALT/finbalt_2016_2.pdf</w:t>
        </w:r>
      </w:hyperlink>
      <w:r w:rsidRPr="00E965F1">
        <w:t xml:space="preserve"> (sk. 27.02.2019.)</w:t>
      </w:r>
    </w:p>
  </w:footnote>
  <w:footnote w:id="145">
    <w:p w:rsidR="00224B50" w:rsidRDefault="00224B50">
      <w:pPr>
        <w:pStyle w:val="FootnoteText"/>
      </w:pPr>
      <w:r w:rsidRPr="00E965F1">
        <w:rPr>
          <w:rStyle w:val="FootnoteReference"/>
        </w:rPr>
        <w:footnoteRef/>
      </w:r>
      <w:r w:rsidRPr="00E965F1">
        <w:t xml:space="preserve"> EU-SILC moduļu sraksts pieejams šeit: </w:t>
      </w:r>
      <w:hyperlink r:id="rId86" w:history="1">
        <w:r w:rsidRPr="00E965F1">
          <w:rPr>
            <w:rStyle w:val="Hyperlink"/>
            <w:sz w:val="20"/>
          </w:rPr>
          <w:t>https://ec.europa.eu/eurostat/web/income-and-living-conditions/data/ad-hoc-modules</w:t>
        </w:r>
      </w:hyperlink>
      <w:r w:rsidRPr="00E965F1">
        <w:t xml:space="preserve"> (sk. 27.02.2019.)</w:t>
      </w:r>
    </w:p>
  </w:footnote>
  <w:footnote w:id="146">
    <w:p w:rsidR="00224B50" w:rsidRDefault="00224B50" w:rsidP="00524E7E">
      <w:pPr>
        <w:pStyle w:val="FootnoteText"/>
        <w:spacing w:line="240" w:lineRule="auto"/>
      </w:pPr>
      <w:r w:rsidRPr="00E965F1">
        <w:rPr>
          <w:rStyle w:val="FootnoteReference"/>
        </w:rPr>
        <w:footnoteRef/>
      </w:r>
      <w:r w:rsidRPr="00E965F1">
        <w:t xml:space="preserve"> CSP (2016). Iedzīvotāju veselības apsekojuma rezultāti Latvijā, 2016. Rīga. Pieejams: </w:t>
      </w:r>
      <w:hyperlink r:id="rId87" w:history="1">
        <w:r w:rsidRPr="00E965F1">
          <w:rPr>
            <w:rStyle w:val="Hyperlink"/>
            <w:sz w:val="20"/>
          </w:rPr>
          <w:t>https://www.csb.gov.lv/lv/statistika/statistikas-temas/socialie-procesi/veseliba/meklet-tema/214-iedzivotaju-veselibas-apsekojuma-rezultati</w:t>
        </w:r>
      </w:hyperlink>
      <w:r w:rsidRPr="00E965F1">
        <w:t xml:space="preserve"> (sk. 27.02.2019.)</w:t>
      </w:r>
    </w:p>
  </w:footnote>
  <w:footnote w:id="147">
    <w:p w:rsidR="00224B50" w:rsidRDefault="00224B50" w:rsidP="00524E7E">
      <w:pPr>
        <w:pStyle w:val="FootnoteText"/>
        <w:spacing w:line="240" w:lineRule="auto"/>
      </w:pPr>
      <w:r>
        <w:rPr>
          <w:rStyle w:val="FootnoteReference"/>
        </w:rPr>
        <w:footnoteRef/>
      </w:r>
      <w:r>
        <w:t xml:space="preserve"> Pētījums tika veikts </w:t>
      </w:r>
      <w:r w:rsidRPr="00524E7E">
        <w:t>Pasaules Veselības organizācijas</w:t>
      </w:r>
      <w:r>
        <w:t xml:space="preserve"> </w:t>
      </w:r>
      <w:r w:rsidRPr="00524E7E">
        <w:t>atbalstītā Health Behaviour in School-aged Children (HBSC) monitoringā.</w:t>
      </w:r>
    </w:p>
  </w:footnote>
  <w:footnote w:id="148">
    <w:p w:rsidR="00224B50" w:rsidRPr="00E965F1" w:rsidRDefault="00224B50" w:rsidP="0045554C">
      <w:pPr>
        <w:pStyle w:val="FootnoteText"/>
        <w:spacing w:line="240" w:lineRule="auto"/>
      </w:pPr>
      <w:r w:rsidRPr="00E965F1">
        <w:rPr>
          <w:rStyle w:val="FootnoteReference"/>
        </w:rPr>
        <w:footnoteRef/>
      </w:r>
      <w:r w:rsidRPr="00E965F1">
        <w:t xml:space="preserve"> Pieejams: </w:t>
      </w:r>
      <w:hyperlink r:id="rId88" w:history="1">
        <w:r w:rsidRPr="00E965F1">
          <w:rPr>
            <w:rStyle w:val="Hyperlink"/>
            <w:sz w:val="20"/>
          </w:rPr>
          <w:t>https://likumi.lv/doc.php?id=44108</w:t>
        </w:r>
      </w:hyperlink>
      <w:r w:rsidRPr="00E965F1">
        <w:t xml:space="preserve"> (sk. 18.12.2018.)</w:t>
      </w:r>
    </w:p>
  </w:footnote>
  <w:footnote w:id="149">
    <w:p w:rsidR="00224B50" w:rsidRDefault="00224B50" w:rsidP="0045554C">
      <w:pPr>
        <w:pStyle w:val="FootnoteText"/>
        <w:spacing w:line="240" w:lineRule="auto"/>
      </w:pPr>
      <w:r>
        <w:rPr>
          <w:rStyle w:val="FootnoteReference"/>
        </w:rPr>
        <w:footnoteRef/>
      </w:r>
      <w:r>
        <w:t xml:space="preserve"> Sabiedrības veselības pamatnostādnes 2014. – 2020. gadam. Pieejams: </w:t>
      </w:r>
      <w:hyperlink r:id="rId89" w:history="1">
        <w:r w:rsidRPr="00713D9D">
          <w:rPr>
            <w:rStyle w:val="Hyperlink"/>
            <w:sz w:val="20"/>
          </w:rPr>
          <w:t>http://polsis.mk.gov.lv/documents/4965</w:t>
        </w:r>
      </w:hyperlink>
      <w:r>
        <w:t xml:space="preserve"> (sk. 18.12.2018.)</w:t>
      </w:r>
    </w:p>
  </w:footnote>
  <w:footnote w:id="150">
    <w:p w:rsidR="00224B50" w:rsidRDefault="00224B50" w:rsidP="0045554C">
      <w:pPr>
        <w:pStyle w:val="FootnoteText"/>
        <w:spacing w:line="240" w:lineRule="auto"/>
      </w:pPr>
      <w:r>
        <w:rPr>
          <w:rStyle w:val="FootnoteReference"/>
        </w:rPr>
        <w:footnoteRef/>
      </w:r>
      <w:r>
        <w:t xml:space="preserve"> Sk. </w:t>
      </w:r>
      <w:r w:rsidRPr="001328DD">
        <w:t xml:space="preserve">Sabiedrības veselības pamatnostādnes 2011.- 2017.gadam. Pieejams: </w:t>
      </w:r>
      <w:hyperlink r:id="rId90" w:history="1">
        <w:r w:rsidRPr="00713D9D">
          <w:rPr>
            <w:rStyle w:val="Hyperlink"/>
            <w:sz w:val="20"/>
          </w:rPr>
          <w:t>http://polsis.mk.gov.lv/documents/3768</w:t>
        </w:r>
      </w:hyperlink>
      <w:r>
        <w:t xml:space="preserve"> (sk. 17.04.2019.)</w:t>
      </w:r>
    </w:p>
  </w:footnote>
  <w:footnote w:id="151">
    <w:p w:rsidR="00224B50" w:rsidRPr="00E965F1" w:rsidRDefault="00224B50" w:rsidP="0045554C">
      <w:pPr>
        <w:pStyle w:val="FootnoteText"/>
        <w:spacing w:line="240" w:lineRule="auto"/>
      </w:pPr>
      <w:r w:rsidRPr="00E965F1">
        <w:rPr>
          <w:rStyle w:val="FootnoteReference"/>
        </w:rPr>
        <w:footnoteRef/>
      </w:r>
      <w:r w:rsidRPr="00E965F1">
        <w:t xml:space="preserve"> Pieejams: </w:t>
      </w:r>
      <w:hyperlink r:id="rId91" w:history="1">
        <w:r w:rsidRPr="00E965F1">
          <w:rPr>
            <w:rStyle w:val="Hyperlink"/>
            <w:sz w:val="20"/>
          </w:rPr>
          <w:t>http://polsis.mk.gov.lv/documents/4965</w:t>
        </w:r>
      </w:hyperlink>
      <w:r w:rsidRPr="00E965F1">
        <w:t xml:space="preserve"> (sk. 18.12.2018.)</w:t>
      </w:r>
    </w:p>
  </w:footnote>
  <w:footnote w:id="152">
    <w:p w:rsidR="00224B50" w:rsidRPr="008674B5" w:rsidRDefault="00224B50" w:rsidP="00EF7BE7">
      <w:pPr>
        <w:pStyle w:val="FootnoteText"/>
      </w:pPr>
      <w:r w:rsidRPr="00BD0778">
        <w:rPr>
          <w:rStyle w:val="FootnoteReference"/>
        </w:rPr>
        <w:footnoteRef/>
      </w:r>
      <w:r w:rsidRPr="008674B5">
        <w:t xml:space="preserve"> Pieejams: </w:t>
      </w:r>
      <w:hyperlink r:id="rId92" w:history="1">
        <w:r w:rsidRPr="008674B5">
          <w:rPr>
            <w:rStyle w:val="Hyperlink"/>
            <w:sz w:val="20"/>
          </w:rPr>
          <w:t>www.vm.gov.lv/images/userfiles/vmpl_270214_pva.doc</w:t>
        </w:r>
      </w:hyperlink>
      <w:r w:rsidRPr="008674B5">
        <w:t xml:space="preserve"> (sk. 18.12.2018.)</w:t>
      </w:r>
    </w:p>
  </w:footnote>
  <w:footnote w:id="153">
    <w:p w:rsidR="00224B50" w:rsidRDefault="00224B50" w:rsidP="0005446B">
      <w:pPr>
        <w:pStyle w:val="FootnoteText"/>
        <w:spacing w:line="240" w:lineRule="auto"/>
      </w:pPr>
      <w:r>
        <w:rPr>
          <w:rStyle w:val="FootnoteReference"/>
        </w:rPr>
        <w:footnoteRef/>
      </w:r>
      <w:r>
        <w:t xml:space="preserve"> Sabiedrības veselības pamatnostādnes 2014. – 2020. gadam. Pieejams: </w:t>
      </w:r>
      <w:hyperlink r:id="rId93" w:history="1">
        <w:r w:rsidRPr="00713D9D">
          <w:rPr>
            <w:rStyle w:val="Hyperlink"/>
            <w:sz w:val="20"/>
          </w:rPr>
          <w:t>http://polsis.mk.gov.lv/documents/4965</w:t>
        </w:r>
      </w:hyperlink>
      <w:r>
        <w:t xml:space="preserve"> (sk. 18.12.2018.)</w:t>
      </w:r>
    </w:p>
  </w:footnote>
  <w:footnote w:id="154">
    <w:p w:rsidR="00224B50" w:rsidRDefault="00224B50" w:rsidP="0005446B">
      <w:pPr>
        <w:pStyle w:val="FootnoteText"/>
        <w:spacing w:line="240" w:lineRule="auto"/>
      </w:pPr>
      <w:r>
        <w:rPr>
          <w:rStyle w:val="FootnoteReference"/>
        </w:rPr>
        <w:footnoteRef/>
      </w:r>
      <w:r>
        <w:t xml:space="preserve"> </w:t>
      </w:r>
      <w:r w:rsidRPr="001328DD">
        <w:t xml:space="preserve">Sabiedrības veselības pamatnostādnes 2011.- 2017.gadam. Pieejams: </w:t>
      </w:r>
      <w:hyperlink r:id="rId94" w:history="1">
        <w:r w:rsidRPr="00713D9D">
          <w:rPr>
            <w:rStyle w:val="Hyperlink"/>
            <w:sz w:val="20"/>
          </w:rPr>
          <w:t>http://polsis.mk.gov.lv/documents/3768</w:t>
        </w:r>
      </w:hyperlink>
      <w:r>
        <w:t xml:space="preserve"> (sk. 17.04.2019.)</w:t>
      </w:r>
    </w:p>
  </w:footnote>
  <w:footnote w:id="155">
    <w:p w:rsidR="00224B50" w:rsidRPr="008674B5" w:rsidRDefault="00224B50" w:rsidP="0005446B">
      <w:pPr>
        <w:pStyle w:val="FootnoteText"/>
        <w:spacing w:line="240" w:lineRule="auto"/>
      </w:pPr>
      <w:r w:rsidRPr="008674B5">
        <w:rPr>
          <w:rStyle w:val="FootnoteReference"/>
        </w:rPr>
        <w:footnoteRef/>
      </w:r>
      <w:r w:rsidRPr="008674B5">
        <w:t xml:space="preserve"> Pieejams: </w:t>
      </w:r>
      <w:hyperlink r:id="rId95" w:history="1">
        <w:r w:rsidRPr="008674B5">
          <w:rPr>
            <w:rStyle w:val="Hyperlink"/>
            <w:sz w:val="20"/>
          </w:rPr>
          <w:t>http://www.vm.gov.lv/images/userfiles/sab_ves_pamatnost_izvertejums_31_01_14.pdf</w:t>
        </w:r>
      </w:hyperlink>
      <w:r w:rsidRPr="008674B5">
        <w:t xml:space="preserve"> (sk. 18.01.2019.)</w:t>
      </w:r>
    </w:p>
  </w:footnote>
  <w:footnote w:id="156">
    <w:p w:rsidR="00224B50" w:rsidRDefault="00224B50" w:rsidP="0045554C">
      <w:pPr>
        <w:pStyle w:val="FootnoteText"/>
        <w:spacing w:line="240" w:lineRule="auto"/>
      </w:pPr>
      <w:r>
        <w:rPr>
          <w:rStyle w:val="FootnoteReference"/>
        </w:rPr>
        <w:footnoteRef/>
      </w:r>
      <w:r>
        <w:t xml:space="preserve"> </w:t>
      </w:r>
      <w:r w:rsidRPr="001667E5">
        <w:t>Informatīvais ziņojums „Par veselības reformas</w:t>
      </w:r>
      <w:r>
        <w:t xml:space="preserve"> pasākumu īstenošanu 2019.gadā”, 144.lpp.</w:t>
      </w:r>
      <w:r w:rsidRPr="001667E5">
        <w:t xml:space="preserve"> Pieejams: </w:t>
      </w:r>
      <w:hyperlink r:id="rId96" w:history="1">
        <w:r w:rsidRPr="00713D9D">
          <w:rPr>
            <w:rStyle w:val="Hyperlink"/>
            <w:sz w:val="20"/>
          </w:rPr>
          <w:t>http://tap.mk.gov.lv/lv/mk/tap/?pid=40467516</w:t>
        </w:r>
      </w:hyperlink>
      <w:r>
        <w:t xml:space="preserve"> (sk. 17.04.2019.)</w:t>
      </w:r>
    </w:p>
  </w:footnote>
  <w:footnote w:id="157">
    <w:p w:rsidR="00224B50" w:rsidRDefault="00224B50" w:rsidP="0045554C">
      <w:pPr>
        <w:pStyle w:val="FootnoteText"/>
        <w:spacing w:line="240" w:lineRule="auto"/>
      </w:pPr>
      <w:r>
        <w:rPr>
          <w:rStyle w:val="FootnoteReference"/>
        </w:rPr>
        <w:footnoteRef/>
      </w:r>
      <w:r>
        <w:t xml:space="preserve"> VM (19.02.2019.). </w:t>
      </w:r>
      <w:r w:rsidRPr="000A124A">
        <w:t>Veselības ministre piedāvā ieviest vienotu veselības aprūpes pakalpojuma klāstu</w:t>
      </w:r>
      <w:r>
        <w:t xml:space="preserve">. Preses relīze. Pieejams:  </w:t>
      </w:r>
      <w:hyperlink r:id="rId97" w:history="1">
        <w:r w:rsidRPr="00713D9D">
          <w:rPr>
            <w:rStyle w:val="Hyperlink"/>
            <w:sz w:val="20"/>
          </w:rPr>
          <w:t>http://www.vm.gov.lv/lv/aktualitates/preses_relizes/5938_veselibas_ministre_piedava_ieviest_vienotu_veselibas_aprupes</w:t>
        </w:r>
      </w:hyperlink>
      <w:r>
        <w:t xml:space="preserve"> (sk. 17.04.2019.) un </w:t>
      </w:r>
      <w:r w:rsidRPr="00D31D30">
        <w:t xml:space="preserve">Informatīvais ziņojums </w:t>
      </w:r>
      <w:r>
        <w:t>„</w:t>
      </w:r>
      <w:r w:rsidRPr="00D31D30">
        <w:t>Par nepieciešamajām izmaiņām Veselī</w:t>
      </w:r>
      <w:r>
        <w:t xml:space="preserve">bas aprūpes finansēšanas likumā”. Pieejams: </w:t>
      </w:r>
      <w:hyperlink r:id="rId98" w:history="1">
        <w:r w:rsidRPr="00713D9D">
          <w:rPr>
            <w:rStyle w:val="Hyperlink"/>
            <w:sz w:val="20"/>
          </w:rPr>
          <w:t>http://polsis.mk.gov.lv/documents/6393</w:t>
        </w:r>
      </w:hyperlink>
      <w:r>
        <w:t xml:space="preserve"> (sk. 17.04.2019.)</w:t>
      </w:r>
    </w:p>
  </w:footnote>
  <w:footnote w:id="158">
    <w:p w:rsidR="00224B50" w:rsidRPr="008674B5" w:rsidRDefault="00224B50" w:rsidP="0045554C">
      <w:pPr>
        <w:pStyle w:val="FootnoteText"/>
        <w:spacing w:line="240" w:lineRule="auto"/>
      </w:pPr>
      <w:r w:rsidRPr="008674B5">
        <w:rPr>
          <w:rStyle w:val="FootnoteReference"/>
        </w:rPr>
        <w:footnoteRef/>
      </w:r>
      <w:r w:rsidRPr="008674B5">
        <w:t xml:space="preserve"> Pieejams: </w:t>
      </w:r>
      <w:hyperlink r:id="rId99" w:history="1">
        <w:r w:rsidRPr="008674B5">
          <w:rPr>
            <w:rStyle w:val="Hyperlink"/>
            <w:sz w:val="20"/>
          </w:rPr>
          <w:t>https://likumi.lv/ta/id/282400-darbibas-programmas-izaugsme-un-nodarbinatiba-9-2-4-specifiska-atbalsta-merka-uzlabot-pieejamibu-veselibas-veicinasanas</w:t>
        </w:r>
      </w:hyperlink>
      <w:r w:rsidRPr="008674B5">
        <w:t xml:space="preserve"> (sk. 18.12.2018.)</w:t>
      </w:r>
    </w:p>
  </w:footnote>
  <w:footnote w:id="159">
    <w:p w:rsidR="00224B50" w:rsidRDefault="00224B50" w:rsidP="00120110">
      <w:pPr>
        <w:pStyle w:val="FootnoteText"/>
        <w:spacing w:line="240" w:lineRule="auto"/>
      </w:pPr>
      <w:r>
        <w:rPr>
          <w:rStyle w:val="FootnoteReference"/>
        </w:rPr>
        <w:footnoteRef/>
      </w:r>
      <w:r>
        <w:t xml:space="preserve"> Pieejams: </w:t>
      </w:r>
      <w:hyperlink r:id="rId100" w:history="1">
        <w:r w:rsidRPr="00713D9D">
          <w:rPr>
            <w:rStyle w:val="Hyperlink"/>
            <w:sz w:val="20"/>
          </w:rPr>
          <w:t>http://www.vm.gov.lv/lv/aktualitates/par_veselibas_aprupes_sistemas_reformu/</w:t>
        </w:r>
      </w:hyperlink>
      <w:r>
        <w:t xml:space="preserve"> (17.04.2019.)</w:t>
      </w:r>
    </w:p>
  </w:footnote>
  <w:footnote w:id="160">
    <w:p w:rsidR="00224B50" w:rsidRDefault="00224B50" w:rsidP="007E20AA">
      <w:pPr>
        <w:pStyle w:val="FootnoteText"/>
        <w:spacing w:line="240" w:lineRule="auto"/>
        <w:jc w:val="both"/>
      </w:pPr>
      <w:r>
        <w:rPr>
          <w:rStyle w:val="FootnoteReference"/>
        </w:rPr>
        <w:footnoteRef/>
      </w:r>
      <w:r>
        <w:t xml:space="preserve"> Turpmākais pārskats par rindu mazināšanu sniegts, balstoties uz šādiem dokumentiem: Informatīvais ziņojums „Par veselības reformas pasākumu īstenošanu 2019.gadā”; Informatīvais ziņojums „Par veselības reformas pasākumu īstenošanu 2018.gadā”; </w:t>
      </w:r>
      <w:r w:rsidRPr="0010179D">
        <w:t>Informatīvais ziņojums “Par veselības reformas pasākumu īstenošanu 2017.gadā”</w:t>
      </w:r>
      <w:r>
        <w:t xml:space="preserve">, Informatīvais ziņojums “Par veselības reformas pasākumu īstenošanas turpināšanu 2017.gadā”, </w:t>
      </w:r>
      <w:r w:rsidRPr="008C39C0">
        <w:t>Informatīvais ziņojums „Par veselības reformas pasākumu īstenošanas progresu veselības aprūpē 2017. gada 1. pusgadā”</w:t>
      </w:r>
      <w:r>
        <w:t xml:space="preserve">, </w:t>
      </w:r>
      <w:r w:rsidRPr="0045554C">
        <w:t>Informatīvais ziņojums „Par tālāku rindu samazināšanu sekundārā ambulatorā veselības aprūpē” (2017. gads)</w:t>
      </w:r>
      <w:r>
        <w:t xml:space="preserve">, </w:t>
      </w:r>
      <w:r w:rsidRPr="007E20AA">
        <w:t>Informatīvais ziņojums „Par papildus līdzekļu piešķiršanu veselības aprūpes nozarei” (08.11.2016.)</w:t>
      </w:r>
      <w:r>
        <w:t>,  Informatīvais ziņojums „Par ambulatoro un stacionāro veselības aprūpes pakalpojumu pieejamības uzlabošanu” (01.11.2016.); Informatīvais ziņojums „Par valsts finansēto veselības aprūpes pakalpojumu apjomu” (11.10.2016.). Aplūkojot ziņojumus, jāņem vērā, ka veselības aprūpes jomas finansējums ir aspekts, kas tiek ietverts praktiski katrā nozares dokumentā, tādējādi sniegtā informācija pārklājas un atkārtojas.</w:t>
      </w:r>
    </w:p>
  </w:footnote>
  <w:footnote w:id="161">
    <w:p w:rsidR="00224B50" w:rsidRDefault="00224B50" w:rsidP="00562A53">
      <w:pPr>
        <w:pStyle w:val="FootnoteText"/>
        <w:spacing w:line="240" w:lineRule="auto"/>
      </w:pPr>
      <w:r w:rsidRPr="006A295C">
        <w:rPr>
          <w:rStyle w:val="FootnoteReference"/>
        </w:rPr>
        <w:footnoteRef/>
      </w:r>
      <w:r w:rsidRPr="006A295C">
        <w:t xml:space="preserve"> Informatīvais ziņojums „Darba grupas ziņojums par valsts apmaksāto veselības aprūpes pakalpojumu nodrošināšanu valsts, pašvaldību un privātajās ārstniecības iestādēs”</w:t>
      </w:r>
      <w:r>
        <w:t xml:space="preserve">. Pieejams: </w:t>
      </w:r>
      <w:hyperlink r:id="rId101" w:history="1">
        <w:r w:rsidRPr="00713D9D">
          <w:rPr>
            <w:rStyle w:val="Hyperlink"/>
            <w:sz w:val="20"/>
          </w:rPr>
          <w:t>http://polsis.mk.gov.lv/documents/6229</w:t>
        </w:r>
      </w:hyperlink>
      <w:r>
        <w:t xml:space="preserve"> (17.04.2019.) </w:t>
      </w:r>
    </w:p>
  </w:footnote>
  <w:footnote w:id="162">
    <w:p w:rsidR="00224B50" w:rsidRDefault="00224B50" w:rsidP="0050378B">
      <w:pPr>
        <w:pStyle w:val="FootnoteText"/>
        <w:spacing w:line="240" w:lineRule="auto"/>
      </w:pPr>
      <w:r>
        <w:rPr>
          <w:rStyle w:val="FootnoteReference"/>
        </w:rPr>
        <w:footnoteRef/>
      </w:r>
      <w:r>
        <w:t xml:space="preserve"> Baltic Institute of Social Sciences (2012). </w:t>
      </w:r>
      <w:r w:rsidRPr="0050378B">
        <w:t>Administratīvo prasību analīze un kontrolējošo institūciju darbības novērtējums veselības aprūpes pakalpojumu jomā</w:t>
      </w:r>
      <w:r>
        <w:t xml:space="preserve">. Starpziņojums (1.aktivitāte). Pieejams: </w:t>
      </w:r>
      <w:hyperlink r:id="rId102" w:history="1">
        <w:r w:rsidRPr="00764077">
          <w:rPr>
            <w:rStyle w:val="Hyperlink"/>
            <w:sz w:val="20"/>
          </w:rPr>
          <w:t>http://petijumi.mk.gov.lv/node/2210</w:t>
        </w:r>
      </w:hyperlink>
      <w:r>
        <w:t xml:space="preserve"> (sk. 17.04.2019.)</w:t>
      </w:r>
    </w:p>
  </w:footnote>
  <w:footnote w:id="163">
    <w:p w:rsidR="00224B50" w:rsidRDefault="00224B50" w:rsidP="00030F2A">
      <w:pPr>
        <w:pStyle w:val="FootnoteText"/>
        <w:spacing w:line="240" w:lineRule="auto"/>
      </w:pPr>
      <w:r>
        <w:rPr>
          <w:rStyle w:val="FootnoteReference"/>
        </w:rPr>
        <w:footnoteRef/>
      </w:r>
      <w:r>
        <w:t xml:space="preserve"> Informatīvais ziņojums „</w:t>
      </w:r>
      <w:r w:rsidRPr="00BB1077">
        <w:t>Par valsts finansēto veselības aprūpes pakalpojumu apjomu</w:t>
      </w:r>
      <w:r>
        <w:t xml:space="preserve">” (11.10.2016.). Pieejams: </w:t>
      </w:r>
      <w:hyperlink r:id="rId103" w:history="1">
        <w:r w:rsidRPr="00713D9D">
          <w:rPr>
            <w:rStyle w:val="Hyperlink"/>
            <w:sz w:val="20"/>
          </w:rPr>
          <w:t>http://polsis.mk.gov.lv/documents/5727</w:t>
        </w:r>
      </w:hyperlink>
      <w:r>
        <w:t xml:space="preserve"> (17.04.2019.)</w:t>
      </w:r>
    </w:p>
  </w:footnote>
  <w:footnote w:id="164">
    <w:p w:rsidR="00224B50" w:rsidRDefault="00224B50" w:rsidP="00030F2A">
      <w:pPr>
        <w:pStyle w:val="FootnoteText"/>
        <w:spacing w:line="240" w:lineRule="auto"/>
      </w:pPr>
      <w:r>
        <w:rPr>
          <w:rStyle w:val="FootnoteReference"/>
        </w:rPr>
        <w:footnoteRef/>
      </w:r>
      <w:r>
        <w:t xml:space="preserve"> </w:t>
      </w:r>
      <w:r w:rsidRPr="008674B5">
        <w:t xml:space="preserve">Pasaules Banka, nodibinājums „Baltic Institute of Social Sciences” (2016). Latvijas veselības aprūpes sistēmas trūkumi: interviju un fokusa grupu diskusiju rezultāti. Pieejams: </w:t>
      </w:r>
      <w:hyperlink r:id="rId104" w:history="1">
        <w:r w:rsidRPr="008674B5">
          <w:rPr>
            <w:rStyle w:val="Hyperlink"/>
            <w:sz w:val="20"/>
          </w:rPr>
          <w:t>http://www.vmnvd.gov.lv/uploads/files/58104acc690b4.pdf</w:t>
        </w:r>
      </w:hyperlink>
      <w:r w:rsidRPr="008674B5">
        <w:t xml:space="preserve"> (sk. 21.11.2018.)</w:t>
      </w:r>
    </w:p>
  </w:footnote>
  <w:footnote w:id="165">
    <w:p w:rsidR="00224B50" w:rsidRDefault="00224B50" w:rsidP="00B234DF">
      <w:pPr>
        <w:pStyle w:val="FootnoteText"/>
        <w:spacing w:line="240" w:lineRule="auto"/>
      </w:pPr>
      <w:r>
        <w:rPr>
          <w:rStyle w:val="FootnoteReference"/>
        </w:rPr>
        <w:footnoteRef/>
      </w:r>
      <w:r>
        <w:t xml:space="preserve"> </w:t>
      </w:r>
      <w:r w:rsidRPr="00B234DF">
        <w:t>Mātes un bērna veselības uzlabošanas plān</w:t>
      </w:r>
      <w:r>
        <w:t>s</w:t>
      </w:r>
      <w:r w:rsidRPr="00B234DF">
        <w:t xml:space="preserve"> 2018. – 2020. Gadam</w:t>
      </w:r>
      <w:r>
        <w:t xml:space="preserve">. Pieejams: </w:t>
      </w:r>
      <w:r w:rsidRPr="00B234DF">
        <w:t xml:space="preserve">Pieejams: </w:t>
      </w:r>
      <w:hyperlink r:id="rId105" w:history="1">
        <w:r w:rsidRPr="00764077">
          <w:rPr>
            <w:rStyle w:val="Hyperlink"/>
            <w:sz w:val="20"/>
          </w:rPr>
          <w:t>https://likumi.lv/ta/id/299503-par-mates-un-berna-veselibas-uzlabosanas-planu-2018-2020-gadam</w:t>
        </w:r>
      </w:hyperlink>
      <w:r>
        <w:t xml:space="preserve"> </w:t>
      </w:r>
      <w:r w:rsidRPr="00B234DF">
        <w:t>(sk. 16.04.2019.)</w:t>
      </w:r>
    </w:p>
  </w:footnote>
  <w:footnote w:id="166">
    <w:p w:rsidR="00224B50" w:rsidRDefault="00224B50" w:rsidP="00562A53">
      <w:pPr>
        <w:pStyle w:val="FootnoteText"/>
        <w:spacing w:line="240" w:lineRule="auto"/>
      </w:pPr>
      <w:r>
        <w:rPr>
          <w:rStyle w:val="FootnoteReference"/>
        </w:rPr>
        <w:footnoteRef/>
      </w:r>
      <w:r>
        <w:t xml:space="preserve"> </w:t>
      </w:r>
      <w:r w:rsidRPr="00562A53">
        <w:t xml:space="preserve">Veselības aprūpes pakalpojumu onkoloģijas jomā uzlabošanas plāns 2017.–2020. </w:t>
      </w:r>
      <w:r>
        <w:t>g</w:t>
      </w:r>
      <w:r w:rsidRPr="00562A53">
        <w:t>adam</w:t>
      </w:r>
      <w:r>
        <w:t xml:space="preserve">. Pieejams: </w:t>
      </w:r>
      <w:hyperlink r:id="rId106" w:history="1">
        <w:r w:rsidRPr="00713D9D">
          <w:rPr>
            <w:rStyle w:val="Hyperlink"/>
            <w:sz w:val="20"/>
          </w:rPr>
          <w:t>http://polsis.mk.gov.lv/documents/5923</w:t>
        </w:r>
      </w:hyperlink>
      <w:r>
        <w:t xml:space="preserve"> (sk. 17.04.2019.)</w:t>
      </w:r>
    </w:p>
  </w:footnote>
  <w:footnote w:id="167">
    <w:p w:rsidR="00224B50" w:rsidRDefault="00224B50" w:rsidP="00562A53">
      <w:pPr>
        <w:pStyle w:val="FootnoteText"/>
        <w:spacing w:line="240" w:lineRule="auto"/>
      </w:pPr>
      <w:r>
        <w:rPr>
          <w:rStyle w:val="FootnoteReference"/>
        </w:rPr>
        <w:footnoteRef/>
      </w:r>
      <w:r>
        <w:t xml:space="preserve"> Onkoloģisko slimību kontroles programma 2009. – 2015. gadam. Pieejams: </w:t>
      </w:r>
      <w:r w:rsidRPr="00562A53">
        <w:t>https://likumi.lv/doc.php?id=188063</w:t>
      </w:r>
      <w:r>
        <w:t xml:space="preserve"> (sk. 17.04.2019.)</w:t>
      </w:r>
    </w:p>
  </w:footnote>
  <w:footnote w:id="168">
    <w:p w:rsidR="00224B50" w:rsidRPr="00075816" w:rsidRDefault="00224B50" w:rsidP="00075816">
      <w:pPr>
        <w:pStyle w:val="FootnoteText"/>
        <w:spacing w:line="240" w:lineRule="auto"/>
        <w:jc w:val="both"/>
      </w:pPr>
      <w:r w:rsidRPr="00075816">
        <w:rPr>
          <w:rStyle w:val="FootnoteReference"/>
        </w:rPr>
        <w:footnoteRef/>
      </w:r>
      <w:r w:rsidRPr="00075816">
        <w:t xml:space="preserve"> Informatīvais ziņojums „Par Ekonomiskās sadarbības un attīstības organizācijas rekomendāciju veselības jomā ieviešanas progresu”. Pieejams: </w:t>
      </w:r>
      <w:hyperlink r:id="rId107" w:history="1">
        <w:r w:rsidRPr="00075816">
          <w:rPr>
            <w:rStyle w:val="Hyperlink"/>
            <w:sz w:val="20"/>
          </w:rPr>
          <w:t>http://polsis.mk.gov.lv/documents/6214</w:t>
        </w:r>
      </w:hyperlink>
      <w:r w:rsidRPr="00075816">
        <w:t xml:space="preserve"> (sk. 17.04.2019.)</w:t>
      </w:r>
    </w:p>
  </w:footnote>
  <w:footnote w:id="169">
    <w:p w:rsidR="00224B50" w:rsidRPr="00075816" w:rsidRDefault="00224B50" w:rsidP="00075816">
      <w:pPr>
        <w:pStyle w:val="FootnoteText"/>
        <w:spacing w:line="240" w:lineRule="auto"/>
        <w:jc w:val="both"/>
      </w:pPr>
      <w:r w:rsidRPr="00075816">
        <w:rPr>
          <w:rStyle w:val="FootnoteReference"/>
        </w:rPr>
        <w:footnoteRef/>
      </w:r>
      <w:r w:rsidRPr="00075816">
        <w:t xml:space="preserve"> Informatīvais ziņojums „Sabiedrības veselības pamatnostādņu 2014.-2020.gadam īstenošanas vidusposma (2014.-2016.gadā) novērtējums”. Pieejams: </w:t>
      </w:r>
      <w:hyperlink r:id="rId108" w:history="1">
        <w:r w:rsidRPr="00075816">
          <w:rPr>
            <w:rStyle w:val="Hyperlink"/>
            <w:sz w:val="20"/>
          </w:rPr>
          <w:t>http://polsis.mk.gov.lv/documents/6128</w:t>
        </w:r>
      </w:hyperlink>
      <w:r w:rsidRPr="00075816">
        <w:t xml:space="preserve"> (sk. 17.04.2019.)</w:t>
      </w:r>
    </w:p>
  </w:footnote>
  <w:footnote w:id="170">
    <w:p w:rsidR="00224B50" w:rsidRPr="00075816" w:rsidRDefault="00224B50" w:rsidP="00075816">
      <w:pPr>
        <w:pStyle w:val="FootnoteText"/>
        <w:spacing w:line="240" w:lineRule="auto"/>
      </w:pPr>
      <w:r w:rsidRPr="00075816">
        <w:rPr>
          <w:rStyle w:val="FootnoteReference"/>
        </w:rPr>
        <w:footnoteRef/>
      </w:r>
      <w:r w:rsidRPr="00075816">
        <w:t xml:space="preserve"> Plāns „HIV infekcijas, seksuālās transmisijas infekciju, B un C hepatīta izplatības ierobežošanas rīcības plāns 2018. 2020.gadam”. Pieejams: </w:t>
      </w:r>
      <w:hyperlink r:id="rId109" w:history="1">
        <w:r w:rsidRPr="00075816">
          <w:rPr>
            <w:rStyle w:val="Hyperlink"/>
            <w:sz w:val="20"/>
          </w:rPr>
          <w:t>http://polsis.mk.gov.lv/documents/6048</w:t>
        </w:r>
      </w:hyperlink>
      <w:r w:rsidRPr="00075816">
        <w:t xml:space="preserve"> (sk. 17.04.2019.)</w:t>
      </w:r>
    </w:p>
  </w:footnote>
  <w:footnote w:id="171">
    <w:p w:rsidR="00224B50" w:rsidRDefault="00224B50" w:rsidP="00075816">
      <w:pPr>
        <w:pStyle w:val="FootnoteText"/>
        <w:spacing w:line="240" w:lineRule="auto"/>
      </w:pPr>
      <w:r>
        <w:rPr>
          <w:rStyle w:val="FootnoteReference"/>
        </w:rPr>
        <w:footnoteRef/>
      </w:r>
      <w:r>
        <w:t xml:space="preserve"> </w:t>
      </w:r>
      <w:r w:rsidRPr="00075816">
        <w:t xml:space="preserve">Informatīvais ziņojums „Par Ekonomiskās sadarbības un attīstības organizācijas rekomendāciju veselības jomā ieviešanas progresu”. Pieejams: </w:t>
      </w:r>
      <w:hyperlink r:id="rId110" w:history="1">
        <w:r w:rsidRPr="00075816">
          <w:rPr>
            <w:rStyle w:val="Hyperlink"/>
            <w:sz w:val="20"/>
          </w:rPr>
          <w:t>http://polsis.mk.gov.lv/documents/6214</w:t>
        </w:r>
      </w:hyperlink>
      <w:r w:rsidRPr="00075816">
        <w:t xml:space="preserve"> (sk. 17.04.2019.)</w:t>
      </w:r>
    </w:p>
  </w:footnote>
  <w:footnote w:id="172">
    <w:p w:rsidR="00224B50" w:rsidRPr="00075816" w:rsidRDefault="00224B50" w:rsidP="00075816">
      <w:pPr>
        <w:pStyle w:val="FootnoteText"/>
        <w:spacing w:line="240" w:lineRule="auto"/>
        <w:jc w:val="both"/>
      </w:pPr>
      <w:r w:rsidRPr="00075816">
        <w:rPr>
          <w:rStyle w:val="FootnoteReference"/>
        </w:rPr>
        <w:footnoteRef/>
      </w:r>
      <w:r w:rsidRPr="00075816">
        <w:t xml:space="preserve"> Informatīvais ziņojums „Par Ekonomiskās sadarbības un attīstības organizācijas rekomendāciju veselības jomā ieviešanas progresu”. Pieejams: </w:t>
      </w:r>
      <w:hyperlink r:id="rId111" w:history="1">
        <w:r w:rsidRPr="00075816">
          <w:rPr>
            <w:rStyle w:val="Hyperlink"/>
            <w:sz w:val="20"/>
          </w:rPr>
          <w:t>http://polsis.mk.gov.lv/documents/6214</w:t>
        </w:r>
      </w:hyperlink>
      <w:r w:rsidRPr="00075816">
        <w:t xml:space="preserve"> (sk. 17.04.2019.)</w:t>
      </w:r>
    </w:p>
  </w:footnote>
  <w:footnote w:id="173">
    <w:p w:rsidR="00224B50" w:rsidRPr="008674B5" w:rsidRDefault="00224B50" w:rsidP="002814A4">
      <w:pPr>
        <w:pStyle w:val="FootnoteText"/>
        <w:spacing w:line="240" w:lineRule="auto"/>
        <w:jc w:val="both"/>
      </w:pPr>
      <w:r w:rsidRPr="008674B5">
        <w:rPr>
          <w:rStyle w:val="FootnoteReference"/>
        </w:rPr>
        <w:footnoteRef/>
      </w:r>
      <w:r w:rsidRPr="008674B5">
        <w:t xml:space="preserve"> Pieejams: </w:t>
      </w:r>
      <w:hyperlink r:id="rId112" w:history="1">
        <w:r w:rsidRPr="008674B5">
          <w:rPr>
            <w:rStyle w:val="Hyperlink"/>
            <w:sz w:val="20"/>
          </w:rPr>
          <w:t>https://likumi.lv/doc.php?id=296188</w:t>
        </w:r>
      </w:hyperlink>
      <w:r w:rsidRPr="008674B5">
        <w:t xml:space="preserve"> (sk. 18.12.2018.)</w:t>
      </w:r>
    </w:p>
  </w:footnote>
  <w:footnote w:id="174">
    <w:p w:rsidR="00224B50" w:rsidRDefault="00224B50" w:rsidP="007E20AA">
      <w:pPr>
        <w:pStyle w:val="FootnoteText"/>
        <w:spacing w:line="240" w:lineRule="auto"/>
      </w:pPr>
      <w:r>
        <w:rPr>
          <w:rStyle w:val="FootnoteReference"/>
        </w:rPr>
        <w:footnoteRef/>
      </w:r>
      <w:r>
        <w:t xml:space="preserve"> Pieejams: </w:t>
      </w:r>
      <w:hyperlink r:id="rId113" w:history="1">
        <w:r w:rsidRPr="00713D9D">
          <w:rPr>
            <w:rStyle w:val="Hyperlink"/>
            <w:sz w:val="20"/>
          </w:rPr>
          <w:t>https://likumi.lv/doc.php?id=286029</w:t>
        </w:r>
      </w:hyperlink>
      <w:r>
        <w:t xml:space="preserve"> (sk. 17.04.2019.)</w:t>
      </w:r>
    </w:p>
  </w:footnote>
  <w:footnote w:id="175">
    <w:p w:rsidR="00224B50" w:rsidRDefault="00224B50" w:rsidP="007E20AA">
      <w:pPr>
        <w:pStyle w:val="FootnoteText"/>
        <w:spacing w:line="240" w:lineRule="auto"/>
        <w:jc w:val="both"/>
      </w:pPr>
      <w:r w:rsidRPr="00E965F1">
        <w:rPr>
          <w:rStyle w:val="FootnoteReference"/>
        </w:rPr>
        <w:footnoteRef/>
      </w:r>
      <w:r w:rsidRPr="00E965F1">
        <w:t xml:space="preserve"> 2013. gada 17. decembra Ministru kabineta noteikumi Nr.1529 „Veselības aprūpes organizēšanas un finansēšanas kārtība”.</w:t>
      </w:r>
    </w:p>
  </w:footnote>
  <w:footnote w:id="176">
    <w:p w:rsidR="00224B50" w:rsidRDefault="00224B50" w:rsidP="008A7EC9">
      <w:pPr>
        <w:pStyle w:val="FootnoteText"/>
        <w:spacing w:line="240" w:lineRule="auto"/>
      </w:pPr>
      <w:r>
        <w:rPr>
          <w:rStyle w:val="FootnoteReference"/>
        </w:rPr>
        <w:footnoteRef/>
      </w:r>
      <w:r>
        <w:t xml:space="preserve"> </w:t>
      </w:r>
      <w:r w:rsidRPr="008674B5">
        <w:t>Holla, Alaka, Amit Chandra, Paula Giovagnoli, un Christel Vermeersch (2016). Valsts apmaksāto pakalpojumu klāsta un pakalpojumu nodrošināšanas modeļa pārskats</w:t>
      </w:r>
      <w:r>
        <w:t>. 8.lpp.</w:t>
      </w:r>
      <w:r w:rsidRPr="008674B5">
        <w:t xml:space="preserve"> Pieejams: </w:t>
      </w:r>
      <w:hyperlink r:id="rId114" w:history="1">
        <w:r w:rsidRPr="008674B5">
          <w:rPr>
            <w:rStyle w:val="Hyperlink"/>
            <w:sz w:val="20"/>
          </w:rPr>
          <w:t>http://www.vmnvd.gov.lv/uploads/files/58aef4ca681b0.pdf</w:t>
        </w:r>
      </w:hyperlink>
      <w:r w:rsidRPr="008674B5">
        <w:rPr>
          <w:rStyle w:val="Hyperlink"/>
          <w:sz w:val="20"/>
        </w:rPr>
        <w:t xml:space="preserve"> </w:t>
      </w:r>
      <w:r w:rsidRPr="008674B5">
        <w:t>(sk. 21.11.2018.)</w:t>
      </w:r>
    </w:p>
  </w:footnote>
  <w:footnote w:id="177">
    <w:p w:rsidR="00224B50" w:rsidRPr="008A7EC9" w:rsidRDefault="00224B50" w:rsidP="008A7EC9">
      <w:pPr>
        <w:pStyle w:val="FootnoteText"/>
        <w:spacing w:line="240" w:lineRule="auto"/>
      </w:pPr>
      <w:r w:rsidRPr="008A7EC9">
        <w:rPr>
          <w:rStyle w:val="FootnoteReference"/>
        </w:rPr>
        <w:footnoteRef/>
      </w:r>
      <w:r w:rsidRPr="008A7EC9">
        <w:t xml:space="preserve"> </w:t>
      </w:r>
      <w:r w:rsidRPr="008A7EC9">
        <w:rPr>
          <w:color w:val="000000"/>
        </w:rPr>
        <w:t xml:space="preserve">OECD Reviews of Health Systems: Latvia 2016. Pieejams: </w:t>
      </w:r>
      <w:hyperlink r:id="rId115" w:history="1">
        <w:r w:rsidRPr="008A7EC9">
          <w:rPr>
            <w:rStyle w:val="Hyperlink"/>
            <w:rFonts w:ascii="Roboto" w:eastAsiaTheme="majorEastAsia" w:hAnsi="Roboto" w:cs="Arial"/>
            <w:sz w:val="20"/>
          </w:rPr>
          <w:t>http://dx.doi.org/10.1787/9789264262782-en</w:t>
        </w:r>
      </w:hyperlink>
      <w:r w:rsidRPr="008A7EC9">
        <w:rPr>
          <w:rStyle w:val="Hyperlink"/>
          <w:rFonts w:ascii="Roboto" w:eastAsiaTheme="majorEastAsia" w:hAnsi="Roboto" w:cs="Arial"/>
          <w:sz w:val="20"/>
          <w:u w:val="none"/>
        </w:rPr>
        <w:t xml:space="preserve"> (sk. 18.12.2018.)</w:t>
      </w:r>
    </w:p>
  </w:footnote>
  <w:footnote w:id="178">
    <w:p w:rsidR="00224B50" w:rsidRDefault="00224B50" w:rsidP="008A7EC9">
      <w:pPr>
        <w:pStyle w:val="FootnoteText"/>
        <w:spacing w:line="240" w:lineRule="auto"/>
        <w:jc w:val="both"/>
      </w:pPr>
      <w:r>
        <w:rPr>
          <w:rStyle w:val="FootnoteReference"/>
        </w:rPr>
        <w:footnoteRef/>
      </w:r>
      <w:r>
        <w:t xml:space="preserve"> </w:t>
      </w:r>
      <w:r w:rsidRPr="004F0BA3">
        <w:t xml:space="preserve">Informatīvais ziņojums </w:t>
      </w:r>
      <w:r>
        <w:t>„</w:t>
      </w:r>
      <w:r w:rsidRPr="004F0BA3">
        <w:t>Par Ekonomiskās sadarbības un attīstības organizācijas rekomendāciju vese</w:t>
      </w:r>
      <w:r>
        <w:t xml:space="preserve">lības jomā ieviešanas progresu”. Pieejams: </w:t>
      </w:r>
      <w:hyperlink r:id="rId116" w:history="1">
        <w:r w:rsidRPr="00713D9D">
          <w:rPr>
            <w:rStyle w:val="Hyperlink"/>
            <w:sz w:val="20"/>
          </w:rPr>
          <w:t>http://polsis.mk.gov.lv/documents/6214</w:t>
        </w:r>
      </w:hyperlink>
      <w:r>
        <w:t xml:space="preserve"> (sk. 17.04.2019.)</w:t>
      </w:r>
    </w:p>
  </w:footnote>
  <w:footnote w:id="179">
    <w:p w:rsidR="00224B50" w:rsidRPr="008674B5" w:rsidRDefault="00224B50" w:rsidP="008A7EC9">
      <w:pPr>
        <w:pStyle w:val="FootnoteText"/>
        <w:spacing w:line="240" w:lineRule="auto"/>
        <w:jc w:val="both"/>
      </w:pPr>
      <w:r w:rsidRPr="008674B5">
        <w:rPr>
          <w:rStyle w:val="FootnoteReference"/>
        </w:rPr>
        <w:footnoteRef/>
      </w:r>
      <w:r w:rsidRPr="008674B5">
        <w:t xml:space="preserve"> Pieejams: </w:t>
      </w:r>
      <w:hyperlink r:id="rId117" w:history="1">
        <w:r w:rsidRPr="008674B5">
          <w:rPr>
            <w:rStyle w:val="Hyperlink"/>
            <w:sz w:val="20"/>
          </w:rPr>
          <w:t>https://likumi.lv/doc.php?id=43127</w:t>
        </w:r>
      </w:hyperlink>
      <w:r w:rsidRPr="008674B5">
        <w:t xml:space="preserve"> (sk. 18.12.2018.)</w:t>
      </w:r>
    </w:p>
  </w:footnote>
  <w:footnote w:id="180">
    <w:p w:rsidR="00224B50" w:rsidRPr="008674B5" w:rsidRDefault="00224B50" w:rsidP="002814A4">
      <w:pPr>
        <w:pStyle w:val="FootnoteText"/>
        <w:spacing w:line="240" w:lineRule="auto"/>
        <w:jc w:val="both"/>
      </w:pPr>
      <w:r w:rsidRPr="008674B5">
        <w:rPr>
          <w:rStyle w:val="FootnoteReference"/>
        </w:rPr>
        <w:footnoteRef/>
      </w:r>
      <w:r w:rsidRPr="008674B5">
        <w:t xml:space="preserve"> Pieejams: </w:t>
      </w:r>
      <w:hyperlink r:id="rId118" w:history="1">
        <w:r w:rsidRPr="008674B5">
          <w:rPr>
            <w:rStyle w:val="Hyperlink"/>
            <w:sz w:val="20"/>
          </w:rPr>
          <w:t>https://likumi.lv/doc.php?id=147522</w:t>
        </w:r>
      </w:hyperlink>
      <w:r w:rsidRPr="008674B5">
        <w:t xml:space="preserve"> (sk. 18.12.2018.)</w:t>
      </w:r>
    </w:p>
  </w:footnote>
  <w:footnote w:id="181">
    <w:p w:rsidR="00224B50" w:rsidRPr="008674B5" w:rsidRDefault="00224B50" w:rsidP="00C85EB4">
      <w:pPr>
        <w:pStyle w:val="FootnoteText"/>
        <w:spacing w:line="240" w:lineRule="auto"/>
      </w:pPr>
      <w:r w:rsidRPr="008674B5">
        <w:rPr>
          <w:rStyle w:val="FootnoteReference"/>
        </w:rPr>
        <w:footnoteRef/>
      </w:r>
      <w:r w:rsidRPr="008674B5">
        <w:t xml:space="preserve"> Pieejams: </w:t>
      </w:r>
      <w:hyperlink r:id="rId119" w:history="1">
        <w:r w:rsidRPr="008674B5">
          <w:rPr>
            <w:rStyle w:val="Hyperlink"/>
            <w:sz w:val="20"/>
          </w:rPr>
          <w:t>https://likumi.lv/doc.php?id=52951</w:t>
        </w:r>
      </w:hyperlink>
      <w:r w:rsidRPr="008674B5">
        <w:t xml:space="preserve"> (sk. 18.12.2018.)</w:t>
      </w:r>
    </w:p>
  </w:footnote>
  <w:footnote w:id="182">
    <w:p w:rsidR="00224B50" w:rsidRPr="008674B5" w:rsidRDefault="00224B50" w:rsidP="00C85EB4">
      <w:pPr>
        <w:pStyle w:val="FootnoteText"/>
        <w:spacing w:line="240" w:lineRule="auto"/>
      </w:pPr>
      <w:r w:rsidRPr="008674B5">
        <w:rPr>
          <w:rStyle w:val="FootnoteReference"/>
        </w:rPr>
        <w:footnoteRef/>
      </w:r>
      <w:r w:rsidRPr="008674B5">
        <w:t xml:space="preserve"> Pieejams: </w:t>
      </w:r>
      <w:hyperlink r:id="rId120" w:history="1">
        <w:r w:rsidRPr="008674B5">
          <w:rPr>
            <w:rStyle w:val="Hyperlink"/>
            <w:sz w:val="20"/>
          </w:rPr>
          <w:t>https://likumi.lv/doc.php?id=11215</w:t>
        </w:r>
      </w:hyperlink>
      <w:r w:rsidRPr="008674B5">
        <w:t xml:space="preserve"> (sk. 18.12.2018.)</w:t>
      </w:r>
    </w:p>
  </w:footnote>
  <w:footnote w:id="183">
    <w:p w:rsidR="00224B50" w:rsidRPr="008674B5" w:rsidRDefault="00224B50" w:rsidP="00C85EB4">
      <w:pPr>
        <w:pStyle w:val="FootnoteText"/>
        <w:spacing w:line="240" w:lineRule="auto"/>
      </w:pPr>
      <w:r w:rsidRPr="008674B5">
        <w:rPr>
          <w:rStyle w:val="FootnoteReference"/>
        </w:rPr>
        <w:footnoteRef/>
      </w:r>
      <w:r w:rsidRPr="008674B5">
        <w:t xml:space="preserve"> OECD Reviews of Health Systems: Latvia 2016. Pieejams: </w:t>
      </w:r>
      <w:hyperlink r:id="rId121" w:history="1">
        <w:r w:rsidRPr="008674B5">
          <w:rPr>
            <w:rStyle w:val="Hyperlink"/>
            <w:sz w:val="20"/>
          </w:rPr>
          <w:t>http://dx.doi.org/10.1787/9789264262782-en</w:t>
        </w:r>
      </w:hyperlink>
      <w:r w:rsidRPr="008674B5">
        <w:t xml:space="preserve"> (sk. 21.11.2018.)</w:t>
      </w:r>
    </w:p>
  </w:footnote>
  <w:footnote w:id="184">
    <w:p w:rsidR="00224B50" w:rsidRDefault="00224B50" w:rsidP="00C85EB4">
      <w:pPr>
        <w:pStyle w:val="FootnoteText"/>
        <w:spacing w:line="240" w:lineRule="auto"/>
      </w:pPr>
      <w:r>
        <w:rPr>
          <w:rStyle w:val="FootnoteReference"/>
        </w:rPr>
        <w:footnoteRef/>
      </w:r>
      <w:r>
        <w:t xml:space="preserve"> </w:t>
      </w:r>
      <w:r w:rsidRPr="000769DC">
        <w:t xml:space="preserve">Valsts budžeta likums 2017, 854.lpp. Pieejams: </w:t>
      </w:r>
      <w:hyperlink r:id="rId122" w:history="1">
        <w:r w:rsidRPr="00C2784D">
          <w:rPr>
            <w:rStyle w:val="Hyperlink"/>
            <w:sz w:val="20"/>
          </w:rPr>
          <w:t>http://www.fm.gov.lv/lv/sadalas/valsts_budzets/valsts_budzeta_izstrade/_budzets2017/</w:t>
        </w:r>
      </w:hyperlink>
      <w:r>
        <w:t xml:space="preserve"> (sk. 07.03.2019.)</w:t>
      </w:r>
    </w:p>
  </w:footnote>
  <w:footnote w:id="185">
    <w:p w:rsidR="00224B50" w:rsidRDefault="00224B50" w:rsidP="00C44615">
      <w:pPr>
        <w:pStyle w:val="FootnoteText"/>
        <w:spacing w:line="240" w:lineRule="auto"/>
        <w:jc w:val="both"/>
      </w:pPr>
      <w:r>
        <w:rPr>
          <w:rStyle w:val="FootnoteReference"/>
        </w:rPr>
        <w:footnoteRef/>
      </w:r>
      <w:r>
        <w:t xml:space="preserve"> </w:t>
      </w:r>
      <w:r w:rsidRPr="000769DC">
        <w:t>Informatīvais ziņojums “Par valsts budžeta izdevumu pārskatīšanas 2017., 2018. un 2019.</w:t>
      </w:r>
      <w:r>
        <w:t xml:space="preserve"> </w:t>
      </w:r>
      <w:r w:rsidRPr="000769DC">
        <w:t>gadam rezultātiem un priekšlikumi par šo rezultātu izmantošanu likumprojekta “Par vidēja termiņa budžeta 2017., 2018. un 2019.</w:t>
      </w:r>
      <w:r>
        <w:t xml:space="preserve"> </w:t>
      </w:r>
      <w:r w:rsidRPr="000769DC">
        <w:t>gadam” un likumprojekta “Par valsts budžetu 2017.</w:t>
      </w:r>
      <w:r>
        <w:t xml:space="preserve"> </w:t>
      </w:r>
      <w:r w:rsidRPr="000769DC">
        <w:t>gadam” izstrādes procesā”</w:t>
      </w:r>
      <w:r>
        <w:t xml:space="preserve"> Pieejams: </w:t>
      </w:r>
      <w:hyperlink r:id="rId123" w:history="1">
        <w:r w:rsidRPr="00C44615">
          <w:rPr>
            <w:rStyle w:val="Hyperlink"/>
            <w:sz w:val="20"/>
          </w:rPr>
          <w:t>https://www.fm.gov.lv/lv/sadalas/valsts_budzets/valsts_budzeta_izstrade/_budzets2017/</w:t>
        </w:r>
      </w:hyperlink>
      <w:r w:rsidRPr="00C44615">
        <w:t xml:space="preserve"> (sk. 07.03.2019.);</w:t>
      </w:r>
      <w:r w:rsidRPr="000769DC">
        <w:t xml:space="preserve"> 10.pielikums informatīvajam ziņojumam “Par valsts budžeta izdevumu pārskatīšanas 2017., 2018. un 2019.</w:t>
      </w:r>
      <w:r>
        <w:t xml:space="preserve"> </w:t>
      </w:r>
      <w:r w:rsidRPr="000769DC">
        <w:t>gadam rezultātiem un priekšlikumi par šo rezultātu izmantošanu likumprojekta “Par vidēja termiņa budžeta 2017., 2018. un 2019.</w:t>
      </w:r>
      <w:r>
        <w:t xml:space="preserve"> </w:t>
      </w:r>
      <w:r w:rsidRPr="000769DC">
        <w:t>gadam” un likumprojekta “Par valsts budžetu 2017.</w:t>
      </w:r>
      <w:r>
        <w:t xml:space="preserve"> </w:t>
      </w:r>
      <w:r w:rsidRPr="000769DC">
        <w:t xml:space="preserve">gadam” izstrādes procesā”. „Galvenie secinājumi par stacionāro veselības </w:t>
      </w:r>
      <w:r w:rsidRPr="00C44615">
        <w:t xml:space="preserve">aprūpes pakalpojumu daļu un ambulatori veselības aprūpi.” Pieejams: </w:t>
      </w:r>
      <w:hyperlink r:id="rId124" w:history="1">
        <w:r w:rsidRPr="00C44615">
          <w:rPr>
            <w:rStyle w:val="Hyperlink"/>
            <w:sz w:val="20"/>
          </w:rPr>
          <w:t>https://www.fm.gov.lv/lv/sadalas/valsts_budzets/valsts_budzeta_izstrade/_budzets2017/</w:t>
        </w:r>
      </w:hyperlink>
      <w:r w:rsidRPr="00C44615">
        <w:t xml:space="preserve"> (sk. 07.03.2019.)</w:t>
      </w:r>
    </w:p>
  </w:footnote>
  <w:footnote w:id="186">
    <w:p w:rsidR="00224B50" w:rsidRPr="00BA2DCE" w:rsidRDefault="00224B50" w:rsidP="00BA2DCE">
      <w:pPr>
        <w:pStyle w:val="FootnoteText"/>
        <w:spacing w:line="240" w:lineRule="auto"/>
      </w:pPr>
      <w:r w:rsidRPr="00BA2DCE">
        <w:rPr>
          <w:rStyle w:val="FootnoteReference"/>
        </w:rPr>
        <w:footnoteRef/>
      </w:r>
      <w:r w:rsidRPr="00BA2DCE">
        <w:t xml:space="preserve"> Niklass, M. (2018). </w:t>
      </w:r>
      <w:r w:rsidRPr="00BA2DCE">
        <w:rPr>
          <w:i/>
        </w:rPr>
        <w:t>Strādājošo nabadzība Latvijā</w:t>
      </w:r>
      <w:r w:rsidRPr="00BA2DCE">
        <w:t xml:space="preserve"> Sustinno projekta ietvaros. (nepublicēts raksts, izmantots ar autora atļauju)</w:t>
      </w:r>
    </w:p>
  </w:footnote>
  <w:footnote w:id="187">
    <w:p w:rsidR="00224B50" w:rsidRDefault="00224B50" w:rsidP="00792E1F">
      <w:pPr>
        <w:pStyle w:val="FootnoteText"/>
        <w:spacing w:line="240" w:lineRule="auto"/>
      </w:pPr>
      <w:r>
        <w:rPr>
          <w:rStyle w:val="FootnoteReference"/>
        </w:rPr>
        <w:footnoteRef/>
      </w:r>
      <w:r>
        <w:t xml:space="preserve"> </w:t>
      </w:r>
      <w:r w:rsidRPr="00B234DF">
        <w:t>Mātes un bērna veselības uzlabošanas plān</w:t>
      </w:r>
      <w:r>
        <w:t>s</w:t>
      </w:r>
      <w:r w:rsidRPr="00B234DF">
        <w:t xml:space="preserve"> 2018. – 2020. Gadam</w:t>
      </w:r>
      <w:r>
        <w:t xml:space="preserve">. Pieejams: </w:t>
      </w:r>
      <w:r w:rsidRPr="00B234DF">
        <w:t xml:space="preserve">Pieejams: </w:t>
      </w:r>
      <w:hyperlink r:id="rId125" w:history="1">
        <w:r w:rsidRPr="00764077">
          <w:rPr>
            <w:rStyle w:val="Hyperlink"/>
            <w:sz w:val="20"/>
          </w:rPr>
          <w:t>https://likumi.lv/ta/id/299503-par-mates-un-berna-veselibas-uzlabosanas-planu-2018-2020-gadam</w:t>
        </w:r>
      </w:hyperlink>
      <w:r>
        <w:t xml:space="preserve"> </w:t>
      </w:r>
      <w:r w:rsidRPr="00B234DF">
        <w:t>(sk. 16.04.2019.)</w:t>
      </w:r>
    </w:p>
  </w:footnote>
  <w:footnote w:id="188">
    <w:p w:rsidR="00224B50" w:rsidRPr="008674B5" w:rsidRDefault="00224B50" w:rsidP="00C85EB4">
      <w:pPr>
        <w:spacing w:line="240" w:lineRule="auto"/>
        <w:jc w:val="left"/>
        <w:rPr>
          <w:sz w:val="20"/>
          <w:szCs w:val="20"/>
        </w:rPr>
      </w:pPr>
      <w:r w:rsidRPr="008674B5">
        <w:rPr>
          <w:rStyle w:val="FootnoteReference"/>
          <w:sz w:val="20"/>
          <w:szCs w:val="20"/>
        </w:rPr>
        <w:footnoteRef/>
      </w:r>
      <w:r w:rsidRPr="008674B5">
        <w:rPr>
          <w:sz w:val="20"/>
          <w:szCs w:val="20"/>
        </w:rPr>
        <w:t xml:space="preserve"> EU Agency for Fundamental Rights (2014). </w:t>
      </w:r>
      <w:r w:rsidRPr="008674B5">
        <w:rPr>
          <w:i/>
          <w:sz w:val="20"/>
          <w:szCs w:val="20"/>
        </w:rPr>
        <w:t>Violence against Women Survey</w:t>
      </w:r>
      <w:r w:rsidRPr="008674B5">
        <w:rPr>
          <w:sz w:val="20"/>
          <w:szCs w:val="20"/>
        </w:rPr>
        <w:t xml:space="preserve">. Pieejams: </w:t>
      </w:r>
      <w:hyperlink r:id="rId126" w:history="1">
        <w:r w:rsidRPr="008674B5">
          <w:rPr>
            <w:rStyle w:val="Hyperlink"/>
            <w:sz w:val="20"/>
            <w:szCs w:val="20"/>
          </w:rPr>
          <w:t>http://fra.europa.eu/en/publications-and-resources/data-and-maps/survey-data-explorer-violence-against-women-survey</w:t>
        </w:r>
      </w:hyperlink>
      <w:r w:rsidRPr="008674B5">
        <w:rPr>
          <w:sz w:val="20"/>
          <w:szCs w:val="20"/>
        </w:rPr>
        <w:t xml:space="preserve"> (sk. 25.10.2016.); citēts no: Nodibinājums „Baltic Institute of Social Sciences (2016). „Pētījums „Motivācijas paaugstināšanas un atbalsta pakalpojumu potenciālās mērķa grupas profilēšana un  vajadzību izpēte”. Gala ziņojums. Rīga: Sabiedrības integrācijas fonds. Pieejams: </w:t>
      </w:r>
      <w:hyperlink r:id="rId127" w:history="1">
        <w:r w:rsidRPr="008674B5">
          <w:rPr>
            <w:rStyle w:val="Hyperlink"/>
            <w:sz w:val="20"/>
            <w:szCs w:val="20"/>
          </w:rPr>
          <w:t>http://petijumi.mk.gov.lv/sites/default/files/title_file/petij_sif_motivac_paaugst_un_atbalst_pakalpoj_potencial%2Bmerka%2Bgrup_profiles_un_vaj_izpete.pdf</w:t>
        </w:r>
      </w:hyperlink>
      <w:r w:rsidRPr="008674B5">
        <w:rPr>
          <w:sz w:val="20"/>
          <w:szCs w:val="20"/>
        </w:rPr>
        <w:t xml:space="preserve"> (sk. 11.01.2019.)</w:t>
      </w:r>
    </w:p>
  </w:footnote>
  <w:footnote w:id="189">
    <w:p w:rsidR="00224B50" w:rsidRPr="008674B5" w:rsidRDefault="00224B50" w:rsidP="00C85EB4">
      <w:pPr>
        <w:pStyle w:val="FootnoteText"/>
        <w:spacing w:line="240" w:lineRule="auto"/>
        <w:jc w:val="both"/>
      </w:pPr>
      <w:r w:rsidRPr="008674B5">
        <w:rPr>
          <w:rStyle w:val="FootnoteReference"/>
        </w:rPr>
        <w:footnoteRef/>
      </w:r>
      <w:r w:rsidRPr="008674B5">
        <w:t xml:space="preserve"> Turpat </w:t>
      </w:r>
    </w:p>
  </w:footnote>
  <w:footnote w:id="190">
    <w:p w:rsidR="00224B50" w:rsidRPr="008674B5" w:rsidRDefault="00224B50" w:rsidP="00C85EB4">
      <w:pPr>
        <w:pStyle w:val="FootnoteText"/>
        <w:spacing w:line="240" w:lineRule="auto"/>
        <w:jc w:val="both"/>
      </w:pPr>
      <w:r w:rsidRPr="008674B5">
        <w:rPr>
          <w:rStyle w:val="FootnoteReference"/>
        </w:rPr>
        <w:footnoteRef/>
      </w:r>
      <w:r w:rsidRPr="008674B5">
        <w:t xml:space="preserve"> Eiropas ekspertu tīkla par dzimumu līdztiesību (ENEGE) 2015.</w:t>
      </w:r>
      <w:r>
        <w:t xml:space="preserve"> </w:t>
      </w:r>
      <w:r w:rsidRPr="008674B5">
        <w:t>gadā veiktā pētījuma rezultāti, atsauce uz kuriem sniegta Labklājības ministrijas izstrādātajā informatīvajā ziņojumā „Par vardarbības pret sievietēm un vardarbības ģimenē gadījumiem, to izplatību un dinamiku 2014.</w:t>
      </w:r>
      <w:r>
        <w:t xml:space="preserve"> </w:t>
      </w:r>
      <w:r w:rsidRPr="008674B5">
        <w:t xml:space="preserve">gadā” (pieņemts MK 2016. gada 22. martā). </w:t>
      </w:r>
    </w:p>
  </w:footnote>
  <w:footnote w:id="191">
    <w:p w:rsidR="00224B50" w:rsidRPr="008674B5" w:rsidRDefault="00224B50" w:rsidP="00C85EB4">
      <w:pPr>
        <w:pStyle w:val="FootnoteText"/>
        <w:spacing w:line="240" w:lineRule="auto"/>
      </w:pPr>
      <w:r w:rsidRPr="008674B5">
        <w:rPr>
          <w:rStyle w:val="FootnoteReference"/>
        </w:rPr>
        <w:footnoteRef/>
      </w:r>
      <w:r w:rsidRPr="008674B5">
        <w:t xml:space="preserve"> Nodibinājums „Baltic Institute of Social Sciences (201</w:t>
      </w:r>
      <w:r>
        <w:t>7</w:t>
      </w:r>
      <w:r w:rsidRPr="008674B5">
        <w:t>). „Pētījums „Motivācijas paaugstināšanas un atbalsta pakalpojumu potenciālās mēr</w:t>
      </w:r>
      <w:r>
        <w:t xml:space="preserve"> </w:t>
      </w:r>
      <w:r w:rsidRPr="008674B5">
        <w:t xml:space="preserve">ķa grupas profilēšana un  vajadzību izpēte”. Gala ziņojums. Rīga: Sabiedrības integrācijas fonds. Pieejams: </w:t>
      </w:r>
      <w:hyperlink r:id="rId128" w:history="1">
        <w:r w:rsidRPr="008674B5">
          <w:rPr>
            <w:rStyle w:val="Hyperlink"/>
            <w:sz w:val="20"/>
          </w:rPr>
          <w:t>http://petijumi.mk.gov.lv/sites/default/files/title_file/petij_sif_motivac_paaugst_un_atbalst_pakalpoj_potencial%2Bmerka%2Bgrup_profiles_un_vaj_izpete.pdf</w:t>
        </w:r>
      </w:hyperlink>
      <w:r w:rsidRPr="008674B5">
        <w:t xml:space="preserve"> (sk. 11.01.2019.)</w:t>
      </w:r>
    </w:p>
  </w:footnote>
  <w:footnote w:id="192">
    <w:p w:rsidR="00224B50" w:rsidRPr="00B73A85" w:rsidRDefault="00224B50" w:rsidP="00C85EB4">
      <w:pPr>
        <w:pStyle w:val="FootnoteText"/>
        <w:spacing w:line="240" w:lineRule="auto"/>
      </w:pPr>
      <w:r w:rsidRPr="00B73A85">
        <w:rPr>
          <w:rStyle w:val="FootnoteReference"/>
        </w:rPr>
        <w:footnoteRef/>
      </w:r>
      <w:r>
        <w:t xml:space="preserve"> Pieejams:</w:t>
      </w:r>
      <w:r w:rsidRPr="00B73A85">
        <w:t xml:space="preserve"> </w:t>
      </w:r>
      <w:hyperlink r:id="rId129" w:history="1">
        <w:r w:rsidRPr="00B73A85">
          <w:rPr>
            <w:rStyle w:val="Hyperlink"/>
            <w:sz w:val="20"/>
          </w:rPr>
          <w:t>http://www.cilvektirdznieciba.lv/lv/paplasinas-atbalsta-un-palidzibas-pakalpojumi-cilveku-tirdznieciba-cietusajiem/212</w:t>
        </w:r>
      </w:hyperlink>
      <w:r w:rsidRPr="00B73A85">
        <w:t xml:space="preserve"> (sk. 19.01.2019.)</w:t>
      </w:r>
    </w:p>
  </w:footnote>
  <w:footnote w:id="193">
    <w:p w:rsidR="00224B50" w:rsidRPr="00B73A85" w:rsidRDefault="00224B50" w:rsidP="00C85EB4">
      <w:pPr>
        <w:pStyle w:val="FootnoteText"/>
        <w:spacing w:line="240" w:lineRule="auto"/>
      </w:pPr>
      <w:r w:rsidRPr="00B73A85">
        <w:rPr>
          <w:rStyle w:val="FootnoteReference"/>
        </w:rPr>
        <w:footnoteRef/>
      </w:r>
      <w:r>
        <w:t xml:space="preserve"> Žabko, O., </w:t>
      </w:r>
      <w:r w:rsidRPr="00B73A85">
        <w:t xml:space="preserve">Kļave, </w:t>
      </w:r>
      <w:r>
        <w:t xml:space="preserve">E., </w:t>
      </w:r>
      <w:r w:rsidRPr="00B73A85">
        <w:t>Apine, L.</w:t>
      </w:r>
      <w:r>
        <w:t>,</w:t>
      </w:r>
      <w:r w:rsidRPr="00B73A85">
        <w:t xml:space="preserve"> Krieķe</w:t>
      </w:r>
      <w:r>
        <w:t>, L.</w:t>
      </w:r>
      <w:r w:rsidRPr="00B73A85">
        <w:t xml:space="preserve"> (2018). Atkarību izraisošo vielu lietošanas tendenču analīze ieslodzījuma vietās Latvijā 2018. gadā. Rīga: Slimību profilakses un kontroles centrs, Baltic Institute of Social Sciences. Pieejams:</w:t>
      </w:r>
      <w:r>
        <w:t xml:space="preserve"> </w:t>
      </w:r>
      <w:hyperlink r:id="rId130" w:history="1">
        <w:r w:rsidRPr="00B73A85">
          <w:rPr>
            <w:rStyle w:val="Hyperlink"/>
            <w:sz w:val="20"/>
          </w:rPr>
          <w:t>https://www.spkc.gov.lv/upload/Petijumi%20un%20zinojumi/Atkaribu%20slimibu%20petijumi/Diana/biss_atkaribu_lietosana_ieslodzijuma_2018_redits_002.pdf</w:t>
        </w:r>
      </w:hyperlink>
      <w:r w:rsidRPr="00B73A85">
        <w:t xml:space="preserve"> (sk. 21.01.2019.)</w:t>
      </w:r>
    </w:p>
  </w:footnote>
  <w:footnote w:id="194">
    <w:p w:rsidR="00224B50" w:rsidRPr="00B73A85" w:rsidRDefault="00224B50" w:rsidP="00C85EB4">
      <w:pPr>
        <w:pStyle w:val="FootnoteText"/>
        <w:spacing w:line="240" w:lineRule="auto"/>
      </w:pPr>
      <w:r w:rsidRPr="00B73A85">
        <w:rPr>
          <w:rStyle w:val="FootnoteReference"/>
        </w:rPr>
        <w:footnoteRef/>
      </w:r>
      <w:r w:rsidRPr="00B73A85">
        <w:t xml:space="preserve"> Kļave, E., I. Bebriša, O. Žabko, I. Šūpule, L. Jansone (2014). Narkotiku izplatība ieslodzījuma vietās Latvijā 2014. gadā. Rīga: Slimību profilakses un kontroles centrs, Baltic Institute of Social Sciences. Pieejams: </w:t>
      </w:r>
      <w:hyperlink r:id="rId131" w:history="1">
        <w:r w:rsidRPr="00B73A85">
          <w:rPr>
            <w:rStyle w:val="Hyperlink"/>
            <w:sz w:val="20"/>
          </w:rPr>
          <w:t>https://www.spkc.gov.lv/upload/Petijumi%20un%20zinojumi/Atkaribu%20slimibu%20petijumi/narkotiku_izplatiba_ieslodzijuma_vietas_lv_2014_gada.pdf</w:t>
        </w:r>
      </w:hyperlink>
      <w:r w:rsidRPr="00B73A85">
        <w:t xml:space="preserve"> (sk. 13.12.2018.)</w:t>
      </w:r>
    </w:p>
  </w:footnote>
  <w:footnote w:id="195">
    <w:p w:rsidR="00224B50" w:rsidRPr="00B73A85" w:rsidRDefault="00224B50" w:rsidP="00C85EB4">
      <w:pPr>
        <w:pStyle w:val="FootnoteText"/>
        <w:spacing w:line="240" w:lineRule="auto"/>
        <w:jc w:val="both"/>
      </w:pPr>
      <w:r w:rsidRPr="00B73A85">
        <w:rPr>
          <w:rStyle w:val="FootnoteReference"/>
        </w:rPr>
        <w:footnoteRef/>
      </w:r>
      <w:r w:rsidRPr="00B73A85">
        <w:t xml:space="preserve"> Romi Latvijā. Pētījuma ziņojums (2015). SIA „Latvijas Fakti”, Sabiedrības integrācijas fonds. Pētījums publicēts projekta “Dažādi cilvēki. Atšķirīga pieredze. Viena Latvija II” Nr. JUST/2013/PROG/. AG/4978/AD ietvaros, kurš saņēmis Eiropas Savienības PROGRESS programmas finansiālu atbalstu, 95.-120.lpp. Pieejams: </w:t>
      </w:r>
      <w:hyperlink r:id="rId132" w:history="1">
        <w:r w:rsidRPr="00B73A85">
          <w:rPr>
            <w:rStyle w:val="Hyperlink"/>
            <w:sz w:val="20"/>
          </w:rPr>
          <w:t>https://issuu.com/sif2015/docs/petijums_romi_lavija</w:t>
        </w:r>
      </w:hyperlink>
      <w:r w:rsidRPr="00B73A85">
        <w:t xml:space="preserve"> (sk. 19.01.2019.)</w:t>
      </w:r>
    </w:p>
  </w:footnote>
  <w:footnote w:id="196">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Baltic Institute of Social Sciences (2017). Trešo valstu pilsoņu situācijas  izpēte Latvijā 2017. Pieejams: </w:t>
      </w:r>
      <w:hyperlink r:id="rId133" w:history="1">
        <w:r w:rsidRPr="00B73A85">
          <w:rPr>
            <w:rStyle w:val="Hyperlink"/>
            <w:rFonts w:eastAsiaTheme="majorEastAsia"/>
            <w:sz w:val="20"/>
          </w:rPr>
          <w:t>http://www.biss.soc.lv/downloads/publications/BISS_Petijuma_zinojums_2017.pdf</w:t>
        </w:r>
      </w:hyperlink>
      <w:r w:rsidRPr="00B73A85">
        <w:t xml:space="preserve"> (sk. 14.01.2019.)</w:t>
      </w:r>
    </w:p>
  </w:footnote>
  <w:footnote w:id="197">
    <w:p w:rsidR="00224B50" w:rsidRPr="00B73A85" w:rsidRDefault="00224B50" w:rsidP="00C85EB4">
      <w:pPr>
        <w:pStyle w:val="FootnoteText"/>
        <w:spacing w:line="240" w:lineRule="auto"/>
      </w:pPr>
      <w:r w:rsidRPr="00B73A85">
        <w:rPr>
          <w:rStyle w:val="FootnoteReference"/>
        </w:rPr>
        <w:footnoteRef/>
      </w:r>
      <w:r w:rsidRPr="00B73A85">
        <w:t xml:space="preserve"> PMLP, 2017. Pieejams: </w:t>
      </w:r>
      <w:hyperlink r:id="rId134" w:history="1">
        <w:r w:rsidRPr="00B73A85">
          <w:rPr>
            <w:rStyle w:val="Hyperlink"/>
            <w:rFonts w:eastAsiaTheme="majorEastAsia"/>
            <w:sz w:val="20"/>
          </w:rPr>
          <w:t>http://www.pmlp.gov.lv/lv/sakums/statistika/patveruma-mekletaji.html</w:t>
        </w:r>
      </w:hyperlink>
      <w:r w:rsidRPr="00B73A85">
        <w:t xml:space="preserve"> (sk. 29.09.2018.)</w:t>
      </w:r>
    </w:p>
  </w:footnote>
  <w:footnote w:id="198">
    <w:p w:rsidR="00224B50" w:rsidRDefault="00224B50" w:rsidP="00996001">
      <w:pPr>
        <w:pStyle w:val="FootnoteText"/>
        <w:spacing w:line="240" w:lineRule="auto"/>
      </w:pPr>
      <w:r w:rsidRPr="00B73A85">
        <w:rPr>
          <w:rStyle w:val="FootnoteReference"/>
        </w:rPr>
        <w:footnoteRef/>
      </w:r>
      <w:r w:rsidRPr="00B73A85">
        <w:t xml:space="preserve"> Avots: </w:t>
      </w:r>
      <w:hyperlink r:id="rId135" w:history="1">
        <w:r w:rsidRPr="00B73A85">
          <w:rPr>
            <w:rStyle w:val="Hyperlink"/>
            <w:sz w:val="20"/>
          </w:rPr>
          <w:t>http://www.beglis.lv/lv/ir-stajusies-speka-kartiba-kada-patveruma-mekletaju-izmitinasanas-centra-ievietotai-personai-veicama-veselibas-parbaude</w:t>
        </w:r>
      </w:hyperlink>
      <w:r>
        <w:t xml:space="preserve"> (sk. 13.09.2017.)</w:t>
      </w:r>
    </w:p>
  </w:footnote>
  <w:footnote w:id="199">
    <w:p w:rsidR="00224B50" w:rsidRPr="00B73A85" w:rsidRDefault="00224B50" w:rsidP="00C85EB4">
      <w:pPr>
        <w:pStyle w:val="FootnoteText"/>
        <w:spacing w:line="240" w:lineRule="auto"/>
        <w:jc w:val="both"/>
      </w:pPr>
      <w:r w:rsidRPr="00B73A85">
        <w:rPr>
          <w:rStyle w:val="FootnoteReference"/>
        </w:rPr>
        <w:footnoteRef/>
      </w:r>
      <w:r w:rsidRPr="00B73A85">
        <w:t xml:space="preserve"> 1995. gadā tika izstrādāta “Koncepcija valsts politikai mājokļa jautājumu risināšanai”, 30.06. 1996. tika pieņemta “Mājokļu politikas koncepcija”, 05.10.1999. tika pieņemta “Mājokļu attīstības kreditēšanas programma”, 07.03.2000. tika pieņemta “Mājokļu īres likumdošanas un pilnveidošanas koncepcija” u.c. Pieejami: </w:t>
      </w:r>
      <w:hyperlink r:id="rId136" w:history="1">
        <w:r w:rsidRPr="00B73A85">
          <w:rPr>
            <w:rStyle w:val="Hyperlink"/>
            <w:sz w:val="20"/>
          </w:rPr>
          <w:t>http://polsis.mk.gov.lv/documents?order=desc&amp;pageNr=1&amp;pageSize=10&amp;query=m%C4%81jok%C4%BCa</w:t>
        </w:r>
      </w:hyperlink>
      <w:r w:rsidRPr="00B73A85">
        <w:rPr>
          <w:color w:val="FF0000"/>
        </w:rPr>
        <w:t xml:space="preserve"> </w:t>
      </w:r>
      <w:r w:rsidRPr="00B73A85">
        <w:t xml:space="preserve">(sk. 30.10.2018.). Visi norādītie politikas plānošanas dokumenti vairs nav aktuāli. . </w:t>
      </w:r>
    </w:p>
  </w:footnote>
  <w:footnote w:id="200">
    <w:p w:rsidR="00224B50" w:rsidRPr="00B73A85" w:rsidRDefault="00224B50" w:rsidP="00C85EB4">
      <w:pPr>
        <w:pStyle w:val="FootnoteText"/>
        <w:spacing w:line="240" w:lineRule="auto"/>
      </w:pPr>
      <w:r w:rsidRPr="00B73A85">
        <w:rPr>
          <w:rStyle w:val="FootnoteReference"/>
        </w:rPr>
        <w:footnoteRef/>
      </w:r>
      <w:r w:rsidRPr="00B73A85">
        <w:t xml:space="preserve"> Ekonomikas ministrijas izstrādātā  „Mājokļu attīstības kreditēšanas programma” (21.10.2002.) . Pieejams: </w:t>
      </w:r>
      <w:hyperlink r:id="rId137" w:history="1">
        <w:r w:rsidRPr="00B73A85">
          <w:rPr>
            <w:rStyle w:val="Hyperlink"/>
            <w:sz w:val="20"/>
          </w:rPr>
          <w:t>http://polsis.mk.gov.lv/documents/584</w:t>
        </w:r>
      </w:hyperlink>
      <w:r w:rsidRPr="00B73A85">
        <w:t xml:space="preserve"> (sk. 30.10.2018.). Tiesību akts zaudējis spēku 25.08.2005. Skat.: </w:t>
      </w:r>
      <w:hyperlink r:id="rId138" w:history="1">
        <w:r w:rsidRPr="00B73A85">
          <w:rPr>
            <w:rStyle w:val="Hyperlink"/>
            <w:sz w:val="20"/>
          </w:rPr>
          <w:t>https://likumi.lv/ta/id/67556-par-majoklu-attistibas-kreditesanas-programmu-ii-posms</w:t>
        </w:r>
      </w:hyperlink>
      <w:r w:rsidRPr="00B73A85">
        <w:t xml:space="preserve"> (sk. 12.01.2019.)</w:t>
      </w:r>
    </w:p>
  </w:footnote>
  <w:footnote w:id="201">
    <w:p w:rsidR="00224B50" w:rsidRPr="00B73A85" w:rsidRDefault="00224B50" w:rsidP="00C85EB4">
      <w:pPr>
        <w:pStyle w:val="FootnoteText"/>
        <w:spacing w:line="240" w:lineRule="auto"/>
      </w:pPr>
      <w:r w:rsidRPr="00B73A85">
        <w:rPr>
          <w:rStyle w:val="FootnoteReference"/>
        </w:rPr>
        <w:footnoteRef/>
      </w:r>
      <w:r w:rsidRPr="00B73A85">
        <w:t xml:space="preserve"> Finanšu ministrijas izstrādā „Mājokļu attīstības kreditēšanas programma. I etaps” (13.06.2000.). Pieejams:  </w:t>
      </w:r>
      <w:hyperlink r:id="rId139" w:history="1">
        <w:r w:rsidRPr="00B73A85">
          <w:rPr>
            <w:rStyle w:val="Hyperlink"/>
            <w:sz w:val="20"/>
          </w:rPr>
          <w:t>http://polsis.mk.gov.lv/documents/158</w:t>
        </w:r>
      </w:hyperlink>
      <w:r w:rsidRPr="00B73A85">
        <w:t xml:space="preserve"> (sk. 30.10.2018.). Dokuments nav aktuāls. </w:t>
      </w:r>
    </w:p>
  </w:footnote>
  <w:footnote w:id="202">
    <w:p w:rsidR="00224B50" w:rsidRPr="00B73A85" w:rsidRDefault="00224B50" w:rsidP="00C85EB4">
      <w:pPr>
        <w:pStyle w:val="FootnoteText"/>
        <w:spacing w:line="240" w:lineRule="auto"/>
        <w:rPr>
          <w:i/>
        </w:rPr>
      </w:pPr>
      <w:r w:rsidRPr="00B73A85">
        <w:rPr>
          <w:rStyle w:val="FootnoteReference"/>
        </w:rPr>
        <w:footnoteRef/>
      </w:r>
      <w:r w:rsidRPr="00B73A85">
        <w:t xml:space="preserve"> Pēc: </w:t>
      </w:r>
      <w:r w:rsidRPr="00B73A85">
        <w:rPr>
          <w:color w:val="000000"/>
        </w:rPr>
        <w:t>Henilane, I. (2016). Housing con</w:t>
      </w:r>
      <w:r>
        <w:rPr>
          <w:color w:val="000000"/>
        </w:rPr>
        <w:t>cept and analysis of housing cla</w:t>
      </w:r>
      <w:r w:rsidRPr="00B73A85">
        <w:rPr>
          <w:color w:val="000000"/>
        </w:rPr>
        <w:t xml:space="preserve">ssification. </w:t>
      </w:r>
      <w:r w:rsidRPr="00B73A85">
        <w:rPr>
          <w:bCs/>
          <w:i/>
          <w:iCs/>
          <w:color w:val="000000"/>
        </w:rPr>
        <w:t xml:space="preserve">Baltic Journal of Real Estate Economics and Construction Management. </w:t>
      </w:r>
      <w:r w:rsidRPr="00B73A85">
        <w:rPr>
          <w:bCs/>
          <w:iCs/>
          <w:color w:val="000000"/>
        </w:rPr>
        <w:t>November</w:t>
      </w:r>
      <w:r w:rsidRPr="00B73A85">
        <w:rPr>
          <w:bCs/>
          <w:i/>
          <w:iCs/>
          <w:color w:val="000000"/>
        </w:rPr>
        <w:t xml:space="preserve"> </w:t>
      </w:r>
      <w:r w:rsidRPr="00B73A85">
        <w:rPr>
          <w:bCs/>
          <w:iCs/>
          <w:color w:val="000000"/>
        </w:rPr>
        <w:t>2016, 4, 168–179, p.173.</w:t>
      </w:r>
      <w:r w:rsidRPr="00B73A85">
        <w:rPr>
          <w:b/>
          <w:bCs/>
          <w:iCs/>
          <w:color w:val="000000"/>
        </w:rPr>
        <w:t xml:space="preserve"> </w:t>
      </w:r>
      <w:r w:rsidRPr="00B73A85">
        <w:rPr>
          <w:bCs/>
          <w:iCs/>
          <w:color w:val="000000"/>
        </w:rPr>
        <w:t xml:space="preserve">Pieejams: </w:t>
      </w:r>
      <w:hyperlink r:id="rId140" w:history="1">
        <w:r w:rsidRPr="00B73A85">
          <w:rPr>
            <w:rStyle w:val="Hyperlink"/>
            <w:sz w:val="20"/>
          </w:rPr>
          <w:t>https://ortus.rtu.lv/science/lv/publications/23942/attachments/2580</w:t>
        </w:r>
      </w:hyperlink>
      <w:r w:rsidRPr="00B73A85">
        <w:t xml:space="preserve"> (sk. 30.10.2018.)</w:t>
      </w:r>
      <w:r w:rsidRPr="00B73A85">
        <w:rPr>
          <w:rStyle w:val="Hyperlink"/>
          <w:color w:val="000000"/>
          <w:sz w:val="20"/>
        </w:rPr>
        <w:t xml:space="preserve"> </w:t>
      </w:r>
    </w:p>
  </w:footnote>
  <w:footnote w:id="203">
    <w:p w:rsidR="00224B50" w:rsidRPr="00B73A85" w:rsidRDefault="00224B50" w:rsidP="00C85EB4">
      <w:pPr>
        <w:pStyle w:val="FootnoteText"/>
        <w:spacing w:line="240" w:lineRule="auto"/>
      </w:pPr>
      <w:r w:rsidRPr="00B73A85">
        <w:rPr>
          <w:rStyle w:val="FootnoteReference"/>
        </w:rPr>
        <w:footnoteRef/>
      </w:r>
      <w:r w:rsidRPr="00B73A85">
        <w:t xml:space="preserve"> Piemēram, 21.06.1995. likums „Par valsts un pašvaldību dzīvojamo māju privatizāciju”, Latvijas Vēstnesis 103 (386). Pieejams: </w:t>
      </w:r>
      <w:hyperlink r:id="rId141" w:history="1">
        <w:r w:rsidRPr="00B73A85">
          <w:rPr>
            <w:rStyle w:val="Hyperlink"/>
            <w:sz w:val="20"/>
          </w:rPr>
          <w:t>https://likumi.lv/doc.php?id=35770</w:t>
        </w:r>
      </w:hyperlink>
      <w:r w:rsidRPr="00B73A85">
        <w:t xml:space="preserve">  (sk. 30.10.2018.) </w:t>
      </w:r>
    </w:p>
  </w:footnote>
  <w:footnote w:id="204">
    <w:p w:rsidR="00224B50" w:rsidRPr="00B73A85" w:rsidRDefault="00224B50" w:rsidP="00C85EB4">
      <w:pPr>
        <w:pStyle w:val="FootnoteText"/>
        <w:spacing w:line="240" w:lineRule="auto"/>
      </w:pPr>
      <w:r w:rsidRPr="00B73A85">
        <w:rPr>
          <w:rStyle w:val="FootnoteReference"/>
        </w:rPr>
        <w:footnoteRef/>
      </w:r>
      <w:r w:rsidRPr="00B73A85">
        <w:t xml:space="preserve"> Piemēram, Babītes novada domes 25.10.2017. saistošie noteikumi Nr.16 „Par Babītes novada pašvaldības pabalstiem ar materiālā stāvokļa izvērtēšanu”. Pieejams: </w:t>
      </w:r>
      <w:hyperlink r:id="rId142" w:history="1">
        <w:r w:rsidRPr="00B73A85">
          <w:rPr>
            <w:rStyle w:val="Hyperlink"/>
            <w:sz w:val="20"/>
          </w:rPr>
          <w:t>http://www.babite.lv/wp-content/uploads/2015/07/SN-16-pabalstiem-ar-materi%C4%81l%C4%81-st%C4%81vok%C4%BCa-izv%C4%93rt%C4%93%C5%A1anu_25.10.2017..pdf</w:t>
        </w:r>
      </w:hyperlink>
      <w:r w:rsidRPr="00B73A85">
        <w:t xml:space="preserve"> (sk. 30.10.2018.)</w:t>
      </w:r>
    </w:p>
  </w:footnote>
  <w:footnote w:id="205">
    <w:p w:rsidR="00224B50" w:rsidRPr="00B73A85" w:rsidRDefault="00224B50" w:rsidP="00C85EB4">
      <w:pPr>
        <w:pStyle w:val="FootnoteText"/>
        <w:spacing w:line="240" w:lineRule="auto"/>
      </w:pPr>
      <w:r w:rsidRPr="00B73A85">
        <w:rPr>
          <w:rStyle w:val="FootnoteReference"/>
        </w:rPr>
        <w:footnoteRef/>
      </w:r>
      <w:r w:rsidRPr="00B73A85">
        <w:t xml:space="preserve"> CSP (30.10.2018.). Termini. </w:t>
      </w:r>
      <w:r w:rsidRPr="00B73A85">
        <w:rPr>
          <w:color w:val="000000"/>
        </w:rPr>
        <w:t xml:space="preserve">Statistikā izmantotie termini un to skaidrojumi. Pieejams: </w:t>
      </w:r>
      <w:hyperlink r:id="rId143" w:history="1">
        <w:r w:rsidRPr="00B73A85">
          <w:rPr>
            <w:rStyle w:val="Hyperlink"/>
            <w:sz w:val="20"/>
          </w:rPr>
          <w:t>https://www.csb.gov.lv/lv/statistika/termini?tid=Tradicion%C4%81lais+m%C4%81joklis+%28921%29</w:t>
        </w:r>
      </w:hyperlink>
      <w:r w:rsidRPr="00B73A85">
        <w:t xml:space="preserve"> (sk. 27.10.2018.) </w:t>
      </w:r>
    </w:p>
  </w:footnote>
  <w:footnote w:id="206">
    <w:p w:rsidR="00224B50" w:rsidRPr="00B73A85" w:rsidRDefault="00224B50" w:rsidP="00C85EB4">
      <w:pPr>
        <w:pStyle w:val="FootnoteText"/>
        <w:spacing w:line="240" w:lineRule="auto"/>
      </w:pPr>
      <w:r w:rsidRPr="00B73A85">
        <w:rPr>
          <w:rStyle w:val="FootnoteReference"/>
        </w:rPr>
        <w:footnoteRef/>
      </w:r>
      <w:r w:rsidRPr="00B73A85">
        <w:t xml:space="preserve"> CSP (30.10.2018.). Termini. </w:t>
      </w:r>
      <w:r w:rsidRPr="00B73A85">
        <w:rPr>
          <w:color w:val="000000"/>
        </w:rPr>
        <w:t>Statistikā izmantotie termini un to skaidrojumi. Pieejams:</w:t>
      </w:r>
      <w:r w:rsidRPr="00B73A85">
        <w:rPr>
          <w:rFonts w:ascii="Arial" w:hAnsi="Arial" w:cs="Arial"/>
          <w:color w:val="000000"/>
        </w:rPr>
        <w:t xml:space="preserve"> </w:t>
      </w:r>
      <w:hyperlink r:id="rId144" w:history="1">
        <w:r w:rsidRPr="00B73A85">
          <w:rPr>
            <w:rStyle w:val="Hyperlink"/>
            <w:sz w:val="20"/>
          </w:rPr>
          <w:t>https://www.csb.gov.lv/lv/statistika/termini?tid=%22M%C4%81joklis+%5Btautas+skait%C4%AB%C5%A1ana%2C+2000%5D+%281399%29%22</w:t>
        </w:r>
      </w:hyperlink>
      <w:r w:rsidRPr="00B73A85">
        <w:t xml:space="preserve"> (sk. 30.10.2018.)</w:t>
      </w:r>
    </w:p>
  </w:footnote>
  <w:footnote w:id="207">
    <w:p w:rsidR="00224B50" w:rsidRPr="00B73A85" w:rsidRDefault="00224B50" w:rsidP="00C85EB4">
      <w:pPr>
        <w:pStyle w:val="FootnoteText"/>
        <w:spacing w:line="240" w:lineRule="auto"/>
      </w:pPr>
      <w:r w:rsidRPr="00B73A85">
        <w:rPr>
          <w:rStyle w:val="FootnoteReference"/>
        </w:rPr>
        <w:footnoteRef/>
      </w:r>
      <w:r w:rsidRPr="00B73A85">
        <w:t xml:space="preserve"> Sideļska, A. (2014). </w:t>
      </w:r>
      <w:r w:rsidRPr="00B73A85">
        <w:rPr>
          <w:i/>
        </w:rPr>
        <w:t>Dzīvojamais fonds kā reģionu sociālekonomiskās attīstības elements</w:t>
      </w:r>
      <w:r w:rsidRPr="00B73A85">
        <w:t xml:space="preserve">. Promocijas darba kopsavilkums. Latvijas Lauksaimniecības universitāte. Pieejams: </w:t>
      </w:r>
      <w:hyperlink r:id="rId145" w:history="1">
        <w:r w:rsidRPr="00B73A85">
          <w:rPr>
            <w:rStyle w:val="Hyperlink"/>
            <w:sz w:val="20"/>
          </w:rPr>
          <w:t>http://llufb.llu.lv/dissertation-summary/regionaleconomics/A_Sidelska_prom_darba_kopsavilkums_2014_LLU.pdf</w:t>
        </w:r>
      </w:hyperlink>
      <w:r w:rsidRPr="00B73A85">
        <w:t xml:space="preserve"> (sk. 30.10.2018.)</w:t>
      </w:r>
    </w:p>
  </w:footnote>
  <w:footnote w:id="208">
    <w:p w:rsidR="00224B50" w:rsidRPr="00B73A85" w:rsidRDefault="00224B50" w:rsidP="00C85EB4">
      <w:pPr>
        <w:pStyle w:val="FootnoteText"/>
        <w:spacing w:line="240" w:lineRule="auto"/>
      </w:pPr>
      <w:r w:rsidRPr="00B73A85">
        <w:rPr>
          <w:rStyle w:val="FootnoteReference"/>
        </w:rPr>
        <w:footnoteRef/>
      </w:r>
      <w:r w:rsidRPr="00B73A85">
        <w:t xml:space="preserve"> </w:t>
      </w:r>
      <w:r w:rsidRPr="00B73A85">
        <w:rPr>
          <w:color w:val="000000"/>
        </w:rPr>
        <w:t xml:space="preserve">Henilane, I (2016). Housing concept and analysis of housing calssification. </w:t>
      </w:r>
      <w:r w:rsidRPr="00B73A85">
        <w:rPr>
          <w:bCs/>
          <w:i/>
          <w:iCs/>
          <w:color w:val="000000"/>
        </w:rPr>
        <w:t xml:space="preserve">Baltic Journal of Real Estate Economics and Construction Management. </w:t>
      </w:r>
      <w:r w:rsidRPr="00B73A85">
        <w:rPr>
          <w:bCs/>
          <w:iCs/>
          <w:color w:val="000000"/>
        </w:rPr>
        <w:t>November</w:t>
      </w:r>
      <w:r w:rsidRPr="00B73A85">
        <w:rPr>
          <w:bCs/>
          <w:i/>
          <w:iCs/>
          <w:color w:val="000000"/>
        </w:rPr>
        <w:t xml:space="preserve"> </w:t>
      </w:r>
      <w:r w:rsidRPr="00B73A85">
        <w:rPr>
          <w:bCs/>
          <w:iCs/>
          <w:color w:val="000000"/>
        </w:rPr>
        <w:t>2016, 4, 168–179, p.173.</w:t>
      </w:r>
      <w:r w:rsidRPr="00B73A85">
        <w:rPr>
          <w:b/>
          <w:bCs/>
          <w:iCs/>
          <w:color w:val="000000"/>
        </w:rPr>
        <w:t xml:space="preserve"> </w:t>
      </w:r>
      <w:r w:rsidRPr="00B73A85">
        <w:rPr>
          <w:bCs/>
          <w:iCs/>
          <w:color w:val="000000"/>
        </w:rPr>
        <w:t xml:space="preserve">Pieejams: </w:t>
      </w:r>
      <w:hyperlink r:id="rId146" w:history="1">
        <w:r w:rsidRPr="00B73A85">
          <w:rPr>
            <w:rStyle w:val="Hyperlink"/>
            <w:sz w:val="20"/>
          </w:rPr>
          <w:t>https://ortus.rtu.lv/science/lv/publications/23942/attachments/2580</w:t>
        </w:r>
      </w:hyperlink>
      <w:r w:rsidRPr="00B73A85">
        <w:t xml:space="preserve"> (sk. 30.10.2018.)</w:t>
      </w:r>
    </w:p>
  </w:footnote>
  <w:footnote w:id="209">
    <w:p w:rsidR="00224B50" w:rsidRPr="00B73A85" w:rsidRDefault="00224B50" w:rsidP="00C85EB4">
      <w:pPr>
        <w:pStyle w:val="Default"/>
        <w:rPr>
          <w:sz w:val="20"/>
          <w:szCs w:val="20"/>
        </w:rPr>
      </w:pPr>
      <w:r w:rsidRPr="00B73A85">
        <w:rPr>
          <w:rStyle w:val="FootnoteReference"/>
          <w:sz w:val="20"/>
          <w:szCs w:val="20"/>
        </w:rPr>
        <w:footnoteRef/>
      </w:r>
      <w:r w:rsidRPr="00B73A85">
        <w:rPr>
          <w:sz w:val="20"/>
          <w:szCs w:val="20"/>
        </w:rPr>
        <w:t xml:space="preserve"> Launch of the Economic Survey of Latvia. Pieejams: </w:t>
      </w:r>
      <w:hyperlink r:id="rId147" w:history="1">
        <w:r w:rsidRPr="00B73A85">
          <w:rPr>
            <w:rStyle w:val="Hyperlink"/>
            <w:sz w:val="20"/>
            <w:szCs w:val="20"/>
          </w:rPr>
          <w:t>https://www.oecd.org/economy/launch-of-the-economic-survey-of-latvia-2017.htm</w:t>
        </w:r>
      </w:hyperlink>
      <w:r w:rsidRPr="00B73A85">
        <w:rPr>
          <w:sz w:val="20"/>
          <w:szCs w:val="20"/>
        </w:rPr>
        <w:t xml:space="preserve">; 2017 OECD ECONOMIC SURVEY OF LATVIA. Pieejams: </w:t>
      </w:r>
    </w:p>
    <w:p w:rsidR="00224B50" w:rsidRPr="00B73A85" w:rsidRDefault="00224B50" w:rsidP="00C85EB4">
      <w:pPr>
        <w:pStyle w:val="FootnoteText"/>
        <w:spacing w:line="240" w:lineRule="auto"/>
      </w:pPr>
      <w:hyperlink r:id="rId148" w:history="1">
        <w:r w:rsidRPr="00B73A85">
          <w:rPr>
            <w:rStyle w:val="Hyperlink"/>
            <w:sz w:val="20"/>
          </w:rPr>
          <w:t>https://www.oecd.org/economy/surveys/Latvia-2017-OECD-economic-Survey-boosting-productivity-and-inclusiveness.pdf</w:t>
        </w:r>
      </w:hyperlink>
      <w:r w:rsidRPr="00B73A85">
        <w:t xml:space="preserve"> (sk. 29.10.2018.)</w:t>
      </w:r>
    </w:p>
  </w:footnote>
  <w:footnote w:id="210">
    <w:p w:rsidR="00224B50" w:rsidRPr="00B73A85" w:rsidRDefault="00224B50" w:rsidP="00C85EB4">
      <w:pPr>
        <w:pStyle w:val="FootnoteText"/>
        <w:spacing w:line="240" w:lineRule="auto"/>
      </w:pPr>
      <w:r w:rsidRPr="00B73A85">
        <w:rPr>
          <w:rStyle w:val="FootnoteReference"/>
        </w:rPr>
        <w:footnoteRef/>
      </w:r>
      <w:r w:rsidRPr="00B73A85">
        <w:t xml:space="preserve"> LR Tiesībsargs. 28.08.2018. </w:t>
      </w:r>
      <w:r w:rsidRPr="00B73A85">
        <w:rPr>
          <w:i/>
        </w:rPr>
        <w:t>Ziņojums par aktuālo situāciju pašvaldības palīdzības sniegšanā mājokļu jomā un rekomendāciju izpildi pārbaudes lietā Nr.2014-35-18AC</w:t>
      </w:r>
      <w:r w:rsidRPr="00B73A85">
        <w:t>, 8.lpp.</w:t>
      </w:r>
    </w:p>
  </w:footnote>
  <w:footnote w:id="211">
    <w:p w:rsidR="00224B50" w:rsidRPr="00B73A85" w:rsidRDefault="00224B50" w:rsidP="00C85EB4">
      <w:pPr>
        <w:pStyle w:val="FootnoteText"/>
        <w:spacing w:line="240" w:lineRule="auto"/>
      </w:pPr>
      <w:r w:rsidRPr="00B73A85">
        <w:rPr>
          <w:rStyle w:val="FootnoteReference"/>
        </w:rPr>
        <w:footnoteRef/>
      </w:r>
      <w:r w:rsidRPr="00B73A85">
        <w:t xml:space="preserve"> 05.02.1922. LR Satversme. Latvijas Vēstnesis 43, 01.07.1993. Pieejams: </w:t>
      </w:r>
      <w:hyperlink r:id="rId149" w:history="1">
        <w:r w:rsidRPr="00B73A85">
          <w:rPr>
            <w:rStyle w:val="Hyperlink"/>
            <w:sz w:val="20"/>
          </w:rPr>
          <w:t>https://likumi.lv/doc.php?id=57980</w:t>
        </w:r>
      </w:hyperlink>
      <w:r w:rsidRPr="00B73A85">
        <w:t xml:space="preserve"> (sk. 30.10.2018.)</w:t>
      </w:r>
    </w:p>
  </w:footnote>
  <w:footnote w:id="212">
    <w:p w:rsidR="00224B50" w:rsidRPr="00B73A85" w:rsidRDefault="00224B50" w:rsidP="00C85EB4">
      <w:pPr>
        <w:pStyle w:val="FootnoteText"/>
        <w:spacing w:line="240" w:lineRule="auto"/>
      </w:pPr>
      <w:r w:rsidRPr="00B73A85">
        <w:rPr>
          <w:rStyle w:val="FootnoteReference"/>
        </w:rPr>
        <w:footnoteRef/>
      </w:r>
      <w:r w:rsidRPr="00B73A85">
        <w:t xml:space="preserve"> 9.pants. Katram ir tiesības uz pabalstu ar piemērota dzīvokļa nodrošināšanu saistīto izdevumu segšanai vai uz atvieglojumiem īres nomaksā saskaņā ar likumu. Pieejams: </w:t>
      </w:r>
      <w:hyperlink r:id="rId150" w:history="1">
        <w:r w:rsidRPr="00B73A85">
          <w:rPr>
            <w:rStyle w:val="Hyperlink"/>
            <w:sz w:val="20"/>
          </w:rPr>
          <w:t>https://likumi.lv/doc.php?id=36850</w:t>
        </w:r>
      </w:hyperlink>
      <w:r w:rsidRPr="00B73A85">
        <w:t xml:space="preserve"> (sk. 29.10.2018.)</w:t>
      </w:r>
    </w:p>
  </w:footnote>
  <w:footnote w:id="213">
    <w:p w:rsidR="00224B50" w:rsidRPr="00B73A85" w:rsidRDefault="00224B50" w:rsidP="00C85EB4">
      <w:pPr>
        <w:pStyle w:val="FootnoteText"/>
        <w:spacing w:line="240" w:lineRule="auto"/>
      </w:pPr>
      <w:r w:rsidRPr="00B73A85">
        <w:rPr>
          <w:rStyle w:val="FootnoteReference"/>
        </w:rPr>
        <w:footnoteRef/>
      </w:r>
      <w:r w:rsidRPr="00B73A85">
        <w:t xml:space="preserve"> „15.panta 9.punkts. Viena no pašvaldību autonomajām funkcijām ir „sniegt palīdzību iedzīvotājiem dzīvokļa jautājumu risināšanā. Pieejams: </w:t>
      </w:r>
      <w:hyperlink r:id="rId151" w:history="1">
        <w:r w:rsidRPr="00B73A85">
          <w:rPr>
            <w:rStyle w:val="Hyperlink"/>
            <w:sz w:val="20"/>
          </w:rPr>
          <w:t>https://likumi.lv/doc.php?id=57255</w:t>
        </w:r>
      </w:hyperlink>
      <w:r w:rsidRPr="00B73A85">
        <w:t xml:space="preserve"> sk. (29.10.2018.)</w:t>
      </w:r>
    </w:p>
  </w:footnote>
  <w:footnote w:id="214">
    <w:p w:rsidR="00224B50" w:rsidRPr="00B73A85" w:rsidRDefault="00224B50" w:rsidP="00C85EB4">
      <w:pPr>
        <w:pStyle w:val="FootnoteText"/>
        <w:spacing w:line="240" w:lineRule="auto"/>
      </w:pPr>
      <w:r w:rsidRPr="00B73A85">
        <w:rPr>
          <w:rStyle w:val="FootnoteReference"/>
        </w:rPr>
        <w:footnoteRef/>
      </w:r>
      <w:r w:rsidRPr="00B73A85">
        <w:t xml:space="preserve"> LR Tiesībsargs. 28.08.2018. </w:t>
      </w:r>
      <w:r w:rsidRPr="00B73A85">
        <w:rPr>
          <w:i/>
        </w:rPr>
        <w:t>Ziņojums par aktuālo situāciju pašvaldības palīdzības sniegšanā mājokļu jomā un rekomendāciju izpildi pārbaudes lietā Nr.2014-35-18AC</w:t>
      </w:r>
      <w:r w:rsidRPr="00B73A85">
        <w:t xml:space="preserve">. Pieejams: </w:t>
      </w:r>
      <w:hyperlink r:id="rId152" w:history="1">
        <w:r w:rsidRPr="00B73A85">
          <w:rPr>
            <w:rStyle w:val="Hyperlink"/>
            <w:sz w:val="20"/>
          </w:rPr>
          <w:t>http://www.tiesibsargs.lv/uploads/content/lapas/zinojums_pasvaldibu_majokli_1535636795.pdf</w:t>
        </w:r>
      </w:hyperlink>
      <w:r w:rsidRPr="00B73A85">
        <w:rPr>
          <w:rStyle w:val="Hyperlink"/>
          <w:sz w:val="20"/>
        </w:rPr>
        <w:t xml:space="preserve"> </w:t>
      </w:r>
      <w:r w:rsidRPr="00B73A85">
        <w:t>(sk. 29.10.2018.)</w:t>
      </w:r>
    </w:p>
  </w:footnote>
  <w:footnote w:id="215">
    <w:p w:rsidR="00224B50" w:rsidRPr="00B73A85" w:rsidRDefault="00224B50" w:rsidP="00C85EB4">
      <w:pPr>
        <w:pStyle w:val="FootnoteText"/>
        <w:spacing w:line="240" w:lineRule="auto"/>
      </w:pPr>
      <w:r w:rsidRPr="00B73A85">
        <w:rPr>
          <w:rStyle w:val="FootnoteReference"/>
        </w:rPr>
        <w:footnoteRef/>
      </w:r>
      <w:r w:rsidRPr="00B73A85">
        <w:t xml:space="preserve"> </w:t>
      </w:r>
      <w:r w:rsidRPr="00B73A85">
        <w:rPr>
          <w:lang w:val="en-US"/>
        </w:rPr>
        <w:t xml:space="preserve">NOBODY LEFT BEHIND: Ensuring access for all to affordable, quality housing and public health services", EAPN's EU Inclusion Strategies Group, December 2016. Pieejams: </w:t>
      </w:r>
      <w:hyperlink r:id="rId153" w:history="1">
        <w:r w:rsidRPr="00B73A85">
          <w:rPr>
            <w:rStyle w:val="Hyperlink"/>
            <w:sz w:val="20"/>
            <w:lang w:val="en-US"/>
          </w:rPr>
          <w:t>https://ec.europa.eu/info/sites/info/files/eapn-access-to-housing-and-health-services.pdf</w:t>
        </w:r>
      </w:hyperlink>
      <w:r w:rsidRPr="00B73A85">
        <w:rPr>
          <w:lang w:val="en-US"/>
        </w:rPr>
        <w:t xml:space="preserve"> (sk. 30.10.2018.). </w:t>
      </w:r>
    </w:p>
  </w:footnote>
  <w:footnote w:id="216">
    <w:p w:rsidR="00224B50" w:rsidRPr="00B73A85" w:rsidRDefault="00224B50" w:rsidP="00C85EB4">
      <w:pPr>
        <w:pStyle w:val="FootnoteText"/>
        <w:spacing w:line="240" w:lineRule="auto"/>
      </w:pPr>
      <w:r w:rsidRPr="00B73A85">
        <w:rPr>
          <w:rStyle w:val="FootnoteReference"/>
        </w:rPr>
        <w:footnoteRef/>
      </w:r>
      <w:r w:rsidRPr="00B73A85">
        <w:t xml:space="preserve"> Office of the High Commisioner for Human Rights. Committee on Economic, Social and Cultural Rights, General Comment 4: The Right to Adequate Housing (Art. 11 (1) of the Covenant). Adopted at the Sixth Session of the Committee on Economic, Social and Cultural Rights, on 13 December 1991 (Contained in Document E/1992/23).  Pieejams: </w:t>
      </w:r>
      <w:hyperlink r:id="rId154" w:history="1">
        <w:r w:rsidRPr="00B73A85">
          <w:rPr>
            <w:rStyle w:val="Hyperlink"/>
            <w:sz w:val="20"/>
          </w:rPr>
          <w:t>http://www.refworld.org/pdfid/47a7079a1.pdf</w:t>
        </w:r>
      </w:hyperlink>
      <w:r w:rsidRPr="00B73A85">
        <w:t xml:space="preserve"> (sk. 31.10.2018.).</w:t>
      </w:r>
    </w:p>
  </w:footnote>
  <w:footnote w:id="217">
    <w:p w:rsidR="00224B50" w:rsidRPr="00B73A85" w:rsidRDefault="00224B50" w:rsidP="00C85EB4">
      <w:pPr>
        <w:pStyle w:val="FootnoteText"/>
        <w:spacing w:line="240" w:lineRule="auto"/>
      </w:pPr>
      <w:r w:rsidRPr="00B73A85">
        <w:rPr>
          <w:rStyle w:val="FootnoteReference"/>
        </w:rPr>
        <w:footnoteRef/>
      </w:r>
      <w:r w:rsidRPr="00B73A85">
        <w:t xml:space="preserve"> Turpat. </w:t>
      </w:r>
    </w:p>
  </w:footnote>
  <w:footnote w:id="218">
    <w:p w:rsidR="00224B50" w:rsidRPr="00B73A85" w:rsidRDefault="00224B50" w:rsidP="00C85EB4">
      <w:pPr>
        <w:pStyle w:val="FootnoteText"/>
        <w:spacing w:line="240" w:lineRule="auto"/>
      </w:pPr>
      <w:r w:rsidRPr="00B73A85">
        <w:rPr>
          <w:rStyle w:val="FootnoteReference"/>
        </w:rPr>
        <w:footnoteRef/>
      </w:r>
      <w:r w:rsidRPr="00B73A85">
        <w:t xml:space="preserve"> 03.05.1996. Pārskatītā Eiropas Sociālā Harta. Pieejams: </w:t>
      </w:r>
      <w:hyperlink r:id="rId155" w:history="1">
        <w:r w:rsidRPr="00B73A85">
          <w:rPr>
            <w:rStyle w:val="Hyperlink"/>
            <w:sz w:val="20"/>
          </w:rPr>
          <w:t>https://m.likumi.lv/doc.php?id=255042</w:t>
        </w:r>
      </w:hyperlink>
      <w:r w:rsidRPr="00B73A85">
        <w:t xml:space="preserve"> (sk. 29.10.2018.) </w:t>
      </w:r>
    </w:p>
  </w:footnote>
  <w:footnote w:id="219">
    <w:p w:rsidR="00224B50" w:rsidRPr="00B73A85" w:rsidRDefault="00224B50" w:rsidP="00C85EB4">
      <w:pPr>
        <w:pStyle w:val="FootnoteText"/>
        <w:spacing w:line="240" w:lineRule="auto"/>
      </w:pPr>
      <w:r w:rsidRPr="00B73A85">
        <w:rPr>
          <w:rStyle w:val="FootnoteReference"/>
        </w:rPr>
        <w:footnoteRef/>
      </w:r>
      <w:r w:rsidRPr="00B73A85">
        <w:t xml:space="preserve"> LR Tiesībsargs. 28.08.2018. </w:t>
      </w:r>
      <w:r w:rsidRPr="00B73A85">
        <w:rPr>
          <w:i/>
        </w:rPr>
        <w:t>Ziņojums par aktuālo situāciju pašvaldības palīdzības sniegšanā mājokļu jomā un rekomendāciju izpildi pārbaudes lietā Nr.2014-35-18AC</w:t>
      </w:r>
      <w:r w:rsidRPr="00B73A85">
        <w:t xml:space="preserve">, 5.lpp. Pieejams: </w:t>
      </w:r>
      <w:hyperlink r:id="rId156" w:history="1">
        <w:r w:rsidRPr="00B73A85">
          <w:rPr>
            <w:rStyle w:val="Hyperlink"/>
            <w:sz w:val="20"/>
          </w:rPr>
          <w:t>http://www.tiesibsargs.lv/uploads/content/lapas/zinojums_pasvaldibu_majokli_1535636795.pdf</w:t>
        </w:r>
      </w:hyperlink>
      <w:r w:rsidRPr="00B73A85">
        <w:rPr>
          <w:rStyle w:val="Hyperlink"/>
          <w:sz w:val="20"/>
        </w:rPr>
        <w:t xml:space="preserve"> </w:t>
      </w:r>
      <w:r w:rsidRPr="00B73A85">
        <w:t>(sk. 29.10.2018.)</w:t>
      </w:r>
    </w:p>
  </w:footnote>
  <w:footnote w:id="220">
    <w:p w:rsidR="00224B50" w:rsidRDefault="00224B50" w:rsidP="00C85EB4">
      <w:pPr>
        <w:pStyle w:val="FootnoteText"/>
        <w:spacing w:line="240" w:lineRule="auto"/>
      </w:pPr>
      <w:r>
        <w:rPr>
          <w:rStyle w:val="FootnoteReference"/>
        </w:rPr>
        <w:footnoteRef/>
      </w:r>
      <w:r>
        <w:t xml:space="preserve"> 14.02.2013. Likums „Par Pārskatīto Eiropas Sociālo hartu”. Pieejams: </w:t>
      </w:r>
      <w:hyperlink r:id="rId157" w:history="1">
        <w:r w:rsidRPr="00007365">
          <w:rPr>
            <w:rStyle w:val="Hyperlink"/>
            <w:sz w:val="20"/>
          </w:rPr>
          <w:t>https://likumi.lv/doc.php?id=255022</w:t>
        </w:r>
      </w:hyperlink>
      <w:r>
        <w:t xml:space="preserve"> (sk. 28.03.2019.)</w:t>
      </w:r>
    </w:p>
  </w:footnote>
  <w:footnote w:id="221">
    <w:p w:rsidR="00224B50" w:rsidRDefault="00224B50" w:rsidP="00C85EB4">
      <w:pPr>
        <w:pStyle w:val="FootnoteText"/>
        <w:spacing w:line="240" w:lineRule="auto"/>
      </w:pPr>
      <w:r w:rsidRPr="00DA4B77">
        <w:rPr>
          <w:rStyle w:val="FootnoteReference"/>
        </w:rPr>
        <w:footnoteRef/>
      </w:r>
      <w:r>
        <w:t xml:space="preserve"> Council of Europe (1 September 2008). Digest of the Case Law of the European Committee of Social Rights, p. 351. Pieejams: </w:t>
      </w:r>
      <w:hyperlink r:id="rId158" w:history="1">
        <w:r w:rsidRPr="001F340D">
          <w:rPr>
            <w:rStyle w:val="Hyperlink"/>
            <w:sz w:val="20"/>
          </w:rPr>
          <w:t>https://rm.coe.int/168049159f</w:t>
        </w:r>
      </w:hyperlink>
      <w:r>
        <w:t xml:space="preserve"> (sk. 10.04.2019.)</w:t>
      </w:r>
    </w:p>
  </w:footnote>
  <w:footnote w:id="222">
    <w:p w:rsidR="00224B50" w:rsidRPr="00B73A85" w:rsidRDefault="00224B50" w:rsidP="00C85EB4">
      <w:pPr>
        <w:pStyle w:val="FootnoteText"/>
        <w:spacing w:line="240" w:lineRule="auto"/>
      </w:pPr>
      <w:r w:rsidRPr="00B73A85">
        <w:rPr>
          <w:rStyle w:val="FootnoteReference"/>
        </w:rPr>
        <w:footnoteRef/>
      </w:r>
      <w:r w:rsidRPr="00B73A85">
        <w:t xml:space="preserve"> LR Tiesībsargs. 28.08.2018. </w:t>
      </w:r>
      <w:r w:rsidRPr="00B73A85">
        <w:rPr>
          <w:i/>
        </w:rPr>
        <w:t>Ziņojums par aktuālo situāciju pašvaldības palīdzības sniegšanā mājokļu jomā un rekomendāciju izpildi pārbaudes lietā Nr.2014-35-18AC</w:t>
      </w:r>
      <w:r>
        <w:t>, 5.lpp</w:t>
      </w:r>
      <w:r w:rsidRPr="00B73A85">
        <w:t xml:space="preserve">. </w:t>
      </w:r>
    </w:p>
  </w:footnote>
  <w:footnote w:id="223">
    <w:p w:rsidR="00224B50" w:rsidRPr="00B73A85" w:rsidRDefault="00224B50" w:rsidP="00C85EB4">
      <w:pPr>
        <w:pStyle w:val="FootnoteText"/>
        <w:spacing w:line="240" w:lineRule="auto"/>
      </w:pPr>
      <w:r w:rsidRPr="00B73A85">
        <w:rPr>
          <w:rStyle w:val="FootnoteReference"/>
        </w:rPr>
        <w:footnoteRef/>
      </w:r>
      <w:r w:rsidRPr="00B73A85">
        <w:t xml:space="preserve"> Likums “Par palīdzību dzīvokļa jautājumu risināšanā”. Pieejams: </w:t>
      </w:r>
      <w:hyperlink r:id="rId159" w:history="1">
        <w:r w:rsidRPr="00B73A85">
          <w:rPr>
            <w:rStyle w:val="Hyperlink"/>
            <w:sz w:val="20"/>
          </w:rPr>
          <w:t>https://likumi.lv/doc.php?id=56812</w:t>
        </w:r>
      </w:hyperlink>
      <w:r w:rsidRPr="00B73A85">
        <w:t xml:space="preserve"> (sk. 29.10.2018.)</w:t>
      </w:r>
    </w:p>
  </w:footnote>
  <w:footnote w:id="224">
    <w:p w:rsidR="00224B50" w:rsidRPr="00B73A85" w:rsidRDefault="00224B50" w:rsidP="00C85EB4">
      <w:pPr>
        <w:pStyle w:val="FootnoteText"/>
        <w:spacing w:line="240" w:lineRule="auto"/>
      </w:pPr>
      <w:r w:rsidRPr="00B73A85">
        <w:rPr>
          <w:rStyle w:val="FootnoteReference"/>
        </w:rPr>
        <w:footnoteRef/>
      </w:r>
      <w:r w:rsidRPr="00B73A85">
        <w:t xml:space="preserve"> LR Tiesībsargs. 28.08.2018. </w:t>
      </w:r>
      <w:r w:rsidRPr="00B73A85">
        <w:rPr>
          <w:i/>
        </w:rPr>
        <w:t>Ziņojums par aktuālo situāciju pašvaldības palīdzības sniegšanā mājokļu jomā un rekomendāciju izpildi pārbaudes lietā Nr.2014-35-18AC</w:t>
      </w:r>
      <w:r w:rsidRPr="00B73A85">
        <w:t>, 5.lpp.</w:t>
      </w:r>
    </w:p>
  </w:footnote>
  <w:footnote w:id="225">
    <w:p w:rsidR="00224B50" w:rsidRPr="00B73A85" w:rsidRDefault="00224B50" w:rsidP="00C85EB4">
      <w:pPr>
        <w:pStyle w:val="FootnoteText"/>
        <w:spacing w:line="240" w:lineRule="auto"/>
      </w:pPr>
      <w:r w:rsidRPr="00B73A85">
        <w:rPr>
          <w:rStyle w:val="FootnoteReference"/>
        </w:rPr>
        <w:footnoteRef/>
      </w:r>
      <w:r w:rsidRPr="00B73A85">
        <w:t xml:space="preserve"> Sideļska, A. (2014). </w:t>
      </w:r>
      <w:r w:rsidRPr="00B73A85">
        <w:rPr>
          <w:i/>
        </w:rPr>
        <w:t>Dzīvojamais fonds kā reģionu sociālekonomiskās attīstības elements</w:t>
      </w:r>
      <w:r w:rsidRPr="00B73A85">
        <w:t xml:space="preserve">. Promocijas darba kopsavilkums. Latvijas Lauksaimniecības universitāte, 59.lpp. Pieejams: </w:t>
      </w:r>
      <w:hyperlink r:id="rId160" w:history="1">
        <w:r w:rsidRPr="00B73A85">
          <w:rPr>
            <w:rStyle w:val="Hyperlink"/>
            <w:sz w:val="20"/>
          </w:rPr>
          <w:t>http://llufb.llu.lv/dissertation-summary/regionaleconomics/A_Sidelska_prom_darba_kopsavilkums_2014_LLU.pdf</w:t>
        </w:r>
      </w:hyperlink>
      <w:r w:rsidRPr="00B73A85">
        <w:t xml:space="preserve"> (sk. 30.10.2018.)</w:t>
      </w:r>
    </w:p>
  </w:footnote>
  <w:footnote w:id="226">
    <w:p w:rsidR="00224B50" w:rsidRPr="00B73A85" w:rsidRDefault="00224B50" w:rsidP="00C85EB4">
      <w:pPr>
        <w:pStyle w:val="FootnoteText"/>
        <w:spacing w:line="240" w:lineRule="auto"/>
      </w:pPr>
      <w:r w:rsidRPr="00B73A85">
        <w:rPr>
          <w:rStyle w:val="FootnoteReference"/>
        </w:rPr>
        <w:footnoteRef/>
      </w:r>
      <w:r w:rsidRPr="00B73A85">
        <w:t xml:space="preserve"> LR Tiesībsargs. 28.08.2018. </w:t>
      </w:r>
      <w:r w:rsidRPr="00B73A85">
        <w:rPr>
          <w:i/>
        </w:rPr>
        <w:t>Ziņojums par aktuālo situāciju pašvaldības palīdzības sniegšanā mājokļu jomā un rekomendāciju izpildi pārbaudes lietā Nr.2014-35-18AC</w:t>
      </w:r>
      <w:r w:rsidRPr="00B73A85">
        <w:t>, 8.-9.lpp.</w:t>
      </w:r>
    </w:p>
  </w:footnote>
  <w:footnote w:id="227">
    <w:p w:rsidR="00224B50" w:rsidRPr="00B73A85" w:rsidRDefault="00224B50" w:rsidP="00C85EB4">
      <w:pPr>
        <w:pStyle w:val="FootnoteText"/>
        <w:spacing w:line="240" w:lineRule="auto"/>
      </w:pPr>
      <w:r w:rsidRPr="00B73A85">
        <w:rPr>
          <w:rStyle w:val="FootnoteReference"/>
        </w:rPr>
        <w:footnoteRef/>
      </w:r>
      <w:r w:rsidRPr="00B73A85">
        <w:t xml:space="preserve"> The State of Housing in the EU 2017. A Housing Europe Review. Pieejams: </w:t>
      </w:r>
      <w:hyperlink r:id="rId161" w:history="1">
        <w:r w:rsidRPr="00B73A85">
          <w:rPr>
            <w:rStyle w:val="Hyperlink"/>
            <w:sz w:val="20"/>
          </w:rPr>
          <w:t>http://www.housingeurope.eu/resource-1000/the-state-of-housing-in-the-eu-2017</w:t>
        </w:r>
      </w:hyperlink>
      <w:r w:rsidRPr="00B73A85">
        <w:t xml:space="preserve"> (sk. 30.10.2017.) </w:t>
      </w:r>
    </w:p>
  </w:footnote>
  <w:footnote w:id="228">
    <w:p w:rsidR="00224B50" w:rsidRPr="00B73A85" w:rsidRDefault="00224B50" w:rsidP="00C85EB4">
      <w:pPr>
        <w:pStyle w:val="FootnoteText"/>
        <w:spacing w:line="240" w:lineRule="auto"/>
      </w:pPr>
      <w:r w:rsidRPr="00B73A85">
        <w:rPr>
          <w:rStyle w:val="FootnoteReference"/>
        </w:rPr>
        <w:footnoteRef/>
      </w:r>
      <w:r w:rsidRPr="00B73A85">
        <w:t xml:space="preserve"> Housing inequality in Europe Tackling inequalities in Europe: the role of social investment. CEB (December, 2017), p.1.-3. Pieejams: </w:t>
      </w:r>
      <w:hyperlink r:id="rId162" w:history="1">
        <w:r w:rsidRPr="00B73A85">
          <w:rPr>
            <w:rStyle w:val="Hyperlink"/>
            <w:sz w:val="20"/>
          </w:rPr>
          <w:t>https://coebank.org/media/documents/Part_3-Inequality-Housing.pdf</w:t>
        </w:r>
      </w:hyperlink>
      <w:r w:rsidRPr="00B73A85">
        <w:rPr>
          <w:rStyle w:val="Hyperlink"/>
          <w:sz w:val="20"/>
        </w:rPr>
        <w:t xml:space="preserve"> </w:t>
      </w:r>
      <w:r w:rsidRPr="00B73A85">
        <w:t>(sk. 30.10.2017.)</w:t>
      </w:r>
    </w:p>
  </w:footnote>
  <w:footnote w:id="229">
    <w:p w:rsidR="00224B50" w:rsidRPr="00B73A85" w:rsidRDefault="00224B50" w:rsidP="00C85EB4">
      <w:pPr>
        <w:pStyle w:val="FootnoteText"/>
        <w:spacing w:line="240" w:lineRule="auto"/>
      </w:pPr>
      <w:r w:rsidRPr="005201C2">
        <w:rPr>
          <w:rStyle w:val="FootnoteReference"/>
        </w:rPr>
        <w:footnoteRef/>
      </w:r>
      <w:r w:rsidRPr="005201C2">
        <w:t xml:space="preserve"> Alice Pittini, CECODHAS Housing Europe Observatory (2012). Housing Affordability in the EU. Current siutation and Recent Trends. Research Briefing (2012). Pieejams: </w:t>
      </w:r>
      <w:hyperlink r:id="rId163" w:history="1">
        <w:r w:rsidRPr="005201C2">
          <w:rPr>
            <w:rStyle w:val="Hyperlink"/>
            <w:sz w:val="20"/>
          </w:rPr>
          <w:t>https://www.researchgate.net/publication/265059299_HOUSING_AFFORDABILITY_IN_THE_EU_Current_situation_and_recent_trends</w:t>
        </w:r>
      </w:hyperlink>
      <w:r w:rsidRPr="005201C2">
        <w:t xml:space="preserve"> (sk. 02.11.2018.)</w:t>
      </w:r>
    </w:p>
  </w:footnote>
  <w:footnote w:id="230">
    <w:p w:rsidR="00224B50" w:rsidRPr="00B73A85" w:rsidRDefault="00224B50" w:rsidP="00C85EB4">
      <w:pPr>
        <w:pStyle w:val="FootnoteText"/>
        <w:spacing w:line="240" w:lineRule="auto"/>
      </w:pPr>
      <w:r w:rsidRPr="00B73A85">
        <w:rPr>
          <w:rStyle w:val="FootnoteReference"/>
        </w:rPr>
        <w:footnoteRef/>
      </w:r>
      <w:r w:rsidRPr="00B73A85">
        <w:t xml:space="preserve"> </w:t>
      </w:r>
      <w:r w:rsidRPr="005201C2">
        <w:t>Alice Pittini, CECODHAS Housing Europe Observatory (2012). Housing Affordability in the EU. Current siutation and Recent Trends. Research Briefing (2012).</w:t>
      </w:r>
      <w:r w:rsidRPr="00B73A85">
        <w:t xml:space="preserve"> </w:t>
      </w:r>
    </w:p>
  </w:footnote>
  <w:footnote w:id="231">
    <w:p w:rsidR="00224B50" w:rsidRPr="00B73A85" w:rsidRDefault="00224B50" w:rsidP="00C85EB4">
      <w:pPr>
        <w:pStyle w:val="FootnoteText"/>
        <w:spacing w:line="240" w:lineRule="auto"/>
      </w:pPr>
      <w:r w:rsidRPr="00B73A85">
        <w:rPr>
          <w:rStyle w:val="FootnoteReference"/>
        </w:rPr>
        <w:footnoteRef/>
      </w:r>
      <w:r w:rsidRPr="00B73A85">
        <w:t xml:space="preserve"> </w:t>
      </w:r>
      <w:r w:rsidRPr="00B73A85">
        <w:rPr>
          <w:lang w:val="en-US"/>
        </w:rPr>
        <w:t xml:space="preserve">NOBODY LEFT BEHIND: Ensuring access for all to affordable, quality housing and public health services", EAPN's EU Inclusion Strategies Group, December 2016. Pieejams: </w:t>
      </w:r>
      <w:hyperlink r:id="rId164" w:history="1">
        <w:r w:rsidRPr="00B73A85">
          <w:rPr>
            <w:rStyle w:val="Hyperlink"/>
            <w:sz w:val="20"/>
            <w:lang w:val="en-US"/>
          </w:rPr>
          <w:t>https://ec.europa.eu/info/sites/info/files/eapn-access-to-housing-and-health-services.pdf</w:t>
        </w:r>
      </w:hyperlink>
      <w:r w:rsidRPr="00B73A85">
        <w:rPr>
          <w:lang w:val="en-US"/>
        </w:rPr>
        <w:t xml:space="preserve"> (sk. 30.10.2018.). </w:t>
      </w:r>
    </w:p>
  </w:footnote>
  <w:footnote w:id="232">
    <w:p w:rsidR="00224B50" w:rsidRPr="00B73A85" w:rsidRDefault="00224B50" w:rsidP="00C85EB4">
      <w:pPr>
        <w:pStyle w:val="FootnoteText"/>
        <w:spacing w:line="240" w:lineRule="auto"/>
      </w:pPr>
      <w:r w:rsidRPr="00B73A85">
        <w:rPr>
          <w:rStyle w:val="FootnoteReference"/>
        </w:rPr>
        <w:footnoteRef/>
      </w:r>
      <w:r w:rsidRPr="00B73A85">
        <w:t xml:space="preserve"> Turpat, p.9. </w:t>
      </w:r>
    </w:p>
  </w:footnote>
  <w:footnote w:id="233">
    <w:p w:rsidR="00224B50" w:rsidRPr="00B73A85" w:rsidRDefault="00224B50" w:rsidP="00C85EB4">
      <w:pPr>
        <w:pStyle w:val="FootnoteText"/>
        <w:spacing w:line="240" w:lineRule="auto"/>
      </w:pPr>
      <w:r w:rsidRPr="00B73A85">
        <w:rPr>
          <w:rStyle w:val="FootnoteReference"/>
        </w:rPr>
        <w:footnoteRef/>
      </w:r>
      <w:r w:rsidRPr="00B73A85">
        <w:t xml:space="preserve"> Eurostat. Statistics Explained. Pieejams: </w:t>
      </w:r>
      <w:hyperlink r:id="rId165" w:history="1">
        <w:r w:rsidRPr="00B73A85">
          <w:rPr>
            <w:rStyle w:val="Hyperlink"/>
            <w:sz w:val="20"/>
          </w:rPr>
          <w:t>https://ec.europa.eu/eurostat/statistics-explained/index.php/Housing_statistics</w:t>
        </w:r>
      </w:hyperlink>
      <w:r w:rsidRPr="00B73A85">
        <w:t xml:space="preserve"> (sk. 30.10.2018.). </w:t>
      </w:r>
    </w:p>
  </w:footnote>
  <w:footnote w:id="234">
    <w:p w:rsidR="00224B50" w:rsidRPr="00B73A85" w:rsidRDefault="00224B50" w:rsidP="00C85EB4">
      <w:pPr>
        <w:pStyle w:val="NormalWeb"/>
        <w:shd w:val="clear" w:color="auto" w:fill="FFFFFF"/>
        <w:spacing w:line="240" w:lineRule="auto"/>
        <w:rPr>
          <w:sz w:val="20"/>
          <w:szCs w:val="20"/>
        </w:rPr>
      </w:pPr>
      <w:r w:rsidRPr="00B73A85">
        <w:rPr>
          <w:rStyle w:val="FootnoteReference"/>
          <w:sz w:val="20"/>
          <w:szCs w:val="20"/>
        </w:rPr>
        <w:footnoteRef/>
      </w:r>
      <w:r w:rsidRPr="00B73A85">
        <w:rPr>
          <w:sz w:val="20"/>
          <w:szCs w:val="20"/>
        </w:rPr>
        <w:t xml:space="preserve"> Tiek uzskatīts, ka persona dzīvo pārapdzīvotā mājoklī, ja mājsaimniecībai nav pieejams šāds minimālo istabu skaita sadalījums: vien</w:t>
      </w:r>
      <w:r>
        <w:rPr>
          <w:sz w:val="20"/>
          <w:szCs w:val="20"/>
        </w:rPr>
        <w:t>a</w:t>
      </w:r>
      <w:r w:rsidRPr="00B73A85">
        <w:rPr>
          <w:sz w:val="20"/>
          <w:szCs w:val="20"/>
        </w:rPr>
        <w:t xml:space="preserve"> istaba mājsaimniecībai (dzīvojamā istaba); viena istaba uz pāri, kas dzīvo mājsaimniecībā; viena istaba uz personu, kas ir 18 gadus veca vai vecāka; viena istaba uz viena dzimuma personu pāri vecumā no 12 līdz 17 gadiem; viena istaba uz personu vecumā no 12 līdz 17 gadiem, kas neiekļaujas iepriekšējā kategorijā; viena istaba uz diviem bērniem, kas ir jaunāki par 12 gadiem. </w:t>
      </w:r>
    </w:p>
    <w:p w:rsidR="00224B50" w:rsidRPr="00C03693" w:rsidRDefault="00224B50" w:rsidP="00C85EB4">
      <w:pPr>
        <w:pStyle w:val="NormalWeb"/>
        <w:shd w:val="clear" w:color="auto" w:fill="FFFFFF"/>
        <w:spacing w:line="240" w:lineRule="auto"/>
        <w:jc w:val="left"/>
        <w:rPr>
          <w:sz w:val="20"/>
          <w:szCs w:val="20"/>
        </w:rPr>
      </w:pPr>
      <w:r w:rsidRPr="00B73A85">
        <w:rPr>
          <w:sz w:val="20"/>
          <w:szCs w:val="20"/>
        </w:rPr>
        <w:t xml:space="preserve">Avots: Eurostat. Statistics Explained. Pieejams:  </w:t>
      </w:r>
      <w:hyperlink r:id="rId166" w:history="1">
        <w:r w:rsidRPr="00B73A85">
          <w:rPr>
            <w:rStyle w:val="Hyperlink"/>
            <w:sz w:val="20"/>
            <w:szCs w:val="20"/>
          </w:rPr>
          <w:t>https://ec.europa.eu/eurostat/statistics-explained/index.php?title=Glossary:Overcrowding_rate</w:t>
        </w:r>
      </w:hyperlink>
      <w:r w:rsidRPr="00C03693">
        <w:rPr>
          <w:sz w:val="20"/>
          <w:szCs w:val="20"/>
        </w:rPr>
        <w:t xml:space="preserve"> (sk. 31.10.2018.)</w:t>
      </w:r>
    </w:p>
  </w:footnote>
  <w:footnote w:id="235">
    <w:p w:rsidR="00224B50" w:rsidRPr="00B73A85" w:rsidRDefault="00224B50" w:rsidP="00C85EB4">
      <w:pPr>
        <w:pStyle w:val="FootnoteText"/>
        <w:spacing w:line="240" w:lineRule="auto"/>
        <w:jc w:val="both"/>
      </w:pPr>
      <w:r w:rsidRPr="00B73A85">
        <w:rPr>
          <w:rStyle w:val="FootnoteReference"/>
        </w:rPr>
        <w:footnoteRef/>
      </w:r>
      <w:r w:rsidRPr="00B73A85">
        <w:t xml:space="preserve"> Mājokļa nodrošinājuma standarts (mērķis): 1. Dzīvokļiem: 35 m² mājokļa kopējās platības uz vienu cilvēku; 2. Savrupmājām: 52 m² mājokļa kopējās platības uz vienu cilvēku 35 m² dzīvokļiem/52 m² savrupmājām ir mājokļa nodrošinājuma labs/optimāls standarts. Tas atbilst Eiropas Savienības valstu vidējam rādītājam (2009. gada dati). Ekonomisks standarts dzīvoklim ir 28 m² uz vienu cilvēku. Tā ir dzīvokļa kopējā platība uz vienu cilvēku 2012. gadā, atbilstoši CSP datiem. Rādītāju izmanto situācijas vērtējumam un mājokļa politikas mērķiem, aplēsēm par to, vai konstatējams mājokļa deficīts un cik mājokļa kopplatības jāuzbūvē, lai to kompensētu. Tālākos aprēķinos izmantojams, vērtējot perspektīvākos, ekonomiskākos, u.tml. mājokļa tipus un priekšlikumus to īpatsvaram un nepieciešamajām teritorijām jaunajā plānošanas periodā. </w:t>
      </w:r>
    </w:p>
    <w:p w:rsidR="00224B50" w:rsidRPr="00B73A85" w:rsidRDefault="00224B50" w:rsidP="00C85EB4">
      <w:pPr>
        <w:pStyle w:val="FootnoteText"/>
        <w:spacing w:line="240" w:lineRule="auto"/>
        <w:jc w:val="both"/>
      </w:pPr>
      <w:r w:rsidRPr="00B73A85">
        <w:t xml:space="preserve">Avots: Rīgas domes Pilsētas attīstības departaments. Mājokļu attīstības tematiskais plānojums. 8.pielikums. Mājokļa standarts. Apstiprināts ar 15.12.2017. Rīgas domes lēmumu Nr. Nr.653 (prot. Nr.14, 126.§)  </w:t>
      </w:r>
    </w:p>
    <w:p w:rsidR="00224B50" w:rsidRPr="00B73A85" w:rsidRDefault="00224B50" w:rsidP="00C85EB4">
      <w:pPr>
        <w:pStyle w:val="FootnoteText"/>
        <w:spacing w:line="240" w:lineRule="auto"/>
      </w:pPr>
      <w:r w:rsidRPr="00B73A85">
        <w:t xml:space="preserve">Pieejams: </w:t>
      </w:r>
      <w:hyperlink r:id="rId167" w:history="1">
        <w:r w:rsidRPr="00B73A85">
          <w:rPr>
            <w:rStyle w:val="Hyperlink"/>
            <w:sz w:val="20"/>
          </w:rPr>
          <w:t>http://www.rdpad.lv/wp-content/uploads/2017/10/majoklu/8_pielikums_Majokla%20standarts.pdf</w:t>
        </w:r>
      </w:hyperlink>
      <w:r w:rsidRPr="00B73A85">
        <w:t xml:space="preserve"> (sk. 30.10.2018.) </w:t>
      </w:r>
    </w:p>
  </w:footnote>
  <w:footnote w:id="236">
    <w:p w:rsidR="00224B50" w:rsidRPr="008E75C9" w:rsidRDefault="00224B50" w:rsidP="00C85EB4">
      <w:pPr>
        <w:pStyle w:val="FootnoteText"/>
        <w:spacing w:line="240" w:lineRule="auto"/>
        <w:jc w:val="both"/>
      </w:pPr>
      <w:r w:rsidRPr="00B73A85">
        <w:rPr>
          <w:rStyle w:val="FootnoteReference"/>
        </w:rPr>
        <w:footnoteRef/>
      </w:r>
      <w:r w:rsidRPr="00B73A85">
        <w:t xml:space="preserve"> </w:t>
      </w:r>
      <w:r>
        <w:t xml:space="preserve">Atbilstoši </w:t>
      </w:r>
      <w:r>
        <w:rPr>
          <w:i/>
        </w:rPr>
        <w:t>Eurostat</w:t>
      </w:r>
      <w:r>
        <w:t xml:space="preserve"> definīcijai, </w:t>
      </w:r>
      <w:r w:rsidRPr="00663CA9">
        <w:t>sk. 236. atsauci (divas atsauces augstāk).</w:t>
      </w:r>
      <w:r>
        <w:t xml:space="preserve"> </w:t>
      </w:r>
      <w:r w:rsidRPr="00B73A85">
        <w:t xml:space="preserve">Avots: Eurostat. Statistics Explained. Pieejams:  </w:t>
      </w:r>
      <w:hyperlink r:id="rId168" w:history="1">
        <w:r w:rsidRPr="00B73A85">
          <w:rPr>
            <w:rStyle w:val="Hyperlink"/>
            <w:sz w:val="20"/>
          </w:rPr>
          <w:t>https://ec.europa.eu/eurostat/statistics-explained/index.php?title=Glossary:Overcrowding_rate</w:t>
        </w:r>
      </w:hyperlink>
      <w:r w:rsidRPr="00C03693">
        <w:t xml:space="preserve"> (sk. 31.10.2018.)</w:t>
      </w:r>
    </w:p>
  </w:footnote>
  <w:footnote w:id="237">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PKC (2017).</w:t>
      </w:r>
      <w:r>
        <w:t xml:space="preserve"> </w:t>
      </w:r>
      <w:r w:rsidRPr="00F24748">
        <w:t>Nacionālā attīstības plāna 2014. - 2020. gadam un Latvijas ilgtspējīgas attīstības stratēģijas līdz 2030. gadam īstenošanas uzraudzības ziņojums</w:t>
      </w:r>
      <w:r w:rsidRPr="00B73A85">
        <w:t xml:space="preserve"> 81.lpp. </w:t>
      </w:r>
      <w:hyperlink r:id="rId169" w:history="1">
        <w:r w:rsidRPr="00B73A85">
          <w:rPr>
            <w:rStyle w:val="Hyperlink"/>
            <w:rFonts w:eastAsiaTheme="majorEastAsia"/>
            <w:sz w:val="20"/>
          </w:rPr>
          <w:t>https://www.pkc.gov.lv/sites/default/files/inline-files/NAP2020%20vidusposma%20zinojums%20final_1.pdf</w:t>
        </w:r>
      </w:hyperlink>
      <w:r w:rsidRPr="00B73A85">
        <w:t xml:space="preserve"> (sk. 25.10.2018.)</w:t>
      </w:r>
    </w:p>
  </w:footnote>
  <w:footnote w:id="238">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Pieejami: </w:t>
      </w:r>
      <w:hyperlink r:id="rId170" w:history="1">
        <w:r w:rsidRPr="00B73A85">
          <w:rPr>
            <w:rStyle w:val="Hyperlink"/>
            <w:rFonts w:eastAsiaTheme="majorEastAsia"/>
            <w:sz w:val="20"/>
          </w:rPr>
          <w:t>http://polsis.mk.gov.lv/documents?order=desc&amp;pageNr=0&amp;pageSize=10&amp;query=M%C4%81jok%C4%BCa</w:t>
        </w:r>
      </w:hyperlink>
      <w:r w:rsidRPr="00B73A85">
        <w:t xml:space="preserve"> (sk. 25.10.2018.)</w:t>
      </w:r>
    </w:p>
  </w:footnote>
  <w:footnote w:id="239">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Dokumenta analīze iekļauta Izvērtējuma 3.4.5. sadaļā par situāciju mājokļa jomā starptautiskās aizsardzības personām. </w:t>
      </w:r>
    </w:p>
  </w:footnote>
  <w:footnote w:id="240">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Dokumenta teksts POLSIS datu bāzē nav pieejams (pieejamība pēdējo reizi pārbaudīta 05.12.2018.). </w:t>
      </w:r>
    </w:p>
  </w:footnote>
  <w:footnote w:id="241">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Dokumenta analīze iekļauta Izvērtējuma 3.4.5. sadaļā par situāciju mājokļa jomā starptautiskās aizsardzības personām.</w:t>
      </w:r>
    </w:p>
  </w:footnote>
  <w:footnote w:id="242">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Pieejami: </w:t>
      </w:r>
      <w:hyperlink r:id="rId171" w:history="1">
        <w:r w:rsidRPr="00B73A85">
          <w:rPr>
            <w:rStyle w:val="Hyperlink"/>
            <w:rFonts w:eastAsiaTheme="majorEastAsia"/>
            <w:sz w:val="20"/>
          </w:rPr>
          <w:t>http://polsis.mk.gov.lv/documents?order=desc&amp;pageNr=0&amp;pageSize=10&amp;query=siltumapg%C4%81de</w:t>
        </w:r>
      </w:hyperlink>
      <w:r w:rsidRPr="00B73A85">
        <w:t xml:space="preserve"> (sk. 25.10.2018.)</w:t>
      </w:r>
    </w:p>
  </w:footnote>
  <w:footnote w:id="243">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Pieejami: </w:t>
      </w:r>
      <w:hyperlink r:id="rId172" w:history="1">
        <w:r w:rsidRPr="00B73A85">
          <w:rPr>
            <w:rStyle w:val="Hyperlink"/>
            <w:rFonts w:eastAsiaTheme="majorEastAsia"/>
            <w:sz w:val="20"/>
          </w:rPr>
          <w:t>http://polsis.mk.gov.lv/documents?order=desc&amp;pageNr=0&amp;pageSize=10&amp;query=energo</w:t>
        </w:r>
      </w:hyperlink>
      <w:r w:rsidRPr="00B73A85">
        <w:t xml:space="preserve">  (sk. 25.10.2018.)</w:t>
      </w:r>
    </w:p>
  </w:footnote>
  <w:footnote w:id="244">
    <w:p w:rsidR="00224B50" w:rsidRPr="00B73A85" w:rsidRDefault="00224B50" w:rsidP="00C85EB4">
      <w:pPr>
        <w:pStyle w:val="FootnoteText"/>
        <w:spacing w:line="240" w:lineRule="auto"/>
      </w:pPr>
      <w:r w:rsidRPr="00111044">
        <w:rPr>
          <w:rStyle w:val="FootnoteReference"/>
          <w:rFonts w:eastAsiaTheme="majorEastAsia"/>
        </w:rPr>
        <w:footnoteRef/>
      </w:r>
      <w:r w:rsidRPr="00111044">
        <w:t xml:space="preserve"> Pieejams: </w:t>
      </w:r>
      <w:hyperlink r:id="rId173" w:history="1">
        <w:r w:rsidRPr="00111044">
          <w:rPr>
            <w:rStyle w:val="Hyperlink"/>
            <w:sz w:val="20"/>
          </w:rPr>
          <w:t>http://www.varam.gov.lv/lat/pol/ppd/?doc=20773</w:t>
        </w:r>
      </w:hyperlink>
      <w:r w:rsidRPr="00111044">
        <w:t xml:space="preserve">   (sk. 02.11.2018.)</w:t>
      </w:r>
    </w:p>
  </w:footnote>
  <w:footnote w:id="245">
    <w:p w:rsidR="00224B50" w:rsidRPr="00B73A85" w:rsidRDefault="00224B50" w:rsidP="009B0D76">
      <w:pPr>
        <w:pStyle w:val="FootnoteText"/>
      </w:pPr>
      <w:r w:rsidRPr="00B73A85">
        <w:rPr>
          <w:rStyle w:val="FootnoteReference"/>
          <w:rFonts w:eastAsiaTheme="majorEastAsia"/>
        </w:rPr>
        <w:footnoteRef/>
      </w:r>
      <w:r w:rsidRPr="00B73A85">
        <w:t xml:space="preserve"> Pieejams: </w:t>
      </w:r>
      <w:hyperlink r:id="rId174" w:history="1">
        <w:r w:rsidRPr="00B73A85">
          <w:rPr>
            <w:rStyle w:val="Hyperlink"/>
            <w:rFonts w:eastAsiaTheme="majorEastAsia"/>
            <w:sz w:val="20"/>
          </w:rPr>
          <w:t>http://www.lm.gov.lv/upload/berns_gimene/lmpamn_200111_gvp.pdf</w:t>
        </w:r>
      </w:hyperlink>
      <w:r w:rsidRPr="00B73A85">
        <w:t xml:space="preserve">  (sk. 02.11.2018.)</w:t>
      </w:r>
    </w:p>
  </w:footnote>
  <w:footnote w:id="246">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Rīcības plāns pamatnostādņu „Ģimenes valsts politikas pamatnostādnes 2011.–2017. gadam" īstenošanai 2012.-2014.</w:t>
      </w:r>
      <w:r>
        <w:t xml:space="preserve"> </w:t>
      </w:r>
      <w:r w:rsidRPr="00B73A85">
        <w:t xml:space="preserve">gadam. Pieejams: </w:t>
      </w:r>
      <w:hyperlink r:id="rId175" w:history="1">
        <w:r w:rsidRPr="00B73A85">
          <w:rPr>
            <w:rStyle w:val="Hyperlink"/>
            <w:rFonts w:eastAsiaTheme="majorEastAsia"/>
            <w:sz w:val="20"/>
          </w:rPr>
          <w:t>http://www.lm.gov.lv/upload/berns_gimene/apstr_plans_11032013.pdf</w:t>
        </w:r>
      </w:hyperlink>
      <w:r w:rsidRPr="00B73A85">
        <w:t xml:space="preserve"> (sk. 14.01.2019.)</w:t>
      </w:r>
    </w:p>
  </w:footnote>
  <w:footnote w:id="247">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Rīcības plāns pamatnostādņu „Ģimenes valsts politikas pamatnostādnes 2011.–2017. gadam" īstenošanai 2015.-2017.</w:t>
      </w:r>
      <w:r>
        <w:t xml:space="preserve"> </w:t>
      </w:r>
      <w:r w:rsidRPr="00B73A85">
        <w:t xml:space="preserve">gadam. Pieejams: </w:t>
      </w:r>
      <w:hyperlink r:id="rId176" w:history="1">
        <w:r w:rsidRPr="00B73A85">
          <w:rPr>
            <w:rStyle w:val="Hyperlink"/>
            <w:rFonts w:eastAsiaTheme="majorEastAsia"/>
            <w:sz w:val="20"/>
          </w:rPr>
          <w:t>http://www.lm.gov.lv/upload/sabiedribas_lidzdaliba/demografisko_lietu/1/plans_2015-17_300315.pdf</w:t>
        </w:r>
      </w:hyperlink>
      <w:r w:rsidRPr="00B73A85">
        <w:t xml:space="preserve"> (sk. 14.01.2019.)</w:t>
      </w:r>
    </w:p>
  </w:footnote>
  <w:footnote w:id="248">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w:t>
      </w:r>
      <w:r>
        <w:t>Turpat</w:t>
      </w:r>
    </w:p>
  </w:footnote>
  <w:footnote w:id="249">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Rīcības plāns "Ģimenes valsts politikas pamatnostādņu 2011.–2017.</w:t>
      </w:r>
      <w:r>
        <w:t xml:space="preserve"> </w:t>
      </w:r>
      <w:r w:rsidRPr="00B73A85">
        <w:t>gadam" īstenošanai 2016.–2017.</w:t>
      </w:r>
      <w:r>
        <w:t xml:space="preserve"> </w:t>
      </w:r>
      <w:r w:rsidRPr="00B73A85">
        <w:t xml:space="preserve">gadā. Pieejams: </w:t>
      </w:r>
      <w:hyperlink r:id="rId177" w:history="1">
        <w:r w:rsidRPr="00B73A85">
          <w:rPr>
            <w:rStyle w:val="Hyperlink"/>
            <w:rFonts w:eastAsiaTheme="majorEastAsia"/>
            <w:sz w:val="20"/>
          </w:rPr>
          <w:t>https://likumi.lv/ta/id/280055-par-ricibas-planu-gimenes-valsts-politikas-pamatnostadnu-2011-2017-gadam-istenosanai-2016-2017-gada</w:t>
        </w:r>
      </w:hyperlink>
      <w:r w:rsidRPr="00B73A85">
        <w:t xml:space="preserve"> (sk. 14.01.2019.)</w:t>
      </w:r>
    </w:p>
  </w:footnote>
  <w:footnote w:id="250">
    <w:p w:rsidR="00224B50" w:rsidRPr="00B73A85" w:rsidRDefault="00224B50" w:rsidP="00C85EB4">
      <w:pPr>
        <w:spacing w:line="240" w:lineRule="auto"/>
        <w:rPr>
          <w:sz w:val="20"/>
          <w:szCs w:val="20"/>
        </w:rPr>
      </w:pPr>
      <w:r w:rsidRPr="00B73A85">
        <w:rPr>
          <w:rStyle w:val="FootnoteReference"/>
          <w:sz w:val="20"/>
          <w:szCs w:val="20"/>
        </w:rPr>
        <w:footnoteRef/>
      </w:r>
      <w:r w:rsidRPr="00B73A85">
        <w:rPr>
          <w:sz w:val="20"/>
          <w:szCs w:val="20"/>
        </w:rPr>
        <w:t xml:space="preserve"> </w:t>
      </w:r>
      <w:r w:rsidRPr="00B73A85">
        <w:rPr>
          <w:rFonts w:eastAsia="Times New Roman"/>
          <w:sz w:val="20"/>
          <w:szCs w:val="20"/>
          <w:lang w:eastAsia="zh-CN"/>
        </w:rPr>
        <w:t xml:space="preserve">“Ģimenes valsts </w:t>
      </w:r>
      <w:r>
        <w:rPr>
          <w:rFonts w:eastAsia="Times New Roman"/>
          <w:sz w:val="20"/>
          <w:szCs w:val="20"/>
          <w:lang w:eastAsia="zh-CN"/>
        </w:rPr>
        <w:t>politikas pamatnostādņu 2011.–</w:t>
      </w:r>
      <w:r w:rsidRPr="00B73A85">
        <w:rPr>
          <w:rFonts w:eastAsia="Times New Roman"/>
          <w:sz w:val="20"/>
          <w:szCs w:val="20"/>
          <w:lang w:eastAsia="zh-CN"/>
        </w:rPr>
        <w:t>2017.</w:t>
      </w:r>
      <w:r>
        <w:rPr>
          <w:rFonts w:eastAsia="Times New Roman"/>
          <w:sz w:val="20"/>
          <w:szCs w:val="20"/>
          <w:lang w:eastAsia="zh-CN"/>
        </w:rPr>
        <w:t xml:space="preserve"> </w:t>
      </w:r>
      <w:r w:rsidRPr="00B73A85">
        <w:rPr>
          <w:rFonts w:eastAsia="Times New Roman"/>
          <w:sz w:val="20"/>
          <w:szCs w:val="20"/>
          <w:lang w:eastAsia="zh-CN"/>
        </w:rPr>
        <w:t xml:space="preserve">gadam ex–post novērtējums”. Identifikācijas Nr.LRLM2018/28-3-02/08 Gala ziņojums. Projekts. </w:t>
      </w:r>
      <w:r w:rsidRPr="00B73A85">
        <w:rPr>
          <w:rFonts w:asciiTheme="majorBidi" w:hAnsiTheme="majorBidi" w:cstheme="majorBidi"/>
          <w:bCs/>
          <w:sz w:val="20"/>
          <w:szCs w:val="20"/>
        </w:rPr>
        <w:t xml:space="preserve">Izstrādātājs: SIA SAFEGE Baltija. Nepublicēts materiāls. </w:t>
      </w:r>
    </w:p>
  </w:footnote>
  <w:footnote w:id="251">
    <w:p w:rsidR="00224B50" w:rsidRPr="00B73A85" w:rsidRDefault="00224B50" w:rsidP="009B0D76">
      <w:pPr>
        <w:pStyle w:val="FootnoteText"/>
      </w:pPr>
      <w:r w:rsidRPr="00B73A85">
        <w:rPr>
          <w:rStyle w:val="FootnoteReference"/>
          <w:rFonts w:eastAsiaTheme="majorEastAsia"/>
        </w:rPr>
        <w:footnoteRef/>
      </w:r>
      <w:r w:rsidRPr="00B73A85">
        <w:t xml:space="preserve"> Pieejams: </w:t>
      </w:r>
      <w:hyperlink r:id="rId178" w:history="1">
        <w:r w:rsidRPr="00B73A85">
          <w:rPr>
            <w:rStyle w:val="Hyperlink"/>
            <w:rFonts w:eastAsiaTheme="majorEastAsia"/>
            <w:sz w:val="20"/>
          </w:rPr>
          <w:t>http://polsis.mk.gov.lv/documents/4558</w:t>
        </w:r>
      </w:hyperlink>
      <w:r w:rsidRPr="00B73A85">
        <w:t xml:space="preserve">  (sk. 02.11.2018.)</w:t>
      </w:r>
    </w:p>
  </w:footnote>
  <w:footnote w:id="252">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Pieejams: </w:t>
      </w:r>
      <w:hyperlink r:id="rId179" w:history="1">
        <w:r w:rsidRPr="00B73A85">
          <w:rPr>
            <w:rStyle w:val="Hyperlink"/>
            <w:rFonts w:eastAsiaTheme="majorEastAsia"/>
            <w:sz w:val="20"/>
          </w:rPr>
          <w:t>http://polsis.mk.gov.lv/documents/5499</w:t>
        </w:r>
      </w:hyperlink>
      <w:r w:rsidRPr="00B73A85">
        <w:t xml:space="preserve"> (sk. 26.11.2018.)</w:t>
      </w:r>
    </w:p>
  </w:footnote>
  <w:footnote w:id="253">
    <w:p w:rsidR="00224B50" w:rsidRPr="00B73A85" w:rsidRDefault="00224B50" w:rsidP="00C85EB4">
      <w:pPr>
        <w:spacing w:line="240" w:lineRule="auto"/>
        <w:rPr>
          <w:sz w:val="20"/>
          <w:szCs w:val="20"/>
        </w:rPr>
      </w:pPr>
      <w:r w:rsidRPr="00B73A85">
        <w:rPr>
          <w:rStyle w:val="FootnoteReference"/>
          <w:sz w:val="20"/>
          <w:szCs w:val="20"/>
        </w:rPr>
        <w:footnoteRef/>
      </w:r>
      <w:r w:rsidRPr="00B73A85">
        <w:rPr>
          <w:sz w:val="20"/>
          <w:szCs w:val="20"/>
        </w:rPr>
        <w:t xml:space="preserve"> S</w:t>
      </w:r>
      <w:r w:rsidRPr="00B73A85">
        <w:rPr>
          <w:rFonts w:eastAsia="Times New Roman"/>
          <w:color w:val="000000" w:themeColor="text1"/>
          <w:sz w:val="20"/>
          <w:szCs w:val="20"/>
        </w:rPr>
        <w:t xml:space="preserve">iltumenerģijas tarifu atšķirības nosaka dažādi faktori, piemēram: izmantotais kurināmā veids, jo līdz 90% siltumenerģijas ražošanas mainīgajās izmaksās veido tieši kurināmā izmaksas; siltumapgādes sistēmas lielums un tehniskais stāvoklis; siltumslodzes blīvums, t.i., siltumenerģijas patēriņa attiecība pret siltumapgādes sistēmas aptvertās teritorijas lielumu; centralizētās siltumapgādes sistēmas jaudas atbilstība pieprasītajai slodzei. Avots: </w:t>
      </w:r>
      <w:r w:rsidRPr="00B73A85">
        <w:rPr>
          <w:sz w:val="20"/>
          <w:szCs w:val="20"/>
        </w:rPr>
        <w:t>Enerģētikas attīstības pamatnostādnes 2016.–2020.</w:t>
      </w:r>
      <w:r>
        <w:rPr>
          <w:sz w:val="20"/>
          <w:szCs w:val="20"/>
        </w:rPr>
        <w:t xml:space="preserve"> </w:t>
      </w:r>
      <w:r w:rsidRPr="00B73A85">
        <w:rPr>
          <w:sz w:val="20"/>
          <w:szCs w:val="20"/>
        </w:rPr>
        <w:t>gadam, 55.</w:t>
      </w:r>
      <w:r>
        <w:rPr>
          <w:sz w:val="20"/>
          <w:szCs w:val="20"/>
        </w:rPr>
        <w:t xml:space="preserve"> </w:t>
      </w:r>
      <w:r w:rsidRPr="00B73A85">
        <w:rPr>
          <w:sz w:val="20"/>
          <w:szCs w:val="20"/>
        </w:rPr>
        <w:t xml:space="preserve">lpp. </w:t>
      </w:r>
    </w:p>
  </w:footnote>
  <w:footnote w:id="254">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Pieejams: </w:t>
      </w:r>
      <w:hyperlink r:id="rId180" w:history="1">
        <w:r w:rsidRPr="00B73A85">
          <w:rPr>
            <w:rStyle w:val="Hyperlink"/>
            <w:rFonts w:eastAsiaTheme="majorEastAsia"/>
            <w:sz w:val="20"/>
          </w:rPr>
          <w:t>http://polsis.mk.gov.lv/documents/4633</w:t>
        </w:r>
      </w:hyperlink>
      <w:r w:rsidRPr="00B73A85">
        <w:t xml:space="preserve"> (sk. 26.11.2018.)</w:t>
      </w:r>
    </w:p>
  </w:footnote>
  <w:footnote w:id="255">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Pieejams: </w:t>
      </w:r>
      <w:hyperlink r:id="rId181" w:history="1">
        <w:r w:rsidRPr="00B73A85">
          <w:rPr>
            <w:rStyle w:val="Hyperlink"/>
            <w:rFonts w:eastAsiaTheme="majorEastAsia"/>
            <w:sz w:val="20"/>
          </w:rPr>
          <w:t>http://polsis.mk.gov.lv/documents/4559</w:t>
        </w:r>
      </w:hyperlink>
      <w:r w:rsidRPr="00B73A85">
        <w:t xml:space="preserve"> (sk. 26.11.2018.)</w:t>
      </w:r>
    </w:p>
  </w:footnote>
  <w:footnote w:id="256">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Pieejams: </w:t>
      </w:r>
      <w:hyperlink r:id="rId182" w:history="1">
        <w:r w:rsidRPr="00B73A85">
          <w:rPr>
            <w:rStyle w:val="Hyperlink"/>
            <w:rFonts w:eastAsiaTheme="majorEastAsia"/>
            <w:sz w:val="20"/>
          </w:rPr>
          <w:t>http://polsis.mk.gov.lv/documents/2994</w:t>
        </w:r>
      </w:hyperlink>
      <w:r w:rsidRPr="00B73A85">
        <w:t xml:space="preserve"> (sk. 26.11.2018.)</w:t>
      </w:r>
    </w:p>
  </w:footnote>
  <w:footnote w:id="257">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Jaunatnes politikas pamatnostādnes 2009. – 2018.</w:t>
      </w:r>
      <w:r>
        <w:t xml:space="preserve"> </w:t>
      </w:r>
      <w:r w:rsidRPr="00B73A85">
        <w:t>gadam, 57.</w:t>
      </w:r>
      <w:r>
        <w:t xml:space="preserve"> </w:t>
      </w:r>
      <w:r w:rsidRPr="00B73A85">
        <w:t xml:space="preserve">lpp. </w:t>
      </w:r>
    </w:p>
  </w:footnote>
  <w:footnote w:id="258">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Pieejams: </w:t>
      </w:r>
      <w:hyperlink r:id="rId183" w:history="1">
        <w:r w:rsidRPr="00B73A85">
          <w:rPr>
            <w:rStyle w:val="Hyperlink"/>
            <w:rFonts w:eastAsiaTheme="majorEastAsia"/>
            <w:sz w:val="20"/>
          </w:rPr>
          <w:t>http://polsis.mk.gov.lv/documents/1232</w:t>
        </w:r>
      </w:hyperlink>
      <w:r w:rsidRPr="00B73A85">
        <w:t xml:space="preserve"> (sk. 26.11.2018.)</w:t>
      </w:r>
    </w:p>
  </w:footnote>
  <w:footnote w:id="259">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Pieejams: </w:t>
      </w:r>
      <w:hyperlink r:id="rId184" w:history="1">
        <w:r w:rsidRPr="00B73A85">
          <w:rPr>
            <w:rStyle w:val="Hyperlink"/>
            <w:rFonts w:eastAsiaTheme="majorEastAsia"/>
            <w:sz w:val="20"/>
          </w:rPr>
          <w:t>http://polsis.mk.gov.lv/documents/757</w:t>
        </w:r>
      </w:hyperlink>
      <w:r w:rsidRPr="00B73A85">
        <w:t xml:space="preserve"> (sk. 26.11.2018.)</w:t>
      </w:r>
    </w:p>
  </w:footnote>
  <w:footnote w:id="260">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Pieejams: </w:t>
      </w:r>
      <w:hyperlink r:id="rId185" w:history="1">
        <w:r w:rsidRPr="00B73A85">
          <w:rPr>
            <w:rStyle w:val="Hyperlink"/>
            <w:rFonts w:eastAsiaTheme="majorEastAsia"/>
            <w:sz w:val="20"/>
          </w:rPr>
          <w:t>https://likumi.lv/ta/id/291013-par-valsts-nodoklu-politikas-pamatnostadnem-2018-2021-gadam</w:t>
        </w:r>
      </w:hyperlink>
      <w:r w:rsidRPr="00B73A85">
        <w:t xml:space="preserve"> (sk. 26.11.2018.)</w:t>
      </w:r>
    </w:p>
  </w:footnote>
  <w:footnote w:id="261">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Pieejams: </w:t>
      </w:r>
      <w:hyperlink r:id="rId186" w:history="1">
        <w:r w:rsidRPr="00B73A85">
          <w:rPr>
            <w:rStyle w:val="Hyperlink"/>
            <w:rFonts w:eastAsiaTheme="majorEastAsia"/>
            <w:sz w:val="20"/>
          </w:rPr>
          <w:t>http://polsis.mk.gov.lv/documents/3782</w:t>
        </w:r>
      </w:hyperlink>
      <w:r w:rsidRPr="00B73A85">
        <w:t xml:space="preserve"> (sk. 26.11.2018.)</w:t>
      </w:r>
    </w:p>
  </w:footnote>
  <w:footnote w:id="262">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Dokumenta teksts POLSIS datu bāzē nav pieejams (pieejamība pēdējo reizi pārbaudīta 05.12.2018.). </w:t>
      </w:r>
    </w:p>
  </w:footnote>
  <w:footnote w:id="263">
    <w:p w:rsidR="00224B50" w:rsidRPr="00B73A85" w:rsidRDefault="00224B50" w:rsidP="00C85EB4">
      <w:pPr>
        <w:pStyle w:val="FootnoteText"/>
        <w:spacing w:line="240" w:lineRule="auto"/>
        <w:jc w:val="both"/>
      </w:pPr>
      <w:r w:rsidRPr="00B73A85">
        <w:rPr>
          <w:rStyle w:val="FootnoteReference"/>
          <w:rFonts w:eastAsiaTheme="majorEastAsia"/>
        </w:rPr>
        <w:footnoteRef/>
      </w:r>
      <w:r w:rsidRPr="00B73A85">
        <w:t xml:space="preserve"> 16.10.2018. Informatīvais ziņojums "Par Ministru kabineta 2018.</w:t>
      </w:r>
      <w:r>
        <w:t xml:space="preserve"> </w:t>
      </w:r>
      <w:r w:rsidRPr="00B73A85">
        <w:t>gada 2.</w:t>
      </w:r>
      <w:r>
        <w:t xml:space="preserve"> </w:t>
      </w:r>
      <w:r w:rsidRPr="00B73A85">
        <w:t xml:space="preserve">oktobra sēdes protokola Nr.45 44.§ (Informatīvais ziņojums "Par atbalstu īres mājokļu būvniecībai reģionos") 2.un 3.punkta izpildi". Pieejams: </w:t>
      </w:r>
      <w:hyperlink r:id="rId187" w:history="1">
        <w:r w:rsidRPr="00B73A85">
          <w:rPr>
            <w:rStyle w:val="Hyperlink"/>
            <w:rFonts w:eastAsiaTheme="majorEastAsia"/>
            <w:sz w:val="20"/>
          </w:rPr>
          <w:t>http://polsis.mk.gov.lv/documents/6307</w:t>
        </w:r>
      </w:hyperlink>
      <w:r w:rsidRPr="00B73A85">
        <w:t xml:space="preserve"> (sk. 27.11.2018.)</w:t>
      </w:r>
    </w:p>
  </w:footnote>
  <w:footnote w:id="264">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Pieejams: </w:t>
      </w:r>
      <w:hyperlink r:id="rId188" w:history="1">
        <w:r w:rsidRPr="00B73A85">
          <w:rPr>
            <w:rStyle w:val="Hyperlink"/>
            <w:rFonts w:eastAsiaTheme="majorEastAsia"/>
            <w:sz w:val="20"/>
          </w:rPr>
          <w:t>http://tap.mk.gov.lv/mk/tap/?pid=40460362</w:t>
        </w:r>
      </w:hyperlink>
      <w:r w:rsidRPr="00B73A85">
        <w:t xml:space="preserve"> (sk. 12.01.2019.)</w:t>
      </w:r>
    </w:p>
  </w:footnote>
  <w:footnote w:id="265">
    <w:p w:rsidR="00224B50" w:rsidRPr="00B73A85" w:rsidRDefault="00224B50" w:rsidP="00C85EB4">
      <w:pPr>
        <w:pStyle w:val="FootnoteText"/>
        <w:spacing w:line="240" w:lineRule="auto"/>
        <w:jc w:val="both"/>
      </w:pPr>
      <w:r w:rsidRPr="00B73A85">
        <w:rPr>
          <w:rStyle w:val="FootnoteReference"/>
          <w:rFonts w:eastAsiaTheme="majorEastAsia"/>
        </w:rPr>
        <w:footnoteRef/>
      </w:r>
      <w:r w:rsidRPr="00B73A85">
        <w:t xml:space="preserve"> 09.08.2014. MK noteikumi Nr. 443 „Noteikumi par valsts palīdzību dzīvojamās telpas iegādei vai būvniecībai” zaudēja spēku līdz ar 20.02.2018. MK noteikumi Nr. 95 „Noteikumi par valsts palīdzību dzīvojamās telpas iegādei vai būvniecībai” stāšanos spēkā. </w:t>
      </w:r>
    </w:p>
  </w:footnote>
  <w:footnote w:id="266">
    <w:p w:rsidR="00224B50" w:rsidRPr="00B73A85" w:rsidRDefault="00224B50" w:rsidP="009B0D76">
      <w:pPr>
        <w:pStyle w:val="FootnoteText"/>
      </w:pPr>
      <w:r w:rsidRPr="00B73A85">
        <w:rPr>
          <w:rStyle w:val="FootnoteReference"/>
          <w:rFonts w:eastAsiaTheme="majorEastAsia"/>
        </w:rPr>
        <w:footnoteRef/>
      </w:r>
      <w:r w:rsidRPr="00B73A85">
        <w:t xml:space="preserve"> Pieejams: </w:t>
      </w:r>
      <w:hyperlink r:id="rId189" w:history="1">
        <w:r w:rsidRPr="00B73A85">
          <w:rPr>
            <w:rStyle w:val="Hyperlink"/>
            <w:rFonts w:eastAsiaTheme="majorEastAsia"/>
            <w:sz w:val="20"/>
          </w:rPr>
          <w:t>http://tap.mk.gov.lv/lv/mk/tap/?pid=40461868</w:t>
        </w:r>
      </w:hyperlink>
      <w:r w:rsidRPr="00B73A85">
        <w:t xml:space="preserve"> (sk. 12.01.2019.)</w:t>
      </w:r>
    </w:p>
  </w:footnote>
  <w:footnote w:id="267">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w:t>
      </w:r>
      <w:r w:rsidRPr="00B73A85">
        <w:rPr>
          <w:bCs/>
        </w:rPr>
        <w:t>Likuma „Par dzīvojamo telpu īri” 11.</w:t>
      </w:r>
      <w:r w:rsidRPr="00B73A85">
        <w:rPr>
          <w:bCs/>
          <w:vertAlign w:val="superscript"/>
        </w:rPr>
        <w:t>3.</w:t>
      </w:r>
      <w:r w:rsidRPr="00B73A85">
        <w:rPr>
          <w:bCs/>
        </w:rPr>
        <w:t xml:space="preserve">panta pirmās daļas 1.punkts. Pieejams: </w:t>
      </w:r>
      <w:hyperlink r:id="rId190" w:history="1">
        <w:r w:rsidRPr="00B73A85">
          <w:rPr>
            <w:rStyle w:val="Hyperlink"/>
            <w:rFonts w:eastAsiaTheme="majorEastAsia"/>
            <w:sz w:val="20"/>
          </w:rPr>
          <w:t>https://likumi.lv/doc.php?id=56863</w:t>
        </w:r>
      </w:hyperlink>
      <w:r w:rsidRPr="00B73A85">
        <w:rPr>
          <w:bCs/>
        </w:rPr>
        <w:t xml:space="preserve"> (sk. 27.11.2018.)</w:t>
      </w:r>
    </w:p>
  </w:footnote>
  <w:footnote w:id="268">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Pieejami: </w:t>
      </w:r>
      <w:hyperlink r:id="rId191" w:history="1">
        <w:r w:rsidRPr="00B73A85">
          <w:rPr>
            <w:rStyle w:val="Hyperlink"/>
            <w:rFonts w:eastAsiaTheme="majorEastAsia"/>
            <w:sz w:val="20"/>
          </w:rPr>
          <w:t>http://polsis.mk.gov.lv/documents?order=desc&amp;pageNr=0&amp;pageSize=10&amp;query=siltumapg%C4%81de</w:t>
        </w:r>
      </w:hyperlink>
      <w:r w:rsidRPr="00B73A85">
        <w:t xml:space="preserve"> (sk. 25.10.2018.)</w:t>
      </w:r>
    </w:p>
  </w:footnote>
  <w:footnote w:id="269">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14.10.2015. </w:t>
      </w:r>
      <w:r w:rsidRPr="00B73A85">
        <w:rPr>
          <w:bCs/>
        </w:rPr>
        <w:t xml:space="preserve">Informatīvais ziņojums par situāciju saistībā ar siltumapgādes pakalpojumiem 2015. gadā. Pieejams: </w:t>
      </w:r>
      <w:hyperlink r:id="rId192" w:history="1">
        <w:r w:rsidRPr="00B73A85">
          <w:rPr>
            <w:rStyle w:val="Hyperlink"/>
            <w:rFonts w:eastAsiaTheme="majorEastAsia"/>
            <w:sz w:val="20"/>
          </w:rPr>
          <w:t>https://www.em.gov.lv/lv/nozares_politika/majokli/informativie_zinojumi/</w:t>
        </w:r>
      </w:hyperlink>
      <w:r w:rsidRPr="00B73A85">
        <w:rPr>
          <w:bCs/>
        </w:rPr>
        <w:t xml:space="preserve"> (sk. 29.11.2018.)</w:t>
      </w:r>
    </w:p>
  </w:footnote>
  <w:footnote w:id="270">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Pieejami: </w:t>
      </w:r>
      <w:hyperlink r:id="rId193" w:history="1">
        <w:r w:rsidRPr="00B73A85">
          <w:rPr>
            <w:rStyle w:val="Hyperlink"/>
            <w:rFonts w:eastAsiaTheme="majorEastAsia"/>
            <w:sz w:val="20"/>
          </w:rPr>
          <w:t>http://polsis.mk.gov.lv/documents?order=desc&amp;pageNr=0&amp;pageSize=10&amp;query=energo</w:t>
        </w:r>
      </w:hyperlink>
      <w:r w:rsidRPr="00B73A85">
        <w:t xml:space="preserve">  (sk. 25.10.2018.)</w:t>
      </w:r>
    </w:p>
  </w:footnote>
  <w:footnote w:id="271">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24.10.2017. Informatīvais ziņojums „Ēku atjaunošanas ilgtermiņa stratēģija”. Pieejams: </w:t>
      </w:r>
      <w:hyperlink r:id="rId194" w:history="1">
        <w:r w:rsidRPr="00B73A85">
          <w:rPr>
            <w:rStyle w:val="Hyperlink"/>
            <w:rFonts w:eastAsiaTheme="majorEastAsia"/>
            <w:sz w:val="20"/>
          </w:rPr>
          <w:t>http://polsis.mk.gov.lv/documents?query=%E2%80%A2%0924.10.2017.%20Informat%C4%ABvais%20zi%C5%86ojums%20%E2%80%9E%C4%92ku%20atjauno%C5%A1anas%20ilgtermi%C5%86a%20strat%C4%93%C4%A3ija%E2%80%9D&amp;order=desc&amp;pageNr=0&amp;pageSize=10</w:t>
        </w:r>
      </w:hyperlink>
      <w:r w:rsidRPr="00B73A85">
        <w:t xml:space="preserve"> (sk. 14.01.2019.)</w:t>
      </w:r>
    </w:p>
  </w:footnote>
  <w:footnote w:id="272">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24.10.2017. Informatīvais ziņojums „Ēku atjaunošanas ilgtermiņa stratēģija”, 4.lpp. Pieejams: skat. iepriekš. </w:t>
      </w:r>
    </w:p>
  </w:footnote>
  <w:footnote w:id="273">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Finanšu ministrijas izstrādātā Darbības programma „Izaugsmei un nodarbinātībai” (2014). Pieejams: </w:t>
      </w:r>
      <w:hyperlink r:id="rId195" w:history="1">
        <w:r w:rsidRPr="00B73A85">
          <w:rPr>
            <w:rStyle w:val="Hyperlink"/>
            <w:rFonts w:eastAsiaTheme="majorEastAsia"/>
            <w:sz w:val="20"/>
          </w:rPr>
          <w:t>https://www.esfondi.lv/upload/Planosana/FMProg_270115_DP_2.pdf</w:t>
        </w:r>
      </w:hyperlink>
      <w:r w:rsidRPr="00B73A85">
        <w:t xml:space="preserve">  (sk. 14.01.2019.) </w:t>
      </w:r>
    </w:p>
  </w:footnote>
  <w:footnote w:id="274">
    <w:p w:rsidR="00224B50" w:rsidRPr="00B73A85" w:rsidRDefault="00224B50" w:rsidP="009B0D76">
      <w:pPr>
        <w:pStyle w:val="FootnoteText"/>
      </w:pPr>
      <w:r w:rsidRPr="00B73A85">
        <w:rPr>
          <w:rStyle w:val="FootnoteReference"/>
          <w:rFonts w:eastAsiaTheme="majorEastAsia"/>
        </w:rPr>
        <w:footnoteRef/>
      </w:r>
      <w:r w:rsidRPr="00B73A85">
        <w:t xml:space="preserve"> Pieejams: </w:t>
      </w:r>
      <w:hyperlink r:id="rId196" w:history="1">
        <w:r w:rsidRPr="00B73A85">
          <w:rPr>
            <w:rStyle w:val="Hyperlink"/>
            <w:sz w:val="20"/>
          </w:rPr>
          <w:t>https://likumi.lv/doc.php?id=36850</w:t>
        </w:r>
      </w:hyperlink>
      <w:r w:rsidRPr="00B73A85">
        <w:t xml:space="preserve"> (sk. 17.01.2019.)</w:t>
      </w:r>
    </w:p>
  </w:footnote>
  <w:footnote w:id="275">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Pieejams: </w:t>
      </w:r>
      <w:hyperlink r:id="rId197" w:history="1">
        <w:r w:rsidRPr="00B73A85">
          <w:rPr>
            <w:rStyle w:val="Hyperlink"/>
            <w:rFonts w:eastAsiaTheme="majorEastAsia"/>
            <w:sz w:val="20"/>
          </w:rPr>
          <w:t>https://likumi.lv/doc.php?id=57255</w:t>
        </w:r>
      </w:hyperlink>
      <w:r w:rsidRPr="00B73A85">
        <w:t xml:space="preserve"> (sk. 14.01.2019.)</w:t>
      </w:r>
    </w:p>
  </w:footnote>
  <w:footnote w:id="276">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Pieejams: </w:t>
      </w:r>
      <w:hyperlink r:id="rId198" w:history="1">
        <w:r w:rsidRPr="00B73A85">
          <w:rPr>
            <w:rStyle w:val="Hyperlink"/>
            <w:rFonts w:eastAsiaTheme="majorEastAsia"/>
            <w:sz w:val="20"/>
          </w:rPr>
          <w:t>https://likumi.lv/doc.php?id=56812</w:t>
        </w:r>
      </w:hyperlink>
      <w:r w:rsidRPr="00B73A85">
        <w:t xml:space="preserve"> (sk. 14.01.2019.)</w:t>
      </w:r>
    </w:p>
  </w:footnote>
  <w:footnote w:id="277">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w:t>
      </w:r>
      <w:r w:rsidRPr="00B73A85">
        <w:rPr>
          <w:bCs/>
        </w:rPr>
        <w:t xml:space="preserve">Likumprojekta „Dzīvojamo telpu īres likums” sākotnējās ietekmes novērtējuma ziņojums (anotācija). Pieejams: </w:t>
      </w:r>
      <w:hyperlink r:id="rId199" w:history="1">
        <w:r w:rsidRPr="00B73A85">
          <w:rPr>
            <w:rStyle w:val="Hyperlink"/>
            <w:rFonts w:eastAsiaTheme="majorEastAsia"/>
            <w:sz w:val="20"/>
          </w:rPr>
          <w:t>https://www.em.gov.lv/lv/nozares_politika/majokli/dzivojamo_telpu_ires_likumprojekts/</w:t>
        </w:r>
      </w:hyperlink>
      <w:r w:rsidRPr="00B73A85">
        <w:rPr>
          <w:bCs/>
        </w:rPr>
        <w:t xml:space="preserve"> (sk. 14.01.2019.)</w:t>
      </w:r>
    </w:p>
  </w:footnote>
  <w:footnote w:id="278">
    <w:p w:rsidR="00224B50" w:rsidRPr="00B73A85" w:rsidRDefault="00224B50" w:rsidP="009B0D76">
      <w:pPr>
        <w:pStyle w:val="FootnoteText"/>
      </w:pPr>
      <w:r w:rsidRPr="00B73A85">
        <w:rPr>
          <w:rStyle w:val="FootnoteReference"/>
          <w:rFonts w:eastAsiaTheme="majorEastAsia"/>
        </w:rPr>
        <w:footnoteRef/>
      </w:r>
      <w:r w:rsidRPr="00B73A85">
        <w:t xml:space="preserve"> Turpat. </w:t>
      </w:r>
    </w:p>
  </w:footnote>
  <w:footnote w:id="279">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Pieejams: </w:t>
      </w:r>
      <w:hyperlink r:id="rId200" w:history="1">
        <w:r w:rsidRPr="00B73A85">
          <w:rPr>
            <w:rStyle w:val="Hyperlink"/>
            <w:rFonts w:eastAsiaTheme="majorEastAsia"/>
            <w:sz w:val="20"/>
          </w:rPr>
          <w:t>https://likumi.lv/doc.php?id=43913</w:t>
        </w:r>
      </w:hyperlink>
      <w:r w:rsidRPr="00B73A85">
        <w:t xml:space="preserve"> (sk. 14.01.2019.)</w:t>
      </w:r>
    </w:p>
  </w:footnote>
  <w:footnote w:id="280">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Pieejams: </w:t>
      </w:r>
      <w:hyperlink r:id="rId201" w:history="1">
        <w:r w:rsidRPr="00B73A85">
          <w:rPr>
            <w:rStyle w:val="Hyperlink"/>
            <w:rFonts w:eastAsiaTheme="majorEastAsia"/>
            <w:sz w:val="20"/>
          </w:rPr>
          <w:t>https://likumi.lv/doc.php?id=193573</w:t>
        </w:r>
      </w:hyperlink>
      <w:r w:rsidRPr="00B73A85">
        <w:t xml:space="preserve"> (sk. 14.01.2019.)</w:t>
      </w:r>
    </w:p>
  </w:footnote>
  <w:footnote w:id="281">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Pieejams: </w:t>
      </w:r>
      <w:hyperlink r:id="rId202" w:history="1">
        <w:r w:rsidRPr="00B73A85">
          <w:rPr>
            <w:rStyle w:val="Hyperlink"/>
            <w:rFonts w:eastAsiaTheme="majorEastAsia"/>
            <w:sz w:val="20"/>
          </w:rPr>
          <w:t>https://likumi.lv/doc.php?id=221382</w:t>
        </w:r>
      </w:hyperlink>
      <w:r w:rsidRPr="00B73A85">
        <w:t xml:space="preserve"> (sk. 14.01.2019.)</w:t>
      </w:r>
    </w:p>
  </w:footnote>
  <w:footnote w:id="282">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Pieejams: </w:t>
      </w:r>
      <w:hyperlink r:id="rId203" w:history="1">
        <w:r w:rsidRPr="00B73A85">
          <w:rPr>
            <w:rStyle w:val="Hyperlink"/>
            <w:sz w:val="20"/>
          </w:rPr>
          <w:t>https://likumi.lv/doc.php?id=108834</w:t>
        </w:r>
      </w:hyperlink>
      <w:r w:rsidRPr="00B73A85">
        <w:t xml:space="preserve"> (sk. 17.01.2019.)</w:t>
      </w:r>
    </w:p>
  </w:footnote>
  <w:footnote w:id="283">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Pieejams: </w:t>
      </w:r>
      <w:hyperlink r:id="rId204" w:history="1">
        <w:r w:rsidRPr="00B73A85">
          <w:rPr>
            <w:rStyle w:val="Hyperlink"/>
            <w:sz w:val="20"/>
          </w:rPr>
          <w:t>https://likumi.lv/doc.php?id=214590</w:t>
        </w:r>
      </w:hyperlink>
      <w:r w:rsidRPr="00B73A85">
        <w:t xml:space="preserve"> (sk. 17.01.2019.)</w:t>
      </w:r>
    </w:p>
  </w:footnote>
  <w:footnote w:id="284">
    <w:p w:rsidR="00224B50" w:rsidRPr="00B557ED" w:rsidRDefault="00224B50" w:rsidP="00C85EB4">
      <w:pPr>
        <w:spacing w:line="240" w:lineRule="auto"/>
        <w:rPr>
          <w:sz w:val="20"/>
          <w:szCs w:val="20"/>
        </w:rPr>
      </w:pPr>
      <w:r w:rsidRPr="00B73A85">
        <w:rPr>
          <w:rStyle w:val="FootnoteReference"/>
          <w:sz w:val="20"/>
          <w:szCs w:val="20"/>
        </w:rPr>
        <w:footnoteRef/>
      </w:r>
      <w:r w:rsidRPr="00B73A85">
        <w:rPr>
          <w:sz w:val="20"/>
          <w:szCs w:val="20"/>
        </w:rPr>
        <w:t xml:space="preserve"> </w:t>
      </w:r>
      <w:r w:rsidRPr="00B73A85">
        <w:rPr>
          <w:rFonts w:eastAsia="Times New Roman"/>
          <w:sz w:val="20"/>
          <w:szCs w:val="20"/>
          <w:lang w:eastAsia="zh-CN"/>
        </w:rPr>
        <w:t xml:space="preserve">“Ģimenes valsts </w:t>
      </w:r>
      <w:r>
        <w:rPr>
          <w:rFonts w:eastAsia="Times New Roman"/>
          <w:sz w:val="20"/>
          <w:szCs w:val="20"/>
          <w:lang w:eastAsia="zh-CN"/>
        </w:rPr>
        <w:t>politikas pamatnostādņu 2011.–</w:t>
      </w:r>
      <w:r w:rsidRPr="00B73A85">
        <w:rPr>
          <w:rFonts w:eastAsia="Times New Roman"/>
          <w:sz w:val="20"/>
          <w:szCs w:val="20"/>
          <w:lang w:eastAsia="zh-CN"/>
        </w:rPr>
        <w:t>2017.</w:t>
      </w:r>
      <w:r>
        <w:rPr>
          <w:rFonts w:eastAsia="Times New Roman"/>
          <w:sz w:val="20"/>
          <w:szCs w:val="20"/>
          <w:lang w:eastAsia="zh-CN"/>
        </w:rPr>
        <w:t xml:space="preserve"> </w:t>
      </w:r>
      <w:r w:rsidRPr="00B73A85">
        <w:rPr>
          <w:rFonts w:eastAsia="Times New Roman"/>
          <w:sz w:val="20"/>
          <w:szCs w:val="20"/>
          <w:lang w:eastAsia="zh-CN"/>
        </w:rPr>
        <w:t xml:space="preserve">gadam </w:t>
      </w:r>
      <w:r>
        <w:rPr>
          <w:rFonts w:eastAsia="Times New Roman"/>
          <w:i/>
          <w:sz w:val="20"/>
          <w:szCs w:val="20"/>
          <w:lang w:eastAsia="zh-CN"/>
        </w:rPr>
        <w:t>ex-</w:t>
      </w:r>
      <w:r w:rsidRPr="00B2596F">
        <w:rPr>
          <w:rFonts w:eastAsia="Times New Roman"/>
          <w:i/>
          <w:sz w:val="20"/>
          <w:szCs w:val="20"/>
          <w:lang w:eastAsia="zh-CN"/>
        </w:rPr>
        <w:t>post</w:t>
      </w:r>
      <w:r w:rsidRPr="00B73A85">
        <w:rPr>
          <w:rFonts w:eastAsia="Times New Roman"/>
          <w:sz w:val="20"/>
          <w:szCs w:val="20"/>
          <w:lang w:eastAsia="zh-CN"/>
        </w:rPr>
        <w:t xml:space="preserve"> novērtējums”. Identifikācijas Nr.LRLM2018/28-3-02/08 Gala ziņojums (2019). Projekts. </w:t>
      </w:r>
      <w:r w:rsidRPr="00B73A85">
        <w:rPr>
          <w:rFonts w:asciiTheme="majorBidi" w:hAnsiTheme="majorBidi" w:cstheme="majorBidi"/>
          <w:bCs/>
          <w:sz w:val="20"/>
          <w:szCs w:val="20"/>
        </w:rPr>
        <w:t xml:space="preserve">Izstrādātājs: SIA SAFEGE Baltija. Nepublicēts materiāls. </w:t>
      </w:r>
    </w:p>
  </w:footnote>
  <w:footnote w:id="285">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Pieejams: </w:t>
      </w:r>
      <w:hyperlink r:id="rId205" w:history="1">
        <w:r w:rsidRPr="00B73A85">
          <w:rPr>
            <w:rStyle w:val="Hyperlink"/>
            <w:sz w:val="20"/>
          </w:rPr>
          <w:t>https://likumi.lv/doc.php?id=68488</w:t>
        </w:r>
      </w:hyperlink>
      <w:r w:rsidRPr="00B73A85">
        <w:t xml:space="preserve"> (sk. 14.01.2019.)</w:t>
      </w:r>
    </w:p>
  </w:footnote>
  <w:footnote w:id="286">
    <w:p w:rsidR="00224B50" w:rsidRPr="00B73A85" w:rsidRDefault="00224B50" w:rsidP="009B0D76">
      <w:pPr>
        <w:pStyle w:val="FootnoteText"/>
      </w:pPr>
      <w:r w:rsidRPr="00B73A85">
        <w:rPr>
          <w:rStyle w:val="FootnoteReference"/>
          <w:rFonts w:eastAsiaTheme="majorEastAsia"/>
        </w:rPr>
        <w:footnoteRef/>
      </w:r>
      <w:r w:rsidRPr="00B73A85">
        <w:t xml:space="preserve"> Pieejams: </w:t>
      </w:r>
      <w:hyperlink r:id="rId206" w:history="1">
        <w:r w:rsidRPr="00B73A85">
          <w:rPr>
            <w:rStyle w:val="Hyperlink"/>
            <w:sz w:val="20"/>
          </w:rPr>
          <w:t>https://likumi.lv/doc.php?id=167547</w:t>
        </w:r>
      </w:hyperlink>
      <w:r w:rsidRPr="00B73A85">
        <w:t xml:space="preserve"> (sk. 17.01.2019.)</w:t>
      </w:r>
    </w:p>
  </w:footnote>
  <w:footnote w:id="287">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Pieejams: </w:t>
      </w:r>
      <w:hyperlink r:id="rId207" w:history="1">
        <w:r w:rsidRPr="00B73A85">
          <w:rPr>
            <w:rStyle w:val="Hyperlink"/>
            <w:sz w:val="20"/>
          </w:rPr>
          <w:t>https://likumi.lv/doc.php?id=211494</w:t>
        </w:r>
      </w:hyperlink>
      <w:r w:rsidRPr="00B73A85">
        <w:t xml:space="preserve"> (sk. 17.01.2019.)</w:t>
      </w:r>
    </w:p>
  </w:footnote>
  <w:footnote w:id="288">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Pieejams: </w:t>
      </w:r>
      <w:hyperlink r:id="rId208" w:history="1">
        <w:r w:rsidRPr="00B73A85">
          <w:rPr>
            <w:rStyle w:val="Hyperlink"/>
            <w:sz w:val="20"/>
          </w:rPr>
          <w:t>http://www.oecd.org/eco/surveys/economic-survey-latvia.htm</w:t>
        </w:r>
      </w:hyperlink>
      <w:r w:rsidRPr="00B73A85">
        <w:t xml:space="preserve"> (sk. 18.01.2019.)</w:t>
      </w:r>
    </w:p>
  </w:footnote>
  <w:footnote w:id="289">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LR Tiesībsargs. 28.08.2018. </w:t>
      </w:r>
      <w:r w:rsidRPr="00B73A85">
        <w:rPr>
          <w:i/>
        </w:rPr>
        <w:t>Ziņojums par aktuālo situāciju pašvaldības palīdzības sniegšanā mājokļu jomā un rekomendāciju izpildi pārbaudes lietā Nr.2014-35-18AC</w:t>
      </w:r>
      <w:r w:rsidRPr="00B73A85">
        <w:t xml:space="preserve">.  </w:t>
      </w:r>
    </w:p>
  </w:footnote>
  <w:footnote w:id="290">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Likumprojekta “Grozījumi likumā “Par sociālajiem dzīvokļiem un sociālajām mājām”” anotācija. Pieejams: </w:t>
      </w:r>
      <w:hyperlink r:id="rId209" w:history="1">
        <w:r w:rsidRPr="00B73A85">
          <w:rPr>
            <w:rStyle w:val="Hyperlink"/>
            <w:sz w:val="20"/>
          </w:rPr>
          <w:t>http://titania.saeima.lv/LIVS12/SaeimaLIVS12.nsf/0/A57D4D026B9B8107C2258251002F6750?OpenDocument</w:t>
        </w:r>
      </w:hyperlink>
      <w:r w:rsidRPr="00B73A85">
        <w:t xml:space="preserve"> (sk. 18.01.209.)</w:t>
      </w:r>
    </w:p>
  </w:footnote>
  <w:footnote w:id="291">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Pieejams: </w:t>
      </w:r>
      <w:hyperlink r:id="rId210" w:history="1">
        <w:r w:rsidRPr="00B73A85">
          <w:rPr>
            <w:rStyle w:val="Hyperlink"/>
            <w:sz w:val="20"/>
          </w:rPr>
          <w:t>https://likumi.lv/doc.php?id=48995&amp;from=o</w:t>
        </w:r>
      </w:hyperlink>
      <w:r w:rsidRPr="00B73A85">
        <w:t xml:space="preserve"> (sk. 18.01.2019.)</w:t>
      </w:r>
    </w:p>
  </w:footnote>
  <w:footnote w:id="292">
    <w:p w:rsidR="00224B50" w:rsidRPr="00B73A85" w:rsidRDefault="00224B50" w:rsidP="00C85EB4">
      <w:pPr>
        <w:pStyle w:val="FootnoteText"/>
        <w:spacing w:line="240" w:lineRule="auto"/>
      </w:pPr>
      <w:r w:rsidRPr="00B73A85">
        <w:rPr>
          <w:rStyle w:val="FootnoteReference"/>
        </w:rPr>
        <w:footnoteRef/>
      </w:r>
      <w:r w:rsidRPr="00B73A85">
        <w:t xml:space="preserve"> Baltic Institute of Social Sciences (2017). „Pašvaldību politikas instrumenti aizbraukušo iedzīvotāju remigrācijas veicināšanai”. Pieejams: </w:t>
      </w:r>
      <w:hyperlink r:id="rId211" w:history="1">
        <w:r w:rsidRPr="00B73A85">
          <w:rPr>
            <w:rStyle w:val="Hyperlink"/>
            <w:sz w:val="20"/>
          </w:rPr>
          <w:t>http://petijumi.mk.gov.lv/node/3060</w:t>
        </w:r>
      </w:hyperlink>
      <w:r w:rsidRPr="00B73A85">
        <w:t xml:space="preserve"> (sk. 02.01.2019.)</w:t>
      </w:r>
    </w:p>
  </w:footnote>
  <w:footnote w:id="293">
    <w:p w:rsidR="00224B50" w:rsidRDefault="00224B50" w:rsidP="00C85EB4">
      <w:pPr>
        <w:pStyle w:val="FootnoteText"/>
        <w:spacing w:line="240" w:lineRule="auto"/>
        <w:jc w:val="both"/>
      </w:pPr>
      <w:r>
        <w:rPr>
          <w:rStyle w:val="FootnoteReference"/>
        </w:rPr>
        <w:footnoteRef/>
      </w:r>
      <w:r>
        <w:t xml:space="preserve"> L</w:t>
      </w:r>
      <w:r w:rsidRPr="00E92592">
        <w:rPr>
          <w:bCs/>
        </w:rPr>
        <w:t>īdz 2010.</w:t>
      </w:r>
      <w:r>
        <w:rPr>
          <w:bCs/>
        </w:rPr>
        <w:t xml:space="preserve"> </w:t>
      </w:r>
      <w:r w:rsidRPr="00E92592">
        <w:rPr>
          <w:bCs/>
        </w:rPr>
        <w:t>gadam šāds atbalsta veids reāli tika sniegts arī Rīgā, taču šobrīd, saskaņā ar 05.11.2018.</w:t>
      </w:r>
      <w:r w:rsidRPr="00367FDB">
        <w:rPr>
          <w:bCs/>
        </w:rPr>
        <w:t xml:space="preserve"> Rīgas domes pārstāves intervijā sniegto informāciju tas praktiski netiek izmaksāts finanšu resursu trūkuma dēļ</w:t>
      </w:r>
      <w:r>
        <w:rPr>
          <w:bCs/>
        </w:rPr>
        <w:t>.</w:t>
      </w:r>
    </w:p>
  </w:footnote>
  <w:footnote w:id="294">
    <w:p w:rsidR="00224B50" w:rsidRPr="00B73A85" w:rsidRDefault="00224B50" w:rsidP="00C85EB4">
      <w:pPr>
        <w:shd w:val="clear" w:color="auto" w:fill="FFFFFF"/>
        <w:spacing w:line="240" w:lineRule="auto"/>
        <w:rPr>
          <w:rFonts w:eastAsia="Times New Roman"/>
          <w:bCs/>
          <w:sz w:val="20"/>
          <w:szCs w:val="20"/>
        </w:rPr>
      </w:pPr>
      <w:r w:rsidRPr="00B73A85">
        <w:rPr>
          <w:rStyle w:val="FootnoteReference"/>
          <w:sz w:val="20"/>
          <w:szCs w:val="20"/>
        </w:rPr>
        <w:footnoteRef/>
      </w:r>
      <w:r w:rsidRPr="00B73A85">
        <w:rPr>
          <w:sz w:val="20"/>
          <w:szCs w:val="20"/>
        </w:rPr>
        <w:t xml:space="preserve"> 20.03.2018. </w:t>
      </w:r>
      <w:r w:rsidRPr="00B73A85">
        <w:rPr>
          <w:rFonts w:eastAsia="Times New Roman"/>
          <w:bCs/>
          <w:sz w:val="20"/>
          <w:szCs w:val="20"/>
        </w:rPr>
        <w:t xml:space="preserve">Likumprojekta „Grozījumi likumā „Par palīdzību dzīvokļa jautājumu risināšanā”” sākotnējās ietekmes novērtējuma ziņojums (anotācija). Pieejams: </w:t>
      </w:r>
      <w:hyperlink r:id="rId212" w:history="1">
        <w:r w:rsidRPr="00B73A85">
          <w:rPr>
            <w:rStyle w:val="Hyperlink"/>
            <w:rFonts w:eastAsia="Times New Roman"/>
            <w:sz w:val="20"/>
            <w:szCs w:val="20"/>
          </w:rPr>
          <w:t>http://tap.mk.gov.lv/lv/mk/tap/?pid=40438757</w:t>
        </w:r>
      </w:hyperlink>
      <w:r w:rsidRPr="00B73A85">
        <w:rPr>
          <w:rFonts w:eastAsia="Times New Roman"/>
          <w:bCs/>
          <w:sz w:val="20"/>
          <w:szCs w:val="20"/>
        </w:rPr>
        <w:t xml:space="preserve"> (sk. 12.01.2019.)</w:t>
      </w:r>
    </w:p>
  </w:footnote>
  <w:footnote w:id="295">
    <w:p w:rsidR="00224B50" w:rsidRPr="00B73A85" w:rsidRDefault="00224B50" w:rsidP="00C85EB4">
      <w:pPr>
        <w:pStyle w:val="FootnoteText"/>
        <w:spacing w:line="240" w:lineRule="auto"/>
        <w:jc w:val="both"/>
      </w:pPr>
      <w:r w:rsidRPr="00B73A85">
        <w:rPr>
          <w:rStyle w:val="FootnoteReference"/>
          <w:rFonts w:eastAsiaTheme="majorEastAsia"/>
        </w:rPr>
        <w:footnoteRef/>
      </w:r>
      <w:r w:rsidRPr="00B73A85">
        <w:t xml:space="preserve"> Ķekavas novada piemērs: </w:t>
      </w:r>
      <w:r w:rsidRPr="00B73A85">
        <w:rPr>
          <w:bCs/>
          <w:iCs/>
        </w:rPr>
        <w:t>(1) Daudzdzīvokļu dzīvojamo māju, kurās bez pašvaldības finansējuma veikti energoefektivitātes paaugstināšanas vai fasādes atjaunošanas darbi, dzīvokļu īpašniekiem attiecībā uz dzīvokļu īpašumiem, kuru funkcionālā izmantošana ir dzīvošana, kā arī telpu grupām, kuru funkcionālā izmantošana ir saistīta ar dzīvošanu, un tām piekritīgo zemi; (2) Personām, kuras, saskaņā ar SIA „Ķekavas nami” un SIA “Baložu komunālā saimniecība” sniegto apliecinājumu, ir veikušas pieslēgumu Ķekavas novada centralizētajai ūdenssaimniecības sistēmai,</w:t>
      </w:r>
      <w:r w:rsidRPr="000B7409">
        <w:rPr>
          <w:bCs/>
          <w:iCs/>
        </w:rPr>
        <w:t xml:space="preserve"> </w:t>
      </w:r>
      <w:r w:rsidRPr="00B73A85">
        <w:rPr>
          <w:bCs/>
          <w:iCs/>
        </w:rPr>
        <w:t>ja novada centralizētie ūdenssaimniecības tīkli ir izbūvēti līdz šīs personas īpašuma robežai–vienu gadu pēc pieslēguma veikšanas attiecībā uz dzīvojamām mājām, neatkarīgi no tā, vai tās ir vai nav sadalītas dzīvokļu īpašumos, dzīvojamo māju daļām, telpu grupām nedzīvojamās ēkās, kuru funkcionālā izmantošana ir dzīvošana, kā arī telpu grupām, kuru funkcionālā izmantošana ir saistīta ar dzīvošanu, un tām piekritīgo zemi, ja tās netiek izmantotas saimnieciskās darbības veikšanai; (3) Dzīvojamo māju īpašniekiem, ja ēkai– jaunbūvei vai rekonstruētai ēkai– iegūts Pasīvās ēkas (</w:t>
      </w:r>
      <w:r w:rsidRPr="00B73A85">
        <w:rPr>
          <w:bCs/>
          <w:i/>
          <w:iCs/>
        </w:rPr>
        <w:t>Certified Passive House</w:t>
      </w:r>
      <w:r w:rsidRPr="00B73A85">
        <w:rPr>
          <w:bCs/>
          <w:iCs/>
        </w:rPr>
        <w:t xml:space="preserve">), </w:t>
      </w:r>
      <w:r w:rsidRPr="00B73A85">
        <w:rPr>
          <w:bCs/>
          <w:i/>
          <w:iCs/>
        </w:rPr>
        <w:t>EnerPhit</w:t>
      </w:r>
      <w:r w:rsidRPr="00B73A85">
        <w:rPr>
          <w:bCs/>
          <w:iCs/>
        </w:rPr>
        <w:t xml:space="preserve"> (</w:t>
      </w:r>
      <w:r w:rsidRPr="00B73A85">
        <w:rPr>
          <w:bCs/>
          <w:i/>
          <w:iCs/>
        </w:rPr>
        <w:t>Certified Retrofit</w:t>
      </w:r>
      <w:r w:rsidRPr="00B73A85">
        <w:rPr>
          <w:bCs/>
          <w:iCs/>
        </w:rPr>
        <w:t>) vai zema enerģijas patēriņa ēkas (</w:t>
      </w:r>
      <w:r w:rsidRPr="00B73A85">
        <w:rPr>
          <w:bCs/>
          <w:i/>
          <w:iCs/>
        </w:rPr>
        <w:t>PHI Low Energy building</w:t>
      </w:r>
      <w:r w:rsidRPr="00B73A85">
        <w:rPr>
          <w:bCs/>
          <w:iCs/>
        </w:rPr>
        <w:t>) sertifikāts atbilstoši Pasīvo ēku institūta (</w:t>
      </w:r>
      <w:r w:rsidRPr="00B73A85">
        <w:rPr>
          <w:bCs/>
          <w:i/>
          <w:iCs/>
        </w:rPr>
        <w:t>Passive House Institute</w:t>
      </w:r>
      <w:r w:rsidRPr="00B73A85">
        <w:rPr>
          <w:bCs/>
          <w:iCs/>
        </w:rPr>
        <w:t>) prasībām, attiecībā uz dzīvojamām mājām, neatkarīgi no tā, vai tās ir vai nav sadalītas dzīvokļu īpašumos, dzīvojamo māju daļām, telpu grupām nedzīvojamās ēkās, kuru funkcionālā izmantošana ir dzīvošana, kā arī telpu grupām, kuru funkcionālā izmantošana ir saistīta ar dzīvošanu.</w:t>
      </w:r>
    </w:p>
  </w:footnote>
  <w:footnote w:id="296">
    <w:p w:rsidR="00224B50" w:rsidRPr="00B73A85" w:rsidRDefault="00224B50" w:rsidP="00C85EB4">
      <w:pPr>
        <w:pStyle w:val="FootnoteText"/>
        <w:spacing w:line="240" w:lineRule="auto"/>
        <w:jc w:val="both"/>
      </w:pPr>
      <w:r w:rsidRPr="00B73A85">
        <w:rPr>
          <w:rStyle w:val="FootnoteReference"/>
          <w:rFonts w:eastAsiaTheme="majorEastAsia"/>
        </w:rPr>
        <w:footnoteRef/>
      </w:r>
      <w:r w:rsidRPr="00B73A85">
        <w:t xml:space="preserve"> Piemēram: </w:t>
      </w:r>
      <w:r w:rsidRPr="00B73A85">
        <w:rPr>
          <w:bCs/>
          <w:iCs/>
        </w:rPr>
        <w:t>Mārupes novadā nekustamā īpašuma nodokļu atvieglojumi uz laiku līdz 3 gadiem tiek piešķirti personām, kas veikušas jaunu pieslēgumu pilsētas ūdensvadam/kanalizācijai pēc 2013.</w:t>
      </w:r>
      <w:r>
        <w:rPr>
          <w:bCs/>
          <w:iCs/>
        </w:rPr>
        <w:t xml:space="preserve"> </w:t>
      </w:r>
      <w:r w:rsidRPr="00B73A85">
        <w:rPr>
          <w:bCs/>
          <w:iCs/>
        </w:rPr>
        <w:t>gada 1.</w:t>
      </w:r>
      <w:r>
        <w:rPr>
          <w:bCs/>
          <w:iCs/>
        </w:rPr>
        <w:t xml:space="preserve"> j</w:t>
      </w:r>
      <w:r w:rsidRPr="00B73A85">
        <w:rPr>
          <w:bCs/>
          <w:iCs/>
        </w:rPr>
        <w:t>anvāra.</w:t>
      </w:r>
    </w:p>
  </w:footnote>
  <w:footnote w:id="297">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Piemēram: Limbažu novadā </w:t>
      </w:r>
      <w:r w:rsidRPr="00B73A85">
        <w:rPr>
          <w:bCs/>
          <w:iCs/>
        </w:rPr>
        <w:t>nekustamā īpašuma nodokļu atvieglojumi tiek piešķirti personām, kuru īpašumā esoša ēka vai ēkas daļa taksācijas gadā ir cietusi ugunsgrēka rezultātā.</w:t>
      </w:r>
    </w:p>
  </w:footnote>
  <w:footnote w:id="298">
    <w:p w:rsidR="00224B50" w:rsidRPr="00412C0F" w:rsidRDefault="00224B50" w:rsidP="00412C0F">
      <w:pPr>
        <w:pStyle w:val="FootnoteText"/>
        <w:spacing w:line="240" w:lineRule="auto"/>
      </w:pPr>
      <w:r w:rsidRPr="00412C0F">
        <w:rPr>
          <w:rStyle w:val="FootnoteReference"/>
        </w:rPr>
        <w:footnoteRef/>
      </w:r>
      <w:r w:rsidRPr="00412C0F">
        <w:t xml:space="preserve"> Pieejami: </w:t>
      </w:r>
      <w:hyperlink r:id="rId213" w:history="1">
        <w:r w:rsidRPr="00412C0F">
          <w:rPr>
            <w:rStyle w:val="Hyperlink"/>
            <w:sz w:val="20"/>
          </w:rPr>
          <w:t>https://likumi.lv/doc.php?id=105785</w:t>
        </w:r>
      </w:hyperlink>
      <w:r w:rsidRPr="00412C0F">
        <w:t xml:space="preserve"> (sk. 04.03.2019.)</w:t>
      </w:r>
    </w:p>
  </w:footnote>
  <w:footnote w:id="299">
    <w:p w:rsidR="00224B50" w:rsidRPr="00412C0F" w:rsidRDefault="00224B50" w:rsidP="00412C0F">
      <w:pPr>
        <w:pStyle w:val="Subtitle"/>
        <w:spacing w:after="0"/>
        <w:jc w:val="both"/>
        <w:rPr>
          <w:rFonts w:ascii="Times New Roman" w:hAnsi="Times New Roman"/>
          <w:b/>
          <w:sz w:val="20"/>
          <w:szCs w:val="20"/>
        </w:rPr>
      </w:pPr>
      <w:r w:rsidRPr="00412C0F">
        <w:rPr>
          <w:rStyle w:val="FootnoteReference"/>
          <w:rFonts w:ascii="Times New Roman" w:hAnsi="Times New Roman"/>
          <w:sz w:val="20"/>
          <w:szCs w:val="20"/>
        </w:rPr>
        <w:footnoteRef/>
      </w:r>
      <w:r w:rsidRPr="00412C0F">
        <w:rPr>
          <w:rFonts w:ascii="Times New Roman" w:hAnsi="Times New Roman"/>
          <w:sz w:val="20"/>
          <w:szCs w:val="20"/>
        </w:rPr>
        <w:t xml:space="preserve"> </w:t>
      </w:r>
      <w:r w:rsidRPr="00412C0F">
        <w:rPr>
          <w:rFonts w:ascii="Times New Roman" w:hAnsi="Times New Roman"/>
          <w:bCs/>
          <w:color w:val="000000"/>
          <w:sz w:val="20"/>
          <w:szCs w:val="20"/>
        </w:rPr>
        <w:t>MK noteikumu projekta „Noteikumi par valsts palīdzību īres dzīvojamās mājas būvniecībai”</w:t>
      </w:r>
      <w:r w:rsidRPr="00412C0F">
        <w:rPr>
          <w:rFonts w:ascii="Times New Roman" w:hAnsi="Times New Roman"/>
          <w:color w:val="000000"/>
          <w:sz w:val="20"/>
          <w:szCs w:val="20"/>
        </w:rPr>
        <w:t xml:space="preserve"> un “</w:t>
      </w:r>
      <w:r w:rsidRPr="00412C0F">
        <w:rPr>
          <w:rFonts w:ascii="Times New Roman" w:hAnsi="Times New Roman"/>
          <w:sz w:val="20"/>
          <w:szCs w:val="20"/>
        </w:rPr>
        <w:t xml:space="preserve">Grozījumi Ministru kabineta 2016. gada 15. jūlija noteikumos Nr. 469 “Noteikumi par paralēlajiem aizdevumiem saimnieciskās darbības veicējiem konkurētspējas uzlabošanai”” </w:t>
      </w:r>
      <w:r w:rsidRPr="00412C0F">
        <w:rPr>
          <w:rFonts w:ascii="Times New Roman" w:hAnsi="Times New Roman"/>
          <w:color w:val="000000"/>
          <w:sz w:val="20"/>
          <w:szCs w:val="20"/>
        </w:rPr>
        <w:t>sākotnējās ietekmes novērtējuma ziņojums (anotācija)</w:t>
      </w:r>
      <w:r w:rsidRPr="00412C0F">
        <w:rPr>
          <w:rFonts w:ascii="Times New Roman" w:hAnsi="Times New Roman"/>
          <w:b/>
          <w:color w:val="000000"/>
          <w:sz w:val="20"/>
          <w:szCs w:val="20"/>
        </w:rPr>
        <w:t xml:space="preserve">. </w:t>
      </w:r>
    </w:p>
  </w:footnote>
  <w:footnote w:id="300">
    <w:p w:rsidR="00224B50" w:rsidRPr="00412C0F" w:rsidRDefault="00224B50" w:rsidP="00412C0F">
      <w:pPr>
        <w:pStyle w:val="FootnoteText"/>
      </w:pPr>
      <w:r w:rsidRPr="00412C0F">
        <w:rPr>
          <w:rStyle w:val="FootnoteReference"/>
        </w:rPr>
        <w:footnoteRef/>
      </w:r>
      <w:r w:rsidRPr="00412C0F">
        <w:t xml:space="preserve"> LR Tiesībsargs. 28.08.2018</w:t>
      </w:r>
      <w:r w:rsidRPr="00412C0F">
        <w:rPr>
          <w:i/>
        </w:rPr>
        <w:t xml:space="preserve">. </w:t>
      </w:r>
      <w:r w:rsidRPr="00412C0F">
        <w:t>Ziņojums par aktuālo situāciju pašvaldības palīdzības sniegšanā mājokļu jomā un rekomendāciju izpildi pārbaudes lietā Nr.2014-35-18AC, 9.lpp.</w:t>
      </w:r>
    </w:p>
  </w:footnote>
  <w:footnote w:id="301">
    <w:p w:rsidR="00224B50" w:rsidRPr="00412C0F" w:rsidRDefault="00224B50" w:rsidP="00412C0F">
      <w:pPr>
        <w:pStyle w:val="FootnoteText"/>
        <w:spacing w:line="240" w:lineRule="auto"/>
      </w:pPr>
      <w:r w:rsidRPr="00412C0F">
        <w:rPr>
          <w:rStyle w:val="FootnoteReference"/>
        </w:rPr>
        <w:footnoteRef/>
      </w:r>
      <w:r w:rsidRPr="00412C0F">
        <w:t xml:space="preserve"> Ekonomikas ministrija (10.07.2018.). Noteikumi par valsts palīdzību īres dzīvojamo māju būvniecībai. Projekts. Pieejams: </w:t>
      </w:r>
      <w:hyperlink r:id="rId214" w:history="1">
        <w:r w:rsidRPr="00412C0F">
          <w:rPr>
            <w:rStyle w:val="Hyperlink"/>
            <w:sz w:val="20"/>
          </w:rPr>
          <w:t>http://tap.mk.gov.lv/mk/tap/?pid=40460362</w:t>
        </w:r>
      </w:hyperlink>
      <w:r w:rsidRPr="00412C0F">
        <w:t xml:space="preserve"> (sk. 20.02.2019.)</w:t>
      </w:r>
    </w:p>
  </w:footnote>
  <w:footnote w:id="302">
    <w:p w:rsidR="00224B50" w:rsidRPr="00412C0F" w:rsidRDefault="00224B50" w:rsidP="00412C0F">
      <w:pPr>
        <w:spacing w:line="240" w:lineRule="auto"/>
        <w:outlineLvl w:val="0"/>
        <w:rPr>
          <w:sz w:val="20"/>
          <w:szCs w:val="20"/>
        </w:rPr>
      </w:pPr>
      <w:r w:rsidRPr="00412C0F">
        <w:rPr>
          <w:rFonts w:eastAsia="Times New Roman"/>
          <w:sz w:val="20"/>
          <w:szCs w:val="20"/>
          <w:vertAlign w:val="superscript"/>
          <w:lang w:eastAsia="zh-CN"/>
        </w:rPr>
        <w:footnoteRef/>
      </w:r>
      <w:r w:rsidRPr="00412C0F">
        <w:rPr>
          <w:rFonts w:eastAsia="Times New Roman"/>
          <w:sz w:val="20"/>
          <w:szCs w:val="20"/>
          <w:lang w:eastAsia="zh-CN"/>
        </w:rPr>
        <w:t xml:space="preserve"> 26.07.2018. LDDK atzinums „Par Ministru kabineta noteikumu projektu "Noteikumi par valsts palīdzību īres dzīvojamo māju būvniecībai</w:t>
      </w:r>
      <w:r w:rsidRPr="00412C0F">
        <w:rPr>
          <w:rFonts w:eastAsia="Times New Roman"/>
          <w:bCs/>
          <w:sz w:val="20"/>
          <w:szCs w:val="20"/>
          <w:lang w:eastAsia="zh-CN"/>
        </w:rPr>
        <w:t xml:space="preserve">” </w:t>
      </w:r>
      <w:r w:rsidRPr="00412C0F">
        <w:rPr>
          <w:rFonts w:eastAsia="Times New Roman"/>
          <w:sz w:val="20"/>
          <w:szCs w:val="20"/>
          <w:lang w:eastAsia="zh-CN"/>
        </w:rPr>
        <w:t>(VSS -707)”.</w:t>
      </w:r>
    </w:p>
  </w:footnote>
  <w:footnote w:id="303">
    <w:p w:rsidR="00224B50" w:rsidRDefault="00224B50" w:rsidP="00C85EB4">
      <w:pPr>
        <w:pStyle w:val="FootnoteText"/>
        <w:spacing w:line="240" w:lineRule="auto"/>
      </w:pPr>
      <w:r>
        <w:rPr>
          <w:rStyle w:val="FootnoteReference"/>
        </w:rPr>
        <w:footnoteRef/>
      </w:r>
      <w:r>
        <w:t xml:space="preserve"> </w:t>
      </w:r>
      <w:r w:rsidRPr="00D27DCA">
        <w:t>Valsts kontroles likumības revīzija „Pašvaldību sniegtās sociālās palīdzības tiesiskums un efektivitāte” (2014)</w:t>
      </w:r>
      <w:r>
        <w:t>, 34.lpp.</w:t>
      </w:r>
    </w:p>
  </w:footnote>
  <w:footnote w:id="304">
    <w:p w:rsidR="00224B50" w:rsidRDefault="00224B50" w:rsidP="00C85EB4">
      <w:pPr>
        <w:pStyle w:val="FootnoteText"/>
        <w:spacing w:line="240" w:lineRule="auto"/>
      </w:pPr>
      <w:r>
        <w:rPr>
          <w:rStyle w:val="FootnoteReference"/>
        </w:rPr>
        <w:footnoteRef/>
      </w:r>
      <w:r>
        <w:t xml:space="preserve"> Turpat, 37.lpp.</w:t>
      </w:r>
    </w:p>
  </w:footnote>
  <w:footnote w:id="305">
    <w:p w:rsidR="00224B50" w:rsidRPr="009F2017" w:rsidRDefault="00224B50" w:rsidP="00C85EB4">
      <w:pPr>
        <w:pStyle w:val="Subtitle"/>
        <w:spacing w:after="0"/>
        <w:ind w:right="-908"/>
        <w:jc w:val="left"/>
        <w:rPr>
          <w:sz w:val="20"/>
          <w:szCs w:val="20"/>
        </w:rPr>
      </w:pPr>
      <w:r w:rsidRPr="009F2017">
        <w:rPr>
          <w:rStyle w:val="FootnoteReference"/>
          <w:sz w:val="20"/>
          <w:szCs w:val="20"/>
        </w:rPr>
        <w:footnoteRef/>
      </w:r>
      <w:r w:rsidRPr="009F2017">
        <w:rPr>
          <w:sz w:val="20"/>
          <w:szCs w:val="20"/>
        </w:rPr>
        <w:t xml:space="preserve"> </w:t>
      </w:r>
      <w:bookmarkStart w:id="633" w:name="_Hlk518293810"/>
      <w:r w:rsidRPr="00F74C2D">
        <w:rPr>
          <w:rFonts w:ascii="Times New Roman" w:hAnsi="Times New Roman"/>
          <w:sz w:val="20"/>
          <w:szCs w:val="20"/>
        </w:rPr>
        <w:t xml:space="preserve">10.07.2018. </w:t>
      </w:r>
      <w:r w:rsidRPr="00F74C2D">
        <w:rPr>
          <w:rFonts w:ascii="Times New Roman" w:hAnsi="Times New Roman"/>
          <w:bCs/>
          <w:color w:val="000000"/>
          <w:sz w:val="20"/>
          <w:szCs w:val="20"/>
        </w:rPr>
        <w:t>MK noteikumu projekta „Noteikumi par valsts palīdzību īres dzīvojamās mājas būvniecībai”</w:t>
      </w:r>
      <w:r w:rsidRPr="00F74C2D">
        <w:rPr>
          <w:rFonts w:ascii="Times New Roman" w:hAnsi="Times New Roman"/>
          <w:color w:val="000000"/>
          <w:sz w:val="20"/>
          <w:szCs w:val="20"/>
        </w:rPr>
        <w:t xml:space="preserve"> un “</w:t>
      </w:r>
      <w:r w:rsidRPr="00F74C2D">
        <w:rPr>
          <w:rFonts w:ascii="Times New Roman" w:hAnsi="Times New Roman"/>
          <w:sz w:val="20"/>
          <w:szCs w:val="20"/>
        </w:rPr>
        <w:t xml:space="preserve">Grozījumi Ministru kabineta 2016. gada 15. jūlija noteikumos Nr. 469 "Noteikumi par paralēlajiem aizdevumiem saimnieciskās darbības veicējiem konkurētspējas uzlabošanai"” </w:t>
      </w:r>
      <w:bookmarkEnd w:id="633"/>
      <w:r w:rsidRPr="00F74C2D">
        <w:rPr>
          <w:rFonts w:ascii="Times New Roman" w:hAnsi="Times New Roman"/>
          <w:color w:val="000000"/>
          <w:sz w:val="20"/>
          <w:szCs w:val="20"/>
        </w:rPr>
        <w:t>sākotnējās ietekmes novērtējuma ziņojums (anotācija) . Pieejams:</w:t>
      </w:r>
      <w:r>
        <w:rPr>
          <w:color w:val="000000"/>
          <w:sz w:val="20"/>
          <w:szCs w:val="20"/>
        </w:rPr>
        <w:t xml:space="preserve"> </w:t>
      </w:r>
      <w:hyperlink r:id="rId215" w:history="1">
        <w:r w:rsidRPr="00454FCD">
          <w:rPr>
            <w:rStyle w:val="Hyperlink"/>
            <w:rFonts w:ascii="Cambria" w:hAnsi="Cambria"/>
            <w:sz w:val="20"/>
            <w:szCs w:val="20"/>
          </w:rPr>
          <w:t>http://tap.mk.gov.lv/mk/tap/?pid=40460362</w:t>
        </w:r>
      </w:hyperlink>
      <w:r>
        <w:rPr>
          <w:color w:val="000000"/>
          <w:sz w:val="20"/>
          <w:szCs w:val="20"/>
        </w:rPr>
        <w:t xml:space="preserve">  (sk. 04.03.2019.)</w:t>
      </w:r>
    </w:p>
  </w:footnote>
  <w:footnote w:id="306">
    <w:p w:rsidR="00224B50" w:rsidRPr="00B73A85" w:rsidRDefault="00224B50" w:rsidP="00C85EB4">
      <w:pPr>
        <w:pStyle w:val="FootnoteText"/>
        <w:spacing w:line="240" w:lineRule="auto"/>
      </w:pPr>
      <w:r w:rsidRPr="00B73A85">
        <w:rPr>
          <w:rStyle w:val="FootnoteReference"/>
        </w:rPr>
        <w:footnoteRef/>
      </w:r>
      <w:r w:rsidRPr="00B73A85">
        <w:t xml:space="preserve"> OECD (09.2017.) Economic Surveys Latvia. Overview, p.3., 39. Pieejams:  </w:t>
      </w:r>
      <w:hyperlink r:id="rId216" w:history="1">
        <w:r w:rsidRPr="00B73A85">
          <w:rPr>
            <w:rStyle w:val="Hyperlink"/>
            <w:sz w:val="20"/>
          </w:rPr>
          <w:t>http://www.oecd.org/economy/surveys/Latvia-2017-OECD-economic-survey-overview.pdf</w:t>
        </w:r>
      </w:hyperlink>
      <w:r w:rsidRPr="00B73A85">
        <w:t xml:space="preserve">  (sk. 12.01.2019.)</w:t>
      </w:r>
    </w:p>
  </w:footnote>
  <w:footnote w:id="307">
    <w:p w:rsidR="00224B50" w:rsidRDefault="00224B50" w:rsidP="00C85EB4">
      <w:pPr>
        <w:pStyle w:val="FootnoteText"/>
        <w:spacing w:line="240" w:lineRule="auto"/>
      </w:pPr>
      <w:r>
        <w:rPr>
          <w:rStyle w:val="FootnoteReference"/>
        </w:rPr>
        <w:footnoteRef/>
      </w:r>
      <w:r>
        <w:t xml:space="preserve"> </w:t>
      </w:r>
      <w:r w:rsidRPr="00F74C2D">
        <w:t xml:space="preserve">19.01.2018. LDDK atzinumā EM par likumprojektu "Grozījumi likumā “Par palīdzību dzīvokļa jautājumu risināšanā”” </w:t>
      </w:r>
      <w:r w:rsidRPr="00F74C2D">
        <w:rPr>
          <w:rFonts w:eastAsia="Calibri"/>
          <w:lang w:eastAsia="lv-LV"/>
        </w:rPr>
        <w:t>(VSS - 1074)</w:t>
      </w:r>
    </w:p>
  </w:footnote>
  <w:footnote w:id="308">
    <w:p w:rsidR="00224B50" w:rsidRDefault="00224B50" w:rsidP="00C85EB4">
      <w:pPr>
        <w:pStyle w:val="FootnoteText"/>
        <w:spacing w:line="240" w:lineRule="auto"/>
      </w:pPr>
      <w:r>
        <w:rPr>
          <w:rStyle w:val="FootnoteReference"/>
        </w:rPr>
        <w:footnoteRef/>
      </w:r>
      <w:r>
        <w:t xml:space="preserve"> Turpat.</w:t>
      </w:r>
    </w:p>
  </w:footnote>
  <w:footnote w:id="309">
    <w:p w:rsidR="00224B50" w:rsidRDefault="00224B50" w:rsidP="00C85EB4">
      <w:pPr>
        <w:pStyle w:val="FootnoteText"/>
        <w:spacing w:line="240" w:lineRule="auto"/>
      </w:pPr>
      <w:r>
        <w:rPr>
          <w:rStyle w:val="FootnoteReference"/>
        </w:rPr>
        <w:footnoteRef/>
      </w:r>
      <w:r>
        <w:t xml:space="preserve"> Likuma „</w:t>
      </w:r>
      <w:r w:rsidRPr="002253C9">
        <w:t>Par sociālajiem dzīvokļiem un sociālajām dzīvojamām mājām</w:t>
      </w:r>
      <w:r>
        <w:t>” 14.panta ceturtā daļa nosaka, ka, ja „</w:t>
      </w:r>
      <w:r w:rsidRPr="002253C9">
        <w:t xml:space="preserve">īrnieks izteicis vēlēšanos arī turpmāk īrēt līdz šim īrēto dzīvokli, noslēdzot jaunu dzīvojamās telpas īres līgumu likumā "Par dzīvojamo telpu īri" noteiktajā kārtībā, pašvaldības dome var atcelt dzīvoklim sociālā dzīvokļa statusu.” </w:t>
      </w:r>
      <w:r>
        <w:rPr>
          <w:rStyle w:val="apple-converted-space"/>
          <w:rFonts w:ascii="Arial" w:hAnsi="Arial" w:cs="Arial"/>
          <w:color w:val="414142"/>
          <w:sz w:val="22"/>
          <w:szCs w:val="22"/>
          <w:shd w:val="clear" w:color="auto" w:fill="FFFFFF"/>
        </w:rPr>
        <w:t> </w:t>
      </w:r>
    </w:p>
  </w:footnote>
  <w:footnote w:id="310">
    <w:p w:rsidR="00224B50" w:rsidRPr="00B73A85" w:rsidRDefault="00224B50" w:rsidP="00C85EB4">
      <w:pPr>
        <w:pStyle w:val="FootnoteText"/>
        <w:spacing w:line="240" w:lineRule="auto"/>
      </w:pPr>
      <w:r w:rsidRPr="00B73A85">
        <w:rPr>
          <w:rStyle w:val="FootnoteReference"/>
        </w:rPr>
        <w:footnoteRef/>
      </w:r>
      <w:r w:rsidRPr="00B73A85">
        <w:t xml:space="preserve"> „Pašvaldību sociālo dienestu un sociālā darba speciālistu darbības efektivitātes novērtēšanas rezultāti un to analīze”,</w:t>
      </w:r>
      <w:r w:rsidRPr="00B73A85">
        <w:rPr>
          <w:color w:val="000000"/>
        </w:rPr>
        <w:t xml:space="preserve"> 3. starpziņojums . (2017).  Nodibinājums „Baltic Institute of Social Sciences”, Labklājības ministrija, 15.lpp. Pieejams: </w:t>
      </w:r>
      <w:hyperlink r:id="rId217" w:history="1">
        <w:r w:rsidRPr="00B73A85">
          <w:rPr>
            <w:rStyle w:val="Hyperlink"/>
            <w:sz w:val="20"/>
          </w:rPr>
          <w:t>http://www.lm.gov.lv/upload/projekts/faili/4_vadiba_partneri_zinojums_saskanots.pdf</w:t>
        </w:r>
      </w:hyperlink>
      <w:r w:rsidRPr="00B73A85">
        <w:rPr>
          <w:color w:val="000000"/>
        </w:rPr>
        <w:t xml:space="preserve">  (sk. 30.11.2018.)</w:t>
      </w:r>
    </w:p>
  </w:footnote>
  <w:footnote w:id="311">
    <w:p w:rsidR="00224B50" w:rsidRPr="00B73A85" w:rsidRDefault="00224B50" w:rsidP="00C85EB4">
      <w:pPr>
        <w:pStyle w:val="FootnoteText"/>
        <w:spacing w:line="240" w:lineRule="auto"/>
      </w:pPr>
      <w:r w:rsidRPr="00B73A85">
        <w:rPr>
          <w:rStyle w:val="FootnoteReference"/>
        </w:rPr>
        <w:footnoteRef/>
      </w:r>
      <w:r w:rsidRPr="00B73A85">
        <w:t xml:space="preserve"> Ģimenes valsts politikas pamatnostādņu 2011. – 2017.</w:t>
      </w:r>
      <w:r>
        <w:t xml:space="preserve"> </w:t>
      </w:r>
      <w:r w:rsidRPr="00B73A85">
        <w:t xml:space="preserve">gadam </w:t>
      </w:r>
      <w:r w:rsidRPr="002941BF">
        <w:rPr>
          <w:i/>
        </w:rPr>
        <w:t>ex-post</w:t>
      </w:r>
      <w:r w:rsidRPr="00B73A85">
        <w:t xml:space="preserve"> novērtējums”. Identifikācijas Nr.LRLM2018/28-3-02/08 Gala ziņojuma projekts. </w:t>
      </w:r>
      <w:r w:rsidRPr="00B73A85">
        <w:rPr>
          <w:rFonts w:asciiTheme="majorBidi" w:hAnsiTheme="majorBidi" w:cstheme="majorBidi"/>
          <w:bCs/>
        </w:rPr>
        <w:t>Izstrādātājs: SIA SAFEGE Baltija. Nepublicēts materiāls.</w:t>
      </w:r>
    </w:p>
  </w:footnote>
  <w:footnote w:id="312">
    <w:p w:rsidR="00224B50" w:rsidRDefault="00224B50" w:rsidP="00C85EB4">
      <w:pPr>
        <w:pStyle w:val="FootnoteText"/>
        <w:spacing w:line="240" w:lineRule="auto"/>
      </w:pPr>
      <w:r>
        <w:rPr>
          <w:rStyle w:val="FootnoteReference"/>
        </w:rPr>
        <w:footnoteRef/>
      </w:r>
      <w:r>
        <w:t xml:space="preserve"> 10.07.2018. </w:t>
      </w:r>
      <w:r>
        <w:rPr>
          <w:bCs/>
          <w:color w:val="000000"/>
        </w:rPr>
        <w:t>MK</w:t>
      </w:r>
      <w:r w:rsidRPr="009F2017">
        <w:rPr>
          <w:bCs/>
          <w:color w:val="000000"/>
        </w:rPr>
        <w:t xml:space="preserve"> noteikumu projekta „Noteikumi par valsts palīdzību īres dzīvojamās mājas būvniecībai”</w:t>
      </w:r>
      <w:r w:rsidRPr="009F2017">
        <w:rPr>
          <w:color w:val="000000"/>
        </w:rPr>
        <w:t xml:space="preserve"> un “</w:t>
      </w:r>
      <w:r w:rsidRPr="009F2017">
        <w:t>Grozījumi Ministru kabineta 2016. gada 15. jūlija noteikumos Nr. 469 "Noteikumi par paralēlajiem aizdevumiem saimnieciskās darbības veicējiem konkurētspējas uzlabošanai"”</w:t>
      </w:r>
      <w:r>
        <w:t xml:space="preserve"> </w:t>
      </w:r>
      <w:r w:rsidRPr="009F2017">
        <w:rPr>
          <w:color w:val="000000"/>
        </w:rPr>
        <w:t>sākotnējās ietekmes novērtējuma ziņojums (anotācija)</w:t>
      </w:r>
      <w:r>
        <w:rPr>
          <w:color w:val="000000"/>
        </w:rPr>
        <w:t xml:space="preserve">, . Pieejams: </w:t>
      </w:r>
      <w:hyperlink r:id="rId218" w:history="1">
        <w:r w:rsidRPr="00454FCD">
          <w:rPr>
            <w:rStyle w:val="Hyperlink"/>
            <w:rFonts w:ascii="Cambria" w:hAnsi="Cambria"/>
            <w:sz w:val="20"/>
          </w:rPr>
          <w:t>http://tap.mk.gov.lv/mk/tap/?pid=40460362</w:t>
        </w:r>
      </w:hyperlink>
      <w:r>
        <w:rPr>
          <w:color w:val="000000"/>
        </w:rPr>
        <w:t xml:space="preserve">  (sk. 04.03.2019.)</w:t>
      </w:r>
    </w:p>
  </w:footnote>
  <w:footnote w:id="313">
    <w:p w:rsidR="00224B50" w:rsidRDefault="00224B50" w:rsidP="00C85EB4">
      <w:pPr>
        <w:pStyle w:val="FootnoteText"/>
        <w:spacing w:line="240" w:lineRule="auto"/>
      </w:pPr>
      <w:r>
        <w:rPr>
          <w:rStyle w:val="FootnoteReference"/>
        </w:rPr>
        <w:footnoteRef/>
      </w:r>
      <w:r>
        <w:t xml:space="preserve"> CSP, “</w:t>
      </w:r>
      <w:r w:rsidRPr="00266C8E">
        <w:t>BU060c. Ekspluatācijā pieņemto jauno dzīvokļu skaits un platība statistiskajos reģionos, republikas pilsētās un novados</w:t>
      </w:r>
      <w:r>
        <w:t xml:space="preserve">”. </w:t>
      </w:r>
    </w:p>
  </w:footnote>
  <w:footnote w:id="314">
    <w:p w:rsidR="00224B50" w:rsidRDefault="00224B50" w:rsidP="00C85EB4">
      <w:pPr>
        <w:pStyle w:val="FootnoteText"/>
        <w:spacing w:line="240" w:lineRule="auto"/>
      </w:pPr>
      <w:r>
        <w:rPr>
          <w:rStyle w:val="FootnoteReference"/>
        </w:rPr>
        <w:footnoteRef/>
      </w:r>
      <w:r>
        <w:t xml:space="preserve"> </w:t>
      </w:r>
      <w:r w:rsidRPr="00B73A85">
        <w:t xml:space="preserve">Sideļska, A. (2014). </w:t>
      </w:r>
      <w:r w:rsidRPr="00B73A85">
        <w:rPr>
          <w:i/>
        </w:rPr>
        <w:t>Dzīvojamais fonds kā reģionu sociālekonomiskās attīstības elements</w:t>
      </w:r>
      <w:r w:rsidRPr="00B73A85">
        <w:t>. Promocijas darba kopsavilkums. Latvijas Lauksaimniecības universitāte</w:t>
      </w:r>
      <w:r>
        <w:t>, 32.lpp</w:t>
      </w:r>
      <w:r w:rsidRPr="00B73A85">
        <w:t xml:space="preserve">. </w:t>
      </w:r>
    </w:p>
  </w:footnote>
  <w:footnote w:id="315">
    <w:p w:rsidR="00224B50" w:rsidRPr="00002E2B" w:rsidRDefault="00224B50" w:rsidP="00C85EB4">
      <w:pPr>
        <w:pStyle w:val="FootnoteText"/>
        <w:spacing w:line="240" w:lineRule="auto"/>
      </w:pPr>
      <w:r>
        <w:rPr>
          <w:rStyle w:val="FootnoteReference"/>
        </w:rPr>
        <w:footnoteRef/>
      </w:r>
      <w:r>
        <w:t xml:space="preserve"> Pieejams: </w:t>
      </w:r>
      <w:hyperlink r:id="rId219" w:history="1">
        <w:r w:rsidRPr="00002E2B">
          <w:rPr>
            <w:rStyle w:val="Hyperlink"/>
            <w:rFonts w:eastAsiaTheme="majorEastAsia"/>
            <w:sz w:val="20"/>
          </w:rPr>
          <w:t>http://www.tiesibsargs.lv/uploads/content/lapas/zinojums_pasvaldibu_majokli_pielikums_1535637005.pdf</w:t>
        </w:r>
      </w:hyperlink>
      <w:r w:rsidRPr="00002E2B">
        <w:t xml:space="preserve"> (sk.11.04.2019.)</w:t>
      </w:r>
    </w:p>
  </w:footnote>
  <w:footnote w:id="316">
    <w:p w:rsidR="00224B50" w:rsidRPr="00002E2B" w:rsidRDefault="00224B50" w:rsidP="00C85EB4">
      <w:pPr>
        <w:pStyle w:val="FootnoteText"/>
        <w:spacing w:line="240" w:lineRule="auto"/>
      </w:pPr>
      <w:r>
        <w:rPr>
          <w:rStyle w:val="FootnoteReference"/>
        </w:rPr>
        <w:footnoteRef/>
      </w:r>
      <w:r>
        <w:t xml:space="preserve"> LR Tiesībsargs (28.08.2018.). Ziņojums par aktuālo situāciju pašvaldības palīdzības sniegšanā mājokļu jomā un rekomendāciju izpildi pārbaudes lietā Nr.2014-35-18AC. Pieejams: </w:t>
      </w:r>
      <w:hyperlink r:id="rId220" w:history="1">
        <w:r w:rsidRPr="00002E2B">
          <w:rPr>
            <w:rStyle w:val="Hyperlink"/>
            <w:rFonts w:eastAsiaTheme="majorEastAsia"/>
            <w:sz w:val="20"/>
          </w:rPr>
          <w:t>http://www.tiesibsargs.lv/lv/pages/petijumi-un-publikacijas/gadazinojumi/specialie-zinojumi</w:t>
        </w:r>
      </w:hyperlink>
      <w:r w:rsidRPr="00002E2B">
        <w:t xml:space="preserve"> (sk. 11.04.2019.)</w:t>
      </w:r>
    </w:p>
  </w:footnote>
  <w:footnote w:id="317">
    <w:p w:rsidR="00224B50" w:rsidRPr="00B73A85" w:rsidRDefault="00224B50" w:rsidP="00C85EB4">
      <w:pPr>
        <w:pStyle w:val="FootnoteText"/>
        <w:spacing w:line="240" w:lineRule="auto"/>
      </w:pPr>
      <w:r w:rsidRPr="00B73A85">
        <w:rPr>
          <w:rStyle w:val="FootnoteReference"/>
        </w:rPr>
        <w:footnoteRef/>
      </w:r>
      <w:r w:rsidRPr="00B73A85">
        <w:t xml:space="preserve"> Baltic Institute of Social Sciences (2017). „Pašvaldību politikas instrumenti aizbraukušo iedzīvotāju remigrācijas veicināšanai”, 60.-61.lpp. Pieejams: </w:t>
      </w:r>
      <w:hyperlink r:id="rId221" w:history="1">
        <w:r w:rsidRPr="00B73A85">
          <w:rPr>
            <w:rStyle w:val="Hyperlink"/>
            <w:sz w:val="20"/>
          </w:rPr>
          <w:t>http://petijumi.mk.gov.lv/node/3060</w:t>
        </w:r>
      </w:hyperlink>
      <w:r w:rsidRPr="00B73A85">
        <w:t xml:space="preserve"> (sk. 02.11.2018.)</w:t>
      </w:r>
    </w:p>
  </w:footnote>
  <w:footnote w:id="318">
    <w:p w:rsidR="00224B50" w:rsidRPr="00B73A85" w:rsidRDefault="00224B50" w:rsidP="00C85EB4">
      <w:pPr>
        <w:pStyle w:val="FootnoteText"/>
        <w:spacing w:line="240" w:lineRule="auto"/>
      </w:pPr>
      <w:r w:rsidRPr="00B73A85">
        <w:rPr>
          <w:rStyle w:val="FootnoteReference"/>
        </w:rPr>
        <w:footnoteRef/>
      </w:r>
      <w:r w:rsidRPr="00B73A85">
        <w:t xml:space="preserve"> CSP, Dzīvojamais fonds un tā apsaimniekošana. Pieejams: </w:t>
      </w:r>
      <w:hyperlink r:id="rId222" w:history="1">
        <w:r w:rsidRPr="00575DDD">
          <w:rPr>
            <w:rStyle w:val="Hyperlink"/>
            <w:sz w:val="20"/>
          </w:rPr>
          <w:t>https://www.csb.gov.lv/lv/statistika/statistikas-temas/buvnieciba-rupnieciba-tirdznieciba/nekustamais/tabulas/metadati-dzivojamais-fonds-un-ta</w:t>
        </w:r>
      </w:hyperlink>
      <w:r>
        <w:t xml:space="preserve"> (sk. 10.03.2019.)</w:t>
      </w:r>
    </w:p>
  </w:footnote>
  <w:footnote w:id="319">
    <w:p w:rsidR="00224B50" w:rsidRPr="00B73A85" w:rsidRDefault="00224B50" w:rsidP="00830823">
      <w:pPr>
        <w:pStyle w:val="FootnoteText"/>
      </w:pPr>
      <w:r w:rsidRPr="00B73A85">
        <w:rPr>
          <w:rStyle w:val="FootnoteReference"/>
        </w:rPr>
        <w:footnoteRef/>
      </w:r>
      <w:r w:rsidRPr="00B73A85">
        <w:t xml:space="preserve"> CSP, “Mājoklis EU-SILC apsekojums”.</w:t>
      </w:r>
    </w:p>
  </w:footnote>
  <w:footnote w:id="320">
    <w:p w:rsidR="00224B50" w:rsidRPr="00364ACF" w:rsidRDefault="00224B50" w:rsidP="00F74B8F">
      <w:pPr>
        <w:pStyle w:val="NormalWeb"/>
        <w:shd w:val="clear" w:color="auto" w:fill="FFFFFF"/>
        <w:spacing w:line="240" w:lineRule="auto"/>
        <w:rPr>
          <w:rFonts w:eastAsia="Times New Roman"/>
          <w:color w:val="000000"/>
          <w:sz w:val="20"/>
          <w:szCs w:val="20"/>
        </w:rPr>
      </w:pPr>
      <w:r w:rsidRPr="00364ACF">
        <w:rPr>
          <w:rStyle w:val="FootnoteReference"/>
          <w:sz w:val="20"/>
          <w:szCs w:val="20"/>
        </w:rPr>
        <w:footnoteRef/>
      </w:r>
      <w:r w:rsidRPr="00364ACF">
        <w:rPr>
          <w:sz w:val="20"/>
          <w:szCs w:val="20"/>
        </w:rPr>
        <w:t xml:space="preserve"> CSP termina skaidrojums: </w:t>
      </w:r>
      <w:r w:rsidRPr="00364ACF">
        <w:rPr>
          <w:rFonts w:eastAsia="Times New Roman"/>
          <w:color w:val="000000"/>
          <w:kern w:val="0"/>
          <w:sz w:val="20"/>
          <w:szCs w:val="20"/>
          <w:lang w:eastAsia="lv-LV" w:bidi="ar-SA"/>
        </w:rPr>
        <w:t xml:space="preserve">Dziļa materiālā nenodrošinātība raksturo personas, kurām piemīt vismaz četras no šādām materiālās nenodrošinātības pazīmēm: finansiālu iespēju trūkums </w:t>
      </w:r>
      <w:r w:rsidRPr="00364ACF">
        <w:rPr>
          <w:rFonts w:eastAsia="Times New Roman"/>
          <w:color w:val="000000"/>
          <w:sz w:val="20"/>
          <w:szCs w:val="20"/>
        </w:rPr>
        <w:t xml:space="preserve">segt komunālos maksājumus, īri vai atmaksāt kredītu; finansiāli atļauties uzturēt mājokli siltu; segt pēkšņus, neparedzētus izdevumus no pašu līdzekļiem; ēst gaļu, putnu gaļu vai zivis katru otro dienu; katru gadu vienu nedēļu doties brīvdienās ārpus mājām; lietot savām vajadzībām vieglo auto; veļas mazgājamo mašīnu; krāsu televizoru; telefonu. Pieejams: </w:t>
      </w:r>
      <w:hyperlink r:id="rId223" w:history="1">
        <w:r w:rsidRPr="00364ACF">
          <w:rPr>
            <w:rStyle w:val="Hyperlink"/>
            <w:rFonts w:eastAsia="Times New Roman"/>
            <w:sz w:val="20"/>
            <w:szCs w:val="20"/>
          </w:rPr>
          <w:t>https://www.csb.gov.lv/lv/statistika/statistikas-temas/socialie-procesi/nabadziba/tabulas/mng140/iedzivotaju-dzila-materiala-nenodrosinatiba</w:t>
        </w:r>
      </w:hyperlink>
      <w:r w:rsidRPr="00364ACF">
        <w:rPr>
          <w:rFonts w:eastAsia="Times New Roman"/>
          <w:color w:val="000000"/>
          <w:sz w:val="20"/>
          <w:szCs w:val="20"/>
        </w:rPr>
        <w:t xml:space="preserve"> (sk. 01.03.2019.)</w:t>
      </w:r>
    </w:p>
    <w:p w:rsidR="00224B50" w:rsidRDefault="00224B50" w:rsidP="00F74B8F">
      <w:pPr>
        <w:pStyle w:val="FootnoteText"/>
        <w:spacing w:line="240" w:lineRule="auto"/>
      </w:pPr>
    </w:p>
  </w:footnote>
  <w:footnote w:id="321">
    <w:p w:rsidR="00224B50" w:rsidRPr="00B73A85" w:rsidRDefault="00224B50" w:rsidP="00C85EB4">
      <w:pPr>
        <w:pStyle w:val="FootnoteText"/>
        <w:spacing w:line="240" w:lineRule="auto"/>
        <w:jc w:val="both"/>
      </w:pPr>
      <w:r w:rsidRPr="00B73A85">
        <w:rPr>
          <w:rStyle w:val="FootnoteReference"/>
        </w:rPr>
        <w:footnoteRef/>
      </w:r>
      <w:r w:rsidRPr="00B73A85">
        <w:t xml:space="preserve"> Dziļa materiālā nenodrošinātība raksturo personas, kurām piemīt vismaz četras no šādām materiālās nenodrošinātības pazīmēm: finansiālu iespēju trūkums 1) segt komunālos maksājumus, īri vai atmaksāt kredītu, 2) finansiāli atļauties uzturēt mājokli siltu, 3) segt pēkšņus, neparedzētus izdevumus no pašu līdzekļiem, 4) ēst gaļu, putnu gaļu vai zivis katru otro dienu, 5) katru gadu vienu nedēļu doties brīvdienās ārpus mājām, 6) lietot savām vajadzībām vieglo auto, 7) veļas mazgājamo mašīnu, 8) krāsu televizoru, 9) telefonu (CSP, “Dziļa materiālā nenodrošinātība”).</w:t>
      </w:r>
    </w:p>
  </w:footnote>
  <w:footnote w:id="322">
    <w:p w:rsidR="00224B50" w:rsidRPr="00B73A85" w:rsidRDefault="00224B50" w:rsidP="00C85EB4">
      <w:pPr>
        <w:pStyle w:val="FootnoteText"/>
        <w:spacing w:line="240" w:lineRule="auto"/>
        <w:jc w:val="both"/>
      </w:pPr>
      <w:r w:rsidRPr="00B73A85">
        <w:rPr>
          <w:rStyle w:val="FootnoteReference"/>
        </w:rPr>
        <w:footnoteRef/>
      </w:r>
      <w:r w:rsidRPr="00B73A85">
        <w:t xml:space="preserve"> Materiālā nenodrošinātība tiek definēta kā iemeslu kopums, kas mājsaimniecībai liedz pieeju noteiktiem materiāliem labumiem. Šie iemesli ir naudas trūkums, neapmierinoši mājokļa apstākļi un piespiedu atteikšanās izmantot ilglietošanas sadzīves priekšmetus. Dati tiek vākti, lai papildus monetārajiem un ienākumu nevienlīdzības indikatoriem varētu vispusīgāk un plašāk novērtēt nabadzību un sociālo atstumtību (CSP, “Materiālā nenodrošinātība”).</w:t>
      </w:r>
    </w:p>
  </w:footnote>
  <w:footnote w:id="323">
    <w:p w:rsidR="00224B50" w:rsidRPr="00B73A85" w:rsidRDefault="00224B50" w:rsidP="00381F09">
      <w:pPr>
        <w:pStyle w:val="FootnoteText"/>
      </w:pPr>
      <w:r w:rsidRPr="00B73A85">
        <w:rPr>
          <w:rStyle w:val="FootnoteReference"/>
        </w:rPr>
        <w:footnoteRef/>
      </w:r>
      <w:r w:rsidRPr="00B73A85">
        <w:t xml:space="preserve"> CSP, </w:t>
      </w:r>
      <w:r>
        <w:t xml:space="preserve">Terminu skaidrojums, </w:t>
      </w:r>
      <w:r w:rsidRPr="00B73A85">
        <w:t>“Mājokļa uzturēšanas izdevumi [EU-SILC apsekojums]”.</w:t>
      </w:r>
    </w:p>
  </w:footnote>
  <w:footnote w:id="324">
    <w:p w:rsidR="00224B50" w:rsidRPr="00C85EB4" w:rsidRDefault="00224B50" w:rsidP="00C85EB4">
      <w:pPr>
        <w:pStyle w:val="FootnoteText"/>
        <w:spacing w:line="240" w:lineRule="auto"/>
      </w:pPr>
      <w:r w:rsidRPr="00C85EB4">
        <w:rPr>
          <w:rStyle w:val="FootnoteReference"/>
        </w:rPr>
        <w:footnoteRef/>
      </w:r>
      <w:r w:rsidRPr="00C85EB4">
        <w:t xml:space="preserve"> CSP, “2017.</w:t>
      </w:r>
      <w:r>
        <w:t xml:space="preserve"> </w:t>
      </w:r>
      <w:r w:rsidRPr="00C85EB4">
        <w:t xml:space="preserve">gadā mājokļa izdevumi vidēji 138 eiro mēnesī”. Pieejams: </w:t>
      </w:r>
      <w:hyperlink r:id="rId224" w:history="1">
        <w:r w:rsidRPr="00C85EB4">
          <w:rPr>
            <w:rStyle w:val="Hyperlink"/>
            <w:rFonts w:eastAsiaTheme="majorEastAsia"/>
            <w:sz w:val="20"/>
          </w:rPr>
          <w:t>https://www.csb.gov.lv/lv/statistika/statistikas-temas/socialie-procesi/majokla-apstakli/meklet-tema/2391-majokla-uzturesanas-izdevumi-2017-gada</w:t>
        </w:r>
      </w:hyperlink>
      <w:r w:rsidRPr="00C85EB4">
        <w:t xml:space="preserve"> (sk. 11.04.2019.); CSP, “2018.</w:t>
      </w:r>
      <w:r>
        <w:t xml:space="preserve"> </w:t>
      </w:r>
      <w:r w:rsidRPr="00C85EB4">
        <w:t xml:space="preserve">gadā mājokļa izdevumi vidēji 150 eiro mēnesī”. Pieejams: </w:t>
      </w:r>
      <w:hyperlink r:id="rId225" w:history="1">
        <w:r w:rsidRPr="00C85EB4">
          <w:rPr>
            <w:rStyle w:val="Hyperlink"/>
            <w:rFonts w:eastAsiaTheme="majorEastAsia"/>
            <w:sz w:val="20"/>
          </w:rPr>
          <w:t>https://www.csb.gov.lv/lv/statistika/statistikas-temas/socialie-procesi/majokla-apstakli/meklet-tema/2610-majokla-uzturesanas-izdevumi-2018-gada</w:t>
        </w:r>
      </w:hyperlink>
      <w:r w:rsidRPr="00C85EB4">
        <w:t xml:space="preserve"> (sk. 11.04.2019.)</w:t>
      </w:r>
    </w:p>
  </w:footnote>
  <w:footnote w:id="325">
    <w:p w:rsidR="00224B50" w:rsidRPr="00C85EB4" w:rsidRDefault="00224B50" w:rsidP="00C85EB4">
      <w:pPr>
        <w:pStyle w:val="FootnoteText"/>
        <w:spacing w:line="240" w:lineRule="auto"/>
        <w:jc w:val="both"/>
      </w:pPr>
      <w:r w:rsidRPr="00C85EB4">
        <w:rPr>
          <w:rStyle w:val="FootnoteReference"/>
        </w:rPr>
        <w:footnoteRef/>
      </w:r>
      <w:r w:rsidRPr="00C85EB4">
        <w:t xml:space="preserve"> CSP, Terminu skaidrojums: “</w:t>
      </w:r>
      <w:r w:rsidRPr="00C85EB4">
        <w:rPr>
          <w:bCs/>
        </w:rPr>
        <w:t>Komunālie pakalpojumi</w:t>
      </w:r>
      <w:r w:rsidRPr="00C85EB4">
        <w:t> ietver maksājumus par ūdeni, gāzi, elektrību, apkuri un atkritumu savākšanu. Netiek iekļauti tie izdevumi, ko mājsaimniecība sedz, lai nodrošinātu sev papildu iespējas (piemēram, abonementa maksu par televīziju, internetu, telefonu, signalizāciju u.c.)”.</w:t>
      </w:r>
    </w:p>
  </w:footnote>
  <w:footnote w:id="326">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Pieejams: </w:t>
      </w:r>
      <w:hyperlink r:id="rId226" w:history="1">
        <w:r w:rsidRPr="00B73A85">
          <w:rPr>
            <w:rStyle w:val="Hyperlink"/>
            <w:sz w:val="20"/>
          </w:rPr>
          <w:t>https://likumi.lv/doc.php?id=211494</w:t>
        </w:r>
      </w:hyperlink>
      <w:r w:rsidRPr="00B73A85">
        <w:t xml:space="preserve"> (sk. 17.01.2019.)</w:t>
      </w:r>
    </w:p>
  </w:footnote>
  <w:footnote w:id="327">
    <w:p w:rsidR="00224B50" w:rsidRPr="00F31EE6" w:rsidRDefault="00224B50" w:rsidP="00C85EB4">
      <w:pPr>
        <w:pStyle w:val="FootnoteText"/>
        <w:spacing w:line="240" w:lineRule="auto"/>
      </w:pPr>
      <w:r>
        <w:rPr>
          <w:rStyle w:val="FootnoteReference"/>
        </w:rPr>
        <w:footnoteRef/>
      </w:r>
      <w:r>
        <w:t xml:space="preserve"> Nodibinājums „Baltic Institute of Social Sciences” (2017). </w:t>
      </w:r>
      <w:r w:rsidRPr="00F31EE6">
        <w:rPr>
          <w:bCs/>
        </w:rPr>
        <w:t>“Motivācijas paaugstināšanas un atbalsta pakalpojumu potenciālās mērķa grupas profilēšana un vajadzību izpēte”</w:t>
      </w:r>
      <w:r>
        <w:rPr>
          <w:bCs/>
        </w:rPr>
        <w:t xml:space="preserve">, 100.lpp. Pieejams: </w:t>
      </w:r>
      <w:hyperlink r:id="rId227" w:history="1">
        <w:r w:rsidRPr="00454FCD">
          <w:rPr>
            <w:rStyle w:val="Hyperlink"/>
            <w:bCs/>
            <w:sz w:val="20"/>
          </w:rPr>
          <w:t>http://petijumi.mk.gov.lv/sites/default/files/title_file/petij_sif_motivac_paaugst_un_atbalst_pakalpoj_potencial%2Bmerka%2Bgrup_profiles_un_vaj_izpete.pdf</w:t>
        </w:r>
      </w:hyperlink>
      <w:r>
        <w:rPr>
          <w:bCs/>
        </w:rPr>
        <w:t xml:space="preserve"> (sk. 04.03.2019.)</w:t>
      </w:r>
    </w:p>
  </w:footnote>
  <w:footnote w:id="328">
    <w:p w:rsidR="00224B50" w:rsidRPr="00C017EC" w:rsidRDefault="00224B50" w:rsidP="00C85EB4">
      <w:pPr>
        <w:spacing w:line="240" w:lineRule="auto"/>
        <w:rPr>
          <w:sz w:val="20"/>
          <w:szCs w:val="20"/>
        </w:rPr>
      </w:pPr>
      <w:r w:rsidRPr="00F31EE6">
        <w:rPr>
          <w:rStyle w:val="FootnoteReference"/>
          <w:sz w:val="20"/>
          <w:szCs w:val="20"/>
        </w:rPr>
        <w:footnoteRef/>
      </w:r>
      <w:r w:rsidRPr="00C017EC">
        <w:t xml:space="preserve"> </w:t>
      </w:r>
      <w:r w:rsidRPr="00F31EE6">
        <w:rPr>
          <w:sz w:val="20"/>
          <w:szCs w:val="20"/>
        </w:rPr>
        <w:t>Atbalsta nosacījumus un saņemšanas kārtību nosaka Ministru kabineta 21. decembra 2010. gada noteikumi Nr. 1170 „</w:t>
      </w:r>
      <w:r w:rsidRPr="00F31EE6">
        <w:rPr>
          <w:bCs/>
          <w:sz w:val="20"/>
          <w:szCs w:val="20"/>
          <w:shd w:val="clear" w:color="auto" w:fill="FFFFFF"/>
        </w:rPr>
        <w:t>Noteikumi par kārtību, kādā personas ar invaliditāti saņem atbalstu mājokļa pielāgošanai, un atbalsta saņemšanas nosacījumiem”. Pieejams:</w:t>
      </w:r>
      <w:r w:rsidRPr="00F31EE6">
        <w:rPr>
          <w:sz w:val="20"/>
          <w:szCs w:val="20"/>
        </w:rPr>
        <w:t xml:space="preserve"> </w:t>
      </w:r>
      <w:hyperlink r:id="rId228" w:history="1">
        <w:r w:rsidRPr="00F31EE6">
          <w:rPr>
            <w:rStyle w:val="Hyperlink"/>
            <w:sz w:val="20"/>
            <w:szCs w:val="20"/>
          </w:rPr>
          <w:t>https://likumi.lv/doc.php?id=223578</w:t>
        </w:r>
      </w:hyperlink>
      <w:r w:rsidRPr="00F31EE6">
        <w:rPr>
          <w:sz w:val="20"/>
          <w:szCs w:val="20"/>
        </w:rPr>
        <w:t xml:space="preserve"> </w:t>
      </w:r>
      <w:r w:rsidRPr="00F31EE6">
        <w:rPr>
          <w:bCs/>
          <w:sz w:val="20"/>
          <w:szCs w:val="20"/>
          <w:shd w:val="clear" w:color="auto" w:fill="FFFFFF"/>
        </w:rPr>
        <w:t xml:space="preserve"> (skatīts 11.05.2017.).</w:t>
      </w:r>
    </w:p>
  </w:footnote>
  <w:footnote w:id="329">
    <w:p w:rsidR="00224B50" w:rsidRDefault="00224B50" w:rsidP="00C85EB4">
      <w:pPr>
        <w:pStyle w:val="FootnoteText"/>
        <w:spacing w:line="240" w:lineRule="auto"/>
      </w:pPr>
      <w:r>
        <w:rPr>
          <w:rStyle w:val="FootnoteReference"/>
        </w:rPr>
        <w:footnoteRef/>
      </w:r>
      <w:r>
        <w:t xml:space="preserve"> Nodibinājums „Baltic Institute of Social Sciences” (2017). </w:t>
      </w:r>
      <w:r w:rsidRPr="00F31EE6">
        <w:rPr>
          <w:bCs/>
        </w:rPr>
        <w:t>“Motivācijas paaugstināšanas un atbalsta pakalpojumu potenciālās mērķa grupas profilēšana un vajadzību izpēte”</w:t>
      </w:r>
      <w:r>
        <w:rPr>
          <w:bCs/>
        </w:rPr>
        <w:t>, 95.lpp.</w:t>
      </w:r>
    </w:p>
  </w:footnote>
  <w:footnote w:id="330">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Izglītības likums. Pārejas noteikumu 60., 61. punkts. Pieejams: </w:t>
      </w:r>
      <w:hyperlink r:id="rId229" w:history="1">
        <w:r w:rsidRPr="00B73A85">
          <w:rPr>
            <w:rStyle w:val="Hyperlink"/>
            <w:rFonts w:eastAsiaTheme="majorEastAsia"/>
            <w:sz w:val="20"/>
          </w:rPr>
          <w:t>https://likumi.lv/doc.php?id=50759</w:t>
        </w:r>
      </w:hyperlink>
      <w:r w:rsidRPr="00B73A85">
        <w:t xml:space="preserve"> (sk. 03.12.2018.)</w:t>
      </w:r>
    </w:p>
  </w:footnote>
  <w:footnote w:id="331">
    <w:p w:rsidR="00224B50" w:rsidRPr="00B73A85" w:rsidRDefault="00224B50" w:rsidP="00C85EB4">
      <w:pPr>
        <w:pStyle w:val="FootnoteText"/>
        <w:spacing w:line="240" w:lineRule="auto"/>
      </w:pPr>
      <w:r w:rsidRPr="00B73A85">
        <w:rPr>
          <w:rStyle w:val="FootnoteReference"/>
        </w:rPr>
        <w:footnoteRef/>
      </w:r>
      <w:r w:rsidRPr="00B73A85">
        <w:t xml:space="preserve"> </w:t>
      </w:r>
      <w:r w:rsidRPr="00B73A85">
        <w:rPr>
          <w:rStyle w:val="normaltextrun"/>
        </w:rPr>
        <w:t>Ģimenes valsts politikas pamatnostādnes 2011. – 2017.</w:t>
      </w:r>
      <w:r>
        <w:rPr>
          <w:rStyle w:val="normaltextrun"/>
        </w:rPr>
        <w:t xml:space="preserve"> </w:t>
      </w:r>
      <w:r w:rsidRPr="00B73A85">
        <w:rPr>
          <w:rStyle w:val="normaltextrun"/>
        </w:rPr>
        <w:t xml:space="preserve">gadam. Pieejams: </w:t>
      </w:r>
      <w:hyperlink r:id="rId230" w:history="1">
        <w:r w:rsidRPr="00B73A85">
          <w:rPr>
            <w:rStyle w:val="Hyperlink"/>
            <w:sz w:val="20"/>
          </w:rPr>
          <w:t>http://www.lm.gov.lv/upload/berns_gimene/lmpamn_200111_gvp.pdf</w:t>
        </w:r>
      </w:hyperlink>
      <w:r w:rsidRPr="00B73A85">
        <w:rPr>
          <w:rStyle w:val="normaltextrun"/>
        </w:rPr>
        <w:t xml:space="preserve"> (sk. 19.01.2019.)</w:t>
      </w:r>
    </w:p>
  </w:footnote>
  <w:footnote w:id="332">
    <w:p w:rsidR="00224B50" w:rsidRPr="00B73A85" w:rsidRDefault="00224B50" w:rsidP="00C85EB4">
      <w:pPr>
        <w:pStyle w:val="FootnoteText"/>
        <w:spacing w:line="240" w:lineRule="auto"/>
      </w:pPr>
      <w:r w:rsidRPr="00B73A85">
        <w:rPr>
          <w:rStyle w:val="FootnoteReference"/>
        </w:rPr>
        <w:footnoteRef/>
      </w:r>
      <w:r w:rsidRPr="00B73A85">
        <w:t xml:space="preserve"> “Ģimenes valsts politikas pamatnostādņu 2011. – 2017.</w:t>
      </w:r>
      <w:r>
        <w:t xml:space="preserve"> </w:t>
      </w:r>
      <w:r w:rsidRPr="00B73A85">
        <w:t xml:space="preserve">gadam </w:t>
      </w:r>
      <w:r w:rsidRPr="003B387E">
        <w:rPr>
          <w:i/>
        </w:rPr>
        <w:t>ex-post</w:t>
      </w:r>
      <w:r w:rsidRPr="00B73A85">
        <w:t xml:space="preserve"> novērtējums”. Identifikācijas Nr.LRLM2018/28-3-02/08 Gala ziņojums. Projekts. </w:t>
      </w:r>
      <w:r w:rsidRPr="00B73A85">
        <w:rPr>
          <w:rFonts w:asciiTheme="majorBidi" w:hAnsiTheme="majorBidi" w:cstheme="majorBidi"/>
          <w:bCs/>
        </w:rPr>
        <w:t xml:space="preserve">Izstrādātājs: SIA SAFEGE Baltija. Nepublicēts materiāls. </w:t>
      </w:r>
    </w:p>
  </w:footnote>
  <w:footnote w:id="333">
    <w:p w:rsidR="00224B50" w:rsidRPr="00E22E2A" w:rsidRDefault="00224B50" w:rsidP="00C85EB4">
      <w:pPr>
        <w:spacing w:line="240" w:lineRule="auto"/>
        <w:rPr>
          <w:sz w:val="20"/>
          <w:szCs w:val="20"/>
        </w:rPr>
      </w:pPr>
      <w:r>
        <w:rPr>
          <w:rStyle w:val="FootnoteReference"/>
        </w:rPr>
        <w:footnoteRef/>
      </w:r>
      <w:r>
        <w:t xml:space="preserve"> </w:t>
      </w:r>
      <w:r w:rsidRPr="00E22E2A">
        <w:rPr>
          <w:sz w:val="20"/>
          <w:szCs w:val="20"/>
        </w:rPr>
        <w:t>LM. 11.05.2018.Nr.2/NOL</w:t>
      </w:r>
      <w:r>
        <w:rPr>
          <w:sz w:val="20"/>
          <w:szCs w:val="20"/>
        </w:rPr>
        <w:t xml:space="preserve">. </w:t>
      </w:r>
      <w:r w:rsidRPr="00E22E2A">
        <w:rPr>
          <w:sz w:val="20"/>
          <w:szCs w:val="20"/>
        </w:rPr>
        <w:t xml:space="preserve">Projektu konkursa “Atbalsta sniegšana ārpusģimenes aprūpē esošiem jauniešiem dzīves prasmju uzlabošanai” nolikums. </w:t>
      </w:r>
    </w:p>
  </w:footnote>
  <w:footnote w:id="334">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250.</w:t>
      </w:r>
      <w:r w:rsidRPr="00B73A85">
        <w:rPr>
          <w:vertAlign w:val="superscript"/>
        </w:rPr>
        <w:t xml:space="preserve">47 </w:t>
      </w:r>
      <w:r w:rsidRPr="00B73A85">
        <w:t xml:space="preserve">pants. Pieejams: </w:t>
      </w:r>
      <w:hyperlink r:id="rId231" w:history="1">
        <w:r w:rsidRPr="00B73A85">
          <w:rPr>
            <w:rStyle w:val="Hyperlink"/>
            <w:rFonts w:eastAsiaTheme="majorEastAsia"/>
            <w:sz w:val="20"/>
          </w:rPr>
          <w:t>https://likumi.lv/ta/id/264622-grozijumi-civilprocesa-likuma</w:t>
        </w:r>
      </w:hyperlink>
      <w:r w:rsidRPr="00B73A85">
        <w:t xml:space="preserve"> (sk. 03.12.2018.)</w:t>
      </w:r>
    </w:p>
  </w:footnote>
  <w:footnote w:id="335">
    <w:p w:rsidR="00224B50" w:rsidRDefault="00224B50" w:rsidP="00C85EB4">
      <w:pPr>
        <w:pStyle w:val="FootnoteText"/>
        <w:spacing w:line="240" w:lineRule="auto"/>
        <w:jc w:val="both"/>
      </w:pPr>
      <w:r w:rsidRPr="00B73A85">
        <w:rPr>
          <w:rStyle w:val="FootnoteReference"/>
        </w:rPr>
        <w:footnoteRef/>
      </w:r>
      <w:r w:rsidRPr="00B73A85">
        <w:t xml:space="preserve"> Statistikas datu apkopošana par vardarbības gadījumiem tiek balstīta uz dažādiem administratīvajiem datiem, kas tiek iegūti no Valsts policijas, veselības aprūpes iestādēm, Tiesu administrācijas u.c. LM eksperte vērtē šos datus kā nepilnīgus tādā nozīmē, ka tie neataino reālo situāciju, jo liela daļa vardarbības gadījumu nenonāk nevienu iestāžu redzeslokā. Īpaši tas attiecas uz personām ar augstiem ienākumiem, kurām ir iespēja vērsties pēc palīdzības pie privātiem pakalpojumu sniedzējiem (psihoterapeitiem, ārstniecības personām). Neraugoties uz datu nepilnībām, tie </w:t>
      </w:r>
      <w:r>
        <w:t xml:space="preserve">tomēr sniedz indikatīvu situācijas novērtējumu. </w:t>
      </w:r>
    </w:p>
  </w:footnote>
  <w:footnote w:id="336">
    <w:p w:rsidR="00224B50" w:rsidRPr="00B73A85" w:rsidRDefault="00224B50" w:rsidP="00C85EB4">
      <w:pPr>
        <w:pStyle w:val="FootnoteText"/>
        <w:spacing w:line="240" w:lineRule="auto"/>
      </w:pPr>
      <w:r w:rsidRPr="00B73A85">
        <w:rPr>
          <w:rStyle w:val="FootnoteReference"/>
        </w:rPr>
        <w:footnoteRef/>
      </w:r>
      <w:r w:rsidRPr="00B73A85">
        <w:t xml:space="preserve"> Labklājības ministrijas sagatavotais Informatīvais ziņojums par vardarbības pret sievietēm un vardarbības ģimenē gadījumiem, to izplatību un dinamiku 2016.</w:t>
      </w:r>
      <w:r>
        <w:t xml:space="preserve"> </w:t>
      </w:r>
      <w:r w:rsidRPr="00B73A85">
        <w:t xml:space="preserve">gadā, 45.lpp. Pieejams: </w:t>
      </w:r>
      <w:hyperlink r:id="rId232" w:history="1">
        <w:r w:rsidRPr="00B73A85">
          <w:rPr>
            <w:rStyle w:val="Hyperlink"/>
            <w:sz w:val="20"/>
          </w:rPr>
          <w:t>http://www.lm.gov.lv/upload/vardarbiba_gimene/lmzino_280318_vg.pdf</w:t>
        </w:r>
      </w:hyperlink>
      <w:r w:rsidRPr="00B73A85">
        <w:t xml:space="preserve"> (sk. 18.01.2019.)</w:t>
      </w:r>
    </w:p>
  </w:footnote>
  <w:footnote w:id="337">
    <w:p w:rsidR="00224B50" w:rsidRPr="00B73A85" w:rsidRDefault="00224B50" w:rsidP="00C85EB4">
      <w:pPr>
        <w:pStyle w:val="FootnoteText"/>
        <w:spacing w:line="240" w:lineRule="auto"/>
      </w:pPr>
      <w:r w:rsidRPr="00B73A85">
        <w:rPr>
          <w:rStyle w:val="FootnoteReference"/>
        </w:rPr>
        <w:footnoteRef/>
      </w:r>
      <w:r w:rsidRPr="00B73A85">
        <w:t xml:space="preserve"> Turpat, 51.lpp.</w:t>
      </w:r>
    </w:p>
  </w:footnote>
  <w:footnote w:id="338">
    <w:p w:rsidR="00224B50" w:rsidRPr="00B73A85" w:rsidRDefault="00224B50" w:rsidP="00C85EB4">
      <w:pPr>
        <w:spacing w:line="240" w:lineRule="auto"/>
        <w:rPr>
          <w:sz w:val="20"/>
          <w:szCs w:val="20"/>
        </w:rPr>
      </w:pPr>
      <w:r w:rsidRPr="00B73A85">
        <w:rPr>
          <w:rStyle w:val="FootnoteReference"/>
          <w:sz w:val="20"/>
          <w:szCs w:val="20"/>
        </w:rPr>
        <w:footnoteRef/>
      </w:r>
      <w:r w:rsidRPr="00B73A85">
        <w:rPr>
          <w:sz w:val="20"/>
          <w:szCs w:val="20"/>
        </w:rPr>
        <w:t xml:space="preserve"> </w:t>
      </w:r>
      <w:r w:rsidRPr="00B73A85">
        <w:rPr>
          <w:color w:val="000000"/>
          <w:sz w:val="20"/>
          <w:szCs w:val="20"/>
        </w:rPr>
        <w:t>Pētījums par „Optimāla pakalpojuma dizaina modelēšanu sociālās rehabilitācijas pakalpojumam no vardarbības cietušām pilngadīgām personām, ņemot vērā dzimuma perspektīvu”, 30.lpp.</w:t>
      </w:r>
    </w:p>
  </w:footnote>
  <w:footnote w:id="339">
    <w:p w:rsidR="00224B50" w:rsidRPr="00B73A85" w:rsidRDefault="00224B50" w:rsidP="00C85EB4">
      <w:pPr>
        <w:pStyle w:val="FootnoteText"/>
        <w:spacing w:line="240" w:lineRule="auto"/>
        <w:jc w:val="both"/>
      </w:pPr>
      <w:r w:rsidRPr="00B73A85">
        <w:rPr>
          <w:rStyle w:val="FootnoteReference"/>
        </w:rPr>
        <w:footnoteRef/>
      </w:r>
      <w:r w:rsidRPr="00B73A85">
        <w:t xml:space="preserve"> Iekšlietu ministrija (2007). Sadarbība cilvēku tirdzniecības novēršanai. Situācijas analīze un nacionālās sadarbības optimālais modelis. Par izdevuma saturu pilnībā atbild EQUAL projekta „Atvērtu darba tirgu sievietēm” īstenotāji. Pieejams: </w:t>
      </w:r>
      <w:hyperlink r:id="rId233" w:history="1">
        <w:r w:rsidRPr="00B73A85">
          <w:rPr>
            <w:rStyle w:val="Hyperlink"/>
            <w:sz w:val="20"/>
          </w:rPr>
          <w:t>http://cilvektirdznieciba.lv/data/Files/macibspekiem/Gramata_Ministrijai_LV_NEW.pdf</w:t>
        </w:r>
      </w:hyperlink>
      <w:r w:rsidRPr="00B73A85">
        <w:t xml:space="preserve"> (sk. 18.01.2019.)</w:t>
      </w:r>
    </w:p>
  </w:footnote>
  <w:footnote w:id="340">
    <w:p w:rsidR="00224B50" w:rsidRPr="00B73A85" w:rsidRDefault="00224B50" w:rsidP="00C85EB4">
      <w:pPr>
        <w:pStyle w:val="FootnoteText"/>
        <w:spacing w:line="240" w:lineRule="auto"/>
      </w:pPr>
      <w:r w:rsidRPr="00B73A85">
        <w:rPr>
          <w:rStyle w:val="FootnoteReference"/>
        </w:rPr>
        <w:footnoteRef/>
      </w:r>
      <w:r w:rsidRPr="00B73A85">
        <w:t xml:space="preserve"> Pieejams: </w:t>
      </w:r>
      <w:hyperlink r:id="rId234" w:history="1">
        <w:r w:rsidRPr="00B73A85">
          <w:rPr>
            <w:rStyle w:val="Hyperlink"/>
            <w:sz w:val="20"/>
          </w:rPr>
          <w:t>https://likumi.lv/doc.php?id=147113</w:t>
        </w:r>
      </w:hyperlink>
      <w:r w:rsidRPr="00B73A85">
        <w:t xml:space="preserve"> (sk. 19.01.2019.)</w:t>
      </w:r>
    </w:p>
  </w:footnote>
  <w:footnote w:id="341">
    <w:p w:rsidR="00224B50" w:rsidRPr="00B73A85" w:rsidRDefault="00224B50" w:rsidP="00C85EB4">
      <w:pPr>
        <w:pStyle w:val="FootnoteText"/>
        <w:spacing w:line="240" w:lineRule="auto"/>
      </w:pPr>
      <w:r w:rsidRPr="00B73A85">
        <w:rPr>
          <w:rStyle w:val="FootnoteReference"/>
        </w:rPr>
        <w:footnoteRef/>
      </w:r>
      <w:r w:rsidRPr="00B73A85">
        <w:t xml:space="preserve"> Sk. </w:t>
      </w:r>
      <w:hyperlink r:id="rId235" w:history="1">
        <w:r w:rsidRPr="00B73A85">
          <w:rPr>
            <w:rStyle w:val="Hyperlink"/>
            <w:sz w:val="20"/>
          </w:rPr>
          <w:t>http://www.lm.gov.lv/lv/index.php?option=com_content&amp;view=article&amp;id=81555</w:t>
        </w:r>
      </w:hyperlink>
      <w:r w:rsidRPr="00B73A85">
        <w:t xml:space="preserve"> (sk. 19.01.2019.)</w:t>
      </w:r>
    </w:p>
  </w:footnote>
  <w:footnote w:id="342">
    <w:p w:rsidR="00224B50" w:rsidRPr="00B73A85" w:rsidRDefault="00224B50" w:rsidP="00C85EB4">
      <w:pPr>
        <w:pStyle w:val="FootnoteText"/>
        <w:spacing w:line="240" w:lineRule="auto"/>
        <w:jc w:val="both"/>
      </w:pPr>
      <w:r w:rsidRPr="00B73A85">
        <w:rPr>
          <w:rStyle w:val="FootnoteReference"/>
        </w:rPr>
        <w:footnoteRef/>
      </w:r>
      <w:r w:rsidRPr="00B73A85">
        <w:t xml:space="preserve"> </w:t>
      </w:r>
      <w:r w:rsidRPr="00B73A85">
        <w:rPr>
          <w:color w:val="000000"/>
        </w:rPr>
        <w:t>Pētījums par „Optimāla pakalpojuma dizaina modelēšanu sociālās rehabilitācijas pakalpojumam no vardarbības cietušām pilngadīgām personām, ņemot vērā dzimuma perspektīvu”,43.lpp.</w:t>
      </w:r>
    </w:p>
  </w:footnote>
  <w:footnote w:id="343">
    <w:p w:rsidR="00224B50" w:rsidRPr="00B73A85" w:rsidRDefault="00224B50" w:rsidP="00C85EB4">
      <w:pPr>
        <w:pStyle w:val="FootnoteText"/>
        <w:spacing w:line="240" w:lineRule="auto"/>
      </w:pPr>
      <w:r w:rsidRPr="00B73A85">
        <w:rPr>
          <w:rStyle w:val="FootnoteReference"/>
        </w:rPr>
        <w:footnoteRef/>
      </w:r>
      <w:r w:rsidRPr="00B73A85">
        <w:t xml:space="preserve"> Estimating the costs of gender-based violence in the European Union. Report, p.72. Pieejams: </w:t>
      </w:r>
      <w:hyperlink r:id="rId236" w:history="1">
        <w:r w:rsidRPr="00B73A85">
          <w:rPr>
            <w:rStyle w:val="Hyperlink"/>
            <w:sz w:val="20"/>
          </w:rPr>
          <w:t>https://eige.europa.eu/rdc/eige-publications/estimating-costs-gender-based-violence-european-union-report</w:t>
        </w:r>
      </w:hyperlink>
      <w:r w:rsidRPr="00B73A85">
        <w:t xml:space="preserve"> </w:t>
      </w:r>
    </w:p>
    <w:p w:rsidR="00224B50" w:rsidRPr="00B73A85" w:rsidRDefault="00224B50" w:rsidP="00C85EB4">
      <w:pPr>
        <w:pStyle w:val="FootnoteText"/>
        <w:spacing w:line="240" w:lineRule="auto"/>
      </w:pPr>
      <w:r w:rsidRPr="00B73A85">
        <w:t>(sk. 18.01.2019.)</w:t>
      </w:r>
    </w:p>
  </w:footnote>
  <w:footnote w:id="344">
    <w:p w:rsidR="00224B50" w:rsidRPr="00AA4CCA" w:rsidRDefault="00224B50" w:rsidP="00C85EB4">
      <w:pPr>
        <w:pStyle w:val="Default"/>
        <w:rPr>
          <w:rFonts w:eastAsia="Times New Roman"/>
          <w:color w:val="auto"/>
          <w:sz w:val="20"/>
          <w:szCs w:val="20"/>
          <w:lang w:eastAsia="zh-CN"/>
        </w:rPr>
      </w:pPr>
      <w:r w:rsidRPr="00824DEA">
        <w:rPr>
          <w:rFonts w:eastAsia="Times New Roman"/>
          <w:color w:val="auto"/>
          <w:sz w:val="20"/>
          <w:szCs w:val="20"/>
          <w:vertAlign w:val="superscript"/>
          <w:lang w:eastAsia="zh-CN"/>
        </w:rPr>
        <w:footnoteRef/>
      </w:r>
      <w:r w:rsidRPr="00824DEA">
        <w:rPr>
          <w:rFonts w:eastAsia="Times New Roman"/>
          <w:color w:val="auto"/>
          <w:sz w:val="20"/>
          <w:szCs w:val="20"/>
          <w:lang w:eastAsia="zh-CN"/>
        </w:rPr>
        <w:t xml:space="preserve"> 23.11.2016. Nr. 1-12/3 Tiesībsarga ziņojums par mājokļa jautājuma risināšanu personām pēc ieslodzījuma.</w:t>
      </w:r>
      <w:r>
        <w:rPr>
          <w:rFonts w:eastAsia="Times New Roman"/>
          <w:color w:val="auto"/>
          <w:sz w:val="20"/>
          <w:szCs w:val="20"/>
          <w:lang w:eastAsia="zh-CN"/>
        </w:rPr>
        <w:t xml:space="preserve"> </w:t>
      </w:r>
    </w:p>
  </w:footnote>
  <w:footnote w:id="345">
    <w:p w:rsidR="00224B50" w:rsidRPr="00824DEA" w:rsidRDefault="00224B50" w:rsidP="00C85EB4">
      <w:pPr>
        <w:pStyle w:val="FootnoteText"/>
        <w:spacing w:line="240" w:lineRule="auto"/>
      </w:pPr>
      <w:r w:rsidRPr="00824DEA">
        <w:rPr>
          <w:rStyle w:val="FootnoteReference"/>
        </w:rPr>
        <w:footnoteRef/>
      </w:r>
      <w:r w:rsidRPr="00824DEA">
        <w:t xml:space="preserve"> </w:t>
      </w:r>
      <w:r>
        <w:t>Turpat</w:t>
      </w:r>
      <w:r w:rsidRPr="00824DEA">
        <w:t xml:space="preserve">, 3.lpp. </w:t>
      </w:r>
    </w:p>
  </w:footnote>
  <w:footnote w:id="346">
    <w:p w:rsidR="00224B50" w:rsidRPr="00824DEA" w:rsidRDefault="00224B50" w:rsidP="00C85EB4">
      <w:pPr>
        <w:pStyle w:val="FootnoteText"/>
        <w:spacing w:line="240" w:lineRule="auto"/>
        <w:jc w:val="both"/>
      </w:pPr>
      <w:r w:rsidRPr="00824DEA">
        <w:rPr>
          <w:rStyle w:val="FootnoteReference"/>
        </w:rPr>
        <w:footnoteRef/>
      </w:r>
      <w:r w:rsidRPr="00824DEA">
        <w:t xml:space="preserve"> SIA AC Konsultācijas (20.07.2018.). Pētījums par brīvprātīgo darba iespējām un līdzgaitniecības modeļa ieviešanu kriminālsodu izpildē. Projekts Nr.9.1.2.0/16/I/001 "Bijušo ieslodzīto integrāciju sabiedrībā un darba tirgū". Pētījuma gala ziņojums: priekšlikumi brīvprātīgā darba un līdzgaitniecības modeļu uzlabošanai, ieviešanai un identificēto šķēršļu brīvprātīgā darba un līdzgaitniecības ieviešanas procesā risināšanai, 16.lpp. Pieejams:</w:t>
      </w:r>
    </w:p>
    <w:p w:rsidR="00224B50" w:rsidRPr="00824DEA" w:rsidRDefault="00224B50" w:rsidP="00C85EB4">
      <w:pPr>
        <w:pStyle w:val="FootnoteText"/>
        <w:spacing w:line="240" w:lineRule="auto"/>
        <w:jc w:val="both"/>
      </w:pPr>
      <w:r w:rsidRPr="00824DEA">
        <w:t xml:space="preserve"> </w:t>
      </w:r>
      <w:hyperlink r:id="rId237" w:history="1">
        <w:r w:rsidRPr="00824DEA">
          <w:rPr>
            <w:rStyle w:val="Hyperlink"/>
            <w:rFonts w:eastAsiaTheme="majorEastAsia"/>
            <w:sz w:val="20"/>
          </w:rPr>
          <w:t>http://www.ievp.gov.lv/images/stories/petijums/17041_Gala_zinojums_2018.07.20..pdf</w:t>
        </w:r>
      </w:hyperlink>
      <w:r w:rsidRPr="00824DEA">
        <w:t xml:space="preserve"> (sk. 19.01.2019.)</w:t>
      </w:r>
    </w:p>
  </w:footnote>
  <w:footnote w:id="347">
    <w:p w:rsidR="00224B50" w:rsidRDefault="00224B50" w:rsidP="00C85EB4">
      <w:pPr>
        <w:pStyle w:val="FootnoteText"/>
        <w:spacing w:line="240" w:lineRule="auto"/>
      </w:pPr>
      <w:r w:rsidRPr="00824DEA">
        <w:rPr>
          <w:rStyle w:val="FootnoteReference"/>
        </w:rPr>
        <w:footnoteRef/>
      </w:r>
      <w:r w:rsidRPr="00824DEA">
        <w:t xml:space="preserve"> Šī atziņa ir balstīta uz neformālu interviju ar VPD brīvprātīgo līdzgaitnieku (07.12.2018.) Ieslodzījuma vietu pārvaldes ESF projekta „Bijušo ieslodzīto integrācija sabiedrībā un darba tirgū” (Nr. 9.1.2.0/16/I/001) konferencē „Brīvprātīgi par drošāku sabiedrību „Dažādība vieno””.</w:t>
      </w:r>
    </w:p>
  </w:footnote>
  <w:footnote w:id="348">
    <w:p w:rsidR="00224B50" w:rsidRPr="00824DEA" w:rsidRDefault="00224B50" w:rsidP="00C85EB4">
      <w:pPr>
        <w:pStyle w:val="FootnoteText"/>
        <w:spacing w:line="240" w:lineRule="auto"/>
      </w:pPr>
      <w:r w:rsidRPr="00824DEA">
        <w:rPr>
          <w:rStyle w:val="FootnoteReference"/>
        </w:rPr>
        <w:footnoteRef/>
      </w:r>
      <w:r w:rsidRPr="00824DEA">
        <w:t xml:space="preserve"> SIA AC Konsultācijas (20.07.2018.). Pētījums par brīvprātīgo darba iespējām un līdzgaitniecības modeļa ieviešanu kriminālsodu izpildē, 39.-40.lpp. </w:t>
      </w:r>
    </w:p>
  </w:footnote>
  <w:footnote w:id="349">
    <w:p w:rsidR="00224B50" w:rsidRPr="00824DEA" w:rsidRDefault="00224B50" w:rsidP="00C85EB4">
      <w:pPr>
        <w:pStyle w:val="FootnoteText"/>
        <w:spacing w:line="240" w:lineRule="auto"/>
      </w:pPr>
      <w:r w:rsidRPr="00824DEA">
        <w:rPr>
          <w:rStyle w:val="FootnoteReference"/>
        </w:rPr>
        <w:footnoteRef/>
      </w:r>
      <w:r w:rsidRPr="00824DEA">
        <w:t xml:space="preserve"> 23.11.2016. Nr. 1-12/3 Tiesībsarga ziņojums par mājokļa jautājuma risināšanu personām pēc ieslodzījuma, 6.lpp.</w:t>
      </w:r>
    </w:p>
  </w:footnote>
  <w:footnote w:id="350">
    <w:p w:rsidR="00224B50" w:rsidRPr="00824DEA" w:rsidRDefault="00224B50" w:rsidP="00C85EB4">
      <w:pPr>
        <w:pStyle w:val="FootnoteText"/>
        <w:spacing w:line="240" w:lineRule="auto"/>
        <w:jc w:val="both"/>
      </w:pPr>
      <w:r w:rsidRPr="00824DEA">
        <w:rPr>
          <w:rStyle w:val="FootnoteReference"/>
        </w:rPr>
        <w:footnoteRef/>
      </w:r>
      <w:r w:rsidRPr="00824DEA">
        <w:t xml:space="preserve"> Ieslodzījumu vietu pārvalde, SIA „Comperio”, nodibinājums „Baltic Institute of Social Sciences” (2018). Sabiedriskās domas pētījums par labās prakses popularizēšanas pasākumiem stereotipu mainīšanai par bijušajiem ieslodzītajiem. Gala ziņojums, 32.lpp. Pieejams: </w:t>
      </w:r>
      <w:hyperlink r:id="rId238" w:history="1">
        <w:r w:rsidRPr="00824DEA">
          <w:rPr>
            <w:rStyle w:val="Hyperlink"/>
            <w:sz w:val="20"/>
          </w:rPr>
          <w:t>http://www.ievp.gov.lv/images/stories/petijums/181220_Gala_zinojums_2v.pdf</w:t>
        </w:r>
      </w:hyperlink>
    </w:p>
  </w:footnote>
  <w:footnote w:id="351">
    <w:p w:rsidR="00224B50" w:rsidRDefault="00224B50" w:rsidP="00C85EB4">
      <w:pPr>
        <w:pStyle w:val="FootnoteText"/>
        <w:spacing w:line="240" w:lineRule="auto"/>
      </w:pPr>
      <w:r w:rsidRPr="00824DEA">
        <w:rPr>
          <w:rStyle w:val="FootnoteReference"/>
        </w:rPr>
        <w:footnoteRef/>
      </w:r>
      <w:r w:rsidRPr="00824DEA">
        <w:t xml:space="preserve"> Turpat, 14.-15.lpp.</w:t>
      </w:r>
    </w:p>
  </w:footnote>
  <w:footnote w:id="352">
    <w:p w:rsidR="00224B50" w:rsidRPr="00824DEA" w:rsidRDefault="00224B50" w:rsidP="00C85EB4">
      <w:pPr>
        <w:pStyle w:val="FootnoteText"/>
        <w:spacing w:line="240" w:lineRule="auto"/>
      </w:pPr>
      <w:r w:rsidRPr="00824DEA">
        <w:rPr>
          <w:rStyle w:val="FootnoteReference"/>
        </w:rPr>
        <w:footnoteRef/>
      </w:r>
      <w:r w:rsidRPr="00824DEA">
        <w:t xml:space="preserve"> 23.11.2016. Nr. 1-12/3 Tiesībsarga ziņojums par mājokļa jautājuma risināšanu personām pēc ieslodzījuma, 6.lpp.</w:t>
      </w:r>
    </w:p>
  </w:footnote>
  <w:footnote w:id="353">
    <w:p w:rsidR="00224B50" w:rsidRDefault="00224B50" w:rsidP="00C85EB4">
      <w:pPr>
        <w:pStyle w:val="FootnoteText"/>
        <w:spacing w:line="240" w:lineRule="auto"/>
      </w:pPr>
      <w:r>
        <w:rPr>
          <w:rStyle w:val="FootnoteReference"/>
        </w:rPr>
        <w:footnoteRef/>
      </w:r>
      <w:r>
        <w:t xml:space="preserve"> </w:t>
      </w:r>
      <w:r w:rsidRPr="002E7079">
        <w:t xml:space="preserve">RD 04.09.2012. sn. Nr.184 "Rīgas pilsētas pašvaldības sniegto sociālo pakalpojumu saņemšanas un samaksas kārtība". Pieejams: </w:t>
      </w:r>
      <w:hyperlink r:id="rId239" w:tgtFrame="_blank" w:history="1">
        <w:r w:rsidRPr="002E7079">
          <w:t>http://www.likumi.lv/doc.php?id=252684</w:t>
        </w:r>
      </w:hyperlink>
      <w:r>
        <w:t xml:space="preserve"> (sk. 04.03.2019.)</w:t>
      </w:r>
    </w:p>
  </w:footnote>
  <w:footnote w:id="354">
    <w:p w:rsidR="00224B50" w:rsidRPr="00B73A85" w:rsidRDefault="00224B50" w:rsidP="00C85EB4">
      <w:pPr>
        <w:pStyle w:val="FootnoteText"/>
        <w:spacing w:line="240" w:lineRule="auto"/>
      </w:pPr>
      <w:r w:rsidRPr="00B73A85">
        <w:rPr>
          <w:rStyle w:val="FootnoteReference"/>
        </w:rPr>
        <w:footnoteRef/>
      </w:r>
      <w:r w:rsidRPr="00B73A85">
        <w:t xml:space="preserve"> CSP (2018). IRG090. Iedzīvotāju skaits pēc vecuma grupas un tautības gada sākumā. Pieejams: </w:t>
      </w:r>
      <w:hyperlink r:id="rId240" w:history="1">
        <w:r w:rsidRPr="00B73A85">
          <w:rPr>
            <w:rStyle w:val="Hyperlink"/>
            <w:sz w:val="20"/>
          </w:rPr>
          <w:t>https://data1.csb.gov.lv/pxweb/lv/iedz/iedz__iedzrakst/IRG090.px</w:t>
        </w:r>
      </w:hyperlink>
      <w:r w:rsidRPr="00B73A85">
        <w:t xml:space="preserve"> (sk. 19.01.2019.) </w:t>
      </w:r>
    </w:p>
  </w:footnote>
  <w:footnote w:id="355">
    <w:p w:rsidR="00224B50" w:rsidRPr="00B73A85" w:rsidRDefault="00224B50" w:rsidP="00C85EB4">
      <w:pPr>
        <w:pStyle w:val="FootnoteText"/>
        <w:spacing w:line="240" w:lineRule="auto"/>
      </w:pPr>
      <w:r w:rsidRPr="00B73A85">
        <w:rPr>
          <w:rStyle w:val="FootnoteReference"/>
        </w:rPr>
        <w:footnoteRef/>
      </w:r>
      <w:r w:rsidRPr="00B73A85">
        <w:t xml:space="preserve"> PMLP (2018). Latvijas iedzīvotāju sadalījums pēc nacionālā sastāva un valstiskās piederības (01.07.2018.). Pieejams: </w:t>
      </w:r>
      <w:hyperlink r:id="rId241" w:history="1">
        <w:r w:rsidRPr="00B73A85">
          <w:rPr>
            <w:rStyle w:val="Hyperlink"/>
            <w:sz w:val="20"/>
          </w:rPr>
          <w:t>https://www.pmlp.gov.lv/lv/assets/documents/statistika/Iedz%C4%ABvot%C4%81ju%20re%C4%A3istrs%20st.%20uz%2001072018/ISVN_Latvija_pec_TTB_VPD.pdf</w:t>
        </w:r>
      </w:hyperlink>
      <w:r w:rsidRPr="00B73A85">
        <w:t xml:space="preserve"> (sk. 19.01.2019.) </w:t>
      </w:r>
    </w:p>
  </w:footnote>
  <w:footnote w:id="356">
    <w:p w:rsidR="00224B50" w:rsidRPr="00B73A85" w:rsidRDefault="00224B50" w:rsidP="00C85EB4">
      <w:pPr>
        <w:pStyle w:val="FootnoteText"/>
        <w:spacing w:line="240" w:lineRule="auto"/>
      </w:pPr>
      <w:r w:rsidRPr="00B73A85">
        <w:rPr>
          <w:rStyle w:val="FootnoteReference"/>
        </w:rPr>
        <w:footnoteRef/>
      </w:r>
      <w:r w:rsidRPr="00B73A85">
        <w:t xml:space="preserve"> Pieejams: </w:t>
      </w:r>
      <w:hyperlink r:id="rId242" w:history="1">
        <w:r w:rsidRPr="00B73A85">
          <w:rPr>
            <w:rStyle w:val="Hyperlink"/>
            <w:sz w:val="20"/>
          </w:rPr>
          <w:t>https://eur-lex.europa.eu/legal-content/LV/TXT/HTML/?uri=CELEX:52011DC0173&amp;from=EN</w:t>
        </w:r>
      </w:hyperlink>
      <w:r w:rsidRPr="00B73A85">
        <w:t xml:space="preserve"> (sk. 19.01.2019.)</w:t>
      </w:r>
    </w:p>
  </w:footnote>
  <w:footnote w:id="357">
    <w:p w:rsidR="00224B50" w:rsidRPr="00B73A85" w:rsidRDefault="00224B50" w:rsidP="00C85EB4">
      <w:pPr>
        <w:pStyle w:val="FootnoteText"/>
        <w:spacing w:line="240" w:lineRule="auto"/>
      </w:pPr>
      <w:r w:rsidRPr="00B73A85">
        <w:rPr>
          <w:rStyle w:val="FootnoteReference"/>
        </w:rPr>
        <w:footnoteRef/>
      </w:r>
      <w:r w:rsidRPr="00B73A85">
        <w:t xml:space="preserve"> Pieejams: </w:t>
      </w:r>
      <w:hyperlink r:id="rId243" w:history="1">
        <w:r w:rsidRPr="00B73A85">
          <w:rPr>
            <w:rStyle w:val="Hyperlink"/>
            <w:sz w:val="20"/>
          </w:rPr>
          <w:t>https://www.km.gov.lv/uploads/ckeditor/files/Sabiedribas_integracija/Romi/Dokumenti/Ieteikums_romu_integracijai_2013.pdf</w:t>
        </w:r>
      </w:hyperlink>
      <w:r w:rsidRPr="00B73A85">
        <w:t xml:space="preserve"> (sk. 19.01.2019.)</w:t>
      </w:r>
    </w:p>
  </w:footnote>
  <w:footnote w:id="358">
    <w:p w:rsidR="00224B50" w:rsidRPr="00824DEA" w:rsidRDefault="00224B50" w:rsidP="00C85EB4">
      <w:pPr>
        <w:autoSpaceDE w:val="0"/>
        <w:autoSpaceDN w:val="0"/>
        <w:adjustRightInd w:val="0"/>
        <w:spacing w:line="240" w:lineRule="auto"/>
        <w:jc w:val="left"/>
        <w:rPr>
          <w:sz w:val="20"/>
          <w:szCs w:val="20"/>
        </w:rPr>
      </w:pPr>
      <w:r w:rsidRPr="00B73A85">
        <w:rPr>
          <w:rStyle w:val="FootnoteReference"/>
          <w:sz w:val="20"/>
          <w:szCs w:val="20"/>
        </w:rPr>
        <w:footnoteRef/>
      </w:r>
      <w:r w:rsidRPr="00B73A85">
        <w:rPr>
          <w:sz w:val="20"/>
          <w:szCs w:val="20"/>
        </w:rPr>
        <w:t xml:space="preserve"> Romi Latvijā. Pētījuma ziņojums (2015). SIA „Latvijas Fakti”, Sabiedrības integrācijas fonds. Pētījums publicēts projekta “Dažādi cilvēki. Atšķirīga pieredze. Viena Latvija II” Nr. JUST/2013/PROG/. AG/4978/AD ietvaros, kurš</w:t>
      </w:r>
      <w:r w:rsidRPr="00824DEA">
        <w:rPr>
          <w:sz w:val="20"/>
          <w:szCs w:val="20"/>
        </w:rPr>
        <w:t xml:space="preserve"> saņēmis Eiropas Savienības PROGRESS programmas finansiālu atbalstu, 95.-120.lpp. Pieejams: </w:t>
      </w:r>
      <w:hyperlink r:id="rId244" w:history="1">
        <w:r w:rsidRPr="00824DEA">
          <w:rPr>
            <w:rStyle w:val="Hyperlink"/>
            <w:sz w:val="20"/>
            <w:szCs w:val="20"/>
          </w:rPr>
          <w:t>https://issuu.com/sif2015/docs/petijums_romi_lavija</w:t>
        </w:r>
      </w:hyperlink>
      <w:r w:rsidRPr="00824DEA">
        <w:rPr>
          <w:sz w:val="20"/>
          <w:szCs w:val="20"/>
        </w:rPr>
        <w:t xml:space="preserve"> (sk. 19.01.2019.)</w:t>
      </w:r>
    </w:p>
  </w:footnote>
  <w:footnote w:id="359">
    <w:p w:rsidR="00224B50" w:rsidRPr="00824DEA" w:rsidRDefault="00224B50" w:rsidP="00C85EB4">
      <w:pPr>
        <w:pStyle w:val="FootnoteText"/>
        <w:spacing w:line="240" w:lineRule="auto"/>
      </w:pPr>
      <w:r w:rsidRPr="00824DEA">
        <w:rPr>
          <w:rStyle w:val="FootnoteReference"/>
        </w:rPr>
        <w:footnoteRef/>
      </w:r>
      <w:r w:rsidRPr="00824DEA">
        <w:t xml:space="preserve"> Romi Latvijā. Pētījuma ziņojums (2015). SIA „Latvijas Fakti”, Sabiedrības integrācijas fonds, 120.lpp.</w:t>
      </w:r>
    </w:p>
  </w:footnote>
  <w:footnote w:id="360">
    <w:p w:rsidR="00224B50" w:rsidRPr="00824DEA" w:rsidRDefault="00224B50" w:rsidP="00C85EB4">
      <w:pPr>
        <w:pStyle w:val="FootnoteText"/>
        <w:spacing w:line="240" w:lineRule="auto"/>
      </w:pPr>
      <w:r w:rsidRPr="00824DEA">
        <w:rPr>
          <w:rStyle w:val="FootnoteReference"/>
        </w:rPr>
        <w:footnoteRef/>
      </w:r>
      <w:r w:rsidRPr="00824DEA">
        <w:t xml:space="preserve"> PMLP, 2017. Pieejams: </w:t>
      </w:r>
      <w:hyperlink r:id="rId245" w:history="1">
        <w:r w:rsidRPr="00824DEA">
          <w:rPr>
            <w:rStyle w:val="Hyperlink"/>
            <w:rFonts w:eastAsiaTheme="majorEastAsia"/>
            <w:sz w:val="20"/>
          </w:rPr>
          <w:t>http://www.pmlp.gov.lv/lv/sakums/statistika/patveruma-mekletaji.html</w:t>
        </w:r>
      </w:hyperlink>
      <w:r w:rsidRPr="00824DEA">
        <w:t xml:space="preserve"> (sk. 29.09.2018.)</w:t>
      </w:r>
    </w:p>
  </w:footnote>
  <w:footnote w:id="361">
    <w:p w:rsidR="00224B50" w:rsidRPr="00824DEA" w:rsidRDefault="00224B50" w:rsidP="00C85EB4">
      <w:pPr>
        <w:pStyle w:val="FootnoteText"/>
        <w:spacing w:line="240" w:lineRule="auto"/>
      </w:pPr>
      <w:r w:rsidRPr="00824DEA">
        <w:rPr>
          <w:rStyle w:val="FootnoteReference"/>
          <w:rFonts w:eastAsiaTheme="majorEastAsia"/>
        </w:rPr>
        <w:footnoteRef/>
      </w:r>
      <w:r w:rsidRPr="00824DEA">
        <w:t xml:space="preserve"> Baltic Institute of Social Sciences (2017). Trešo valstu pilsoņu situācijas  izpēte Latvijā 2017. Pieejams: </w:t>
      </w:r>
      <w:hyperlink r:id="rId246" w:history="1">
        <w:r w:rsidRPr="00824DEA">
          <w:rPr>
            <w:rStyle w:val="Hyperlink"/>
            <w:rFonts w:eastAsiaTheme="majorEastAsia"/>
            <w:sz w:val="20"/>
          </w:rPr>
          <w:t>http://www.biss.soc.lv/downloads/publications/BISS_Petijuma_zinojums_2017.pdf</w:t>
        </w:r>
      </w:hyperlink>
      <w:r w:rsidRPr="00824DEA">
        <w:t xml:space="preserve"> (sk. 14.01.2019.)</w:t>
      </w:r>
    </w:p>
  </w:footnote>
  <w:footnote w:id="362">
    <w:p w:rsidR="00224B50" w:rsidRPr="006F5693" w:rsidRDefault="00224B50" w:rsidP="00C85EB4">
      <w:pPr>
        <w:pStyle w:val="FootnoteText"/>
        <w:spacing w:line="240" w:lineRule="auto"/>
        <w:jc w:val="both"/>
        <w:rPr>
          <w:shd w:val="clear" w:color="auto" w:fill="FFFFFF"/>
        </w:rPr>
      </w:pPr>
      <w:r>
        <w:rPr>
          <w:rStyle w:val="FootnoteReference"/>
        </w:rPr>
        <w:footnoteRef/>
      </w:r>
      <w:r>
        <w:t xml:space="preserve"> </w:t>
      </w:r>
      <w:r>
        <w:rPr>
          <w:shd w:val="clear" w:color="auto" w:fill="FFFFFF"/>
        </w:rPr>
        <w:t>20.09.2016. MK sēdes protokollēmum „</w:t>
      </w:r>
      <w:r w:rsidRPr="006F5693">
        <w:rPr>
          <w:shd w:val="clear" w:color="auto" w:fill="FFFFFF"/>
        </w:rPr>
        <w:t>Informatīvais ziņojums „Par bēgļu un personu ar alternatīvo statusu uzņemšanas un sociālekonomiskās iekļaušanas pasākumu ietekmi uz pašvaldību budžetiem””</w:t>
      </w:r>
      <w:r>
        <w:rPr>
          <w:shd w:val="clear" w:color="auto" w:fill="FFFFFF"/>
        </w:rPr>
        <w:t xml:space="preserve">. Pieejams: </w:t>
      </w:r>
      <w:hyperlink r:id="rId247" w:history="1">
        <w:r w:rsidRPr="00454FCD">
          <w:rPr>
            <w:rStyle w:val="Hyperlink"/>
            <w:sz w:val="20"/>
            <w:shd w:val="clear" w:color="auto" w:fill="FFFFFF"/>
          </w:rPr>
          <w:t>http://tap.mk.gov.lv/mk/tap/?pid=40393118</w:t>
        </w:r>
      </w:hyperlink>
      <w:r>
        <w:rPr>
          <w:shd w:val="clear" w:color="auto" w:fill="FFFFFF"/>
        </w:rPr>
        <w:t xml:space="preserve"> (sk. 04.03.2019.) </w:t>
      </w:r>
    </w:p>
  </w:footnote>
  <w:footnote w:id="363">
    <w:p w:rsidR="00224B50" w:rsidRPr="00824DEA" w:rsidRDefault="00224B50" w:rsidP="006362BB">
      <w:pPr>
        <w:pStyle w:val="FootnoteText"/>
      </w:pPr>
      <w:r w:rsidRPr="00824DEA">
        <w:rPr>
          <w:rStyle w:val="FootnoteReference"/>
          <w:rFonts w:eastAsiaTheme="majorEastAsia"/>
        </w:rPr>
        <w:footnoteRef/>
      </w:r>
      <w:r w:rsidRPr="00824DEA">
        <w:t xml:space="preserve"> Pieejams: </w:t>
      </w:r>
      <w:hyperlink r:id="rId248" w:history="1">
        <w:r w:rsidRPr="00824DEA">
          <w:rPr>
            <w:rStyle w:val="Hyperlink"/>
            <w:rFonts w:eastAsiaTheme="majorEastAsia"/>
            <w:sz w:val="20"/>
          </w:rPr>
          <w:t>https://likumi.lv/doc.php?id=64328</w:t>
        </w:r>
      </w:hyperlink>
      <w:r w:rsidRPr="00824DEA">
        <w:t xml:space="preserve"> (sk. 05.12.2018.)</w:t>
      </w:r>
    </w:p>
  </w:footnote>
  <w:footnote w:id="364">
    <w:p w:rsidR="00224B50" w:rsidRPr="004C2E87" w:rsidRDefault="00224B50" w:rsidP="00C85EB4">
      <w:pPr>
        <w:pStyle w:val="FootnoteText"/>
        <w:spacing w:line="240" w:lineRule="auto"/>
      </w:pPr>
      <w:r w:rsidRPr="004C2E87">
        <w:rPr>
          <w:rStyle w:val="FootnoteReference"/>
        </w:rPr>
        <w:footnoteRef/>
      </w:r>
      <w:r w:rsidRPr="004C2E87">
        <w:t xml:space="preserve"> Pieejams: </w:t>
      </w:r>
      <w:hyperlink r:id="rId249" w:history="1">
        <w:r w:rsidRPr="004C2E87">
          <w:rPr>
            <w:rStyle w:val="Hyperlink"/>
            <w:sz w:val="20"/>
          </w:rPr>
          <w:t>https://likumi.lv/doc.php?id=68488</w:t>
        </w:r>
      </w:hyperlink>
      <w:r w:rsidRPr="004C2E87">
        <w:t xml:space="preserve"> (sk. 19.01.2019.)</w:t>
      </w:r>
    </w:p>
  </w:footnote>
  <w:footnote w:id="365">
    <w:p w:rsidR="00224B50" w:rsidRPr="004C2E87" w:rsidRDefault="00224B50" w:rsidP="00C85EB4">
      <w:pPr>
        <w:pStyle w:val="FootnoteText"/>
        <w:spacing w:line="240" w:lineRule="auto"/>
      </w:pPr>
      <w:r w:rsidRPr="004C2E87">
        <w:rPr>
          <w:rStyle w:val="FootnoteReference"/>
        </w:rPr>
        <w:footnoteRef/>
      </w:r>
      <w:r w:rsidRPr="004C2E87">
        <w:t xml:space="preserve"> Pieejams: </w:t>
      </w:r>
      <w:hyperlink r:id="rId250" w:history="1">
        <w:r w:rsidRPr="004C2E87">
          <w:rPr>
            <w:rStyle w:val="Hyperlink"/>
            <w:sz w:val="20"/>
          </w:rPr>
          <w:t>https://likumi.lv/doc.php?id=252684</w:t>
        </w:r>
      </w:hyperlink>
      <w:r w:rsidRPr="004C2E87">
        <w:t xml:space="preserve"> (sk. 20.01.2019.)</w:t>
      </w:r>
    </w:p>
  </w:footnote>
  <w:footnote w:id="366">
    <w:p w:rsidR="00224B50" w:rsidRPr="004C2E87" w:rsidRDefault="00224B50" w:rsidP="00C85EB4">
      <w:pPr>
        <w:pStyle w:val="FootnoteText"/>
        <w:spacing w:line="240" w:lineRule="auto"/>
        <w:jc w:val="both"/>
      </w:pPr>
      <w:r w:rsidRPr="004C2E87">
        <w:rPr>
          <w:vertAlign w:val="superscript"/>
        </w:rPr>
        <w:footnoteRef/>
      </w:r>
      <w:r w:rsidRPr="004C2E87">
        <w:t xml:space="preserve"> Maksas pamatojuma apmērs noteikts Rīgas domes 24.09.2013. lēmuma Nr.168 "Par Rīgas domes Labklājības departamenta un tā pakļautībā esošo iestāžu maksas pakalpojumiem" 4.punktā un Rīgas domes 04.09.2012. saistošo noteikumu Nr.184 "Rīgas pilsētas pašvaldības sniegto sociālo pakalpojumu saņemšanas un samaksas kārtība" 114.punktā.</w:t>
      </w:r>
    </w:p>
  </w:footnote>
  <w:footnote w:id="367">
    <w:p w:rsidR="00224B50" w:rsidRPr="004C2E87" w:rsidRDefault="00224B50" w:rsidP="00C85EB4">
      <w:pPr>
        <w:pStyle w:val="FootnoteText"/>
        <w:spacing w:line="240" w:lineRule="auto"/>
      </w:pPr>
      <w:r w:rsidRPr="004C2E87">
        <w:rPr>
          <w:rStyle w:val="FootnoteReference"/>
        </w:rPr>
        <w:footnoteRef/>
      </w:r>
      <w:r w:rsidRPr="004C2E87">
        <w:t xml:space="preserve"> RD 30.01.2007. lēmums Nr. 2001 "Par palīdzības sniegšanu bezpajumtniekiem nelabvēlīgos laika apstākļos Rīgā". Pieejams: </w:t>
      </w:r>
      <w:hyperlink r:id="rId251" w:history="1">
        <w:r w:rsidRPr="004C2E87">
          <w:rPr>
            <w:rStyle w:val="Hyperlink"/>
            <w:sz w:val="20"/>
          </w:rPr>
          <w:t>https://www.eriga.lv/ServiceCards/Default.aspx?cardExternalId=RD017958AJ0010</w:t>
        </w:r>
      </w:hyperlink>
      <w:r w:rsidRPr="004C2E87">
        <w:t xml:space="preserve"> (sk. 20.01.2019.)</w:t>
      </w:r>
    </w:p>
  </w:footnote>
  <w:footnote w:id="368">
    <w:p w:rsidR="00224B50" w:rsidRPr="00804D5D" w:rsidRDefault="00224B50" w:rsidP="00C85EB4">
      <w:pPr>
        <w:pStyle w:val="FootnoteText"/>
        <w:spacing w:line="240" w:lineRule="auto"/>
      </w:pPr>
      <w:r>
        <w:rPr>
          <w:rStyle w:val="FootnoteReference"/>
        </w:rPr>
        <w:footnoteRef/>
      </w:r>
      <w:r>
        <w:t xml:space="preserve"> RD Labklājības departaments. 06.02.2015. Iekšējie noteikumi nr. </w:t>
      </w:r>
      <w:r w:rsidRPr="00804D5D">
        <w:t>Nr. DL-15-3-nts</w:t>
      </w:r>
      <w:r>
        <w:t xml:space="preserve"> „</w:t>
      </w:r>
      <w:r w:rsidRPr="00804D5D">
        <w:t>Ģimenes asistenta pakalpojuma saņemšanas kārtība Rīgas pilsētas pašvaldībā</w:t>
      </w:r>
      <w:r>
        <w:t xml:space="preserve">”.  Pieejams: </w:t>
      </w:r>
      <w:hyperlink r:id="rId252" w:history="1">
        <w:r w:rsidRPr="00804D5D">
          <w:rPr>
            <w:rStyle w:val="Hyperlink"/>
            <w:sz w:val="20"/>
          </w:rPr>
          <w:t>https://www.eriga.lv/ServiceCards/Default.aspx?cardExternalId=RD018661AJ0018</w:t>
        </w:r>
      </w:hyperlink>
      <w:r w:rsidRPr="00804D5D">
        <w:t xml:space="preserve"> (sk. 12.02.2019.)</w:t>
      </w:r>
    </w:p>
  </w:footnote>
  <w:footnote w:id="369">
    <w:p w:rsidR="00224B50" w:rsidRDefault="00224B50" w:rsidP="00C85EB4">
      <w:pPr>
        <w:pStyle w:val="FootnoteText"/>
        <w:spacing w:line="240" w:lineRule="auto"/>
      </w:pPr>
      <w:r>
        <w:rPr>
          <w:rStyle w:val="FootnoteReference"/>
        </w:rPr>
        <w:footnoteRef/>
      </w:r>
      <w:r>
        <w:t xml:space="preserve"> Sociāli aizsargājamās grupas šajā kontekstā ir likuma „Par palīdzību līdzību dzīvokļa jautājumu risināšanā” 14.pantā definētās grupas, kā arī pašvaldību saistošajos noteikumos definētās grupas, kurām pienākas palīdzība, t.sk. pašvaldības piešķirts pabalsts, mājokļa jautājumu risināšanai. </w:t>
      </w:r>
    </w:p>
  </w:footnote>
  <w:footnote w:id="370">
    <w:p w:rsidR="00224B50" w:rsidRPr="008F12A3" w:rsidRDefault="00224B50" w:rsidP="00316778">
      <w:pPr>
        <w:pStyle w:val="FootnoteText"/>
        <w:spacing w:line="240" w:lineRule="auto"/>
        <w:jc w:val="both"/>
      </w:pPr>
      <w:r>
        <w:rPr>
          <w:rStyle w:val="FootnoteReference"/>
        </w:rPr>
        <w:footnoteRef/>
      </w:r>
      <w:r>
        <w:t xml:space="preserve"> </w:t>
      </w:r>
      <w:r w:rsidRPr="008F12A3">
        <w:t xml:space="preserve">15.01.2013. </w:t>
      </w:r>
      <w:r w:rsidRPr="008F12A3">
        <w:rPr>
          <w:bCs/>
          <w:shd w:val="clear" w:color="auto" w:fill="FFFFFF"/>
        </w:rPr>
        <w:t xml:space="preserve">Rīgas domes saistošie noteikumi Nr.202 “Par ģimenes vai atsevišķi dzīvojošas personas atzīšanu par </w:t>
      </w:r>
      <w:r w:rsidRPr="000927CA">
        <w:rPr>
          <w:bCs/>
          <w:shd w:val="clear" w:color="auto" w:fill="FFFFFF"/>
        </w:rPr>
        <w:t xml:space="preserve">trūcīgu vai maznodrošinātu un sociālajiem pabalstiem Rīgas pilsētas pašvaldībā”, 53., 54. punkts. Pieejami: </w:t>
      </w:r>
      <w:hyperlink r:id="rId253" w:history="1">
        <w:r w:rsidRPr="000927CA">
          <w:rPr>
            <w:rStyle w:val="Hyperlink"/>
            <w:bCs/>
            <w:sz w:val="20"/>
            <w:shd w:val="clear" w:color="auto" w:fill="FFFFFF"/>
          </w:rPr>
          <w:t>https://likumi.lv/doc.php?id=254202</w:t>
        </w:r>
      </w:hyperlink>
      <w:r>
        <w:rPr>
          <w:bCs/>
          <w:shd w:val="clear" w:color="auto" w:fill="FFFFFF"/>
        </w:rPr>
        <w:t xml:space="preserve"> (sk. 07.03.2019.)</w:t>
      </w:r>
    </w:p>
  </w:footnote>
  <w:footnote w:id="371">
    <w:p w:rsidR="00224B50" w:rsidRPr="00B36349" w:rsidRDefault="00224B50" w:rsidP="00D54545">
      <w:pPr>
        <w:pStyle w:val="FootnoteText"/>
        <w:spacing w:line="240" w:lineRule="auto"/>
      </w:pPr>
      <w:r w:rsidRPr="00B36349">
        <w:rPr>
          <w:rStyle w:val="FootnoteReference"/>
        </w:rPr>
        <w:footnoteRef/>
      </w:r>
      <w:r w:rsidRPr="00B36349">
        <w:t xml:space="preserve"> Pieejams: </w:t>
      </w:r>
      <w:hyperlink r:id="rId254" w:history="1">
        <w:r w:rsidRPr="00B36349">
          <w:rPr>
            <w:rStyle w:val="Hyperlink"/>
            <w:rFonts w:eastAsia="Calibri"/>
            <w:sz w:val="20"/>
          </w:rPr>
          <w:t>https://www.em.gov.lv/lv/eiropas_savieniba/strategija__eiropa_2020_/latvijas_nacionala_reformu_programma/</w:t>
        </w:r>
      </w:hyperlink>
      <w:r w:rsidRPr="00B36349">
        <w:t xml:space="preserve"> (sk. 12.12.2018.). </w:t>
      </w:r>
      <w:hyperlink r:id="rId255" w:history="1">
        <w:r w:rsidRPr="00B36349">
          <w:rPr>
            <w:rStyle w:val="Hyperlink"/>
            <w:sz w:val="20"/>
          </w:rPr>
          <w:t>https://www.em.gov.lv/lv/eiropas_savieniba/strategija__eiropa_2020_/latvijas_nacionala_reformu_programma/</w:t>
        </w:r>
      </w:hyperlink>
      <w:r w:rsidRPr="00B36349">
        <w:t xml:space="preserve"> (sk. 31.10.2018.) </w:t>
      </w:r>
    </w:p>
  </w:footnote>
  <w:footnote w:id="372">
    <w:p w:rsidR="00224B50" w:rsidRPr="00B73A85" w:rsidRDefault="00224B50" w:rsidP="00C85EB4">
      <w:pPr>
        <w:pStyle w:val="FootnoteText"/>
        <w:spacing w:line="240" w:lineRule="auto"/>
      </w:pPr>
      <w:r w:rsidRPr="00B73A85">
        <w:rPr>
          <w:rStyle w:val="FootnoteReference"/>
        </w:rPr>
        <w:footnoteRef/>
      </w:r>
      <w:r w:rsidRPr="00B73A85">
        <w:t xml:space="preserve"> 15.12.2009. Ministru kabineta instrukcija Nr.19. „Tiesību akta projekta sākotnējās ietekmes izvērtēšanas kārtība”. Pieejams: </w:t>
      </w:r>
      <w:hyperlink r:id="rId256" w:history="1">
        <w:r w:rsidRPr="00B73A85">
          <w:rPr>
            <w:rStyle w:val="Hyperlink"/>
            <w:sz w:val="20"/>
          </w:rPr>
          <w:t>https://likumi.lv/doc.php?id=203061</w:t>
        </w:r>
      </w:hyperlink>
      <w:r w:rsidRPr="00B73A85">
        <w:t xml:space="preserve"> (sk. 25.09.2018.)  </w:t>
      </w:r>
    </w:p>
  </w:footnote>
  <w:footnote w:id="373">
    <w:p w:rsidR="00224B50" w:rsidRPr="00B73A85" w:rsidRDefault="00224B50" w:rsidP="00C85EB4">
      <w:pPr>
        <w:pStyle w:val="FootnoteText"/>
        <w:spacing w:line="240" w:lineRule="auto"/>
        <w:jc w:val="both"/>
      </w:pPr>
      <w:r w:rsidRPr="00B73A85">
        <w:rPr>
          <w:rStyle w:val="FootnoteReference"/>
        </w:rPr>
        <w:footnoteRef/>
      </w:r>
      <w:r w:rsidRPr="00B73A85">
        <w:t xml:space="preserve"> Tehniskajā specifikācijā CSP monetāro nabadzību un ienākumu nevienlīdzību raksturojošie rādītāji un EU-SILC dati ir norādīti kā atsevišķi datu avoti, tomēr CSP mājas lapā un citos metodiskajos materiālos norādītā informācija rāda, ka visu datu sākotnējais avots ir EU-SILC aptauja, tāpēc nav pareizi tos nodalīt kā atsevišķus datu avotus. </w:t>
      </w:r>
    </w:p>
  </w:footnote>
  <w:footnote w:id="374">
    <w:p w:rsidR="00224B50" w:rsidRPr="00B73A85" w:rsidRDefault="00224B50" w:rsidP="00C85EB4">
      <w:pPr>
        <w:pStyle w:val="FootnoteText"/>
        <w:spacing w:line="240" w:lineRule="auto"/>
      </w:pPr>
      <w:r w:rsidRPr="00B73A85">
        <w:rPr>
          <w:rStyle w:val="FootnoteReference"/>
        </w:rPr>
        <w:footnoteRef/>
      </w:r>
      <w:r w:rsidRPr="00B73A85">
        <w:t xml:space="preserve"> </w:t>
      </w:r>
      <w:r>
        <w:t>Turpat</w:t>
      </w:r>
      <w:r w:rsidRPr="00B73A85">
        <w:t>.</w:t>
      </w:r>
    </w:p>
  </w:footnote>
  <w:footnote w:id="375">
    <w:p w:rsidR="00224B50" w:rsidRPr="00B73A85" w:rsidRDefault="00224B50" w:rsidP="00C85EB4">
      <w:pPr>
        <w:pStyle w:val="FootnoteText"/>
        <w:spacing w:line="240" w:lineRule="auto"/>
      </w:pPr>
      <w:r w:rsidRPr="00B73A85">
        <w:rPr>
          <w:rStyle w:val="FootnoteReference"/>
          <w:rFonts w:eastAsiaTheme="majorEastAsia"/>
        </w:rPr>
        <w:footnoteRef/>
      </w:r>
      <w:r w:rsidRPr="00B73A85">
        <w:t xml:space="preserve"> Veretjanovs, V. (2017). „Informācija par monetāro nabadzību un ienākumu nevienlīdzību</w:t>
      </w:r>
    </w:p>
    <w:p w:rsidR="00224B50" w:rsidRPr="00B73A85" w:rsidRDefault="00224B50" w:rsidP="00C85EB4">
      <w:pPr>
        <w:pStyle w:val="FootnoteText"/>
        <w:spacing w:line="240" w:lineRule="auto"/>
      </w:pPr>
      <w:r w:rsidRPr="00B73A85">
        <w:t xml:space="preserve">Latvijā 2015. gadā. Pakalpojumu pieejamība Latvijā 2016. gadā”, prezentācija Sociālās iekļaušanas politikas koordinācijas komitejas sēdē, 2017. gada 20. jūnijā. Pieejams: </w:t>
      </w:r>
      <w:hyperlink r:id="rId257" w:history="1">
        <w:r w:rsidRPr="00B73A85">
          <w:rPr>
            <w:rStyle w:val="Hyperlink"/>
            <w:sz w:val="20"/>
          </w:rPr>
          <w:t>http://www.lm.gov.lv/upload/sociala_ieklausana/csp_sipkk_20062017.pdf</w:t>
        </w:r>
      </w:hyperlink>
      <w:r w:rsidRPr="00B73A85">
        <w:t xml:space="preserve"> (skatīts 03.10.2018.)</w:t>
      </w:r>
    </w:p>
  </w:footnote>
  <w:footnote w:id="376">
    <w:p w:rsidR="00224B50" w:rsidRPr="00B73A85" w:rsidRDefault="00224B50" w:rsidP="00C85EB4">
      <w:pPr>
        <w:pStyle w:val="NormalWeb"/>
        <w:shd w:val="clear" w:color="auto" w:fill="FFFFFF"/>
        <w:spacing w:line="240" w:lineRule="auto"/>
        <w:rPr>
          <w:rFonts w:ascii="Arial" w:hAnsi="Arial" w:cs="Arial"/>
          <w:color w:val="444444"/>
          <w:sz w:val="20"/>
          <w:szCs w:val="20"/>
        </w:rPr>
      </w:pPr>
      <w:r w:rsidRPr="00B73A85">
        <w:rPr>
          <w:rStyle w:val="FootnoteReference"/>
          <w:sz w:val="20"/>
          <w:szCs w:val="20"/>
        </w:rPr>
        <w:footnoteRef/>
      </w:r>
      <w:r w:rsidRPr="00B73A85">
        <w:rPr>
          <w:sz w:val="20"/>
          <w:szCs w:val="20"/>
        </w:rPr>
        <w:t xml:space="preserve"> Iedzīvotāju iedalījums pilsētu un lauku iedzīvotājos tiek veidots pēc pastāvīgās dzīvesvietas. Pilsētu iedzīvotāji ir personas, kas dzīvo pilsētās, t. i., apdzīvotās vietās, kurās ir ne mazāk par 2 000 pastāvīgo iedzīvotāju. Tiek pieļauts, ka atsevišķās vēsturiski izveidojušās pilsētās iedzīvotāju skaits var būt arī mazāks par 2 000 cilvēku. Pilsētas statusu piešķir un atceļ Saeima ar likumu. Visi pārējie ir lauku iedzīvotāji. CSP definīcija. Pieejams </w:t>
      </w:r>
      <w:hyperlink r:id="rId258" w:history="1">
        <w:r w:rsidRPr="00B73A85">
          <w:rPr>
            <w:rStyle w:val="Hyperlink"/>
            <w:sz w:val="20"/>
            <w:szCs w:val="20"/>
          </w:rPr>
          <w:t>https://www.csb.gov.lv/lv/statistika/termini/pilsetu-un-lauku-iedzivotaji</w:t>
        </w:r>
      </w:hyperlink>
      <w:r w:rsidRPr="00B73A85">
        <w:rPr>
          <w:sz w:val="20"/>
          <w:szCs w:val="20"/>
        </w:rPr>
        <w:t xml:space="preserve"> (sk. 25.09.2018.).</w:t>
      </w:r>
    </w:p>
  </w:footnote>
  <w:footnote w:id="377">
    <w:p w:rsidR="00224B50" w:rsidRPr="00B73A85" w:rsidRDefault="00224B50" w:rsidP="00F177EE">
      <w:pPr>
        <w:rPr>
          <w:sz w:val="20"/>
          <w:szCs w:val="20"/>
        </w:rPr>
      </w:pPr>
      <w:r w:rsidRPr="00B73A85">
        <w:rPr>
          <w:rStyle w:val="FootnoteReference"/>
          <w:sz w:val="20"/>
          <w:szCs w:val="20"/>
        </w:rPr>
        <w:footnoteRef/>
      </w:r>
      <w:r w:rsidRPr="00B73A85">
        <w:rPr>
          <w:sz w:val="20"/>
          <w:szCs w:val="20"/>
        </w:rPr>
        <w:t xml:space="preserve"> Pasaules Bankas pētījums (2017). Pieejams </w:t>
      </w:r>
      <w:hyperlink r:id="rId259" w:history="1">
        <w:r w:rsidRPr="00B73A85">
          <w:rPr>
            <w:rStyle w:val="Hyperlink"/>
            <w:sz w:val="20"/>
            <w:szCs w:val="20"/>
          </w:rPr>
          <w:t>http://www.vmnvd.gov.lv/lv/esf-projekts/zinojumi</w:t>
        </w:r>
      </w:hyperlink>
      <w:r w:rsidRPr="00B73A85">
        <w:rPr>
          <w:sz w:val="20"/>
          <w:szCs w:val="20"/>
        </w:rPr>
        <w:t xml:space="preserve">  (sk. 25.09.2018.). </w:t>
      </w:r>
    </w:p>
  </w:footnote>
  <w:footnote w:id="378">
    <w:p w:rsidR="00224B50" w:rsidRPr="004C2E87" w:rsidRDefault="00224B50" w:rsidP="00F177EE">
      <w:pPr>
        <w:pStyle w:val="FootnoteText"/>
      </w:pPr>
      <w:r w:rsidRPr="004C2E87">
        <w:rPr>
          <w:rStyle w:val="FootnoteReference"/>
        </w:rPr>
        <w:footnoteRef/>
      </w:r>
      <w:r w:rsidRPr="004C2E87">
        <w:t xml:space="preserve"> Avots: </w:t>
      </w:r>
      <w:hyperlink r:id="rId260" w:history="1">
        <w:r w:rsidRPr="004C2E87">
          <w:rPr>
            <w:rStyle w:val="Hyperlink"/>
            <w:sz w:val="20"/>
          </w:rPr>
          <w:t>http://www.vm.gov.lv/lv/nozare/normativie_dokumenti/attistibas_planosanas_dokumenti1/</w:t>
        </w:r>
      </w:hyperlink>
      <w:r w:rsidRPr="004C2E87">
        <w:t xml:space="preserve"> (sk. 20.09.2018.)</w:t>
      </w:r>
    </w:p>
  </w:footnote>
  <w:footnote w:id="379">
    <w:p w:rsidR="00224B50" w:rsidRPr="00B73A85" w:rsidRDefault="00224B50" w:rsidP="00F177EE">
      <w:pPr>
        <w:pStyle w:val="FootnoteText"/>
      </w:pPr>
      <w:r w:rsidRPr="00B73A85">
        <w:rPr>
          <w:rStyle w:val="FootnoteReference"/>
        </w:rPr>
        <w:footnoteRef/>
      </w:r>
      <w:r w:rsidRPr="00B73A85">
        <w:t xml:space="preserve"> Avots: </w:t>
      </w:r>
      <w:hyperlink r:id="rId261" w:history="1">
        <w:r w:rsidRPr="00B73A85">
          <w:rPr>
            <w:rStyle w:val="Hyperlink"/>
            <w:sz w:val="20"/>
          </w:rPr>
          <w:t>http://www.vm.gov.lv/lv/nozare/normativie_dokumenti/</w:t>
        </w:r>
      </w:hyperlink>
      <w:r w:rsidRPr="00B73A85">
        <w:t xml:space="preserve"> (sk. 20.09.2018.)</w:t>
      </w:r>
    </w:p>
  </w:footnote>
  <w:footnote w:id="380">
    <w:p w:rsidR="00224B50" w:rsidRPr="004C2E87" w:rsidRDefault="00224B50" w:rsidP="00F177EE">
      <w:pPr>
        <w:pStyle w:val="FootnoteText"/>
      </w:pPr>
      <w:r w:rsidRPr="004C2E87">
        <w:rPr>
          <w:rStyle w:val="FootnoteReference"/>
        </w:rPr>
        <w:footnoteRef/>
      </w:r>
      <w:r w:rsidRPr="004C2E87">
        <w:t xml:space="preserve"> Datu avots: </w:t>
      </w:r>
      <w:hyperlink r:id="rId262" w:history="1">
        <w:r w:rsidRPr="004C2E87">
          <w:rPr>
            <w:rStyle w:val="Hyperlink"/>
            <w:sz w:val="20"/>
          </w:rPr>
          <w:t>http://www.fm.gov.lv/lv/sadalas/valsts_budzets/valsts_budzeta_izstrade/_budzets2018/</w:t>
        </w:r>
      </w:hyperlink>
      <w:r w:rsidRPr="004C2E87">
        <w:t xml:space="preserve"> (sk. 31.10.2018.)</w:t>
      </w:r>
    </w:p>
  </w:footnote>
  <w:footnote w:id="381">
    <w:p w:rsidR="00224B50" w:rsidRPr="004C2E87" w:rsidRDefault="00224B50" w:rsidP="00C85EB4">
      <w:pPr>
        <w:pStyle w:val="FootnoteText"/>
        <w:spacing w:line="240" w:lineRule="auto"/>
      </w:pPr>
      <w:r w:rsidRPr="004C2E87">
        <w:rPr>
          <w:rStyle w:val="FootnoteReference"/>
        </w:rPr>
        <w:footnoteRef/>
      </w:r>
      <w:r w:rsidRPr="004C2E87">
        <w:t xml:space="preserve"> Avots: </w:t>
      </w:r>
      <w:hyperlink r:id="rId263" w:history="1">
        <w:r w:rsidRPr="004C2E87">
          <w:rPr>
            <w:rStyle w:val="Hyperlink"/>
            <w:sz w:val="20"/>
          </w:rPr>
          <w:t>https://www.em.gov.lv/lv/nozares_politika/majokli/</w:t>
        </w:r>
      </w:hyperlink>
      <w:r w:rsidRPr="004C2E87">
        <w:t xml:space="preserve"> (sk. 20.09.2018.)</w:t>
      </w:r>
    </w:p>
  </w:footnote>
  <w:footnote w:id="382">
    <w:p w:rsidR="00224B50" w:rsidRPr="004C2E87" w:rsidRDefault="00224B50" w:rsidP="00C85EB4">
      <w:pPr>
        <w:pStyle w:val="FootnoteText"/>
        <w:spacing w:line="240" w:lineRule="auto"/>
      </w:pPr>
      <w:r w:rsidRPr="004C2E87">
        <w:rPr>
          <w:rStyle w:val="FootnoteReference"/>
        </w:rPr>
        <w:footnoteRef/>
      </w:r>
      <w:r w:rsidRPr="004C2E87">
        <w:t xml:space="preserve"> Avots: </w:t>
      </w:r>
      <w:hyperlink r:id="rId264" w:history="1">
        <w:r w:rsidRPr="004C2E87">
          <w:rPr>
            <w:rStyle w:val="Hyperlink"/>
            <w:sz w:val="20"/>
          </w:rPr>
          <w:t>https://www.em.gov.lv/lv/nozares_politika/majokli/normativie_akti/</w:t>
        </w:r>
      </w:hyperlink>
      <w:r w:rsidRPr="004C2E87">
        <w:t xml:space="preserve"> (sk. 20.09.2018.)</w:t>
      </w:r>
    </w:p>
  </w:footnote>
  <w:footnote w:id="383">
    <w:p w:rsidR="00224B50" w:rsidRPr="00B73A85" w:rsidRDefault="00224B50" w:rsidP="000A682A">
      <w:pPr>
        <w:pStyle w:val="FootnoteText"/>
        <w:spacing w:line="240" w:lineRule="auto"/>
      </w:pPr>
      <w:r w:rsidRPr="00B73A85">
        <w:rPr>
          <w:rStyle w:val="FootnoteReference"/>
        </w:rPr>
        <w:footnoteRef/>
      </w:r>
      <w:r w:rsidRPr="00B73A85">
        <w:t xml:space="preserve"> PKC (2017). 81.lpp. </w:t>
      </w:r>
      <w:hyperlink r:id="rId265" w:history="1">
        <w:r w:rsidRPr="00B73A85">
          <w:rPr>
            <w:rStyle w:val="Hyperlink"/>
            <w:rFonts w:eastAsiaTheme="majorEastAsia"/>
            <w:sz w:val="20"/>
          </w:rPr>
          <w:t>https://www.pkc.gov.lv/sites/default/files/inline-files/NAP2020%20vidusposma%20zinojums%20final_1.pdf</w:t>
        </w:r>
      </w:hyperlink>
      <w:r w:rsidRPr="00B73A85">
        <w:t xml:space="preserve"> (25.10.2018.)</w:t>
      </w:r>
    </w:p>
  </w:footnote>
  <w:footnote w:id="384">
    <w:p w:rsidR="00224B50" w:rsidRDefault="00224B50" w:rsidP="000A682A">
      <w:pPr>
        <w:pStyle w:val="FootnoteText"/>
        <w:spacing w:line="240" w:lineRule="auto"/>
      </w:pPr>
      <w:r>
        <w:rPr>
          <w:rStyle w:val="FootnoteReference"/>
        </w:rPr>
        <w:footnoteRef/>
      </w:r>
      <w:r>
        <w:t xml:space="preserve"> Izvērtējumā tika veikts Latvijas pašvaldību saistošo noteikumu par atvieglojumiem mājokļa jomā apsekojums, kura rezultāti ir apkopoti Gala ziņojuma 3.2.3. sadaļā un 12.pielikumā. </w:t>
      </w:r>
    </w:p>
  </w:footnote>
  <w:footnote w:id="385">
    <w:p w:rsidR="00224B50" w:rsidRPr="00CD554C" w:rsidRDefault="00224B50" w:rsidP="000A682A">
      <w:pPr>
        <w:pStyle w:val="FootnoteText"/>
        <w:spacing w:line="240" w:lineRule="auto"/>
      </w:pPr>
      <w:r w:rsidRPr="00E965F1">
        <w:rPr>
          <w:rStyle w:val="FootnoteReference"/>
        </w:rPr>
        <w:footnoteRef/>
      </w:r>
      <w:r w:rsidRPr="00E965F1">
        <w:t xml:space="preserve"> Pieejams: </w:t>
      </w:r>
      <w:hyperlink r:id="rId266" w:history="1">
        <w:r w:rsidRPr="00E965F1">
          <w:rPr>
            <w:rStyle w:val="Hyperlink"/>
            <w:sz w:val="20"/>
          </w:rPr>
          <w:t>https://www.em.gov.lv/lv/jaunumi/21029-mk-atbalsta-em-piedavajumu-daudzdzivoklu-dzivojamo-maju-buvniecibai-regionos</w:t>
        </w:r>
      </w:hyperlink>
      <w:r w:rsidRPr="00E965F1">
        <w:t xml:space="preserve"> (sk. 12.02.2019.).</w:t>
      </w:r>
    </w:p>
  </w:footnote>
  <w:footnote w:id="386">
    <w:p w:rsidR="00224B50" w:rsidRPr="00E965F1" w:rsidRDefault="00224B50" w:rsidP="000A682A">
      <w:pPr>
        <w:pStyle w:val="FootnoteText"/>
        <w:spacing w:line="240" w:lineRule="auto"/>
      </w:pPr>
      <w:r w:rsidRPr="00E965F1">
        <w:rPr>
          <w:rStyle w:val="FootnoteReference"/>
        </w:rPr>
        <w:footnoteRef/>
      </w:r>
      <w:r w:rsidRPr="00E965F1">
        <w:t xml:space="preserve"> 250.</w:t>
      </w:r>
      <w:r w:rsidRPr="00E965F1">
        <w:rPr>
          <w:vertAlign w:val="superscript"/>
        </w:rPr>
        <w:t xml:space="preserve">47 </w:t>
      </w:r>
      <w:r w:rsidRPr="00E965F1">
        <w:t xml:space="preserve">pants. Pieejams: </w:t>
      </w:r>
      <w:hyperlink r:id="rId267" w:history="1">
        <w:r w:rsidRPr="00E965F1">
          <w:rPr>
            <w:rStyle w:val="Hyperlink"/>
            <w:sz w:val="20"/>
          </w:rPr>
          <w:t>https://likumi.lv/ta/id/264622-grozijumi-civilprocesa-likuma</w:t>
        </w:r>
      </w:hyperlink>
      <w:r w:rsidRPr="00E965F1">
        <w:t xml:space="preserve"> (sk. 03.12.2018.)</w:t>
      </w:r>
    </w:p>
  </w:footnote>
  <w:footnote w:id="387">
    <w:p w:rsidR="00224B50" w:rsidRPr="00CD554C" w:rsidRDefault="00224B50" w:rsidP="000A682A">
      <w:pPr>
        <w:pStyle w:val="FootnoteText"/>
        <w:spacing w:line="240" w:lineRule="auto"/>
      </w:pPr>
      <w:r w:rsidRPr="00E965F1">
        <w:rPr>
          <w:rStyle w:val="FootnoteReference"/>
        </w:rPr>
        <w:footnoteRef/>
      </w:r>
      <w:r w:rsidRPr="00E965F1">
        <w:t xml:space="preserve"> Padziļināts šīs iniciatīvas izvērtējums ir veikts „Ģimenes valsts politikas pamatnostādņu 2011. – 2017.</w:t>
      </w:r>
      <w:r>
        <w:t xml:space="preserve"> </w:t>
      </w:r>
      <w:r w:rsidRPr="00E965F1">
        <w:t xml:space="preserve">gadam </w:t>
      </w:r>
      <w:r w:rsidRPr="001C3FB6">
        <w:rPr>
          <w:i/>
        </w:rPr>
        <w:t>ex-post</w:t>
      </w:r>
      <w:r w:rsidRPr="00E965F1">
        <w:t xml:space="preserve"> novērtējumā”. Identifikācijas Nr.LRLM2018/28-3-02/08 Gala ziņojuma projekts. </w:t>
      </w:r>
      <w:r w:rsidRPr="00E965F1">
        <w:rPr>
          <w:rFonts w:asciiTheme="majorBidi" w:hAnsiTheme="majorBidi" w:cstheme="majorBidi"/>
          <w:bCs/>
        </w:rPr>
        <w:t>Izstrādātājs: SIA SAFEGE Baltija.</w:t>
      </w:r>
    </w:p>
  </w:footnote>
  <w:footnote w:id="388">
    <w:p w:rsidR="00224B50" w:rsidRPr="00E965F1" w:rsidRDefault="00224B50" w:rsidP="000A682A">
      <w:pPr>
        <w:pStyle w:val="FootnoteText"/>
        <w:spacing w:line="240" w:lineRule="auto"/>
      </w:pPr>
      <w:r w:rsidRPr="00E965F1">
        <w:rPr>
          <w:rStyle w:val="FootnoteReference"/>
        </w:rPr>
        <w:footnoteRef/>
      </w:r>
      <w:r w:rsidRPr="00E965F1">
        <w:t xml:space="preserve"> Avots: </w:t>
      </w:r>
      <w:hyperlink r:id="rId268" w:history="1">
        <w:r w:rsidRPr="00E965F1">
          <w:rPr>
            <w:rStyle w:val="Hyperlink"/>
            <w:sz w:val="20"/>
          </w:rPr>
          <w:t>http://www.varam.gov.lv/lat/darbibas_veidi/reg_att/?doc=13630</w:t>
        </w:r>
      </w:hyperlink>
      <w:r w:rsidRPr="00E965F1">
        <w:t xml:space="preserve"> (sk. 30.11.2018.)</w:t>
      </w:r>
    </w:p>
  </w:footnote>
  <w:footnote w:id="389">
    <w:p w:rsidR="00224B50" w:rsidRPr="00CD554C" w:rsidRDefault="00224B50" w:rsidP="000A682A">
      <w:pPr>
        <w:pStyle w:val="FootnoteText"/>
        <w:spacing w:line="240" w:lineRule="auto"/>
      </w:pPr>
      <w:r w:rsidRPr="00E965F1">
        <w:rPr>
          <w:rStyle w:val="FootnoteReference"/>
        </w:rPr>
        <w:footnoteRef/>
      </w:r>
      <w:r w:rsidRPr="00E965F1">
        <w:t xml:space="preserve"> Ekonomikas ministrija (10.07.2018.). Noteikumi par valsts palīdzību īres dzīvojamo māju būvniecībai. Projekts. Pieejams: </w:t>
      </w:r>
      <w:hyperlink r:id="rId269" w:history="1">
        <w:r w:rsidRPr="00E965F1">
          <w:rPr>
            <w:rStyle w:val="Hyperlink"/>
            <w:sz w:val="20"/>
          </w:rPr>
          <w:t>http://tap.mk.gov.lv/mk/tap/?pid=40460362</w:t>
        </w:r>
      </w:hyperlink>
      <w:r w:rsidRPr="00CD554C">
        <w:t xml:space="preserve"> </w:t>
      </w:r>
    </w:p>
  </w:footnote>
  <w:footnote w:id="390">
    <w:p w:rsidR="00224B50" w:rsidRPr="00CD554C" w:rsidRDefault="00224B50" w:rsidP="000B7024">
      <w:pPr>
        <w:pStyle w:val="FootnoteText"/>
      </w:pPr>
      <w:r w:rsidRPr="00E965F1">
        <w:rPr>
          <w:rStyle w:val="FootnoteReference"/>
        </w:rPr>
        <w:footnoteRef/>
      </w:r>
      <w:r w:rsidRPr="00E965F1">
        <w:t xml:space="preserve"> Avots: </w:t>
      </w:r>
      <w:hyperlink r:id="rId270" w:history="1">
        <w:r w:rsidRPr="00E965F1">
          <w:rPr>
            <w:rStyle w:val="Hyperlink"/>
            <w:sz w:val="20"/>
          </w:rPr>
          <w:t>https://www.eriga.lv/ServiceCards/Default.aspx?cardExternalId=RD018661AJ0018</w:t>
        </w:r>
      </w:hyperlink>
      <w:r w:rsidRPr="00E965F1">
        <w:t xml:space="preserve"> (sk. 12.02.2019.)</w:t>
      </w:r>
    </w:p>
  </w:footnote>
  <w:footnote w:id="391">
    <w:p w:rsidR="00224B50" w:rsidRPr="00CD554C" w:rsidRDefault="00224B50" w:rsidP="000B7024">
      <w:pPr>
        <w:pStyle w:val="FootnoteText"/>
      </w:pPr>
      <w:r w:rsidRPr="00E965F1">
        <w:rPr>
          <w:rStyle w:val="FootnoteReference"/>
        </w:rPr>
        <w:footnoteRef/>
      </w:r>
      <w:r w:rsidRPr="00E965F1">
        <w:t xml:space="preserve"> Pieejams: </w:t>
      </w:r>
      <w:hyperlink r:id="rId271" w:history="1">
        <w:r w:rsidRPr="00E965F1">
          <w:rPr>
            <w:rStyle w:val="Hyperlink"/>
            <w:sz w:val="20"/>
          </w:rPr>
          <w:t>https://likumi.lv/doc.php?id=63545</w:t>
        </w:r>
      </w:hyperlink>
      <w:r w:rsidRPr="00E965F1">
        <w:t xml:space="preserve"> (sk. 12.02.2019.)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B4F12"/>
    <w:multiLevelType w:val="hybridMultilevel"/>
    <w:tmpl w:val="526C69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08A4B41"/>
    <w:multiLevelType w:val="hybridMultilevel"/>
    <w:tmpl w:val="8D569CC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0C669B7"/>
    <w:multiLevelType w:val="multilevel"/>
    <w:tmpl w:val="1AAC96DE"/>
    <w:lvl w:ilvl="0">
      <w:start w:val="1"/>
      <w:numFmt w:val="decimal"/>
      <w:lvlText w:val="%1."/>
      <w:lvlJc w:val="left"/>
      <w:pPr>
        <w:ind w:left="1440" w:hanging="360"/>
      </w:pPr>
      <w:rPr>
        <w:rFonts w:hint="default"/>
      </w:rPr>
    </w:lvl>
    <w:lvl w:ilvl="1">
      <w:start w:val="1"/>
      <w:numFmt w:val="bullet"/>
      <w:lvlText w:val=""/>
      <w:lvlJc w:val="left"/>
      <w:pPr>
        <w:ind w:left="1824" w:hanging="384"/>
      </w:pPr>
      <w:rPr>
        <w:rFonts w:ascii="Symbol" w:hAnsi="Symbol"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3">
    <w:nsid w:val="018B55E5"/>
    <w:multiLevelType w:val="hybridMultilevel"/>
    <w:tmpl w:val="10282402"/>
    <w:lvl w:ilvl="0" w:tplc="976ED3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7C0482"/>
    <w:multiLevelType w:val="hybridMultilevel"/>
    <w:tmpl w:val="30300A50"/>
    <w:lvl w:ilvl="0" w:tplc="976ED330">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7142E5"/>
    <w:multiLevelType w:val="hybridMultilevel"/>
    <w:tmpl w:val="14BA7886"/>
    <w:lvl w:ilvl="0" w:tplc="ABB6E8F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040A1ECF"/>
    <w:multiLevelType w:val="hybridMultilevel"/>
    <w:tmpl w:val="686C54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05177169"/>
    <w:multiLevelType w:val="hybridMultilevel"/>
    <w:tmpl w:val="33DAA4F4"/>
    <w:lvl w:ilvl="0" w:tplc="751040F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06453164"/>
    <w:multiLevelType w:val="hybridMultilevel"/>
    <w:tmpl w:val="EE90ACAA"/>
    <w:lvl w:ilvl="0" w:tplc="04260001">
      <w:start w:val="1"/>
      <w:numFmt w:val="bullet"/>
      <w:lvlText w:val=""/>
      <w:lvlJc w:val="left"/>
      <w:pPr>
        <w:ind w:left="720" w:hanging="360"/>
      </w:pPr>
      <w:rPr>
        <w:rFonts w:ascii="Symbol" w:hAnsi="Symbol" w:hint="default"/>
      </w:rPr>
    </w:lvl>
    <w:lvl w:ilvl="1" w:tplc="04260003" w:tentative="1">
      <w:start w:val="1"/>
      <w:numFmt w:val="lowerLetter"/>
      <w:lvlText w:val="%2."/>
      <w:lvlJc w:val="left"/>
      <w:pPr>
        <w:ind w:left="1440" w:hanging="360"/>
      </w:pPr>
    </w:lvl>
    <w:lvl w:ilvl="2" w:tplc="04260005" w:tentative="1">
      <w:start w:val="1"/>
      <w:numFmt w:val="lowerRoman"/>
      <w:lvlText w:val="%3."/>
      <w:lvlJc w:val="right"/>
      <w:pPr>
        <w:ind w:left="2160" w:hanging="180"/>
      </w:pPr>
    </w:lvl>
    <w:lvl w:ilvl="3" w:tplc="04260001" w:tentative="1">
      <w:start w:val="1"/>
      <w:numFmt w:val="decimal"/>
      <w:lvlText w:val="%4."/>
      <w:lvlJc w:val="left"/>
      <w:pPr>
        <w:ind w:left="2880" w:hanging="360"/>
      </w:pPr>
    </w:lvl>
    <w:lvl w:ilvl="4" w:tplc="04260003" w:tentative="1">
      <w:start w:val="1"/>
      <w:numFmt w:val="lowerLetter"/>
      <w:lvlText w:val="%5."/>
      <w:lvlJc w:val="left"/>
      <w:pPr>
        <w:ind w:left="3600" w:hanging="360"/>
      </w:pPr>
    </w:lvl>
    <w:lvl w:ilvl="5" w:tplc="04260005" w:tentative="1">
      <w:start w:val="1"/>
      <w:numFmt w:val="lowerRoman"/>
      <w:lvlText w:val="%6."/>
      <w:lvlJc w:val="right"/>
      <w:pPr>
        <w:ind w:left="4320" w:hanging="180"/>
      </w:pPr>
    </w:lvl>
    <w:lvl w:ilvl="6" w:tplc="04260001" w:tentative="1">
      <w:start w:val="1"/>
      <w:numFmt w:val="decimal"/>
      <w:lvlText w:val="%7."/>
      <w:lvlJc w:val="left"/>
      <w:pPr>
        <w:ind w:left="5040" w:hanging="360"/>
      </w:pPr>
    </w:lvl>
    <w:lvl w:ilvl="7" w:tplc="04260003" w:tentative="1">
      <w:start w:val="1"/>
      <w:numFmt w:val="lowerLetter"/>
      <w:lvlText w:val="%8."/>
      <w:lvlJc w:val="left"/>
      <w:pPr>
        <w:ind w:left="5760" w:hanging="360"/>
      </w:pPr>
    </w:lvl>
    <w:lvl w:ilvl="8" w:tplc="04260005" w:tentative="1">
      <w:start w:val="1"/>
      <w:numFmt w:val="lowerRoman"/>
      <w:lvlText w:val="%9."/>
      <w:lvlJc w:val="right"/>
      <w:pPr>
        <w:ind w:left="6480" w:hanging="180"/>
      </w:pPr>
    </w:lvl>
  </w:abstractNum>
  <w:abstractNum w:abstractNumId="9">
    <w:nsid w:val="06470632"/>
    <w:multiLevelType w:val="hybridMultilevel"/>
    <w:tmpl w:val="DD800D74"/>
    <w:lvl w:ilvl="0" w:tplc="04260001">
      <w:numFmt w:val="bullet"/>
      <w:lvlText w:val="-"/>
      <w:lvlJc w:val="left"/>
      <w:pPr>
        <w:ind w:left="720" w:hanging="360"/>
      </w:pPr>
      <w:rPr>
        <w:rFonts w:ascii="Times New Roman" w:eastAsia="Times New Roman" w:hAnsi="Times New Roman" w:cs="Times New Roman" w:hint="default"/>
        <w:sz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06CD0DA0"/>
    <w:multiLevelType w:val="hybridMultilevel"/>
    <w:tmpl w:val="D166F52A"/>
    <w:lvl w:ilvl="0" w:tplc="04090001">
      <w:numFmt w:val="bullet"/>
      <w:lvlText w:val="-"/>
      <w:lvlJc w:val="left"/>
      <w:pPr>
        <w:ind w:left="720" w:hanging="360"/>
      </w:pPr>
      <w:rPr>
        <w:rFonts w:ascii="Times New Roman" w:eastAsia="Times New Roman" w:hAnsi="Times New Roman" w:cs="Times New Roman" w:hint="default"/>
        <w:sz w:val="28"/>
      </w:rPr>
    </w:lvl>
    <w:lvl w:ilvl="1" w:tplc="04260019" w:tentative="1">
      <w:start w:val="1"/>
      <w:numFmt w:val="bullet"/>
      <w:lvlText w:val="o"/>
      <w:lvlJc w:val="left"/>
      <w:pPr>
        <w:ind w:left="1440" w:hanging="360"/>
      </w:pPr>
      <w:rPr>
        <w:rFonts w:ascii="Courier New" w:hAnsi="Courier New" w:cs="Courier New" w:hint="default"/>
      </w:rPr>
    </w:lvl>
    <w:lvl w:ilvl="2" w:tplc="0426001B" w:tentative="1">
      <w:start w:val="1"/>
      <w:numFmt w:val="bullet"/>
      <w:lvlText w:val=""/>
      <w:lvlJc w:val="left"/>
      <w:pPr>
        <w:ind w:left="2160" w:hanging="360"/>
      </w:pPr>
      <w:rPr>
        <w:rFonts w:ascii="Wingdings" w:hAnsi="Wingdings" w:hint="default"/>
      </w:rPr>
    </w:lvl>
    <w:lvl w:ilvl="3" w:tplc="0426000F" w:tentative="1">
      <w:start w:val="1"/>
      <w:numFmt w:val="bullet"/>
      <w:lvlText w:val=""/>
      <w:lvlJc w:val="left"/>
      <w:pPr>
        <w:ind w:left="2880" w:hanging="360"/>
      </w:pPr>
      <w:rPr>
        <w:rFonts w:ascii="Symbol" w:hAnsi="Symbol" w:hint="default"/>
      </w:rPr>
    </w:lvl>
    <w:lvl w:ilvl="4" w:tplc="04260019" w:tentative="1">
      <w:start w:val="1"/>
      <w:numFmt w:val="bullet"/>
      <w:lvlText w:val="o"/>
      <w:lvlJc w:val="left"/>
      <w:pPr>
        <w:ind w:left="3600" w:hanging="360"/>
      </w:pPr>
      <w:rPr>
        <w:rFonts w:ascii="Courier New" w:hAnsi="Courier New" w:cs="Courier New" w:hint="default"/>
      </w:rPr>
    </w:lvl>
    <w:lvl w:ilvl="5" w:tplc="0426001B" w:tentative="1">
      <w:start w:val="1"/>
      <w:numFmt w:val="bullet"/>
      <w:lvlText w:val=""/>
      <w:lvlJc w:val="left"/>
      <w:pPr>
        <w:ind w:left="4320" w:hanging="360"/>
      </w:pPr>
      <w:rPr>
        <w:rFonts w:ascii="Wingdings" w:hAnsi="Wingdings" w:hint="default"/>
      </w:rPr>
    </w:lvl>
    <w:lvl w:ilvl="6" w:tplc="0426000F" w:tentative="1">
      <w:start w:val="1"/>
      <w:numFmt w:val="bullet"/>
      <w:lvlText w:val=""/>
      <w:lvlJc w:val="left"/>
      <w:pPr>
        <w:ind w:left="5040" w:hanging="360"/>
      </w:pPr>
      <w:rPr>
        <w:rFonts w:ascii="Symbol" w:hAnsi="Symbol" w:hint="default"/>
      </w:rPr>
    </w:lvl>
    <w:lvl w:ilvl="7" w:tplc="04260019" w:tentative="1">
      <w:start w:val="1"/>
      <w:numFmt w:val="bullet"/>
      <w:lvlText w:val="o"/>
      <w:lvlJc w:val="left"/>
      <w:pPr>
        <w:ind w:left="5760" w:hanging="360"/>
      </w:pPr>
      <w:rPr>
        <w:rFonts w:ascii="Courier New" w:hAnsi="Courier New" w:cs="Courier New" w:hint="default"/>
      </w:rPr>
    </w:lvl>
    <w:lvl w:ilvl="8" w:tplc="0426001B" w:tentative="1">
      <w:start w:val="1"/>
      <w:numFmt w:val="bullet"/>
      <w:lvlText w:val=""/>
      <w:lvlJc w:val="left"/>
      <w:pPr>
        <w:ind w:left="6480" w:hanging="360"/>
      </w:pPr>
      <w:rPr>
        <w:rFonts w:ascii="Wingdings" w:hAnsi="Wingdings" w:hint="default"/>
      </w:rPr>
    </w:lvl>
  </w:abstractNum>
  <w:abstractNum w:abstractNumId="11">
    <w:nsid w:val="09203F17"/>
    <w:multiLevelType w:val="hybridMultilevel"/>
    <w:tmpl w:val="3A1A5596"/>
    <w:lvl w:ilvl="0" w:tplc="ABB6E8F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092462F9"/>
    <w:multiLevelType w:val="hybridMultilevel"/>
    <w:tmpl w:val="986E2866"/>
    <w:lvl w:ilvl="0" w:tplc="751040FC">
      <w:start w:val="1"/>
      <w:numFmt w:val="decimal"/>
      <w:lvlText w:val="%1."/>
      <w:lvlJc w:val="left"/>
      <w:pPr>
        <w:ind w:left="720" w:hanging="360"/>
      </w:pPr>
      <w:rPr>
        <w:rFonts w:hint="default"/>
      </w:rPr>
    </w:lvl>
    <w:lvl w:ilvl="1" w:tplc="04260003">
      <w:start w:val="1"/>
      <w:numFmt w:val="lowerLetter"/>
      <w:lvlText w:val="%2."/>
      <w:lvlJc w:val="left"/>
      <w:pPr>
        <w:ind w:left="1440" w:hanging="360"/>
      </w:pPr>
    </w:lvl>
    <w:lvl w:ilvl="2" w:tplc="04260005" w:tentative="1">
      <w:start w:val="1"/>
      <w:numFmt w:val="lowerRoman"/>
      <w:lvlText w:val="%3."/>
      <w:lvlJc w:val="right"/>
      <w:pPr>
        <w:ind w:left="2160" w:hanging="180"/>
      </w:pPr>
    </w:lvl>
    <w:lvl w:ilvl="3" w:tplc="04260001" w:tentative="1">
      <w:start w:val="1"/>
      <w:numFmt w:val="decimal"/>
      <w:lvlText w:val="%4."/>
      <w:lvlJc w:val="left"/>
      <w:pPr>
        <w:ind w:left="2880" w:hanging="360"/>
      </w:pPr>
    </w:lvl>
    <w:lvl w:ilvl="4" w:tplc="04260003" w:tentative="1">
      <w:start w:val="1"/>
      <w:numFmt w:val="lowerLetter"/>
      <w:lvlText w:val="%5."/>
      <w:lvlJc w:val="left"/>
      <w:pPr>
        <w:ind w:left="3600" w:hanging="360"/>
      </w:pPr>
    </w:lvl>
    <w:lvl w:ilvl="5" w:tplc="04260005" w:tentative="1">
      <w:start w:val="1"/>
      <w:numFmt w:val="lowerRoman"/>
      <w:lvlText w:val="%6."/>
      <w:lvlJc w:val="right"/>
      <w:pPr>
        <w:ind w:left="4320" w:hanging="180"/>
      </w:pPr>
    </w:lvl>
    <w:lvl w:ilvl="6" w:tplc="04260001" w:tentative="1">
      <w:start w:val="1"/>
      <w:numFmt w:val="decimal"/>
      <w:lvlText w:val="%7."/>
      <w:lvlJc w:val="left"/>
      <w:pPr>
        <w:ind w:left="5040" w:hanging="360"/>
      </w:pPr>
    </w:lvl>
    <w:lvl w:ilvl="7" w:tplc="04260003" w:tentative="1">
      <w:start w:val="1"/>
      <w:numFmt w:val="lowerLetter"/>
      <w:lvlText w:val="%8."/>
      <w:lvlJc w:val="left"/>
      <w:pPr>
        <w:ind w:left="5760" w:hanging="360"/>
      </w:pPr>
    </w:lvl>
    <w:lvl w:ilvl="8" w:tplc="04260005" w:tentative="1">
      <w:start w:val="1"/>
      <w:numFmt w:val="lowerRoman"/>
      <w:lvlText w:val="%9."/>
      <w:lvlJc w:val="right"/>
      <w:pPr>
        <w:ind w:left="6480" w:hanging="180"/>
      </w:pPr>
    </w:lvl>
  </w:abstractNum>
  <w:abstractNum w:abstractNumId="13">
    <w:nsid w:val="09C17242"/>
    <w:multiLevelType w:val="hybridMultilevel"/>
    <w:tmpl w:val="47CAA13C"/>
    <w:lvl w:ilvl="0" w:tplc="04260001">
      <w:numFmt w:val="bullet"/>
      <w:lvlText w:val="-"/>
      <w:lvlJc w:val="left"/>
      <w:pPr>
        <w:ind w:left="720" w:hanging="360"/>
      </w:pPr>
      <w:rPr>
        <w:rFonts w:ascii="Times New Roman" w:eastAsia="Times New Roman" w:hAnsi="Times New Roman" w:cs="Times New Roman" w:hint="default"/>
        <w:sz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0A424372"/>
    <w:multiLevelType w:val="hybridMultilevel"/>
    <w:tmpl w:val="53B6CF02"/>
    <w:lvl w:ilvl="0" w:tplc="0426000F">
      <w:start w:val="1"/>
      <w:numFmt w:val="bullet"/>
      <w:lvlText w:val=""/>
      <w:lvlJc w:val="left"/>
      <w:pPr>
        <w:ind w:left="720" w:hanging="360"/>
      </w:pPr>
      <w:rPr>
        <w:rFonts w:ascii="Symbol" w:hAnsi="Symbol" w:hint="default"/>
      </w:rPr>
    </w:lvl>
    <w:lvl w:ilvl="1" w:tplc="04260019" w:tentative="1">
      <w:start w:val="1"/>
      <w:numFmt w:val="bullet"/>
      <w:lvlText w:val="o"/>
      <w:lvlJc w:val="left"/>
      <w:pPr>
        <w:ind w:left="1440" w:hanging="360"/>
      </w:pPr>
      <w:rPr>
        <w:rFonts w:ascii="Courier New" w:hAnsi="Courier New" w:cs="Courier New" w:hint="default"/>
      </w:rPr>
    </w:lvl>
    <w:lvl w:ilvl="2" w:tplc="0426001B" w:tentative="1">
      <w:start w:val="1"/>
      <w:numFmt w:val="bullet"/>
      <w:lvlText w:val=""/>
      <w:lvlJc w:val="left"/>
      <w:pPr>
        <w:ind w:left="2160" w:hanging="360"/>
      </w:pPr>
      <w:rPr>
        <w:rFonts w:ascii="Wingdings" w:hAnsi="Wingdings" w:hint="default"/>
      </w:rPr>
    </w:lvl>
    <w:lvl w:ilvl="3" w:tplc="0426000F" w:tentative="1">
      <w:start w:val="1"/>
      <w:numFmt w:val="bullet"/>
      <w:lvlText w:val=""/>
      <w:lvlJc w:val="left"/>
      <w:pPr>
        <w:ind w:left="2880" w:hanging="360"/>
      </w:pPr>
      <w:rPr>
        <w:rFonts w:ascii="Symbol" w:hAnsi="Symbol" w:hint="default"/>
      </w:rPr>
    </w:lvl>
    <w:lvl w:ilvl="4" w:tplc="04260019" w:tentative="1">
      <w:start w:val="1"/>
      <w:numFmt w:val="bullet"/>
      <w:lvlText w:val="o"/>
      <w:lvlJc w:val="left"/>
      <w:pPr>
        <w:ind w:left="3600" w:hanging="360"/>
      </w:pPr>
      <w:rPr>
        <w:rFonts w:ascii="Courier New" w:hAnsi="Courier New" w:cs="Courier New" w:hint="default"/>
      </w:rPr>
    </w:lvl>
    <w:lvl w:ilvl="5" w:tplc="0426001B" w:tentative="1">
      <w:start w:val="1"/>
      <w:numFmt w:val="bullet"/>
      <w:lvlText w:val=""/>
      <w:lvlJc w:val="left"/>
      <w:pPr>
        <w:ind w:left="4320" w:hanging="360"/>
      </w:pPr>
      <w:rPr>
        <w:rFonts w:ascii="Wingdings" w:hAnsi="Wingdings" w:hint="default"/>
      </w:rPr>
    </w:lvl>
    <w:lvl w:ilvl="6" w:tplc="0426000F" w:tentative="1">
      <w:start w:val="1"/>
      <w:numFmt w:val="bullet"/>
      <w:lvlText w:val=""/>
      <w:lvlJc w:val="left"/>
      <w:pPr>
        <w:ind w:left="5040" w:hanging="360"/>
      </w:pPr>
      <w:rPr>
        <w:rFonts w:ascii="Symbol" w:hAnsi="Symbol" w:hint="default"/>
      </w:rPr>
    </w:lvl>
    <w:lvl w:ilvl="7" w:tplc="04260019" w:tentative="1">
      <w:start w:val="1"/>
      <w:numFmt w:val="bullet"/>
      <w:lvlText w:val="o"/>
      <w:lvlJc w:val="left"/>
      <w:pPr>
        <w:ind w:left="5760" w:hanging="360"/>
      </w:pPr>
      <w:rPr>
        <w:rFonts w:ascii="Courier New" w:hAnsi="Courier New" w:cs="Courier New" w:hint="default"/>
      </w:rPr>
    </w:lvl>
    <w:lvl w:ilvl="8" w:tplc="0426001B" w:tentative="1">
      <w:start w:val="1"/>
      <w:numFmt w:val="bullet"/>
      <w:lvlText w:val=""/>
      <w:lvlJc w:val="left"/>
      <w:pPr>
        <w:ind w:left="6480" w:hanging="360"/>
      </w:pPr>
      <w:rPr>
        <w:rFonts w:ascii="Wingdings" w:hAnsi="Wingdings" w:hint="default"/>
      </w:rPr>
    </w:lvl>
  </w:abstractNum>
  <w:abstractNum w:abstractNumId="15">
    <w:nsid w:val="0E213B51"/>
    <w:multiLevelType w:val="hybridMultilevel"/>
    <w:tmpl w:val="ADB69D58"/>
    <w:lvl w:ilvl="0" w:tplc="04260001">
      <w:numFmt w:val="bullet"/>
      <w:lvlText w:val="-"/>
      <w:lvlJc w:val="left"/>
      <w:pPr>
        <w:ind w:left="720" w:hanging="360"/>
      </w:pPr>
      <w:rPr>
        <w:rFonts w:ascii="Times New Roman" w:eastAsia="Times New Roman" w:hAnsi="Times New Roman" w:cs="Times New Roman" w:hint="default"/>
        <w:sz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0F6A0905"/>
    <w:multiLevelType w:val="hybridMultilevel"/>
    <w:tmpl w:val="766476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10617AA7"/>
    <w:multiLevelType w:val="hybridMultilevel"/>
    <w:tmpl w:val="571AFFC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10DB5F7A"/>
    <w:multiLevelType w:val="hybridMultilevel"/>
    <w:tmpl w:val="0FBC1E10"/>
    <w:lvl w:ilvl="0" w:tplc="751040FC">
      <w:start w:val="1"/>
      <w:numFmt w:val="decimal"/>
      <w:lvlText w:val="%1)"/>
      <w:lvlJc w:val="left"/>
      <w:pPr>
        <w:ind w:left="720" w:hanging="360"/>
      </w:pPr>
      <w:rPr>
        <w:rFonts w:hint="default"/>
      </w:rPr>
    </w:lvl>
    <w:lvl w:ilvl="1" w:tplc="04260003" w:tentative="1">
      <w:start w:val="1"/>
      <w:numFmt w:val="lowerLetter"/>
      <w:lvlText w:val="%2."/>
      <w:lvlJc w:val="left"/>
      <w:pPr>
        <w:ind w:left="1440" w:hanging="360"/>
      </w:pPr>
    </w:lvl>
    <w:lvl w:ilvl="2" w:tplc="04260005" w:tentative="1">
      <w:start w:val="1"/>
      <w:numFmt w:val="lowerRoman"/>
      <w:lvlText w:val="%3."/>
      <w:lvlJc w:val="right"/>
      <w:pPr>
        <w:ind w:left="2160" w:hanging="180"/>
      </w:pPr>
    </w:lvl>
    <w:lvl w:ilvl="3" w:tplc="04260001" w:tentative="1">
      <w:start w:val="1"/>
      <w:numFmt w:val="decimal"/>
      <w:lvlText w:val="%4."/>
      <w:lvlJc w:val="left"/>
      <w:pPr>
        <w:ind w:left="2880" w:hanging="360"/>
      </w:pPr>
    </w:lvl>
    <w:lvl w:ilvl="4" w:tplc="04260003" w:tentative="1">
      <w:start w:val="1"/>
      <w:numFmt w:val="lowerLetter"/>
      <w:lvlText w:val="%5."/>
      <w:lvlJc w:val="left"/>
      <w:pPr>
        <w:ind w:left="3600" w:hanging="360"/>
      </w:pPr>
    </w:lvl>
    <w:lvl w:ilvl="5" w:tplc="04260005" w:tentative="1">
      <w:start w:val="1"/>
      <w:numFmt w:val="lowerRoman"/>
      <w:lvlText w:val="%6."/>
      <w:lvlJc w:val="right"/>
      <w:pPr>
        <w:ind w:left="4320" w:hanging="180"/>
      </w:pPr>
    </w:lvl>
    <w:lvl w:ilvl="6" w:tplc="04260001" w:tentative="1">
      <w:start w:val="1"/>
      <w:numFmt w:val="decimal"/>
      <w:lvlText w:val="%7."/>
      <w:lvlJc w:val="left"/>
      <w:pPr>
        <w:ind w:left="5040" w:hanging="360"/>
      </w:pPr>
    </w:lvl>
    <w:lvl w:ilvl="7" w:tplc="04260003" w:tentative="1">
      <w:start w:val="1"/>
      <w:numFmt w:val="lowerLetter"/>
      <w:lvlText w:val="%8."/>
      <w:lvlJc w:val="left"/>
      <w:pPr>
        <w:ind w:left="5760" w:hanging="360"/>
      </w:pPr>
    </w:lvl>
    <w:lvl w:ilvl="8" w:tplc="04260005" w:tentative="1">
      <w:start w:val="1"/>
      <w:numFmt w:val="lowerRoman"/>
      <w:lvlText w:val="%9."/>
      <w:lvlJc w:val="right"/>
      <w:pPr>
        <w:ind w:left="6480" w:hanging="180"/>
      </w:pPr>
    </w:lvl>
  </w:abstractNum>
  <w:abstractNum w:abstractNumId="19">
    <w:nsid w:val="114B10B3"/>
    <w:multiLevelType w:val="hybridMultilevel"/>
    <w:tmpl w:val="8778AA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nsid w:val="115407AD"/>
    <w:multiLevelType w:val="hybridMultilevel"/>
    <w:tmpl w:val="7188D5E4"/>
    <w:lvl w:ilvl="0" w:tplc="04260011">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11AC1817"/>
    <w:multiLevelType w:val="hybridMultilevel"/>
    <w:tmpl w:val="E402A90C"/>
    <w:lvl w:ilvl="0" w:tplc="04260011">
      <w:start w:val="1"/>
      <w:numFmt w:val="bullet"/>
      <w:lvlText w:val=""/>
      <w:lvlJc w:val="left"/>
      <w:pPr>
        <w:ind w:left="720" w:hanging="360"/>
      </w:pPr>
      <w:rPr>
        <w:rFonts w:ascii="Symbol" w:hAnsi="Symbol" w:hint="default"/>
      </w:rPr>
    </w:lvl>
    <w:lvl w:ilvl="1" w:tplc="04260019" w:tentative="1">
      <w:start w:val="1"/>
      <w:numFmt w:val="bullet"/>
      <w:lvlText w:val="o"/>
      <w:lvlJc w:val="left"/>
      <w:pPr>
        <w:ind w:left="1440" w:hanging="360"/>
      </w:pPr>
      <w:rPr>
        <w:rFonts w:ascii="Courier New" w:hAnsi="Courier New" w:cs="Courier New" w:hint="default"/>
      </w:rPr>
    </w:lvl>
    <w:lvl w:ilvl="2" w:tplc="0426001B" w:tentative="1">
      <w:start w:val="1"/>
      <w:numFmt w:val="bullet"/>
      <w:lvlText w:val=""/>
      <w:lvlJc w:val="left"/>
      <w:pPr>
        <w:ind w:left="2160" w:hanging="360"/>
      </w:pPr>
      <w:rPr>
        <w:rFonts w:ascii="Wingdings" w:hAnsi="Wingdings" w:hint="default"/>
      </w:rPr>
    </w:lvl>
    <w:lvl w:ilvl="3" w:tplc="0426000F" w:tentative="1">
      <w:start w:val="1"/>
      <w:numFmt w:val="bullet"/>
      <w:lvlText w:val=""/>
      <w:lvlJc w:val="left"/>
      <w:pPr>
        <w:ind w:left="2880" w:hanging="360"/>
      </w:pPr>
      <w:rPr>
        <w:rFonts w:ascii="Symbol" w:hAnsi="Symbol" w:hint="default"/>
      </w:rPr>
    </w:lvl>
    <w:lvl w:ilvl="4" w:tplc="04260019" w:tentative="1">
      <w:start w:val="1"/>
      <w:numFmt w:val="bullet"/>
      <w:lvlText w:val="o"/>
      <w:lvlJc w:val="left"/>
      <w:pPr>
        <w:ind w:left="3600" w:hanging="360"/>
      </w:pPr>
      <w:rPr>
        <w:rFonts w:ascii="Courier New" w:hAnsi="Courier New" w:cs="Courier New" w:hint="default"/>
      </w:rPr>
    </w:lvl>
    <w:lvl w:ilvl="5" w:tplc="0426001B" w:tentative="1">
      <w:start w:val="1"/>
      <w:numFmt w:val="bullet"/>
      <w:lvlText w:val=""/>
      <w:lvlJc w:val="left"/>
      <w:pPr>
        <w:ind w:left="4320" w:hanging="360"/>
      </w:pPr>
      <w:rPr>
        <w:rFonts w:ascii="Wingdings" w:hAnsi="Wingdings" w:hint="default"/>
      </w:rPr>
    </w:lvl>
    <w:lvl w:ilvl="6" w:tplc="0426000F" w:tentative="1">
      <w:start w:val="1"/>
      <w:numFmt w:val="bullet"/>
      <w:lvlText w:val=""/>
      <w:lvlJc w:val="left"/>
      <w:pPr>
        <w:ind w:left="5040" w:hanging="360"/>
      </w:pPr>
      <w:rPr>
        <w:rFonts w:ascii="Symbol" w:hAnsi="Symbol" w:hint="default"/>
      </w:rPr>
    </w:lvl>
    <w:lvl w:ilvl="7" w:tplc="04260019" w:tentative="1">
      <w:start w:val="1"/>
      <w:numFmt w:val="bullet"/>
      <w:lvlText w:val="o"/>
      <w:lvlJc w:val="left"/>
      <w:pPr>
        <w:ind w:left="5760" w:hanging="360"/>
      </w:pPr>
      <w:rPr>
        <w:rFonts w:ascii="Courier New" w:hAnsi="Courier New" w:cs="Courier New" w:hint="default"/>
      </w:rPr>
    </w:lvl>
    <w:lvl w:ilvl="8" w:tplc="0426001B" w:tentative="1">
      <w:start w:val="1"/>
      <w:numFmt w:val="bullet"/>
      <w:lvlText w:val=""/>
      <w:lvlJc w:val="left"/>
      <w:pPr>
        <w:ind w:left="6480" w:hanging="360"/>
      </w:pPr>
      <w:rPr>
        <w:rFonts w:ascii="Wingdings" w:hAnsi="Wingdings" w:hint="default"/>
      </w:rPr>
    </w:lvl>
  </w:abstractNum>
  <w:abstractNum w:abstractNumId="22">
    <w:nsid w:val="13334BE4"/>
    <w:multiLevelType w:val="hybridMultilevel"/>
    <w:tmpl w:val="48A8CD88"/>
    <w:lvl w:ilvl="0" w:tplc="81AE8E38">
      <w:numFmt w:val="bullet"/>
      <w:lvlText w:val="-"/>
      <w:lvlJc w:val="left"/>
      <w:pPr>
        <w:ind w:left="720" w:hanging="360"/>
      </w:pPr>
      <w:rPr>
        <w:rFonts w:ascii="Times New Roman" w:eastAsia="Times New Roman" w:hAnsi="Times New Roman" w:cs="Times New Roman" w:hint="default"/>
        <w:sz w:val="28"/>
      </w:rPr>
    </w:lvl>
    <w:lvl w:ilvl="1" w:tplc="939C4262" w:tentative="1">
      <w:start w:val="1"/>
      <w:numFmt w:val="bullet"/>
      <w:lvlText w:val="o"/>
      <w:lvlJc w:val="left"/>
      <w:pPr>
        <w:ind w:left="1440" w:hanging="360"/>
      </w:pPr>
      <w:rPr>
        <w:rFonts w:ascii="Courier New" w:hAnsi="Courier New" w:cs="Courier New" w:hint="default"/>
      </w:rPr>
    </w:lvl>
    <w:lvl w:ilvl="2" w:tplc="23AA8504" w:tentative="1">
      <w:start w:val="1"/>
      <w:numFmt w:val="bullet"/>
      <w:lvlText w:val=""/>
      <w:lvlJc w:val="left"/>
      <w:pPr>
        <w:ind w:left="2160" w:hanging="360"/>
      </w:pPr>
      <w:rPr>
        <w:rFonts w:ascii="Wingdings" w:hAnsi="Wingdings" w:hint="default"/>
      </w:rPr>
    </w:lvl>
    <w:lvl w:ilvl="3" w:tplc="76F2AAAC" w:tentative="1">
      <w:start w:val="1"/>
      <w:numFmt w:val="bullet"/>
      <w:lvlText w:val=""/>
      <w:lvlJc w:val="left"/>
      <w:pPr>
        <w:ind w:left="2880" w:hanging="360"/>
      </w:pPr>
      <w:rPr>
        <w:rFonts w:ascii="Symbol" w:hAnsi="Symbol" w:hint="default"/>
      </w:rPr>
    </w:lvl>
    <w:lvl w:ilvl="4" w:tplc="10D8765C" w:tentative="1">
      <w:start w:val="1"/>
      <w:numFmt w:val="bullet"/>
      <w:lvlText w:val="o"/>
      <w:lvlJc w:val="left"/>
      <w:pPr>
        <w:ind w:left="3600" w:hanging="360"/>
      </w:pPr>
      <w:rPr>
        <w:rFonts w:ascii="Courier New" w:hAnsi="Courier New" w:cs="Courier New" w:hint="default"/>
      </w:rPr>
    </w:lvl>
    <w:lvl w:ilvl="5" w:tplc="43C8A9E6" w:tentative="1">
      <w:start w:val="1"/>
      <w:numFmt w:val="bullet"/>
      <w:lvlText w:val=""/>
      <w:lvlJc w:val="left"/>
      <w:pPr>
        <w:ind w:left="4320" w:hanging="360"/>
      </w:pPr>
      <w:rPr>
        <w:rFonts w:ascii="Wingdings" w:hAnsi="Wingdings" w:hint="default"/>
      </w:rPr>
    </w:lvl>
    <w:lvl w:ilvl="6" w:tplc="68BC8826" w:tentative="1">
      <w:start w:val="1"/>
      <w:numFmt w:val="bullet"/>
      <w:lvlText w:val=""/>
      <w:lvlJc w:val="left"/>
      <w:pPr>
        <w:ind w:left="5040" w:hanging="360"/>
      </w:pPr>
      <w:rPr>
        <w:rFonts w:ascii="Symbol" w:hAnsi="Symbol" w:hint="default"/>
      </w:rPr>
    </w:lvl>
    <w:lvl w:ilvl="7" w:tplc="A53EE4A4" w:tentative="1">
      <w:start w:val="1"/>
      <w:numFmt w:val="bullet"/>
      <w:lvlText w:val="o"/>
      <w:lvlJc w:val="left"/>
      <w:pPr>
        <w:ind w:left="5760" w:hanging="360"/>
      </w:pPr>
      <w:rPr>
        <w:rFonts w:ascii="Courier New" w:hAnsi="Courier New" w:cs="Courier New" w:hint="default"/>
      </w:rPr>
    </w:lvl>
    <w:lvl w:ilvl="8" w:tplc="05864F78" w:tentative="1">
      <w:start w:val="1"/>
      <w:numFmt w:val="bullet"/>
      <w:lvlText w:val=""/>
      <w:lvlJc w:val="left"/>
      <w:pPr>
        <w:ind w:left="6480" w:hanging="360"/>
      </w:pPr>
      <w:rPr>
        <w:rFonts w:ascii="Wingdings" w:hAnsi="Wingdings" w:hint="default"/>
      </w:rPr>
    </w:lvl>
  </w:abstractNum>
  <w:abstractNum w:abstractNumId="23">
    <w:nsid w:val="14217586"/>
    <w:multiLevelType w:val="hybridMultilevel"/>
    <w:tmpl w:val="C19AAC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1486006D"/>
    <w:multiLevelType w:val="hybridMultilevel"/>
    <w:tmpl w:val="F2CAEA8A"/>
    <w:lvl w:ilvl="0" w:tplc="751040FC">
      <w:numFmt w:val="bullet"/>
      <w:lvlText w:val="-"/>
      <w:lvlJc w:val="left"/>
      <w:pPr>
        <w:ind w:left="720" w:hanging="360"/>
      </w:pPr>
      <w:rPr>
        <w:rFonts w:ascii="Times New Roman" w:eastAsia="Times New Roman" w:hAnsi="Times New Roman" w:cs="Times New Roman" w:hint="default"/>
        <w:sz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14B33EE9"/>
    <w:multiLevelType w:val="hybridMultilevel"/>
    <w:tmpl w:val="7168FAE2"/>
    <w:lvl w:ilvl="0" w:tplc="04260001">
      <w:numFmt w:val="bullet"/>
      <w:lvlText w:val="-"/>
      <w:lvlJc w:val="left"/>
      <w:pPr>
        <w:ind w:left="720" w:hanging="360"/>
      </w:pPr>
      <w:rPr>
        <w:rFonts w:ascii="Times New Roman" w:eastAsia="Times New Roman" w:hAnsi="Times New Roman" w:cs="Times New Roman" w:hint="default"/>
        <w:sz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152B38F8"/>
    <w:multiLevelType w:val="hybridMultilevel"/>
    <w:tmpl w:val="A89A8FA2"/>
    <w:lvl w:ilvl="0" w:tplc="751040FC">
      <w:numFmt w:val="bullet"/>
      <w:lvlText w:val="-"/>
      <w:lvlJc w:val="left"/>
      <w:pPr>
        <w:ind w:left="720" w:hanging="360"/>
      </w:pPr>
      <w:rPr>
        <w:rFonts w:ascii="Times New Roman" w:eastAsia="Times New Roman" w:hAnsi="Times New Roman" w:cs="Times New Roman" w:hint="default"/>
        <w:sz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16183EB7"/>
    <w:multiLevelType w:val="hybridMultilevel"/>
    <w:tmpl w:val="797859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162826E7"/>
    <w:multiLevelType w:val="hybridMultilevel"/>
    <w:tmpl w:val="7188D5E4"/>
    <w:lvl w:ilvl="0" w:tplc="04260011">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164A53F0"/>
    <w:multiLevelType w:val="hybridMultilevel"/>
    <w:tmpl w:val="EE5E280C"/>
    <w:lvl w:ilvl="0" w:tplc="751040FC">
      <w:numFmt w:val="bullet"/>
      <w:lvlText w:val="-"/>
      <w:lvlJc w:val="left"/>
      <w:pPr>
        <w:ind w:left="720" w:hanging="360"/>
      </w:pPr>
      <w:rPr>
        <w:rFonts w:ascii="Times New Roman" w:eastAsia="Times New Roman" w:hAnsi="Times New Roman" w:cs="Times New Roman" w:hint="default"/>
        <w:sz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nsid w:val="169B5F87"/>
    <w:multiLevelType w:val="hybridMultilevel"/>
    <w:tmpl w:val="13643C02"/>
    <w:lvl w:ilvl="0" w:tplc="751040F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17457552"/>
    <w:multiLevelType w:val="hybridMultilevel"/>
    <w:tmpl w:val="25929CFE"/>
    <w:lvl w:ilvl="0" w:tplc="751040F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nsid w:val="17B22EBA"/>
    <w:multiLevelType w:val="hybridMultilevel"/>
    <w:tmpl w:val="AA122A4A"/>
    <w:lvl w:ilvl="0" w:tplc="ABB6E8FE">
      <w:numFmt w:val="bullet"/>
      <w:lvlText w:val="-"/>
      <w:lvlJc w:val="left"/>
      <w:pPr>
        <w:ind w:left="720" w:hanging="360"/>
      </w:pPr>
      <w:rPr>
        <w:rFonts w:ascii="Times New Roman" w:eastAsia="Times New Roman" w:hAnsi="Times New Roman" w:cs="Times New Roman" w:hint="default"/>
        <w:sz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nsid w:val="17DA3FC0"/>
    <w:multiLevelType w:val="multilevel"/>
    <w:tmpl w:val="38F0C88C"/>
    <w:lvl w:ilvl="0">
      <w:start w:val="1"/>
      <w:numFmt w:val="decimal"/>
      <w:lvlText w:val="%1."/>
      <w:lvlJc w:val="left"/>
      <w:pPr>
        <w:ind w:left="720" w:hanging="360"/>
      </w:p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187F6DAE"/>
    <w:multiLevelType w:val="hybridMultilevel"/>
    <w:tmpl w:val="E3E20E10"/>
    <w:lvl w:ilvl="0" w:tplc="ABB6E8F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nsid w:val="18937FD1"/>
    <w:multiLevelType w:val="hybridMultilevel"/>
    <w:tmpl w:val="B3345704"/>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nsid w:val="18D437AB"/>
    <w:multiLevelType w:val="hybridMultilevel"/>
    <w:tmpl w:val="A0F8E9D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nsid w:val="1A527BFB"/>
    <w:multiLevelType w:val="hybridMultilevel"/>
    <w:tmpl w:val="2F2C3B26"/>
    <w:lvl w:ilvl="0" w:tplc="751040FC">
      <w:numFmt w:val="bullet"/>
      <w:lvlText w:val="-"/>
      <w:lvlJc w:val="left"/>
      <w:pPr>
        <w:ind w:left="720" w:hanging="360"/>
      </w:pPr>
      <w:rPr>
        <w:rFonts w:ascii="Times New Roman" w:eastAsia="Times New Roman" w:hAnsi="Times New Roman" w:cs="Times New Roman" w:hint="default"/>
        <w:sz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nsid w:val="1BE557C3"/>
    <w:multiLevelType w:val="hybridMultilevel"/>
    <w:tmpl w:val="5372D43E"/>
    <w:lvl w:ilvl="0" w:tplc="0426000F">
      <w:numFmt w:val="bullet"/>
      <w:lvlText w:val="-"/>
      <w:lvlJc w:val="left"/>
      <w:pPr>
        <w:ind w:left="720" w:hanging="360"/>
      </w:pPr>
      <w:rPr>
        <w:rFonts w:ascii="Times New Roman" w:eastAsia="Times New Roman" w:hAnsi="Times New Roman" w:cs="Times New Roman" w:hint="default"/>
        <w:sz w:val="28"/>
      </w:rPr>
    </w:lvl>
    <w:lvl w:ilvl="1" w:tplc="04260019" w:tentative="1">
      <w:start w:val="1"/>
      <w:numFmt w:val="bullet"/>
      <w:lvlText w:val="o"/>
      <w:lvlJc w:val="left"/>
      <w:pPr>
        <w:ind w:left="1440" w:hanging="360"/>
      </w:pPr>
      <w:rPr>
        <w:rFonts w:ascii="Courier New" w:hAnsi="Courier New" w:cs="Courier New" w:hint="default"/>
      </w:rPr>
    </w:lvl>
    <w:lvl w:ilvl="2" w:tplc="0426001B" w:tentative="1">
      <w:start w:val="1"/>
      <w:numFmt w:val="bullet"/>
      <w:lvlText w:val=""/>
      <w:lvlJc w:val="left"/>
      <w:pPr>
        <w:ind w:left="2160" w:hanging="360"/>
      </w:pPr>
      <w:rPr>
        <w:rFonts w:ascii="Wingdings" w:hAnsi="Wingdings" w:hint="default"/>
      </w:rPr>
    </w:lvl>
    <w:lvl w:ilvl="3" w:tplc="0426000F" w:tentative="1">
      <w:start w:val="1"/>
      <w:numFmt w:val="bullet"/>
      <w:lvlText w:val=""/>
      <w:lvlJc w:val="left"/>
      <w:pPr>
        <w:ind w:left="2880" w:hanging="360"/>
      </w:pPr>
      <w:rPr>
        <w:rFonts w:ascii="Symbol" w:hAnsi="Symbol" w:hint="default"/>
      </w:rPr>
    </w:lvl>
    <w:lvl w:ilvl="4" w:tplc="04260019" w:tentative="1">
      <w:start w:val="1"/>
      <w:numFmt w:val="bullet"/>
      <w:lvlText w:val="o"/>
      <w:lvlJc w:val="left"/>
      <w:pPr>
        <w:ind w:left="3600" w:hanging="360"/>
      </w:pPr>
      <w:rPr>
        <w:rFonts w:ascii="Courier New" w:hAnsi="Courier New" w:cs="Courier New" w:hint="default"/>
      </w:rPr>
    </w:lvl>
    <w:lvl w:ilvl="5" w:tplc="0426001B" w:tentative="1">
      <w:start w:val="1"/>
      <w:numFmt w:val="bullet"/>
      <w:lvlText w:val=""/>
      <w:lvlJc w:val="left"/>
      <w:pPr>
        <w:ind w:left="4320" w:hanging="360"/>
      </w:pPr>
      <w:rPr>
        <w:rFonts w:ascii="Wingdings" w:hAnsi="Wingdings" w:hint="default"/>
      </w:rPr>
    </w:lvl>
    <w:lvl w:ilvl="6" w:tplc="0426000F" w:tentative="1">
      <w:start w:val="1"/>
      <w:numFmt w:val="bullet"/>
      <w:lvlText w:val=""/>
      <w:lvlJc w:val="left"/>
      <w:pPr>
        <w:ind w:left="5040" w:hanging="360"/>
      </w:pPr>
      <w:rPr>
        <w:rFonts w:ascii="Symbol" w:hAnsi="Symbol" w:hint="default"/>
      </w:rPr>
    </w:lvl>
    <w:lvl w:ilvl="7" w:tplc="04260019" w:tentative="1">
      <w:start w:val="1"/>
      <w:numFmt w:val="bullet"/>
      <w:lvlText w:val="o"/>
      <w:lvlJc w:val="left"/>
      <w:pPr>
        <w:ind w:left="5760" w:hanging="360"/>
      </w:pPr>
      <w:rPr>
        <w:rFonts w:ascii="Courier New" w:hAnsi="Courier New" w:cs="Courier New" w:hint="default"/>
      </w:rPr>
    </w:lvl>
    <w:lvl w:ilvl="8" w:tplc="0426001B" w:tentative="1">
      <w:start w:val="1"/>
      <w:numFmt w:val="bullet"/>
      <w:lvlText w:val=""/>
      <w:lvlJc w:val="left"/>
      <w:pPr>
        <w:ind w:left="6480" w:hanging="360"/>
      </w:pPr>
      <w:rPr>
        <w:rFonts w:ascii="Wingdings" w:hAnsi="Wingdings" w:hint="default"/>
      </w:rPr>
    </w:lvl>
  </w:abstractNum>
  <w:abstractNum w:abstractNumId="39">
    <w:nsid w:val="1C022DC6"/>
    <w:multiLevelType w:val="multilevel"/>
    <w:tmpl w:val="61289764"/>
    <w:lvl w:ilvl="0">
      <w:start w:val="4"/>
      <w:numFmt w:val="decimal"/>
      <w:lvlText w:val="%1."/>
      <w:lvlJc w:val="left"/>
      <w:pPr>
        <w:ind w:left="540" w:hanging="540"/>
      </w:pPr>
      <w:rPr>
        <w:rFonts w:hint="default"/>
      </w:rPr>
    </w:lvl>
    <w:lvl w:ilvl="1">
      <w:start w:val="1"/>
      <w:numFmt w:val="decimal"/>
      <w:lvlText w:val="%1.%2."/>
      <w:lvlJc w:val="left"/>
      <w:pPr>
        <w:ind w:left="682" w:hanging="540"/>
      </w:pPr>
      <w:rPr>
        <w:rFonts w:hint="default"/>
        <w:b/>
      </w:rPr>
    </w:lvl>
    <w:lvl w:ilvl="2">
      <w:start w:val="1"/>
      <w:numFmt w:val="decimal"/>
      <w:lvlText w:val="%1.%2.%3."/>
      <w:lvlJc w:val="left"/>
      <w:pPr>
        <w:ind w:left="1500" w:hanging="720"/>
      </w:pPr>
      <w:rPr>
        <w:rFonts w:hint="default"/>
      </w:rPr>
    </w:lvl>
    <w:lvl w:ilvl="3">
      <w:start w:val="1"/>
      <w:numFmt w:val="bullet"/>
      <w:lvlText w:val=""/>
      <w:lvlJc w:val="left"/>
      <w:pPr>
        <w:ind w:left="1890" w:hanging="720"/>
      </w:pPr>
      <w:rPr>
        <w:rFonts w:ascii="Symbol" w:hAnsi="Symbol"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40">
    <w:nsid w:val="1C2C69D2"/>
    <w:multiLevelType w:val="hybridMultilevel"/>
    <w:tmpl w:val="BBB46786"/>
    <w:lvl w:ilvl="0" w:tplc="751040F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nsid w:val="1D1312EE"/>
    <w:multiLevelType w:val="hybridMultilevel"/>
    <w:tmpl w:val="38A0B68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nsid w:val="1D8B1A6B"/>
    <w:multiLevelType w:val="hybridMultilevel"/>
    <w:tmpl w:val="6798C190"/>
    <w:lvl w:ilvl="0" w:tplc="A2BC9F5E">
      <w:start w:val="1"/>
      <w:numFmt w:val="decimal"/>
      <w:lvlText w:val="%1."/>
      <w:lvlJc w:val="left"/>
      <w:pPr>
        <w:ind w:left="720" w:hanging="360"/>
      </w:pPr>
    </w:lvl>
    <w:lvl w:ilvl="1" w:tplc="7B469454">
      <w:start w:val="1"/>
      <w:numFmt w:val="lowerLetter"/>
      <w:lvlText w:val="%2."/>
      <w:lvlJc w:val="left"/>
      <w:pPr>
        <w:ind w:left="1440" w:hanging="360"/>
      </w:pPr>
    </w:lvl>
    <w:lvl w:ilvl="2" w:tplc="C2E4304A" w:tentative="1">
      <w:start w:val="1"/>
      <w:numFmt w:val="lowerRoman"/>
      <w:lvlText w:val="%3."/>
      <w:lvlJc w:val="right"/>
      <w:pPr>
        <w:ind w:left="2160" w:hanging="180"/>
      </w:pPr>
    </w:lvl>
    <w:lvl w:ilvl="3" w:tplc="16307934" w:tentative="1">
      <w:start w:val="1"/>
      <w:numFmt w:val="decimal"/>
      <w:lvlText w:val="%4."/>
      <w:lvlJc w:val="left"/>
      <w:pPr>
        <w:ind w:left="2880" w:hanging="360"/>
      </w:pPr>
    </w:lvl>
    <w:lvl w:ilvl="4" w:tplc="2FFC3AEA" w:tentative="1">
      <w:start w:val="1"/>
      <w:numFmt w:val="lowerLetter"/>
      <w:lvlText w:val="%5."/>
      <w:lvlJc w:val="left"/>
      <w:pPr>
        <w:ind w:left="3600" w:hanging="360"/>
      </w:pPr>
    </w:lvl>
    <w:lvl w:ilvl="5" w:tplc="6CF6AB4A" w:tentative="1">
      <w:start w:val="1"/>
      <w:numFmt w:val="lowerRoman"/>
      <w:lvlText w:val="%6."/>
      <w:lvlJc w:val="right"/>
      <w:pPr>
        <w:ind w:left="4320" w:hanging="180"/>
      </w:pPr>
    </w:lvl>
    <w:lvl w:ilvl="6" w:tplc="CF30DE4A" w:tentative="1">
      <w:start w:val="1"/>
      <w:numFmt w:val="decimal"/>
      <w:lvlText w:val="%7."/>
      <w:lvlJc w:val="left"/>
      <w:pPr>
        <w:ind w:left="5040" w:hanging="360"/>
      </w:pPr>
    </w:lvl>
    <w:lvl w:ilvl="7" w:tplc="7194AEE6" w:tentative="1">
      <w:start w:val="1"/>
      <w:numFmt w:val="lowerLetter"/>
      <w:lvlText w:val="%8."/>
      <w:lvlJc w:val="left"/>
      <w:pPr>
        <w:ind w:left="5760" w:hanging="360"/>
      </w:pPr>
    </w:lvl>
    <w:lvl w:ilvl="8" w:tplc="3EEAFF84" w:tentative="1">
      <w:start w:val="1"/>
      <w:numFmt w:val="lowerRoman"/>
      <w:lvlText w:val="%9."/>
      <w:lvlJc w:val="right"/>
      <w:pPr>
        <w:ind w:left="6480" w:hanging="180"/>
      </w:pPr>
    </w:lvl>
  </w:abstractNum>
  <w:abstractNum w:abstractNumId="43">
    <w:nsid w:val="1E39281D"/>
    <w:multiLevelType w:val="hybridMultilevel"/>
    <w:tmpl w:val="208C18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nsid w:val="1E711ABD"/>
    <w:multiLevelType w:val="hybridMultilevel"/>
    <w:tmpl w:val="DD52383A"/>
    <w:lvl w:ilvl="0" w:tplc="0426000F">
      <w:start w:val="1"/>
      <w:numFmt w:val="bullet"/>
      <w:lvlText w:val=""/>
      <w:lvlJc w:val="left"/>
      <w:pPr>
        <w:ind w:left="720" w:hanging="360"/>
      </w:pPr>
      <w:rPr>
        <w:rFonts w:ascii="Symbol" w:hAnsi="Symbol" w:hint="default"/>
      </w:rPr>
    </w:lvl>
    <w:lvl w:ilvl="1" w:tplc="04260019" w:tentative="1">
      <w:start w:val="1"/>
      <w:numFmt w:val="bullet"/>
      <w:lvlText w:val="o"/>
      <w:lvlJc w:val="left"/>
      <w:pPr>
        <w:ind w:left="1440" w:hanging="360"/>
      </w:pPr>
      <w:rPr>
        <w:rFonts w:ascii="Courier New" w:hAnsi="Courier New" w:cs="Courier New" w:hint="default"/>
      </w:rPr>
    </w:lvl>
    <w:lvl w:ilvl="2" w:tplc="0426001B" w:tentative="1">
      <w:start w:val="1"/>
      <w:numFmt w:val="bullet"/>
      <w:lvlText w:val=""/>
      <w:lvlJc w:val="left"/>
      <w:pPr>
        <w:ind w:left="2160" w:hanging="360"/>
      </w:pPr>
      <w:rPr>
        <w:rFonts w:ascii="Wingdings" w:hAnsi="Wingdings" w:hint="default"/>
      </w:rPr>
    </w:lvl>
    <w:lvl w:ilvl="3" w:tplc="0426000F" w:tentative="1">
      <w:start w:val="1"/>
      <w:numFmt w:val="bullet"/>
      <w:lvlText w:val=""/>
      <w:lvlJc w:val="left"/>
      <w:pPr>
        <w:ind w:left="2880" w:hanging="360"/>
      </w:pPr>
      <w:rPr>
        <w:rFonts w:ascii="Symbol" w:hAnsi="Symbol" w:hint="default"/>
      </w:rPr>
    </w:lvl>
    <w:lvl w:ilvl="4" w:tplc="04260019" w:tentative="1">
      <w:start w:val="1"/>
      <w:numFmt w:val="bullet"/>
      <w:lvlText w:val="o"/>
      <w:lvlJc w:val="left"/>
      <w:pPr>
        <w:ind w:left="3600" w:hanging="360"/>
      </w:pPr>
      <w:rPr>
        <w:rFonts w:ascii="Courier New" w:hAnsi="Courier New" w:cs="Courier New" w:hint="default"/>
      </w:rPr>
    </w:lvl>
    <w:lvl w:ilvl="5" w:tplc="0426001B" w:tentative="1">
      <w:start w:val="1"/>
      <w:numFmt w:val="bullet"/>
      <w:lvlText w:val=""/>
      <w:lvlJc w:val="left"/>
      <w:pPr>
        <w:ind w:left="4320" w:hanging="360"/>
      </w:pPr>
      <w:rPr>
        <w:rFonts w:ascii="Wingdings" w:hAnsi="Wingdings" w:hint="default"/>
      </w:rPr>
    </w:lvl>
    <w:lvl w:ilvl="6" w:tplc="0426000F" w:tentative="1">
      <w:start w:val="1"/>
      <w:numFmt w:val="bullet"/>
      <w:lvlText w:val=""/>
      <w:lvlJc w:val="left"/>
      <w:pPr>
        <w:ind w:left="5040" w:hanging="360"/>
      </w:pPr>
      <w:rPr>
        <w:rFonts w:ascii="Symbol" w:hAnsi="Symbol" w:hint="default"/>
      </w:rPr>
    </w:lvl>
    <w:lvl w:ilvl="7" w:tplc="04260019" w:tentative="1">
      <w:start w:val="1"/>
      <w:numFmt w:val="bullet"/>
      <w:lvlText w:val="o"/>
      <w:lvlJc w:val="left"/>
      <w:pPr>
        <w:ind w:left="5760" w:hanging="360"/>
      </w:pPr>
      <w:rPr>
        <w:rFonts w:ascii="Courier New" w:hAnsi="Courier New" w:cs="Courier New" w:hint="default"/>
      </w:rPr>
    </w:lvl>
    <w:lvl w:ilvl="8" w:tplc="0426001B" w:tentative="1">
      <w:start w:val="1"/>
      <w:numFmt w:val="bullet"/>
      <w:lvlText w:val=""/>
      <w:lvlJc w:val="left"/>
      <w:pPr>
        <w:ind w:left="6480" w:hanging="360"/>
      </w:pPr>
      <w:rPr>
        <w:rFonts w:ascii="Wingdings" w:hAnsi="Wingdings" w:hint="default"/>
      </w:rPr>
    </w:lvl>
  </w:abstractNum>
  <w:abstractNum w:abstractNumId="45">
    <w:nsid w:val="1F12238A"/>
    <w:multiLevelType w:val="hybridMultilevel"/>
    <w:tmpl w:val="56940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F510EA8"/>
    <w:multiLevelType w:val="hybridMultilevel"/>
    <w:tmpl w:val="69BA992C"/>
    <w:lvl w:ilvl="0" w:tplc="AE744A28">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nsid w:val="20C97387"/>
    <w:multiLevelType w:val="hybridMultilevel"/>
    <w:tmpl w:val="A30EF4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nsid w:val="20CA1AD5"/>
    <w:multiLevelType w:val="multilevel"/>
    <w:tmpl w:val="151671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211A0E6A"/>
    <w:multiLevelType w:val="hybridMultilevel"/>
    <w:tmpl w:val="72048796"/>
    <w:lvl w:ilvl="0" w:tplc="ABB6E8F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nsid w:val="215A4292"/>
    <w:multiLevelType w:val="hybridMultilevel"/>
    <w:tmpl w:val="73D428FC"/>
    <w:lvl w:ilvl="0" w:tplc="41884898">
      <w:start w:val="1"/>
      <w:numFmt w:val="decimal"/>
      <w:lvlText w:val="%1)"/>
      <w:lvlJc w:val="left"/>
      <w:pPr>
        <w:ind w:left="720" w:hanging="360"/>
      </w:pPr>
      <w:rPr>
        <w:rFonts w:hint="default"/>
        <w:sz w:val="22"/>
      </w:rPr>
    </w:lvl>
    <w:lvl w:ilvl="1" w:tplc="5B1A6D36" w:tentative="1">
      <w:start w:val="1"/>
      <w:numFmt w:val="lowerLetter"/>
      <w:lvlText w:val="%2."/>
      <w:lvlJc w:val="left"/>
      <w:pPr>
        <w:ind w:left="1440" w:hanging="360"/>
      </w:pPr>
    </w:lvl>
    <w:lvl w:ilvl="2" w:tplc="32649564" w:tentative="1">
      <w:start w:val="1"/>
      <w:numFmt w:val="lowerRoman"/>
      <w:lvlText w:val="%3."/>
      <w:lvlJc w:val="right"/>
      <w:pPr>
        <w:ind w:left="2160" w:hanging="180"/>
      </w:pPr>
    </w:lvl>
    <w:lvl w:ilvl="3" w:tplc="8A58B998" w:tentative="1">
      <w:start w:val="1"/>
      <w:numFmt w:val="decimal"/>
      <w:lvlText w:val="%4."/>
      <w:lvlJc w:val="left"/>
      <w:pPr>
        <w:ind w:left="2880" w:hanging="360"/>
      </w:pPr>
    </w:lvl>
    <w:lvl w:ilvl="4" w:tplc="AD448D80" w:tentative="1">
      <w:start w:val="1"/>
      <w:numFmt w:val="lowerLetter"/>
      <w:lvlText w:val="%5."/>
      <w:lvlJc w:val="left"/>
      <w:pPr>
        <w:ind w:left="3600" w:hanging="360"/>
      </w:pPr>
    </w:lvl>
    <w:lvl w:ilvl="5" w:tplc="D744E4EE" w:tentative="1">
      <w:start w:val="1"/>
      <w:numFmt w:val="lowerRoman"/>
      <w:lvlText w:val="%6."/>
      <w:lvlJc w:val="right"/>
      <w:pPr>
        <w:ind w:left="4320" w:hanging="180"/>
      </w:pPr>
    </w:lvl>
    <w:lvl w:ilvl="6" w:tplc="22C41240" w:tentative="1">
      <w:start w:val="1"/>
      <w:numFmt w:val="decimal"/>
      <w:lvlText w:val="%7."/>
      <w:lvlJc w:val="left"/>
      <w:pPr>
        <w:ind w:left="5040" w:hanging="360"/>
      </w:pPr>
    </w:lvl>
    <w:lvl w:ilvl="7" w:tplc="65B4135A" w:tentative="1">
      <w:start w:val="1"/>
      <w:numFmt w:val="lowerLetter"/>
      <w:lvlText w:val="%8."/>
      <w:lvlJc w:val="left"/>
      <w:pPr>
        <w:ind w:left="5760" w:hanging="360"/>
      </w:pPr>
    </w:lvl>
    <w:lvl w:ilvl="8" w:tplc="A864B1B8" w:tentative="1">
      <w:start w:val="1"/>
      <w:numFmt w:val="lowerRoman"/>
      <w:lvlText w:val="%9."/>
      <w:lvlJc w:val="right"/>
      <w:pPr>
        <w:ind w:left="6480" w:hanging="180"/>
      </w:pPr>
    </w:lvl>
  </w:abstractNum>
  <w:abstractNum w:abstractNumId="51">
    <w:nsid w:val="21712C3E"/>
    <w:multiLevelType w:val="hybridMultilevel"/>
    <w:tmpl w:val="F98E443A"/>
    <w:lvl w:ilvl="0" w:tplc="ABB6E8F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nsid w:val="21A15C23"/>
    <w:multiLevelType w:val="hybridMultilevel"/>
    <w:tmpl w:val="011AC32A"/>
    <w:lvl w:ilvl="0" w:tplc="569CF818">
      <w:start w:val="1"/>
      <w:numFmt w:val="bullet"/>
      <w:lvlText w:val=""/>
      <w:lvlJc w:val="left"/>
      <w:pPr>
        <w:ind w:left="720" w:hanging="360"/>
      </w:pPr>
      <w:rPr>
        <w:rFonts w:ascii="Symbol" w:hAnsi="Symbol" w:hint="default"/>
      </w:rPr>
    </w:lvl>
    <w:lvl w:ilvl="1" w:tplc="04260019" w:tentative="1">
      <w:start w:val="1"/>
      <w:numFmt w:val="bullet"/>
      <w:lvlText w:val="o"/>
      <w:lvlJc w:val="left"/>
      <w:pPr>
        <w:ind w:left="1440" w:hanging="360"/>
      </w:pPr>
      <w:rPr>
        <w:rFonts w:ascii="Courier New" w:hAnsi="Courier New" w:cs="Courier New" w:hint="default"/>
      </w:rPr>
    </w:lvl>
    <w:lvl w:ilvl="2" w:tplc="0426001B" w:tentative="1">
      <w:start w:val="1"/>
      <w:numFmt w:val="bullet"/>
      <w:lvlText w:val=""/>
      <w:lvlJc w:val="left"/>
      <w:pPr>
        <w:ind w:left="2160" w:hanging="360"/>
      </w:pPr>
      <w:rPr>
        <w:rFonts w:ascii="Wingdings" w:hAnsi="Wingdings" w:hint="default"/>
      </w:rPr>
    </w:lvl>
    <w:lvl w:ilvl="3" w:tplc="0426000F" w:tentative="1">
      <w:start w:val="1"/>
      <w:numFmt w:val="bullet"/>
      <w:lvlText w:val=""/>
      <w:lvlJc w:val="left"/>
      <w:pPr>
        <w:ind w:left="2880" w:hanging="360"/>
      </w:pPr>
      <w:rPr>
        <w:rFonts w:ascii="Symbol" w:hAnsi="Symbol" w:hint="default"/>
      </w:rPr>
    </w:lvl>
    <w:lvl w:ilvl="4" w:tplc="04260019" w:tentative="1">
      <w:start w:val="1"/>
      <w:numFmt w:val="bullet"/>
      <w:lvlText w:val="o"/>
      <w:lvlJc w:val="left"/>
      <w:pPr>
        <w:ind w:left="3600" w:hanging="360"/>
      </w:pPr>
      <w:rPr>
        <w:rFonts w:ascii="Courier New" w:hAnsi="Courier New" w:cs="Courier New" w:hint="default"/>
      </w:rPr>
    </w:lvl>
    <w:lvl w:ilvl="5" w:tplc="0426001B" w:tentative="1">
      <w:start w:val="1"/>
      <w:numFmt w:val="bullet"/>
      <w:lvlText w:val=""/>
      <w:lvlJc w:val="left"/>
      <w:pPr>
        <w:ind w:left="4320" w:hanging="360"/>
      </w:pPr>
      <w:rPr>
        <w:rFonts w:ascii="Wingdings" w:hAnsi="Wingdings" w:hint="default"/>
      </w:rPr>
    </w:lvl>
    <w:lvl w:ilvl="6" w:tplc="0426000F" w:tentative="1">
      <w:start w:val="1"/>
      <w:numFmt w:val="bullet"/>
      <w:lvlText w:val=""/>
      <w:lvlJc w:val="left"/>
      <w:pPr>
        <w:ind w:left="5040" w:hanging="360"/>
      </w:pPr>
      <w:rPr>
        <w:rFonts w:ascii="Symbol" w:hAnsi="Symbol" w:hint="default"/>
      </w:rPr>
    </w:lvl>
    <w:lvl w:ilvl="7" w:tplc="04260019" w:tentative="1">
      <w:start w:val="1"/>
      <w:numFmt w:val="bullet"/>
      <w:lvlText w:val="o"/>
      <w:lvlJc w:val="left"/>
      <w:pPr>
        <w:ind w:left="5760" w:hanging="360"/>
      </w:pPr>
      <w:rPr>
        <w:rFonts w:ascii="Courier New" w:hAnsi="Courier New" w:cs="Courier New" w:hint="default"/>
      </w:rPr>
    </w:lvl>
    <w:lvl w:ilvl="8" w:tplc="0426001B" w:tentative="1">
      <w:start w:val="1"/>
      <w:numFmt w:val="bullet"/>
      <w:lvlText w:val=""/>
      <w:lvlJc w:val="left"/>
      <w:pPr>
        <w:ind w:left="6480" w:hanging="360"/>
      </w:pPr>
      <w:rPr>
        <w:rFonts w:ascii="Wingdings" w:hAnsi="Wingdings" w:hint="default"/>
      </w:rPr>
    </w:lvl>
  </w:abstractNum>
  <w:abstractNum w:abstractNumId="53">
    <w:nsid w:val="22183A76"/>
    <w:multiLevelType w:val="hybridMultilevel"/>
    <w:tmpl w:val="B874BD5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nsid w:val="23D13786"/>
    <w:multiLevelType w:val="hybridMultilevel"/>
    <w:tmpl w:val="3CECA5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nsid w:val="248D662E"/>
    <w:multiLevelType w:val="hybridMultilevel"/>
    <w:tmpl w:val="8DA448CC"/>
    <w:lvl w:ilvl="0" w:tplc="04260001">
      <w:numFmt w:val="bullet"/>
      <w:lvlText w:val="-"/>
      <w:lvlJc w:val="left"/>
      <w:pPr>
        <w:ind w:left="720" w:hanging="360"/>
      </w:pPr>
      <w:rPr>
        <w:rFonts w:ascii="Times New Roman" w:eastAsia="Times New Roman" w:hAnsi="Times New Roman" w:cs="Times New Roman" w:hint="default"/>
        <w:sz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nsid w:val="26A11DF8"/>
    <w:multiLevelType w:val="hybridMultilevel"/>
    <w:tmpl w:val="ED08DF48"/>
    <w:lvl w:ilvl="0" w:tplc="40683C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8CF4D73"/>
    <w:multiLevelType w:val="hybridMultilevel"/>
    <w:tmpl w:val="DFBA9406"/>
    <w:lvl w:ilvl="0" w:tplc="ABB6E8F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nsid w:val="2B8A001F"/>
    <w:multiLevelType w:val="hybridMultilevel"/>
    <w:tmpl w:val="55E48EFC"/>
    <w:lvl w:ilvl="0" w:tplc="ABB6E8FE">
      <w:start w:val="1"/>
      <w:numFmt w:val="decimal"/>
      <w:lvlText w:val="%1)"/>
      <w:lvlJc w:val="left"/>
      <w:pPr>
        <w:ind w:left="720" w:hanging="360"/>
      </w:pPr>
      <w:rPr>
        <w:rFonts w:hint="default"/>
      </w:rPr>
    </w:lvl>
    <w:lvl w:ilvl="1" w:tplc="04260003" w:tentative="1">
      <w:start w:val="1"/>
      <w:numFmt w:val="lowerLetter"/>
      <w:lvlText w:val="%2."/>
      <w:lvlJc w:val="left"/>
      <w:pPr>
        <w:ind w:left="1440" w:hanging="360"/>
      </w:pPr>
    </w:lvl>
    <w:lvl w:ilvl="2" w:tplc="04260005" w:tentative="1">
      <w:start w:val="1"/>
      <w:numFmt w:val="lowerRoman"/>
      <w:lvlText w:val="%3."/>
      <w:lvlJc w:val="right"/>
      <w:pPr>
        <w:ind w:left="2160" w:hanging="180"/>
      </w:pPr>
    </w:lvl>
    <w:lvl w:ilvl="3" w:tplc="04260001" w:tentative="1">
      <w:start w:val="1"/>
      <w:numFmt w:val="decimal"/>
      <w:lvlText w:val="%4."/>
      <w:lvlJc w:val="left"/>
      <w:pPr>
        <w:ind w:left="2880" w:hanging="360"/>
      </w:pPr>
    </w:lvl>
    <w:lvl w:ilvl="4" w:tplc="04260003" w:tentative="1">
      <w:start w:val="1"/>
      <w:numFmt w:val="lowerLetter"/>
      <w:lvlText w:val="%5."/>
      <w:lvlJc w:val="left"/>
      <w:pPr>
        <w:ind w:left="3600" w:hanging="360"/>
      </w:pPr>
    </w:lvl>
    <w:lvl w:ilvl="5" w:tplc="04260005" w:tentative="1">
      <w:start w:val="1"/>
      <w:numFmt w:val="lowerRoman"/>
      <w:lvlText w:val="%6."/>
      <w:lvlJc w:val="right"/>
      <w:pPr>
        <w:ind w:left="4320" w:hanging="180"/>
      </w:pPr>
    </w:lvl>
    <w:lvl w:ilvl="6" w:tplc="04260001" w:tentative="1">
      <w:start w:val="1"/>
      <w:numFmt w:val="decimal"/>
      <w:lvlText w:val="%7."/>
      <w:lvlJc w:val="left"/>
      <w:pPr>
        <w:ind w:left="5040" w:hanging="360"/>
      </w:pPr>
    </w:lvl>
    <w:lvl w:ilvl="7" w:tplc="04260003" w:tentative="1">
      <w:start w:val="1"/>
      <w:numFmt w:val="lowerLetter"/>
      <w:lvlText w:val="%8."/>
      <w:lvlJc w:val="left"/>
      <w:pPr>
        <w:ind w:left="5760" w:hanging="360"/>
      </w:pPr>
    </w:lvl>
    <w:lvl w:ilvl="8" w:tplc="04260005" w:tentative="1">
      <w:start w:val="1"/>
      <w:numFmt w:val="lowerRoman"/>
      <w:lvlText w:val="%9."/>
      <w:lvlJc w:val="right"/>
      <w:pPr>
        <w:ind w:left="6480" w:hanging="180"/>
      </w:pPr>
    </w:lvl>
  </w:abstractNum>
  <w:abstractNum w:abstractNumId="59">
    <w:nsid w:val="2BD53F57"/>
    <w:multiLevelType w:val="hybridMultilevel"/>
    <w:tmpl w:val="3F6C8226"/>
    <w:lvl w:ilvl="0" w:tplc="04260001">
      <w:start w:val="1"/>
      <w:numFmt w:val="bullet"/>
      <w:lvlText w:val=""/>
      <w:lvlJc w:val="left"/>
      <w:pPr>
        <w:ind w:left="1320" w:hanging="360"/>
      </w:pPr>
      <w:rPr>
        <w:rFonts w:ascii="Symbol" w:hAnsi="Symbol" w:hint="default"/>
      </w:rPr>
    </w:lvl>
    <w:lvl w:ilvl="1" w:tplc="04260003" w:tentative="1">
      <w:start w:val="1"/>
      <w:numFmt w:val="bullet"/>
      <w:lvlText w:val="o"/>
      <w:lvlJc w:val="left"/>
      <w:pPr>
        <w:ind w:left="2040" w:hanging="360"/>
      </w:pPr>
      <w:rPr>
        <w:rFonts w:ascii="Courier New" w:hAnsi="Courier New" w:cs="Courier New" w:hint="default"/>
      </w:rPr>
    </w:lvl>
    <w:lvl w:ilvl="2" w:tplc="04260005" w:tentative="1">
      <w:start w:val="1"/>
      <w:numFmt w:val="bullet"/>
      <w:lvlText w:val=""/>
      <w:lvlJc w:val="left"/>
      <w:pPr>
        <w:ind w:left="2760" w:hanging="360"/>
      </w:pPr>
      <w:rPr>
        <w:rFonts w:ascii="Wingdings" w:hAnsi="Wingdings" w:hint="default"/>
      </w:rPr>
    </w:lvl>
    <w:lvl w:ilvl="3" w:tplc="04260001" w:tentative="1">
      <w:start w:val="1"/>
      <w:numFmt w:val="bullet"/>
      <w:lvlText w:val=""/>
      <w:lvlJc w:val="left"/>
      <w:pPr>
        <w:ind w:left="3480" w:hanging="360"/>
      </w:pPr>
      <w:rPr>
        <w:rFonts w:ascii="Symbol" w:hAnsi="Symbol" w:hint="default"/>
      </w:rPr>
    </w:lvl>
    <w:lvl w:ilvl="4" w:tplc="04260003" w:tentative="1">
      <w:start w:val="1"/>
      <w:numFmt w:val="bullet"/>
      <w:lvlText w:val="o"/>
      <w:lvlJc w:val="left"/>
      <w:pPr>
        <w:ind w:left="4200" w:hanging="360"/>
      </w:pPr>
      <w:rPr>
        <w:rFonts w:ascii="Courier New" w:hAnsi="Courier New" w:cs="Courier New" w:hint="default"/>
      </w:rPr>
    </w:lvl>
    <w:lvl w:ilvl="5" w:tplc="04260005" w:tentative="1">
      <w:start w:val="1"/>
      <w:numFmt w:val="bullet"/>
      <w:lvlText w:val=""/>
      <w:lvlJc w:val="left"/>
      <w:pPr>
        <w:ind w:left="4920" w:hanging="360"/>
      </w:pPr>
      <w:rPr>
        <w:rFonts w:ascii="Wingdings" w:hAnsi="Wingdings" w:hint="default"/>
      </w:rPr>
    </w:lvl>
    <w:lvl w:ilvl="6" w:tplc="04260001" w:tentative="1">
      <w:start w:val="1"/>
      <w:numFmt w:val="bullet"/>
      <w:lvlText w:val=""/>
      <w:lvlJc w:val="left"/>
      <w:pPr>
        <w:ind w:left="5640" w:hanging="360"/>
      </w:pPr>
      <w:rPr>
        <w:rFonts w:ascii="Symbol" w:hAnsi="Symbol" w:hint="default"/>
      </w:rPr>
    </w:lvl>
    <w:lvl w:ilvl="7" w:tplc="04260003" w:tentative="1">
      <w:start w:val="1"/>
      <w:numFmt w:val="bullet"/>
      <w:lvlText w:val="o"/>
      <w:lvlJc w:val="left"/>
      <w:pPr>
        <w:ind w:left="6360" w:hanging="360"/>
      </w:pPr>
      <w:rPr>
        <w:rFonts w:ascii="Courier New" w:hAnsi="Courier New" w:cs="Courier New" w:hint="default"/>
      </w:rPr>
    </w:lvl>
    <w:lvl w:ilvl="8" w:tplc="04260005" w:tentative="1">
      <w:start w:val="1"/>
      <w:numFmt w:val="bullet"/>
      <w:lvlText w:val=""/>
      <w:lvlJc w:val="left"/>
      <w:pPr>
        <w:ind w:left="7080" w:hanging="360"/>
      </w:pPr>
      <w:rPr>
        <w:rFonts w:ascii="Wingdings" w:hAnsi="Wingdings" w:hint="default"/>
      </w:rPr>
    </w:lvl>
  </w:abstractNum>
  <w:abstractNum w:abstractNumId="60">
    <w:nsid w:val="2C190606"/>
    <w:multiLevelType w:val="hybridMultilevel"/>
    <w:tmpl w:val="77AEE1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nsid w:val="2C311CF8"/>
    <w:multiLevelType w:val="hybridMultilevel"/>
    <w:tmpl w:val="F996A156"/>
    <w:lvl w:ilvl="0" w:tplc="04260011">
      <w:start w:val="1"/>
      <w:numFmt w:val="bullet"/>
      <w:lvlText w:val=""/>
      <w:lvlJc w:val="left"/>
      <w:pPr>
        <w:ind w:left="720" w:hanging="360"/>
      </w:pPr>
      <w:rPr>
        <w:rFonts w:ascii="Symbol" w:hAnsi="Symbol" w:hint="default"/>
      </w:rPr>
    </w:lvl>
    <w:lvl w:ilvl="1" w:tplc="04260019" w:tentative="1">
      <w:start w:val="1"/>
      <w:numFmt w:val="bullet"/>
      <w:lvlText w:val="o"/>
      <w:lvlJc w:val="left"/>
      <w:pPr>
        <w:ind w:left="1440" w:hanging="360"/>
      </w:pPr>
      <w:rPr>
        <w:rFonts w:ascii="Courier New" w:hAnsi="Courier New" w:cs="Courier New" w:hint="default"/>
      </w:rPr>
    </w:lvl>
    <w:lvl w:ilvl="2" w:tplc="0426001B" w:tentative="1">
      <w:start w:val="1"/>
      <w:numFmt w:val="bullet"/>
      <w:lvlText w:val=""/>
      <w:lvlJc w:val="left"/>
      <w:pPr>
        <w:ind w:left="2160" w:hanging="360"/>
      </w:pPr>
      <w:rPr>
        <w:rFonts w:ascii="Wingdings" w:hAnsi="Wingdings" w:hint="default"/>
      </w:rPr>
    </w:lvl>
    <w:lvl w:ilvl="3" w:tplc="0426000F" w:tentative="1">
      <w:start w:val="1"/>
      <w:numFmt w:val="bullet"/>
      <w:lvlText w:val=""/>
      <w:lvlJc w:val="left"/>
      <w:pPr>
        <w:ind w:left="2880" w:hanging="360"/>
      </w:pPr>
      <w:rPr>
        <w:rFonts w:ascii="Symbol" w:hAnsi="Symbol" w:hint="default"/>
      </w:rPr>
    </w:lvl>
    <w:lvl w:ilvl="4" w:tplc="04260019" w:tentative="1">
      <w:start w:val="1"/>
      <w:numFmt w:val="bullet"/>
      <w:lvlText w:val="o"/>
      <w:lvlJc w:val="left"/>
      <w:pPr>
        <w:ind w:left="3600" w:hanging="360"/>
      </w:pPr>
      <w:rPr>
        <w:rFonts w:ascii="Courier New" w:hAnsi="Courier New" w:cs="Courier New" w:hint="default"/>
      </w:rPr>
    </w:lvl>
    <w:lvl w:ilvl="5" w:tplc="0426001B" w:tentative="1">
      <w:start w:val="1"/>
      <w:numFmt w:val="bullet"/>
      <w:lvlText w:val=""/>
      <w:lvlJc w:val="left"/>
      <w:pPr>
        <w:ind w:left="4320" w:hanging="360"/>
      </w:pPr>
      <w:rPr>
        <w:rFonts w:ascii="Wingdings" w:hAnsi="Wingdings" w:hint="default"/>
      </w:rPr>
    </w:lvl>
    <w:lvl w:ilvl="6" w:tplc="0426000F" w:tentative="1">
      <w:start w:val="1"/>
      <w:numFmt w:val="bullet"/>
      <w:lvlText w:val=""/>
      <w:lvlJc w:val="left"/>
      <w:pPr>
        <w:ind w:left="5040" w:hanging="360"/>
      </w:pPr>
      <w:rPr>
        <w:rFonts w:ascii="Symbol" w:hAnsi="Symbol" w:hint="default"/>
      </w:rPr>
    </w:lvl>
    <w:lvl w:ilvl="7" w:tplc="04260019" w:tentative="1">
      <w:start w:val="1"/>
      <w:numFmt w:val="bullet"/>
      <w:lvlText w:val="o"/>
      <w:lvlJc w:val="left"/>
      <w:pPr>
        <w:ind w:left="5760" w:hanging="360"/>
      </w:pPr>
      <w:rPr>
        <w:rFonts w:ascii="Courier New" w:hAnsi="Courier New" w:cs="Courier New" w:hint="default"/>
      </w:rPr>
    </w:lvl>
    <w:lvl w:ilvl="8" w:tplc="0426001B" w:tentative="1">
      <w:start w:val="1"/>
      <w:numFmt w:val="bullet"/>
      <w:lvlText w:val=""/>
      <w:lvlJc w:val="left"/>
      <w:pPr>
        <w:ind w:left="6480" w:hanging="360"/>
      </w:pPr>
      <w:rPr>
        <w:rFonts w:ascii="Wingdings" w:hAnsi="Wingdings" w:hint="default"/>
      </w:rPr>
    </w:lvl>
  </w:abstractNum>
  <w:abstractNum w:abstractNumId="62">
    <w:nsid w:val="2CF31B08"/>
    <w:multiLevelType w:val="hybridMultilevel"/>
    <w:tmpl w:val="A322C7EE"/>
    <w:lvl w:ilvl="0" w:tplc="ABB6E8FE">
      <w:start w:val="1"/>
      <w:numFmt w:val="decimal"/>
      <w:lvlText w:val="%1)"/>
      <w:lvlJc w:val="left"/>
      <w:pPr>
        <w:ind w:left="927" w:hanging="360"/>
      </w:pPr>
      <w:rPr>
        <w:rFonts w:hint="default"/>
      </w:rPr>
    </w:lvl>
    <w:lvl w:ilvl="1" w:tplc="04260003" w:tentative="1">
      <w:start w:val="1"/>
      <w:numFmt w:val="lowerLetter"/>
      <w:lvlText w:val="%2."/>
      <w:lvlJc w:val="left"/>
      <w:pPr>
        <w:ind w:left="1647" w:hanging="360"/>
      </w:pPr>
    </w:lvl>
    <w:lvl w:ilvl="2" w:tplc="04260005" w:tentative="1">
      <w:start w:val="1"/>
      <w:numFmt w:val="lowerRoman"/>
      <w:lvlText w:val="%3."/>
      <w:lvlJc w:val="right"/>
      <w:pPr>
        <w:ind w:left="2367" w:hanging="180"/>
      </w:pPr>
    </w:lvl>
    <w:lvl w:ilvl="3" w:tplc="04260001" w:tentative="1">
      <w:start w:val="1"/>
      <w:numFmt w:val="decimal"/>
      <w:lvlText w:val="%4."/>
      <w:lvlJc w:val="left"/>
      <w:pPr>
        <w:ind w:left="3087" w:hanging="360"/>
      </w:pPr>
    </w:lvl>
    <w:lvl w:ilvl="4" w:tplc="04260003" w:tentative="1">
      <w:start w:val="1"/>
      <w:numFmt w:val="lowerLetter"/>
      <w:lvlText w:val="%5."/>
      <w:lvlJc w:val="left"/>
      <w:pPr>
        <w:ind w:left="3807" w:hanging="360"/>
      </w:pPr>
    </w:lvl>
    <w:lvl w:ilvl="5" w:tplc="04260005" w:tentative="1">
      <w:start w:val="1"/>
      <w:numFmt w:val="lowerRoman"/>
      <w:lvlText w:val="%6."/>
      <w:lvlJc w:val="right"/>
      <w:pPr>
        <w:ind w:left="4527" w:hanging="180"/>
      </w:pPr>
    </w:lvl>
    <w:lvl w:ilvl="6" w:tplc="04260001" w:tentative="1">
      <w:start w:val="1"/>
      <w:numFmt w:val="decimal"/>
      <w:lvlText w:val="%7."/>
      <w:lvlJc w:val="left"/>
      <w:pPr>
        <w:ind w:left="5247" w:hanging="360"/>
      </w:pPr>
    </w:lvl>
    <w:lvl w:ilvl="7" w:tplc="04260003" w:tentative="1">
      <w:start w:val="1"/>
      <w:numFmt w:val="lowerLetter"/>
      <w:lvlText w:val="%8."/>
      <w:lvlJc w:val="left"/>
      <w:pPr>
        <w:ind w:left="5967" w:hanging="360"/>
      </w:pPr>
    </w:lvl>
    <w:lvl w:ilvl="8" w:tplc="04260005" w:tentative="1">
      <w:start w:val="1"/>
      <w:numFmt w:val="lowerRoman"/>
      <w:lvlText w:val="%9."/>
      <w:lvlJc w:val="right"/>
      <w:pPr>
        <w:ind w:left="6687" w:hanging="180"/>
      </w:pPr>
    </w:lvl>
  </w:abstractNum>
  <w:abstractNum w:abstractNumId="63">
    <w:nsid w:val="2D47442F"/>
    <w:multiLevelType w:val="multilevel"/>
    <w:tmpl w:val="65CEF24E"/>
    <w:lvl w:ilvl="0">
      <w:start w:val="1"/>
      <w:numFmt w:val="decimal"/>
      <w:pStyle w:val="Heading1"/>
      <w:lvlText w:val="%1."/>
      <w:lvlJc w:val="left"/>
      <w:pPr>
        <w:ind w:left="432" w:hanging="432"/>
      </w:pPr>
      <w:rPr>
        <w:rFonts w:hint="default"/>
        <w:caps w:val="0"/>
        <w:smallCaps w:val="0"/>
        <w:strike w:val="0"/>
        <w:dstrike w:val="0"/>
        <w:noProof w:val="0"/>
        <w:vanish w:val="0"/>
        <w:color w:val="FFFFFF" w:themeColor="background1"/>
        <w:spacing w:val="0"/>
        <w:kern w:val="0"/>
        <w:position w:val="0"/>
        <w:u w:val="none"/>
        <w:vertAlign w:val="baseline"/>
        <w:em w:val="none"/>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4">
    <w:nsid w:val="2D706EBE"/>
    <w:multiLevelType w:val="hybridMultilevel"/>
    <w:tmpl w:val="97DE8A32"/>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
      <w:lvlJc w:val="left"/>
      <w:pPr>
        <w:tabs>
          <w:tab w:val="num" w:pos="1440"/>
        </w:tabs>
        <w:ind w:left="1440" w:hanging="360"/>
      </w:pPr>
      <w:rPr>
        <w:rFonts w:ascii="Times New Roman" w:hAnsi="Times New Roman" w:hint="default"/>
      </w:rPr>
    </w:lvl>
    <w:lvl w:ilvl="2" w:tplc="04260005" w:tentative="1">
      <w:start w:val="1"/>
      <w:numFmt w:val="bullet"/>
      <w:lvlText w:val="•"/>
      <w:lvlJc w:val="left"/>
      <w:pPr>
        <w:tabs>
          <w:tab w:val="num" w:pos="2160"/>
        </w:tabs>
        <w:ind w:left="2160" w:hanging="360"/>
      </w:pPr>
      <w:rPr>
        <w:rFonts w:ascii="Times New Roman" w:hAnsi="Times New Roman" w:hint="default"/>
      </w:rPr>
    </w:lvl>
    <w:lvl w:ilvl="3" w:tplc="04260001" w:tentative="1">
      <w:start w:val="1"/>
      <w:numFmt w:val="bullet"/>
      <w:lvlText w:val="•"/>
      <w:lvlJc w:val="left"/>
      <w:pPr>
        <w:tabs>
          <w:tab w:val="num" w:pos="2880"/>
        </w:tabs>
        <w:ind w:left="2880" w:hanging="360"/>
      </w:pPr>
      <w:rPr>
        <w:rFonts w:ascii="Times New Roman" w:hAnsi="Times New Roman" w:hint="default"/>
      </w:rPr>
    </w:lvl>
    <w:lvl w:ilvl="4" w:tplc="04260003" w:tentative="1">
      <w:start w:val="1"/>
      <w:numFmt w:val="bullet"/>
      <w:lvlText w:val="•"/>
      <w:lvlJc w:val="left"/>
      <w:pPr>
        <w:tabs>
          <w:tab w:val="num" w:pos="3600"/>
        </w:tabs>
        <w:ind w:left="3600" w:hanging="360"/>
      </w:pPr>
      <w:rPr>
        <w:rFonts w:ascii="Times New Roman" w:hAnsi="Times New Roman" w:hint="default"/>
      </w:rPr>
    </w:lvl>
    <w:lvl w:ilvl="5" w:tplc="04260005" w:tentative="1">
      <w:start w:val="1"/>
      <w:numFmt w:val="bullet"/>
      <w:lvlText w:val="•"/>
      <w:lvlJc w:val="left"/>
      <w:pPr>
        <w:tabs>
          <w:tab w:val="num" w:pos="4320"/>
        </w:tabs>
        <w:ind w:left="4320" w:hanging="360"/>
      </w:pPr>
      <w:rPr>
        <w:rFonts w:ascii="Times New Roman" w:hAnsi="Times New Roman" w:hint="default"/>
      </w:rPr>
    </w:lvl>
    <w:lvl w:ilvl="6" w:tplc="04260001" w:tentative="1">
      <w:start w:val="1"/>
      <w:numFmt w:val="bullet"/>
      <w:lvlText w:val="•"/>
      <w:lvlJc w:val="left"/>
      <w:pPr>
        <w:tabs>
          <w:tab w:val="num" w:pos="5040"/>
        </w:tabs>
        <w:ind w:left="5040" w:hanging="360"/>
      </w:pPr>
      <w:rPr>
        <w:rFonts w:ascii="Times New Roman" w:hAnsi="Times New Roman" w:hint="default"/>
      </w:rPr>
    </w:lvl>
    <w:lvl w:ilvl="7" w:tplc="04260003" w:tentative="1">
      <w:start w:val="1"/>
      <w:numFmt w:val="bullet"/>
      <w:lvlText w:val="•"/>
      <w:lvlJc w:val="left"/>
      <w:pPr>
        <w:tabs>
          <w:tab w:val="num" w:pos="5760"/>
        </w:tabs>
        <w:ind w:left="5760" w:hanging="360"/>
      </w:pPr>
      <w:rPr>
        <w:rFonts w:ascii="Times New Roman" w:hAnsi="Times New Roman" w:hint="default"/>
      </w:rPr>
    </w:lvl>
    <w:lvl w:ilvl="8" w:tplc="04260005" w:tentative="1">
      <w:start w:val="1"/>
      <w:numFmt w:val="bullet"/>
      <w:lvlText w:val="•"/>
      <w:lvlJc w:val="left"/>
      <w:pPr>
        <w:tabs>
          <w:tab w:val="num" w:pos="6480"/>
        </w:tabs>
        <w:ind w:left="6480" w:hanging="360"/>
      </w:pPr>
      <w:rPr>
        <w:rFonts w:ascii="Times New Roman" w:hAnsi="Times New Roman" w:hint="default"/>
      </w:rPr>
    </w:lvl>
  </w:abstractNum>
  <w:abstractNum w:abstractNumId="65">
    <w:nsid w:val="2E0A6810"/>
    <w:multiLevelType w:val="hybridMultilevel"/>
    <w:tmpl w:val="D10407E6"/>
    <w:lvl w:ilvl="0" w:tplc="04260011">
      <w:numFmt w:val="bullet"/>
      <w:lvlText w:val="-"/>
      <w:lvlJc w:val="left"/>
      <w:pPr>
        <w:ind w:left="720" w:hanging="360"/>
      </w:pPr>
      <w:rPr>
        <w:rFonts w:ascii="Times New Roman" w:eastAsia="Times New Roman" w:hAnsi="Times New Roman" w:cs="Times New Roman" w:hint="default"/>
        <w:sz w:val="28"/>
      </w:rPr>
    </w:lvl>
    <w:lvl w:ilvl="1" w:tplc="04260019" w:tentative="1">
      <w:start w:val="1"/>
      <w:numFmt w:val="bullet"/>
      <w:lvlText w:val="o"/>
      <w:lvlJc w:val="left"/>
      <w:pPr>
        <w:ind w:left="1440" w:hanging="360"/>
      </w:pPr>
      <w:rPr>
        <w:rFonts w:ascii="Courier New" w:hAnsi="Courier New" w:cs="Courier New" w:hint="default"/>
      </w:rPr>
    </w:lvl>
    <w:lvl w:ilvl="2" w:tplc="0426001B" w:tentative="1">
      <w:start w:val="1"/>
      <w:numFmt w:val="bullet"/>
      <w:lvlText w:val=""/>
      <w:lvlJc w:val="left"/>
      <w:pPr>
        <w:ind w:left="2160" w:hanging="360"/>
      </w:pPr>
      <w:rPr>
        <w:rFonts w:ascii="Wingdings" w:hAnsi="Wingdings" w:hint="default"/>
      </w:rPr>
    </w:lvl>
    <w:lvl w:ilvl="3" w:tplc="0426000F" w:tentative="1">
      <w:start w:val="1"/>
      <w:numFmt w:val="bullet"/>
      <w:lvlText w:val=""/>
      <w:lvlJc w:val="left"/>
      <w:pPr>
        <w:ind w:left="2880" w:hanging="360"/>
      </w:pPr>
      <w:rPr>
        <w:rFonts w:ascii="Symbol" w:hAnsi="Symbol" w:hint="default"/>
      </w:rPr>
    </w:lvl>
    <w:lvl w:ilvl="4" w:tplc="04260019" w:tentative="1">
      <w:start w:val="1"/>
      <w:numFmt w:val="bullet"/>
      <w:lvlText w:val="o"/>
      <w:lvlJc w:val="left"/>
      <w:pPr>
        <w:ind w:left="3600" w:hanging="360"/>
      </w:pPr>
      <w:rPr>
        <w:rFonts w:ascii="Courier New" w:hAnsi="Courier New" w:cs="Courier New" w:hint="default"/>
      </w:rPr>
    </w:lvl>
    <w:lvl w:ilvl="5" w:tplc="0426001B" w:tentative="1">
      <w:start w:val="1"/>
      <w:numFmt w:val="bullet"/>
      <w:lvlText w:val=""/>
      <w:lvlJc w:val="left"/>
      <w:pPr>
        <w:ind w:left="4320" w:hanging="360"/>
      </w:pPr>
      <w:rPr>
        <w:rFonts w:ascii="Wingdings" w:hAnsi="Wingdings" w:hint="default"/>
      </w:rPr>
    </w:lvl>
    <w:lvl w:ilvl="6" w:tplc="0426000F" w:tentative="1">
      <w:start w:val="1"/>
      <w:numFmt w:val="bullet"/>
      <w:lvlText w:val=""/>
      <w:lvlJc w:val="left"/>
      <w:pPr>
        <w:ind w:left="5040" w:hanging="360"/>
      </w:pPr>
      <w:rPr>
        <w:rFonts w:ascii="Symbol" w:hAnsi="Symbol" w:hint="default"/>
      </w:rPr>
    </w:lvl>
    <w:lvl w:ilvl="7" w:tplc="04260019" w:tentative="1">
      <w:start w:val="1"/>
      <w:numFmt w:val="bullet"/>
      <w:lvlText w:val="o"/>
      <w:lvlJc w:val="left"/>
      <w:pPr>
        <w:ind w:left="5760" w:hanging="360"/>
      </w:pPr>
      <w:rPr>
        <w:rFonts w:ascii="Courier New" w:hAnsi="Courier New" w:cs="Courier New" w:hint="default"/>
      </w:rPr>
    </w:lvl>
    <w:lvl w:ilvl="8" w:tplc="0426001B" w:tentative="1">
      <w:start w:val="1"/>
      <w:numFmt w:val="bullet"/>
      <w:lvlText w:val=""/>
      <w:lvlJc w:val="left"/>
      <w:pPr>
        <w:ind w:left="6480" w:hanging="360"/>
      </w:pPr>
      <w:rPr>
        <w:rFonts w:ascii="Wingdings" w:hAnsi="Wingdings" w:hint="default"/>
      </w:rPr>
    </w:lvl>
  </w:abstractNum>
  <w:abstractNum w:abstractNumId="66">
    <w:nsid w:val="2E581B71"/>
    <w:multiLevelType w:val="hybridMultilevel"/>
    <w:tmpl w:val="68003CC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36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7">
    <w:nsid w:val="2EC75213"/>
    <w:multiLevelType w:val="hybridMultilevel"/>
    <w:tmpl w:val="E9A2AC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nsid w:val="2F0F1B42"/>
    <w:multiLevelType w:val="hybridMultilevel"/>
    <w:tmpl w:val="C8D40694"/>
    <w:lvl w:ilvl="0" w:tplc="ABB6E8FE">
      <w:numFmt w:val="bullet"/>
      <w:lvlText w:val="-"/>
      <w:lvlJc w:val="left"/>
      <w:pPr>
        <w:ind w:left="720" w:hanging="360"/>
      </w:pPr>
      <w:rPr>
        <w:rFonts w:ascii="Times New Roman" w:eastAsia="Times New Roman" w:hAnsi="Times New Roman" w:cs="Times New Roman" w:hint="default"/>
        <w:sz w:val="28"/>
      </w:rPr>
    </w:lvl>
    <w:lvl w:ilvl="1" w:tplc="BF8C09B4" w:tentative="1">
      <w:start w:val="1"/>
      <w:numFmt w:val="bullet"/>
      <w:lvlText w:val="o"/>
      <w:lvlJc w:val="left"/>
      <w:pPr>
        <w:ind w:left="1440" w:hanging="360"/>
      </w:pPr>
      <w:rPr>
        <w:rFonts w:ascii="Courier New" w:hAnsi="Courier New" w:cs="Courier New" w:hint="default"/>
      </w:rPr>
    </w:lvl>
    <w:lvl w:ilvl="2" w:tplc="9014E68C" w:tentative="1">
      <w:start w:val="1"/>
      <w:numFmt w:val="bullet"/>
      <w:lvlText w:val=""/>
      <w:lvlJc w:val="left"/>
      <w:pPr>
        <w:ind w:left="2160" w:hanging="360"/>
      </w:pPr>
      <w:rPr>
        <w:rFonts w:ascii="Wingdings" w:hAnsi="Wingdings" w:hint="default"/>
      </w:rPr>
    </w:lvl>
    <w:lvl w:ilvl="3" w:tplc="23A242B6" w:tentative="1">
      <w:start w:val="1"/>
      <w:numFmt w:val="bullet"/>
      <w:lvlText w:val=""/>
      <w:lvlJc w:val="left"/>
      <w:pPr>
        <w:ind w:left="2880" w:hanging="360"/>
      </w:pPr>
      <w:rPr>
        <w:rFonts w:ascii="Symbol" w:hAnsi="Symbol" w:hint="default"/>
      </w:rPr>
    </w:lvl>
    <w:lvl w:ilvl="4" w:tplc="D4A2D416" w:tentative="1">
      <w:start w:val="1"/>
      <w:numFmt w:val="bullet"/>
      <w:lvlText w:val="o"/>
      <w:lvlJc w:val="left"/>
      <w:pPr>
        <w:ind w:left="3600" w:hanging="360"/>
      </w:pPr>
      <w:rPr>
        <w:rFonts w:ascii="Courier New" w:hAnsi="Courier New" w:cs="Courier New" w:hint="default"/>
      </w:rPr>
    </w:lvl>
    <w:lvl w:ilvl="5" w:tplc="099CE288" w:tentative="1">
      <w:start w:val="1"/>
      <w:numFmt w:val="bullet"/>
      <w:lvlText w:val=""/>
      <w:lvlJc w:val="left"/>
      <w:pPr>
        <w:ind w:left="4320" w:hanging="360"/>
      </w:pPr>
      <w:rPr>
        <w:rFonts w:ascii="Wingdings" w:hAnsi="Wingdings" w:hint="default"/>
      </w:rPr>
    </w:lvl>
    <w:lvl w:ilvl="6" w:tplc="1F428F8E" w:tentative="1">
      <w:start w:val="1"/>
      <w:numFmt w:val="bullet"/>
      <w:lvlText w:val=""/>
      <w:lvlJc w:val="left"/>
      <w:pPr>
        <w:ind w:left="5040" w:hanging="360"/>
      </w:pPr>
      <w:rPr>
        <w:rFonts w:ascii="Symbol" w:hAnsi="Symbol" w:hint="default"/>
      </w:rPr>
    </w:lvl>
    <w:lvl w:ilvl="7" w:tplc="AFA4D2E2" w:tentative="1">
      <w:start w:val="1"/>
      <w:numFmt w:val="bullet"/>
      <w:lvlText w:val="o"/>
      <w:lvlJc w:val="left"/>
      <w:pPr>
        <w:ind w:left="5760" w:hanging="360"/>
      </w:pPr>
      <w:rPr>
        <w:rFonts w:ascii="Courier New" w:hAnsi="Courier New" w:cs="Courier New" w:hint="default"/>
      </w:rPr>
    </w:lvl>
    <w:lvl w:ilvl="8" w:tplc="D1ECF01C" w:tentative="1">
      <w:start w:val="1"/>
      <w:numFmt w:val="bullet"/>
      <w:lvlText w:val=""/>
      <w:lvlJc w:val="left"/>
      <w:pPr>
        <w:ind w:left="6480" w:hanging="360"/>
      </w:pPr>
      <w:rPr>
        <w:rFonts w:ascii="Wingdings" w:hAnsi="Wingdings" w:hint="default"/>
      </w:rPr>
    </w:lvl>
  </w:abstractNum>
  <w:abstractNum w:abstractNumId="69">
    <w:nsid w:val="2F837BE2"/>
    <w:multiLevelType w:val="hybridMultilevel"/>
    <w:tmpl w:val="CB621590"/>
    <w:lvl w:ilvl="0" w:tplc="751040FC">
      <w:numFmt w:val="bullet"/>
      <w:lvlText w:val="-"/>
      <w:lvlJc w:val="left"/>
      <w:pPr>
        <w:ind w:left="720" w:hanging="360"/>
      </w:pPr>
      <w:rPr>
        <w:rFonts w:ascii="Times New Roman" w:eastAsia="Times New Roman" w:hAnsi="Times New Roman" w:cs="Times New Roman" w:hint="default"/>
        <w:sz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0">
    <w:nsid w:val="2FA171E5"/>
    <w:multiLevelType w:val="hybridMultilevel"/>
    <w:tmpl w:val="325C7C70"/>
    <w:lvl w:ilvl="0" w:tplc="751040FC">
      <w:start w:val="1"/>
      <w:numFmt w:val="decimal"/>
      <w:lvlText w:val="%1)"/>
      <w:lvlJc w:val="left"/>
      <w:pPr>
        <w:ind w:left="720" w:hanging="360"/>
      </w:pPr>
      <w:rPr>
        <w:rFonts w:hint="default"/>
      </w:rPr>
    </w:lvl>
    <w:lvl w:ilvl="1" w:tplc="04260003" w:tentative="1">
      <w:start w:val="1"/>
      <w:numFmt w:val="lowerLetter"/>
      <w:lvlText w:val="%2."/>
      <w:lvlJc w:val="left"/>
      <w:pPr>
        <w:ind w:left="1440" w:hanging="360"/>
      </w:pPr>
    </w:lvl>
    <w:lvl w:ilvl="2" w:tplc="04260005" w:tentative="1">
      <w:start w:val="1"/>
      <w:numFmt w:val="lowerRoman"/>
      <w:lvlText w:val="%3."/>
      <w:lvlJc w:val="right"/>
      <w:pPr>
        <w:ind w:left="2160" w:hanging="180"/>
      </w:pPr>
    </w:lvl>
    <w:lvl w:ilvl="3" w:tplc="04260001" w:tentative="1">
      <w:start w:val="1"/>
      <w:numFmt w:val="decimal"/>
      <w:lvlText w:val="%4."/>
      <w:lvlJc w:val="left"/>
      <w:pPr>
        <w:ind w:left="2880" w:hanging="360"/>
      </w:pPr>
    </w:lvl>
    <w:lvl w:ilvl="4" w:tplc="04260003" w:tentative="1">
      <w:start w:val="1"/>
      <w:numFmt w:val="lowerLetter"/>
      <w:lvlText w:val="%5."/>
      <w:lvlJc w:val="left"/>
      <w:pPr>
        <w:ind w:left="3600" w:hanging="360"/>
      </w:pPr>
    </w:lvl>
    <w:lvl w:ilvl="5" w:tplc="04260005" w:tentative="1">
      <w:start w:val="1"/>
      <w:numFmt w:val="lowerRoman"/>
      <w:lvlText w:val="%6."/>
      <w:lvlJc w:val="right"/>
      <w:pPr>
        <w:ind w:left="4320" w:hanging="180"/>
      </w:pPr>
    </w:lvl>
    <w:lvl w:ilvl="6" w:tplc="04260001" w:tentative="1">
      <w:start w:val="1"/>
      <w:numFmt w:val="decimal"/>
      <w:lvlText w:val="%7."/>
      <w:lvlJc w:val="left"/>
      <w:pPr>
        <w:ind w:left="5040" w:hanging="360"/>
      </w:pPr>
    </w:lvl>
    <w:lvl w:ilvl="7" w:tplc="04260003" w:tentative="1">
      <w:start w:val="1"/>
      <w:numFmt w:val="lowerLetter"/>
      <w:lvlText w:val="%8."/>
      <w:lvlJc w:val="left"/>
      <w:pPr>
        <w:ind w:left="5760" w:hanging="360"/>
      </w:pPr>
    </w:lvl>
    <w:lvl w:ilvl="8" w:tplc="04260005" w:tentative="1">
      <w:start w:val="1"/>
      <w:numFmt w:val="lowerRoman"/>
      <w:lvlText w:val="%9."/>
      <w:lvlJc w:val="right"/>
      <w:pPr>
        <w:ind w:left="6480" w:hanging="180"/>
      </w:pPr>
    </w:lvl>
  </w:abstractNum>
  <w:abstractNum w:abstractNumId="71">
    <w:nsid w:val="2FC304F4"/>
    <w:multiLevelType w:val="hybridMultilevel"/>
    <w:tmpl w:val="8CC0106C"/>
    <w:lvl w:ilvl="0" w:tplc="751040F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2">
    <w:nsid w:val="2FD0696D"/>
    <w:multiLevelType w:val="hybridMultilevel"/>
    <w:tmpl w:val="81CE3234"/>
    <w:lvl w:ilvl="0" w:tplc="04260011">
      <w:start w:val="5"/>
      <w:numFmt w:val="bullet"/>
      <w:lvlText w:val="-"/>
      <w:lvlJc w:val="left"/>
      <w:pPr>
        <w:ind w:left="720" w:hanging="360"/>
      </w:pPr>
      <w:rPr>
        <w:rFonts w:ascii="Times New Roman" w:eastAsiaTheme="minorHAnsi" w:hAnsi="Times New Roman" w:cs="Times New Roman" w:hint="default"/>
      </w:rPr>
    </w:lvl>
    <w:lvl w:ilvl="1" w:tplc="04260019" w:tentative="1">
      <w:start w:val="1"/>
      <w:numFmt w:val="bullet"/>
      <w:lvlText w:val="o"/>
      <w:lvlJc w:val="left"/>
      <w:pPr>
        <w:ind w:left="1440" w:hanging="360"/>
      </w:pPr>
      <w:rPr>
        <w:rFonts w:ascii="Courier New" w:hAnsi="Courier New" w:cs="Courier New" w:hint="default"/>
      </w:rPr>
    </w:lvl>
    <w:lvl w:ilvl="2" w:tplc="0426001B" w:tentative="1">
      <w:start w:val="1"/>
      <w:numFmt w:val="bullet"/>
      <w:lvlText w:val=""/>
      <w:lvlJc w:val="left"/>
      <w:pPr>
        <w:ind w:left="2160" w:hanging="360"/>
      </w:pPr>
      <w:rPr>
        <w:rFonts w:ascii="Wingdings" w:hAnsi="Wingdings" w:hint="default"/>
      </w:rPr>
    </w:lvl>
    <w:lvl w:ilvl="3" w:tplc="0426000F" w:tentative="1">
      <w:start w:val="1"/>
      <w:numFmt w:val="bullet"/>
      <w:lvlText w:val=""/>
      <w:lvlJc w:val="left"/>
      <w:pPr>
        <w:ind w:left="2880" w:hanging="360"/>
      </w:pPr>
      <w:rPr>
        <w:rFonts w:ascii="Symbol" w:hAnsi="Symbol" w:hint="default"/>
      </w:rPr>
    </w:lvl>
    <w:lvl w:ilvl="4" w:tplc="04260019" w:tentative="1">
      <w:start w:val="1"/>
      <w:numFmt w:val="bullet"/>
      <w:lvlText w:val="o"/>
      <w:lvlJc w:val="left"/>
      <w:pPr>
        <w:ind w:left="3600" w:hanging="360"/>
      </w:pPr>
      <w:rPr>
        <w:rFonts w:ascii="Courier New" w:hAnsi="Courier New" w:cs="Courier New" w:hint="default"/>
      </w:rPr>
    </w:lvl>
    <w:lvl w:ilvl="5" w:tplc="0426001B" w:tentative="1">
      <w:start w:val="1"/>
      <w:numFmt w:val="bullet"/>
      <w:lvlText w:val=""/>
      <w:lvlJc w:val="left"/>
      <w:pPr>
        <w:ind w:left="4320" w:hanging="360"/>
      </w:pPr>
      <w:rPr>
        <w:rFonts w:ascii="Wingdings" w:hAnsi="Wingdings" w:hint="default"/>
      </w:rPr>
    </w:lvl>
    <w:lvl w:ilvl="6" w:tplc="0426000F" w:tentative="1">
      <w:start w:val="1"/>
      <w:numFmt w:val="bullet"/>
      <w:lvlText w:val=""/>
      <w:lvlJc w:val="left"/>
      <w:pPr>
        <w:ind w:left="5040" w:hanging="360"/>
      </w:pPr>
      <w:rPr>
        <w:rFonts w:ascii="Symbol" w:hAnsi="Symbol" w:hint="default"/>
      </w:rPr>
    </w:lvl>
    <w:lvl w:ilvl="7" w:tplc="04260019" w:tentative="1">
      <w:start w:val="1"/>
      <w:numFmt w:val="bullet"/>
      <w:lvlText w:val="o"/>
      <w:lvlJc w:val="left"/>
      <w:pPr>
        <w:ind w:left="5760" w:hanging="360"/>
      </w:pPr>
      <w:rPr>
        <w:rFonts w:ascii="Courier New" w:hAnsi="Courier New" w:cs="Courier New" w:hint="default"/>
      </w:rPr>
    </w:lvl>
    <w:lvl w:ilvl="8" w:tplc="0426001B" w:tentative="1">
      <w:start w:val="1"/>
      <w:numFmt w:val="bullet"/>
      <w:lvlText w:val=""/>
      <w:lvlJc w:val="left"/>
      <w:pPr>
        <w:ind w:left="6480" w:hanging="360"/>
      </w:pPr>
      <w:rPr>
        <w:rFonts w:ascii="Wingdings" w:hAnsi="Wingdings" w:hint="default"/>
      </w:rPr>
    </w:lvl>
  </w:abstractNum>
  <w:abstractNum w:abstractNumId="73">
    <w:nsid w:val="303172D8"/>
    <w:multiLevelType w:val="hybridMultilevel"/>
    <w:tmpl w:val="4DA2D4B6"/>
    <w:lvl w:ilvl="0" w:tplc="04260001">
      <w:start w:val="5"/>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nsid w:val="303F2F66"/>
    <w:multiLevelType w:val="hybridMultilevel"/>
    <w:tmpl w:val="44C6AB60"/>
    <w:lvl w:ilvl="0" w:tplc="7E68EE86">
      <w:start w:val="1"/>
      <w:numFmt w:val="decimal"/>
      <w:lvlText w:val="%1."/>
      <w:lvlJc w:val="left"/>
      <w:pPr>
        <w:ind w:left="1069" w:hanging="360"/>
      </w:pPr>
    </w:lvl>
    <w:lvl w:ilvl="1" w:tplc="04260003" w:tentative="1">
      <w:start w:val="1"/>
      <w:numFmt w:val="lowerLetter"/>
      <w:lvlText w:val="%2."/>
      <w:lvlJc w:val="left"/>
      <w:pPr>
        <w:ind w:left="1789" w:hanging="360"/>
      </w:pPr>
    </w:lvl>
    <w:lvl w:ilvl="2" w:tplc="04260005" w:tentative="1">
      <w:start w:val="1"/>
      <w:numFmt w:val="lowerRoman"/>
      <w:lvlText w:val="%3."/>
      <w:lvlJc w:val="right"/>
      <w:pPr>
        <w:ind w:left="2509" w:hanging="180"/>
      </w:pPr>
    </w:lvl>
    <w:lvl w:ilvl="3" w:tplc="04260001" w:tentative="1">
      <w:start w:val="1"/>
      <w:numFmt w:val="decimal"/>
      <w:lvlText w:val="%4."/>
      <w:lvlJc w:val="left"/>
      <w:pPr>
        <w:ind w:left="3229" w:hanging="360"/>
      </w:pPr>
    </w:lvl>
    <w:lvl w:ilvl="4" w:tplc="04260003" w:tentative="1">
      <w:start w:val="1"/>
      <w:numFmt w:val="lowerLetter"/>
      <w:lvlText w:val="%5."/>
      <w:lvlJc w:val="left"/>
      <w:pPr>
        <w:ind w:left="3949" w:hanging="360"/>
      </w:pPr>
    </w:lvl>
    <w:lvl w:ilvl="5" w:tplc="04260005" w:tentative="1">
      <w:start w:val="1"/>
      <w:numFmt w:val="lowerRoman"/>
      <w:lvlText w:val="%6."/>
      <w:lvlJc w:val="right"/>
      <w:pPr>
        <w:ind w:left="4669" w:hanging="180"/>
      </w:pPr>
    </w:lvl>
    <w:lvl w:ilvl="6" w:tplc="04260001" w:tentative="1">
      <w:start w:val="1"/>
      <w:numFmt w:val="decimal"/>
      <w:lvlText w:val="%7."/>
      <w:lvlJc w:val="left"/>
      <w:pPr>
        <w:ind w:left="5389" w:hanging="360"/>
      </w:pPr>
    </w:lvl>
    <w:lvl w:ilvl="7" w:tplc="04260003" w:tentative="1">
      <w:start w:val="1"/>
      <w:numFmt w:val="lowerLetter"/>
      <w:lvlText w:val="%8."/>
      <w:lvlJc w:val="left"/>
      <w:pPr>
        <w:ind w:left="6109" w:hanging="360"/>
      </w:pPr>
    </w:lvl>
    <w:lvl w:ilvl="8" w:tplc="04260005" w:tentative="1">
      <w:start w:val="1"/>
      <w:numFmt w:val="lowerRoman"/>
      <w:lvlText w:val="%9."/>
      <w:lvlJc w:val="right"/>
      <w:pPr>
        <w:ind w:left="6829" w:hanging="180"/>
      </w:pPr>
    </w:lvl>
  </w:abstractNum>
  <w:abstractNum w:abstractNumId="75">
    <w:nsid w:val="30E44D06"/>
    <w:multiLevelType w:val="hybridMultilevel"/>
    <w:tmpl w:val="6DC223B4"/>
    <w:lvl w:ilvl="0" w:tplc="7E68EE86">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nsid w:val="31A3029C"/>
    <w:multiLevelType w:val="hybridMultilevel"/>
    <w:tmpl w:val="A2D089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nsid w:val="31D92145"/>
    <w:multiLevelType w:val="hybridMultilevel"/>
    <w:tmpl w:val="1F52E572"/>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8">
    <w:nsid w:val="32912716"/>
    <w:multiLevelType w:val="hybridMultilevel"/>
    <w:tmpl w:val="8544E1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9">
    <w:nsid w:val="331F5738"/>
    <w:multiLevelType w:val="hybridMultilevel"/>
    <w:tmpl w:val="7F56AA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0">
    <w:nsid w:val="344F7967"/>
    <w:multiLevelType w:val="hybridMultilevel"/>
    <w:tmpl w:val="C3AE5E12"/>
    <w:lvl w:ilvl="0" w:tplc="0426000F">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1">
    <w:nsid w:val="34A13E20"/>
    <w:multiLevelType w:val="hybridMultilevel"/>
    <w:tmpl w:val="0282A64A"/>
    <w:lvl w:ilvl="0" w:tplc="ABB6E8FE">
      <w:numFmt w:val="bullet"/>
      <w:lvlText w:val="-"/>
      <w:lvlJc w:val="left"/>
      <w:pPr>
        <w:ind w:left="720" w:hanging="360"/>
      </w:pPr>
      <w:rPr>
        <w:rFonts w:ascii="Times New Roman" w:eastAsia="Times New Roman" w:hAnsi="Times New Roman" w:cs="Times New Roman" w:hint="default"/>
        <w:sz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2">
    <w:nsid w:val="353D12D0"/>
    <w:multiLevelType w:val="multilevel"/>
    <w:tmpl w:val="DC3A4D9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359A099B"/>
    <w:multiLevelType w:val="hybridMultilevel"/>
    <w:tmpl w:val="4A3EAF98"/>
    <w:lvl w:ilvl="0" w:tplc="CB147AF0">
      <w:start w:val="1"/>
      <w:numFmt w:val="bullet"/>
      <w:lvlText w:val=""/>
      <w:lvlJc w:val="left"/>
      <w:pPr>
        <w:ind w:left="720" w:hanging="360"/>
      </w:pPr>
      <w:rPr>
        <w:rFonts w:ascii="Symbol" w:hAnsi="Symbol" w:hint="default"/>
      </w:rPr>
    </w:lvl>
    <w:lvl w:ilvl="1" w:tplc="04260019" w:tentative="1">
      <w:start w:val="1"/>
      <w:numFmt w:val="bullet"/>
      <w:lvlText w:val="o"/>
      <w:lvlJc w:val="left"/>
      <w:pPr>
        <w:ind w:left="1440" w:hanging="360"/>
      </w:pPr>
      <w:rPr>
        <w:rFonts w:ascii="Courier New" w:hAnsi="Courier New" w:cs="Courier New" w:hint="default"/>
      </w:rPr>
    </w:lvl>
    <w:lvl w:ilvl="2" w:tplc="0426001B" w:tentative="1">
      <w:start w:val="1"/>
      <w:numFmt w:val="bullet"/>
      <w:lvlText w:val=""/>
      <w:lvlJc w:val="left"/>
      <w:pPr>
        <w:ind w:left="2160" w:hanging="360"/>
      </w:pPr>
      <w:rPr>
        <w:rFonts w:ascii="Wingdings" w:hAnsi="Wingdings" w:hint="default"/>
      </w:rPr>
    </w:lvl>
    <w:lvl w:ilvl="3" w:tplc="0426000F" w:tentative="1">
      <w:start w:val="1"/>
      <w:numFmt w:val="bullet"/>
      <w:lvlText w:val=""/>
      <w:lvlJc w:val="left"/>
      <w:pPr>
        <w:ind w:left="2880" w:hanging="360"/>
      </w:pPr>
      <w:rPr>
        <w:rFonts w:ascii="Symbol" w:hAnsi="Symbol" w:hint="default"/>
      </w:rPr>
    </w:lvl>
    <w:lvl w:ilvl="4" w:tplc="04260019" w:tentative="1">
      <w:start w:val="1"/>
      <w:numFmt w:val="bullet"/>
      <w:lvlText w:val="o"/>
      <w:lvlJc w:val="left"/>
      <w:pPr>
        <w:ind w:left="3600" w:hanging="360"/>
      </w:pPr>
      <w:rPr>
        <w:rFonts w:ascii="Courier New" w:hAnsi="Courier New" w:cs="Courier New" w:hint="default"/>
      </w:rPr>
    </w:lvl>
    <w:lvl w:ilvl="5" w:tplc="0426001B" w:tentative="1">
      <w:start w:val="1"/>
      <w:numFmt w:val="bullet"/>
      <w:lvlText w:val=""/>
      <w:lvlJc w:val="left"/>
      <w:pPr>
        <w:ind w:left="4320" w:hanging="360"/>
      </w:pPr>
      <w:rPr>
        <w:rFonts w:ascii="Wingdings" w:hAnsi="Wingdings" w:hint="default"/>
      </w:rPr>
    </w:lvl>
    <w:lvl w:ilvl="6" w:tplc="0426000F" w:tentative="1">
      <w:start w:val="1"/>
      <w:numFmt w:val="bullet"/>
      <w:lvlText w:val=""/>
      <w:lvlJc w:val="left"/>
      <w:pPr>
        <w:ind w:left="5040" w:hanging="360"/>
      </w:pPr>
      <w:rPr>
        <w:rFonts w:ascii="Symbol" w:hAnsi="Symbol" w:hint="default"/>
      </w:rPr>
    </w:lvl>
    <w:lvl w:ilvl="7" w:tplc="04260019" w:tentative="1">
      <w:start w:val="1"/>
      <w:numFmt w:val="bullet"/>
      <w:lvlText w:val="o"/>
      <w:lvlJc w:val="left"/>
      <w:pPr>
        <w:ind w:left="5760" w:hanging="360"/>
      </w:pPr>
      <w:rPr>
        <w:rFonts w:ascii="Courier New" w:hAnsi="Courier New" w:cs="Courier New" w:hint="default"/>
      </w:rPr>
    </w:lvl>
    <w:lvl w:ilvl="8" w:tplc="0426001B" w:tentative="1">
      <w:start w:val="1"/>
      <w:numFmt w:val="bullet"/>
      <w:lvlText w:val=""/>
      <w:lvlJc w:val="left"/>
      <w:pPr>
        <w:ind w:left="6480" w:hanging="360"/>
      </w:pPr>
      <w:rPr>
        <w:rFonts w:ascii="Wingdings" w:hAnsi="Wingdings" w:hint="default"/>
      </w:rPr>
    </w:lvl>
  </w:abstractNum>
  <w:abstractNum w:abstractNumId="84">
    <w:nsid w:val="364941E5"/>
    <w:multiLevelType w:val="hybridMultilevel"/>
    <w:tmpl w:val="72549170"/>
    <w:lvl w:ilvl="0" w:tplc="751040F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5">
    <w:nsid w:val="36CC6847"/>
    <w:multiLevelType w:val="hybridMultilevel"/>
    <w:tmpl w:val="99E8C5DE"/>
    <w:lvl w:ilvl="0" w:tplc="0F5EEDD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6">
    <w:nsid w:val="37A90592"/>
    <w:multiLevelType w:val="hybridMultilevel"/>
    <w:tmpl w:val="D1BC98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7">
    <w:nsid w:val="3A2E3F90"/>
    <w:multiLevelType w:val="hybridMultilevel"/>
    <w:tmpl w:val="804A1A50"/>
    <w:lvl w:ilvl="0" w:tplc="ABB6E8F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8">
    <w:nsid w:val="3A603D89"/>
    <w:multiLevelType w:val="hybridMultilevel"/>
    <w:tmpl w:val="E6B412E0"/>
    <w:lvl w:ilvl="0" w:tplc="04260001">
      <w:numFmt w:val="bullet"/>
      <w:lvlText w:val="-"/>
      <w:lvlJc w:val="left"/>
      <w:pPr>
        <w:ind w:left="720" w:hanging="360"/>
      </w:pPr>
      <w:rPr>
        <w:rFonts w:ascii="Times New Roman" w:eastAsia="Times New Roman" w:hAnsi="Times New Roman" w:cs="Times New Roman" w:hint="default"/>
        <w:sz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9">
    <w:nsid w:val="3A911BE4"/>
    <w:multiLevelType w:val="hybridMultilevel"/>
    <w:tmpl w:val="4EE8AD42"/>
    <w:lvl w:ilvl="0" w:tplc="04260001">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90">
    <w:nsid w:val="3B2826F1"/>
    <w:multiLevelType w:val="hybridMultilevel"/>
    <w:tmpl w:val="47EA66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1">
    <w:nsid w:val="3B3520D5"/>
    <w:multiLevelType w:val="hybridMultilevel"/>
    <w:tmpl w:val="957A0FF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2">
    <w:nsid w:val="3D4719F9"/>
    <w:multiLevelType w:val="hybridMultilevel"/>
    <w:tmpl w:val="50CAA7E6"/>
    <w:lvl w:ilvl="0" w:tplc="04260001">
      <w:numFmt w:val="bullet"/>
      <w:lvlText w:val="-"/>
      <w:lvlJc w:val="left"/>
      <w:pPr>
        <w:ind w:left="720" w:hanging="360"/>
      </w:pPr>
      <w:rPr>
        <w:rFonts w:ascii="Times New Roman" w:eastAsia="Times New Roman" w:hAnsi="Times New Roman" w:cs="Times New Roman" w:hint="default"/>
        <w:sz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3">
    <w:nsid w:val="3E267910"/>
    <w:multiLevelType w:val="hybridMultilevel"/>
    <w:tmpl w:val="0FBC1E10"/>
    <w:lvl w:ilvl="0" w:tplc="751040FC">
      <w:start w:val="1"/>
      <w:numFmt w:val="decimal"/>
      <w:lvlText w:val="%1)"/>
      <w:lvlJc w:val="left"/>
      <w:pPr>
        <w:ind w:left="720" w:hanging="360"/>
      </w:pPr>
      <w:rPr>
        <w:rFonts w:hint="default"/>
      </w:rPr>
    </w:lvl>
    <w:lvl w:ilvl="1" w:tplc="04260003" w:tentative="1">
      <w:start w:val="1"/>
      <w:numFmt w:val="lowerLetter"/>
      <w:lvlText w:val="%2."/>
      <w:lvlJc w:val="left"/>
      <w:pPr>
        <w:ind w:left="1440" w:hanging="360"/>
      </w:pPr>
    </w:lvl>
    <w:lvl w:ilvl="2" w:tplc="04260005" w:tentative="1">
      <w:start w:val="1"/>
      <w:numFmt w:val="lowerRoman"/>
      <w:lvlText w:val="%3."/>
      <w:lvlJc w:val="right"/>
      <w:pPr>
        <w:ind w:left="2160" w:hanging="180"/>
      </w:pPr>
    </w:lvl>
    <w:lvl w:ilvl="3" w:tplc="04260001" w:tentative="1">
      <w:start w:val="1"/>
      <w:numFmt w:val="decimal"/>
      <w:lvlText w:val="%4."/>
      <w:lvlJc w:val="left"/>
      <w:pPr>
        <w:ind w:left="2880" w:hanging="360"/>
      </w:pPr>
    </w:lvl>
    <w:lvl w:ilvl="4" w:tplc="04260003" w:tentative="1">
      <w:start w:val="1"/>
      <w:numFmt w:val="lowerLetter"/>
      <w:lvlText w:val="%5."/>
      <w:lvlJc w:val="left"/>
      <w:pPr>
        <w:ind w:left="3600" w:hanging="360"/>
      </w:pPr>
    </w:lvl>
    <w:lvl w:ilvl="5" w:tplc="04260005" w:tentative="1">
      <w:start w:val="1"/>
      <w:numFmt w:val="lowerRoman"/>
      <w:lvlText w:val="%6."/>
      <w:lvlJc w:val="right"/>
      <w:pPr>
        <w:ind w:left="4320" w:hanging="180"/>
      </w:pPr>
    </w:lvl>
    <w:lvl w:ilvl="6" w:tplc="04260001" w:tentative="1">
      <w:start w:val="1"/>
      <w:numFmt w:val="decimal"/>
      <w:lvlText w:val="%7."/>
      <w:lvlJc w:val="left"/>
      <w:pPr>
        <w:ind w:left="5040" w:hanging="360"/>
      </w:pPr>
    </w:lvl>
    <w:lvl w:ilvl="7" w:tplc="04260003" w:tentative="1">
      <w:start w:val="1"/>
      <w:numFmt w:val="lowerLetter"/>
      <w:lvlText w:val="%8."/>
      <w:lvlJc w:val="left"/>
      <w:pPr>
        <w:ind w:left="5760" w:hanging="360"/>
      </w:pPr>
    </w:lvl>
    <w:lvl w:ilvl="8" w:tplc="04260005" w:tentative="1">
      <w:start w:val="1"/>
      <w:numFmt w:val="lowerRoman"/>
      <w:lvlText w:val="%9."/>
      <w:lvlJc w:val="right"/>
      <w:pPr>
        <w:ind w:left="6480" w:hanging="180"/>
      </w:pPr>
    </w:lvl>
  </w:abstractNum>
  <w:abstractNum w:abstractNumId="94">
    <w:nsid w:val="3EE21AE6"/>
    <w:multiLevelType w:val="hybridMultilevel"/>
    <w:tmpl w:val="4AB21C9A"/>
    <w:lvl w:ilvl="0" w:tplc="04260011">
      <w:start w:val="1"/>
      <w:numFmt w:val="bullet"/>
      <w:lvlText w:val=""/>
      <w:lvlJc w:val="left"/>
      <w:pPr>
        <w:ind w:left="720" w:hanging="360"/>
      </w:pPr>
      <w:rPr>
        <w:rFonts w:ascii="Symbol" w:hAnsi="Symbol" w:hint="default"/>
      </w:rPr>
    </w:lvl>
    <w:lvl w:ilvl="1" w:tplc="04260019" w:tentative="1">
      <w:start w:val="1"/>
      <w:numFmt w:val="bullet"/>
      <w:lvlText w:val="o"/>
      <w:lvlJc w:val="left"/>
      <w:pPr>
        <w:ind w:left="1440" w:hanging="360"/>
      </w:pPr>
      <w:rPr>
        <w:rFonts w:ascii="Courier New" w:hAnsi="Courier New" w:cs="Courier New" w:hint="default"/>
      </w:rPr>
    </w:lvl>
    <w:lvl w:ilvl="2" w:tplc="0426001B">
      <w:start w:val="1"/>
      <w:numFmt w:val="bullet"/>
      <w:lvlText w:val=""/>
      <w:lvlJc w:val="left"/>
      <w:pPr>
        <w:ind w:left="2160" w:hanging="360"/>
      </w:pPr>
      <w:rPr>
        <w:rFonts w:ascii="Wingdings" w:hAnsi="Wingdings" w:hint="default"/>
      </w:rPr>
    </w:lvl>
    <w:lvl w:ilvl="3" w:tplc="0426000F" w:tentative="1">
      <w:start w:val="1"/>
      <w:numFmt w:val="bullet"/>
      <w:lvlText w:val=""/>
      <w:lvlJc w:val="left"/>
      <w:pPr>
        <w:ind w:left="2880" w:hanging="360"/>
      </w:pPr>
      <w:rPr>
        <w:rFonts w:ascii="Symbol" w:hAnsi="Symbol" w:hint="default"/>
      </w:rPr>
    </w:lvl>
    <w:lvl w:ilvl="4" w:tplc="04260019" w:tentative="1">
      <w:start w:val="1"/>
      <w:numFmt w:val="bullet"/>
      <w:lvlText w:val="o"/>
      <w:lvlJc w:val="left"/>
      <w:pPr>
        <w:ind w:left="3600" w:hanging="360"/>
      </w:pPr>
      <w:rPr>
        <w:rFonts w:ascii="Courier New" w:hAnsi="Courier New" w:cs="Courier New" w:hint="default"/>
      </w:rPr>
    </w:lvl>
    <w:lvl w:ilvl="5" w:tplc="0426001B" w:tentative="1">
      <w:start w:val="1"/>
      <w:numFmt w:val="bullet"/>
      <w:lvlText w:val=""/>
      <w:lvlJc w:val="left"/>
      <w:pPr>
        <w:ind w:left="4320" w:hanging="360"/>
      </w:pPr>
      <w:rPr>
        <w:rFonts w:ascii="Wingdings" w:hAnsi="Wingdings" w:hint="default"/>
      </w:rPr>
    </w:lvl>
    <w:lvl w:ilvl="6" w:tplc="0426000F" w:tentative="1">
      <w:start w:val="1"/>
      <w:numFmt w:val="bullet"/>
      <w:lvlText w:val=""/>
      <w:lvlJc w:val="left"/>
      <w:pPr>
        <w:ind w:left="5040" w:hanging="360"/>
      </w:pPr>
      <w:rPr>
        <w:rFonts w:ascii="Symbol" w:hAnsi="Symbol" w:hint="default"/>
      </w:rPr>
    </w:lvl>
    <w:lvl w:ilvl="7" w:tplc="04260019" w:tentative="1">
      <w:start w:val="1"/>
      <w:numFmt w:val="bullet"/>
      <w:lvlText w:val="o"/>
      <w:lvlJc w:val="left"/>
      <w:pPr>
        <w:ind w:left="5760" w:hanging="360"/>
      </w:pPr>
      <w:rPr>
        <w:rFonts w:ascii="Courier New" w:hAnsi="Courier New" w:cs="Courier New" w:hint="default"/>
      </w:rPr>
    </w:lvl>
    <w:lvl w:ilvl="8" w:tplc="0426001B" w:tentative="1">
      <w:start w:val="1"/>
      <w:numFmt w:val="bullet"/>
      <w:lvlText w:val=""/>
      <w:lvlJc w:val="left"/>
      <w:pPr>
        <w:ind w:left="6480" w:hanging="360"/>
      </w:pPr>
      <w:rPr>
        <w:rFonts w:ascii="Wingdings" w:hAnsi="Wingdings" w:hint="default"/>
      </w:rPr>
    </w:lvl>
  </w:abstractNum>
  <w:abstractNum w:abstractNumId="95">
    <w:nsid w:val="3F196F19"/>
    <w:multiLevelType w:val="hybridMultilevel"/>
    <w:tmpl w:val="BBB6C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3F376416"/>
    <w:multiLevelType w:val="hybridMultilevel"/>
    <w:tmpl w:val="BAC48444"/>
    <w:lvl w:ilvl="0" w:tplc="04260001">
      <w:numFmt w:val="bullet"/>
      <w:lvlText w:val="-"/>
      <w:lvlJc w:val="left"/>
      <w:pPr>
        <w:ind w:left="720" w:hanging="360"/>
      </w:pPr>
      <w:rPr>
        <w:rFonts w:ascii="Times New Roman" w:eastAsia="Times New Roman" w:hAnsi="Times New Roman" w:cs="Times New Roman" w:hint="default"/>
        <w:sz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7">
    <w:nsid w:val="3F6001A0"/>
    <w:multiLevelType w:val="hybridMultilevel"/>
    <w:tmpl w:val="305230E0"/>
    <w:lvl w:ilvl="0" w:tplc="04260001">
      <w:start w:val="1"/>
      <w:numFmt w:val="bullet"/>
      <w:lvlText w:val=""/>
      <w:lvlJc w:val="left"/>
      <w:pPr>
        <w:ind w:left="720" w:hanging="360"/>
      </w:pPr>
      <w:rPr>
        <w:rFonts w:ascii="Symbol" w:hAnsi="Symbol"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8">
    <w:nsid w:val="42B30975"/>
    <w:multiLevelType w:val="hybridMultilevel"/>
    <w:tmpl w:val="139809B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9">
    <w:nsid w:val="42DE7CB6"/>
    <w:multiLevelType w:val="hybridMultilevel"/>
    <w:tmpl w:val="62C6B1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0">
    <w:nsid w:val="43222C8F"/>
    <w:multiLevelType w:val="hybridMultilevel"/>
    <w:tmpl w:val="604225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1">
    <w:nsid w:val="436F44F9"/>
    <w:multiLevelType w:val="hybridMultilevel"/>
    <w:tmpl w:val="AF107A70"/>
    <w:lvl w:ilvl="0" w:tplc="0409000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474629D"/>
    <w:multiLevelType w:val="hybridMultilevel"/>
    <w:tmpl w:val="D082B12A"/>
    <w:lvl w:ilvl="0" w:tplc="04260001">
      <w:start w:val="1"/>
      <w:numFmt w:val="bullet"/>
      <w:lvlText w:val=""/>
      <w:lvlJc w:val="left"/>
      <w:pPr>
        <w:ind w:left="720" w:hanging="360"/>
      </w:pPr>
      <w:rPr>
        <w:rFonts w:ascii="Symbol" w:hAnsi="Symbol" w:hint="default"/>
        <w:sz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3">
    <w:nsid w:val="488C6749"/>
    <w:multiLevelType w:val="hybridMultilevel"/>
    <w:tmpl w:val="A9662A2C"/>
    <w:lvl w:ilvl="0" w:tplc="751040FC">
      <w:start w:val="1"/>
      <w:numFmt w:val="bullet"/>
      <w:lvlText w:val=""/>
      <w:lvlJc w:val="left"/>
      <w:pPr>
        <w:ind w:left="754" w:hanging="360"/>
      </w:pPr>
      <w:rPr>
        <w:rFonts w:ascii="Symbol" w:hAnsi="Symbol" w:hint="default"/>
      </w:rPr>
    </w:lvl>
    <w:lvl w:ilvl="1" w:tplc="04260003" w:tentative="1">
      <w:start w:val="1"/>
      <w:numFmt w:val="bullet"/>
      <w:lvlText w:val="o"/>
      <w:lvlJc w:val="left"/>
      <w:pPr>
        <w:ind w:left="1474" w:hanging="360"/>
      </w:pPr>
      <w:rPr>
        <w:rFonts w:ascii="Courier New" w:hAnsi="Courier New" w:cs="Courier New" w:hint="default"/>
      </w:rPr>
    </w:lvl>
    <w:lvl w:ilvl="2" w:tplc="04260005" w:tentative="1">
      <w:start w:val="1"/>
      <w:numFmt w:val="bullet"/>
      <w:lvlText w:val=""/>
      <w:lvlJc w:val="left"/>
      <w:pPr>
        <w:ind w:left="2194" w:hanging="360"/>
      </w:pPr>
      <w:rPr>
        <w:rFonts w:ascii="Wingdings" w:hAnsi="Wingdings" w:hint="default"/>
      </w:rPr>
    </w:lvl>
    <w:lvl w:ilvl="3" w:tplc="04260001" w:tentative="1">
      <w:start w:val="1"/>
      <w:numFmt w:val="bullet"/>
      <w:lvlText w:val=""/>
      <w:lvlJc w:val="left"/>
      <w:pPr>
        <w:ind w:left="2914" w:hanging="360"/>
      </w:pPr>
      <w:rPr>
        <w:rFonts w:ascii="Symbol" w:hAnsi="Symbol" w:hint="default"/>
      </w:rPr>
    </w:lvl>
    <w:lvl w:ilvl="4" w:tplc="04260003" w:tentative="1">
      <w:start w:val="1"/>
      <w:numFmt w:val="bullet"/>
      <w:lvlText w:val="o"/>
      <w:lvlJc w:val="left"/>
      <w:pPr>
        <w:ind w:left="3634" w:hanging="360"/>
      </w:pPr>
      <w:rPr>
        <w:rFonts w:ascii="Courier New" w:hAnsi="Courier New" w:cs="Courier New" w:hint="default"/>
      </w:rPr>
    </w:lvl>
    <w:lvl w:ilvl="5" w:tplc="04260005" w:tentative="1">
      <w:start w:val="1"/>
      <w:numFmt w:val="bullet"/>
      <w:lvlText w:val=""/>
      <w:lvlJc w:val="left"/>
      <w:pPr>
        <w:ind w:left="4354" w:hanging="360"/>
      </w:pPr>
      <w:rPr>
        <w:rFonts w:ascii="Wingdings" w:hAnsi="Wingdings" w:hint="default"/>
      </w:rPr>
    </w:lvl>
    <w:lvl w:ilvl="6" w:tplc="04260001" w:tentative="1">
      <w:start w:val="1"/>
      <w:numFmt w:val="bullet"/>
      <w:lvlText w:val=""/>
      <w:lvlJc w:val="left"/>
      <w:pPr>
        <w:ind w:left="5074" w:hanging="360"/>
      </w:pPr>
      <w:rPr>
        <w:rFonts w:ascii="Symbol" w:hAnsi="Symbol" w:hint="default"/>
      </w:rPr>
    </w:lvl>
    <w:lvl w:ilvl="7" w:tplc="04260003" w:tentative="1">
      <w:start w:val="1"/>
      <w:numFmt w:val="bullet"/>
      <w:lvlText w:val="o"/>
      <w:lvlJc w:val="left"/>
      <w:pPr>
        <w:ind w:left="5794" w:hanging="360"/>
      </w:pPr>
      <w:rPr>
        <w:rFonts w:ascii="Courier New" w:hAnsi="Courier New" w:cs="Courier New" w:hint="default"/>
      </w:rPr>
    </w:lvl>
    <w:lvl w:ilvl="8" w:tplc="04260005" w:tentative="1">
      <w:start w:val="1"/>
      <w:numFmt w:val="bullet"/>
      <w:lvlText w:val=""/>
      <w:lvlJc w:val="left"/>
      <w:pPr>
        <w:ind w:left="6514" w:hanging="360"/>
      </w:pPr>
      <w:rPr>
        <w:rFonts w:ascii="Wingdings" w:hAnsi="Wingdings" w:hint="default"/>
      </w:rPr>
    </w:lvl>
  </w:abstractNum>
  <w:abstractNum w:abstractNumId="104">
    <w:nsid w:val="4A514F8D"/>
    <w:multiLevelType w:val="hybridMultilevel"/>
    <w:tmpl w:val="43DEEDAC"/>
    <w:lvl w:ilvl="0" w:tplc="04260005">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5">
    <w:nsid w:val="4A5B475D"/>
    <w:multiLevelType w:val="hybridMultilevel"/>
    <w:tmpl w:val="E3C69E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AAE2D1B"/>
    <w:multiLevelType w:val="hybridMultilevel"/>
    <w:tmpl w:val="674C5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4B461083"/>
    <w:multiLevelType w:val="hybridMultilevel"/>
    <w:tmpl w:val="37AE8624"/>
    <w:lvl w:ilvl="0" w:tplc="ABB6E8F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8">
    <w:nsid w:val="4B77548F"/>
    <w:multiLevelType w:val="hybridMultilevel"/>
    <w:tmpl w:val="57445CD0"/>
    <w:lvl w:ilvl="0" w:tplc="04260001">
      <w:numFmt w:val="bullet"/>
      <w:lvlText w:val="-"/>
      <w:lvlJc w:val="left"/>
      <w:pPr>
        <w:ind w:left="720" w:hanging="360"/>
      </w:pPr>
      <w:rPr>
        <w:rFonts w:ascii="Times New Roman" w:eastAsia="Times New Roman" w:hAnsi="Times New Roman" w:cs="Times New Roman" w:hint="default"/>
        <w:sz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9">
    <w:nsid w:val="4BEC71EE"/>
    <w:multiLevelType w:val="hybridMultilevel"/>
    <w:tmpl w:val="F86E2D82"/>
    <w:lvl w:ilvl="0" w:tplc="04260001">
      <w:numFmt w:val="bullet"/>
      <w:lvlText w:val="-"/>
      <w:lvlJc w:val="left"/>
      <w:pPr>
        <w:ind w:left="720" w:hanging="360"/>
      </w:pPr>
      <w:rPr>
        <w:rFonts w:ascii="Times New Roman" w:eastAsia="Times New Roman" w:hAnsi="Times New Roman" w:cs="Times New Roman" w:hint="default"/>
        <w:sz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0">
    <w:nsid w:val="4C8D7A39"/>
    <w:multiLevelType w:val="hybridMultilevel"/>
    <w:tmpl w:val="986E2866"/>
    <w:lvl w:ilvl="0" w:tplc="751040FC">
      <w:start w:val="1"/>
      <w:numFmt w:val="decimal"/>
      <w:lvlText w:val="%1."/>
      <w:lvlJc w:val="left"/>
      <w:pPr>
        <w:ind w:left="720" w:hanging="360"/>
      </w:pPr>
      <w:rPr>
        <w:rFonts w:hint="default"/>
      </w:rPr>
    </w:lvl>
    <w:lvl w:ilvl="1" w:tplc="04260003">
      <w:start w:val="1"/>
      <w:numFmt w:val="lowerLetter"/>
      <w:lvlText w:val="%2."/>
      <w:lvlJc w:val="left"/>
      <w:pPr>
        <w:ind w:left="1440" w:hanging="360"/>
      </w:pPr>
    </w:lvl>
    <w:lvl w:ilvl="2" w:tplc="04260005" w:tentative="1">
      <w:start w:val="1"/>
      <w:numFmt w:val="lowerRoman"/>
      <w:lvlText w:val="%3."/>
      <w:lvlJc w:val="right"/>
      <w:pPr>
        <w:ind w:left="2160" w:hanging="180"/>
      </w:pPr>
    </w:lvl>
    <w:lvl w:ilvl="3" w:tplc="04260001" w:tentative="1">
      <w:start w:val="1"/>
      <w:numFmt w:val="decimal"/>
      <w:lvlText w:val="%4."/>
      <w:lvlJc w:val="left"/>
      <w:pPr>
        <w:ind w:left="2880" w:hanging="360"/>
      </w:pPr>
    </w:lvl>
    <w:lvl w:ilvl="4" w:tplc="04260003" w:tentative="1">
      <w:start w:val="1"/>
      <w:numFmt w:val="lowerLetter"/>
      <w:lvlText w:val="%5."/>
      <w:lvlJc w:val="left"/>
      <w:pPr>
        <w:ind w:left="3600" w:hanging="360"/>
      </w:pPr>
    </w:lvl>
    <w:lvl w:ilvl="5" w:tplc="04260005" w:tentative="1">
      <w:start w:val="1"/>
      <w:numFmt w:val="lowerRoman"/>
      <w:lvlText w:val="%6."/>
      <w:lvlJc w:val="right"/>
      <w:pPr>
        <w:ind w:left="4320" w:hanging="180"/>
      </w:pPr>
    </w:lvl>
    <w:lvl w:ilvl="6" w:tplc="04260001" w:tentative="1">
      <w:start w:val="1"/>
      <w:numFmt w:val="decimal"/>
      <w:lvlText w:val="%7."/>
      <w:lvlJc w:val="left"/>
      <w:pPr>
        <w:ind w:left="5040" w:hanging="360"/>
      </w:pPr>
    </w:lvl>
    <w:lvl w:ilvl="7" w:tplc="04260003" w:tentative="1">
      <w:start w:val="1"/>
      <w:numFmt w:val="lowerLetter"/>
      <w:lvlText w:val="%8."/>
      <w:lvlJc w:val="left"/>
      <w:pPr>
        <w:ind w:left="5760" w:hanging="360"/>
      </w:pPr>
    </w:lvl>
    <w:lvl w:ilvl="8" w:tplc="04260005" w:tentative="1">
      <w:start w:val="1"/>
      <w:numFmt w:val="lowerRoman"/>
      <w:lvlText w:val="%9."/>
      <w:lvlJc w:val="right"/>
      <w:pPr>
        <w:ind w:left="6480" w:hanging="180"/>
      </w:pPr>
    </w:lvl>
  </w:abstractNum>
  <w:abstractNum w:abstractNumId="111">
    <w:nsid w:val="4CFE7175"/>
    <w:multiLevelType w:val="hybridMultilevel"/>
    <w:tmpl w:val="D8387042"/>
    <w:lvl w:ilvl="0" w:tplc="751040F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2">
    <w:nsid w:val="4D8E7AC2"/>
    <w:multiLevelType w:val="hybridMultilevel"/>
    <w:tmpl w:val="788885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3">
    <w:nsid w:val="4E3217AF"/>
    <w:multiLevelType w:val="hybridMultilevel"/>
    <w:tmpl w:val="99E096E0"/>
    <w:lvl w:ilvl="0" w:tplc="ABB6E8F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4">
    <w:nsid w:val="4FE95ABD"/>
    <w:multiLevelType w:val="hybridMultilevel"/>
    <w:tmpl w:val="85F8DF58"/>
    <w:lvl w:ilvl="0" w:tplc="ABB6E8FE">
      <w:numFmt w:val="bullet"/>
      <w:lvlText w:val="-"/>
      <w:lvlJc w:val="left"/>
      <w:pPr>
        <w:ind w:left="720" w:hanging="360"/>
      </w:pPr>
      <w:rPr>
        <w:rFonts w:ascii="Times New Roman" w:eastAsia="Times New Roman" w:hAnsi="Times New Roman" w:cs="Times New Roman" w:hint="default"/>
        <w:sz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5">
    <w:nsid w:val="51D2270B"/>
    <w:multiLevelType w:val="hybridMultilevel"/>
    <w:tmpl w:val="0116EAE8"/>
    <w:lvl w:ilvl="0" w:tplc="751040FC">
      <w:numFmt w:val="bullet"/>
      <w:lvlText w:val="-"/>
      <w:lvlJc w:val="left"/>
      <w:pPr>
        <w:ind w:left="720" w:hanging="360"/>
      </w:pPr>
      <w:rPr>
        <w:rFonts w:ascii="Times New Roman" w:eastAsia="Times New Roman" w:hAnsi="Times New Roman" w:cs="Times New Roman" w:hint="default"/>
        <w:sz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6">
    <w:nsid w:val="5213685E"/>
    <w:multiLevelType w:val="hybridMultilevel"/>
    <w:tmpl w:val="57C467F4"/>
    <w:lvl w:ilvl="0" w:tplc="ABB6E8FE">
      <w:numFmt w:val="bullet"/>
      <w:lvlText w:val="-"/>
      <w:lvlJc w:val="left"/>
      <w:pPr>
        <w:ind w:left="720" w:hanging="360"/>
      </w:pPr>
      <w:rPr>
        <w:rFonts w:ascii="Times New Roman" w:eastAsia="Times New Roman" w:hAnsi="Times New Roman" w:cs="Times New Roman" w:hint="default"/>
        <w:sz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7">
    <w:nsid w:val="52EF5504"/>
    <w:multiLevelType w:val="hybridMultilevel"/>
    <w:tmpl w:val="607C0362"/>
    <w:lvl w:ilvl="0" w:tplc="751040FC">
      <w:numFmt w:val="bullet"/>
      <w:lvlText w:val="-"/>
      <w:lvlJc w:val="left"/>
      <w:pPr>
        <w:ind w:left="720" w:hanging="360"/>
      </w:pPr>
      <w:rPr>
        <w:rFonts w:ascii="Times New Roman" w:eastAsia="Times New Roman" w:hAnsi="Times New Roman" w:cs="Times New Roman" w:hint="default"/>
        <w:sz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8">
    <w:nsid w:val="53907017"/>
    <w:multiLevelType w:val="hybridMultilevel"/>
    <w:tmpl w:val="C6DC7B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9">
    <w:nsid w:val="53C45AFC"/>
    <w:multiLevelType w:val="hybridMultilevel"/>
    <w:tmpl w:val="A13E36FA"/>
    <w:lvl w:ilvl="0" w:tplc="ABB6E8F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0">
    <w:nsid w:val="541B45BD"/>
    <w:multiLevelType w:val="hybridMultilevel"/>
    <w:tmpl w:val="56683CB0"/>
    <w:lvl w:ilvl="0" w:tplc="751040F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1">
    <w:nsid w:val="55532BA0"/>
    <w:multiLevelType w:val="hybridMultilevel"/>
    <w:tmpl w:val="839203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2">
    <w:nsid w:val="558F1FB4"/>
    <w:multiLevelType w:val="hybridMultilevel"/>
    <w:tmpl w:val="1FB25A52"/>
    <w:lvl w:ilvl="0" w:tplc="ABB6E8FE">
      <w:start w:val="1"/>
      <w:numFmt w:val="decimal"/>
      <w:lvlText w:val="%1."/>
      <w:lvlJc w:val="left"/>
      <w:pPr>
        <w:ind w:left="720" w:hanging="360"/>
      </w:pPr>
      <w:rPr>
        <w:rFonts w:hint="default"/>
      </w:rPr>
    </w:lvl>
    <w:lvl w:ilvl="1" w:tplc="04260003">
      <w:start w:val="1"/>
      <w:numFmt w:val="lowerLetter"/>
      <w:lvlText w:val="%2."/>
      <w:lvlJc w:val="left"/>
      <w:pPr>
        <w:ind w:left="1440" w:hanging="360"/>
      </w:pPr>
    </w:lvl>
    <w:lvl w:ilvl="2" w:tplc="04260005">
      <w:start w:val="2"/>
      <w:numFmt w:val="bullet"/>
      <w:lvlText w:val="-"/>
      <w:lvlJc w:val="left"/>
      <w:pPr>
        <w:ind w:left="2340" w:hanging="360"/>
      </w:pPr>
      <w:rPr>
        <w:rFonts w:ascii="Times New Roman" w:eastAsiaTheme="majorEastAsia" w:hAnsi="Times New Roman" w:cs="Times New Roman" w:hint="default"/>
      </w:rPr>
    </w:lvl>
    <w:lvl w:ilvl="3" w:tplc="04260001" w:tentative="1">
      <w:start w:val="1"/>
      <w:numFmt w:val="decimal"/>
      <w:lvlText w:val="%4."/>
      <w:lvlJc w:val="left"/>
      <w:pPr>
        <w:ind w:left="2880" w:hanging="360"/>
      </w:pPr>
    </w:lvl>
    <w:lvl w:ilvl="4" w:tplc="04260003" w:tentative="1">
      <w:start w:val="1"/>
      <w:numFmt w:val="lowerLetter"/>
      <w:lvlText w:val="%5."/>
      <w:lvlJc w:val="left"/>
      <w:pPr>
        <w:ind w:left="3600" w:hanging="360"/>
      </w:pPr>
    </w:lvl>
    <w:lvl w:ilvl="5" w:tplc="04260005" w:tentative="1">
      <w:start w:val="1"/>
      <w:numFmt w:val="lowerRoman"/>
      <w:lvlText w:val="%6."/>
      <w:lvlJc w:val="right"/>
      <w:pPr>
        <w:ind w:left="4320" w:hanging="180"/>
      </w:pPr>
    </w:lvl>
    <w:lvl w:ilvl="6" w:tplc="04260001" w:tentative="1">
      <w:start w:val="1"/>
      <w:numFmt w:val="decimal"/>
      <w:lvlText w:val="%7."/>
      <w:lvlJc w:val="left"/>
      <w:pPr>
        <w:ind w:left="5040" w:hanging="360"/>
      </w:pPr>
    </w:lvl>
    <w:lvl w:ilvl="7" w:tplc="04260003" w:tentative="1">
      <w:start w:val="1"/>
      <w:numFmt w:val="lowerLetter"/>
      <w:lvlText w:val="%8."/>
      <w:lvlJc w:val="left"/>
      <w:pPr>
        <w:ind w:left="5760" w:hanging="360"/>
      </w:pPr>
    </w:lvl>
    <w:lvl w:ilvl="8" w:tplc="04260005" w:tentative="1">
      <w:start w:val="1"/>
      <w:numFmt w:val="lowerRoman"/>
      <w:lvlText w:val="%9."/>
      <w:lvlJc w:val="right"/>
      <w:pPr>
        <w:ind w:left="6480" w:hanging="180"/>
      </w:pPr>
    </w:lvl>
  </w:abstractNum>
  <w:abstractNum w:abstractNumId="123">
    <w:nsid w:val="55FF4E9B"/>
    <w:multiLevelType w:val="hybridMultilevel"/>
    <w:tmpl w:val="8CBED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5FF6A16"/>
    <w:multiLevelType w:val="hybridMultilevel"/>
    <w:tmpl w:val="16AE5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63C11E1"/>
    <w:multiLevelType w:val="hybridMultilevel"/>
    <w:tmpl w:val="1168435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6">
    <w:nsid w:val="571D41CD"/>
    <w:multiLevelType w:val="hybridMultilevel"/>
    <w:tmpl w:val="1ADCBF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7">
    <w:nsid w:val="58C70AA3"/>
    <w:multiLevelType w:val="hybridMultilevel"/>
    <w:tmpl w:val="A322C7EE"/>
    <w:lvl w:ilvl="0" w:tplc="0426000F">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35A42140"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28">
    <w:nsid w:val="59C35CB8"/>
    <w:multiLevelType w:val="hybridMultilevel"/>
    <w:tmpl w:val="6E44A31C"/>
    <w:lvl w:ilvl="0" w:tplc="ABB6E8F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9">
    <w:nsid w:val="5D316D09"/>
    <w:multiLevelType w:val="hybridMultilevel"/>
    <w:tmpl w:val="9AFE6F7E"/>
    <w:lvl w:ilvl="0" w:tplc="04260011">
      <w:start w:val="1"/>
      <w:numFmt w:val="bullet"/>
      <w:lvlText w:val=""/>
      <w:lvlJc w:val="left"/>
      <w:pPr>
        <w:ind w:left="720" w:hanging="360"/>
      </w:pPr>
      <w:rPr>
        <w:rFonts w:ascii="Symbol" w:hAnsi="Symbol" w:hint="default"/>
      </w:rPr>
    </w:lvl>
    <w:lvl w:ilvl="1" w:tplc="04260019" w:tentative="1">
      <w:start w:val="1"/>
      <w:numFmt w:val="bullet"/>
      <w:lvlText w:val="o"/>
      <w:lvlJc w:val="left"/>
      <w:pPr>
        <w:ind w:left="1440" w:hanging="360"/>
      </w:pPr>
      <w:rPr>
        <w:rFonts w:ascii="Courier New" w:hAnsi="Courier New" w:cs="Courier New" w:hint="default"/>
      </w:rPr>
    </w:lvl>
    <w:lvl w:ilvl="2" w:tplc="0426001B" w:tentative="1">
      <w:start w:val="1"/>
      <w:numFmt w:val="bullet"/>
      <w:lvlText w:val=""/>
      <w:lvlJc w:val="left"/>
      <w:pPr>
        <w:ind w:left="2160" w:hanging="360"/>
      </w:pPr>
      <w:rPr>
        <w:rFonts w:ascii="Wingdings" w:hAnsi="Wingdings" w:hint="default"/>
      </w:rPr>
    </w:lvl>
    <w:lvl w:ilvl="3" w:tplc="0426000F" w:tentative="1">
      <w:start w:val="1"/>
      <w:numFmt w:val="bullet"/>
      <w:lvlText w:val=""/>
      <w:lvlJc w:val="left"/>
      <w:pPr>
        <w:ind w:left="2880" w:hanging="360"/>
      </w:pPr>
      <w:rPr>
        <w:rFonts w:ascii="Symbol" w:hAnsi="Symbol" w:hint="default"/>
      </w:rPr>
    </w:lvl>
    <w:lvl w:ilvl="4" w:tplc="04260019" w:tentative="1">
      <w:start w:val="1"/>
      <w:numFmt w:val="bullet"/>
      <w:lvlText w:val="o"/>
      <w:lvlJc w:val="left"/>
      <w:pPr>
        <w:ind w:left="3600" w:hanging="360"/>
      </w:pPr>
      <w:rPr>
        <w:rFonts w:ascii="Courier New" w:hAnsi="Courier New" w:cs="Courier New" w:hint="default"/>
      </w:rPr>
    </w:lvl>
    <w:lvl w:ilvl="5" w:tplc="0426001B" w:tentative="1">
      <w:start w:val="1"/>
      <w:numFmt w:val="bullet"/>
      <w:lvlText w:val=""/>
      <w:lvlJc w:val="left"/>
      <w:pPr>
        <w:ind w:left="4320" w:hanging="360"/>
      </w:pPr>
      <w:rPr>
        <w:rFonts w:ascii="Wingdings" w:hAnsi="Wingdings" w:hint="default"/>
      </w:rPr>
    </w:lvl>
    <w:lvl w:ilvl="6" w:tplc="0426000F" w:tentative="1">
      <w:start w:val="1"/>
      <w:numFmt w:val="bullet"/>
      <w:lvlText w:val=""/>
      <w:lvlJc w:val="left"/>
      <w:pPr>
        <w:ind w:left="5040" w:hanging="360"/>
      </w:pPr>
      <w:rPr>
        <w:rFonts w:ascii="Symbol" w:hAnsi="Symbol" w:hint="default"/>
      </w:rPr>
    </w:lvl>
    <w:lvl w:ilvl="7" w:tplc="04260019" w:tentative="1">
      <w:start w:val="1"/>
      <w:numFmt w:val="bullet"/>
      <w:lvlText w:val="o"/>
      <w:lvlJc w:val="left"/>
      <w:pPr>
        <w:ind w:left="5760" w:hanging="360"/>
      </w:pPr>
      <w:rPr>
        <w:rFonts w:ascii="Courier New" w:hAnsi="Courier New" w:cs="Courier New" w:hint="default"/>
      </w:rPr>
    </w:lvl>
    <w:lvl w:ilvl="8" w:tplc="0426001B" w:tentative="1">
      <w:start w:val="1"/>
      <w:numFmt w:val="bullet"/>
      <w:lvlText w:val=""/>
      <w:lvlJc w:val="left"/>
      <w:pPr>
        <w:ind w:left="6480" w:hanging="360"/>
      </w:pPr>
      <w:rPr>
        <w:rFonts w:ascii="Wingdings" w:hAnsi="Wingdings" w:hint="default"/>
      </w:rPr>
    </w:lvl>
  </w:abstractNum>
  <w:abstractNum w:abstractNumId="130">
    <w:nsid w:val="5D390F61"/>
    <w:multiLevelType w:val="hybridMultilevel"/>
    <w:tmpl w:val="7FAA32E6"/>
    <w:lvl w:ilvl="0" w:tplc="04260001">
      <w:numFmt w:val="bullet"/>
      <w:lvlText w:val="-"/>
      <w:lvlJc w:val="left"/>
      <w:pPr>
        <w:ind w:left="720" w:hanging="360"/>
      </w:pPr>
      <w:rPr>
        <w:rFonts w:ascii="Times New Roman" w:eastAsia="Times New Roman" w:hAnsi="Times New Roman" w:cs="Times New Roman" w:hint="default"/>
        <w:sz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1">
    <w:nsid w:val="5DAB2603"/>
    <w:multiLevelType w:val="hybridMultilevel"/>
    <w:tmpl w:val="0DF84A20"/>
    <w:lvl w:ilvl="0" w:tplc="04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2">
    <w:nsid w:val="5EE53632"/>
    <w:multiLevelType w:val="hybridMultilevel"/>
    <w:tmpl w:val="A0D6D4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3">
    <w:nsid w:val="5F6500FF"/>
    <w:multiLevelType w:val="hybridMultilevel"/>
    <w:tmpl w:val="BDF278CA"/>
    <w:lvl w:ilvl="0" w:tplc="751040F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4">
    <w:nsid w:val="605430C3"/>
    <w:multiLevelType w:val="hybridMultilevel"/>
    <w:tmpl w:val="E20ECB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5">
    <w:nsid w:val="60F448C5"/>
    <w:multiLevelType w:val="hybridMultilevel"/>
    <w:tmpl w:val="F1945C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6">
    <w:nsid w:val="63CC5DC1"/>
    <w:multiLevelType w:val="hybridMultilevel"/>
    <w:tmpl w:val="F6049F7E"/>
    <w:lvl w:ilvl="0" w:tplc="ABB6E8F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7">
    <w:nsid w:val="63D9382C"/>
    <w:multiLevelType w:val="hybridMultilevel"/>
    <w:tmpl w:val="4222A3B4"/>
    <w:lvl w:ilvl="0" w:tplc="751040F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8">
    <w:nsid w:val="63E17577"/>
    <w:multiLevelType w:val="hybridMultilevel"/>
    <w:tmpl w:val="538A5F10"/>
    <w:lvl w:ilvl="0" w:tplc="04260001">
      <w:start w:val="1"/>
      <w:numFmt w:val="bullet"/>
      <w:lvlText w:val=""/>
      <w:lvlJc w:val="left"/>
      <w:pPr>
        <w:ind w:left="720" w:hanging="360"/>
      </w:pPr>
      <w:rPr>
        <w:rFonts w:ascii="Symbol" w:hAnsi="Symbol"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9">
    <w:nsid w:val="64613290"/>
    <w:multiLevelType w:val="hybridMultilevel"/>
    <w:tmpl w:val="1A7E9750"/>
    <w:lvl w:ilvl="0" w:tplc="04260001">
      <w:numFmt w:val="bullet"/>
      <w:lvlText w:val="-"/>
      <w:lvlJc w:val="left"/>
      <w:pPr>
        <w:ind w:left="720" w:hanging="360"/>
      </w:pPr>
      <w:rPr>
        <w:rFonts w:ascii="Times New Roman" w:eastAsia="Times New Roman" w:hAnsi="Times New Roman" w:cs="Times New Roman" w:hint="default"/>
        <w:sz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0">
    <w:nsid w:val="64C76DCC"/>
    <w:multiLevelType w:val="hybridMultilevel"/>
    <w:tmpl w:val="E5765B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1">
    <w:nsid w:val="64F016EA"/>
    <w:multiLevelType w:val="hybridMultilevel"/>
    <w:tmpl w:val="6ADAB796"/>
    <w:lvl w:ilvl="0" w:tplc="751040F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2">
    <w:nsid w:val="6523423D"/>
    <w:multiLevelType w:val="hybridMultilevel"/>
    <w:tmpl w:val="9A24F5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3">
    <w:nsid w:val="652B6F0A"/>
    <w:multiLevelType w:val="hybridMultilevel"/>
    <w:tmpl w:val="1EA863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4">
    <w:nsid w:val="68ED11AF"/>
    <w:multiLevelType w:val="hybridMultilevel"/>
    <w:tmpl w:val="41B633AA"/>
    <w:lvl w:ilvl="0" w:tplc="ABB6E8FE">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45">
    <w:nsid w:val="69E247F5"/>
    <w:multiLevelType w:val="hybridMultilevel"/>
    <w:tmpl w:val="9CF4AF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6">
    <w:nsid w:val="6A0A5C62"/>
    <w:multiLevelType w:val="hybridMultilevel"/>
    <w:tmpl w:val="D8BADB9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7">
    <w:nsid w:val="6AB02292"/>
    <w:multiLevelType w:val="hybridMultilevel"/>
    <w:tmpl w:val="CC08D908"/>
    <w:lvl w:ilvl="0" w:tplc="ABB6E8F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8">
    <w:nsid w:val="6AC0099E"/>
    <w:multiLevelType w:val="hybridMultilevel"/>
    <w:tmpl w:val="6C6E52C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9">
    <w:nsid w:val="6AF040F5"/>
    <w:multiLevelType w:val="hybridMultilevel"/>
    <w:tmpl w:val="66B0CD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0">
    <w:nsid w:val="6B7773F9"/>
    <w:multiLevelType w:val="hybridMultilevel"/>
    <w:tmpl w:val="D4CAD1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1">
    <w:nsid w:val="6D866B03"/>
    <w:multiLevelType w:val="hybridMultilevel"/>
    <w:tmpl w:val="30940A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2">
    <w:nsid w:val="6EB61239"/>
    <w:multiLevelType w:val="multilevel"/>
    <w:tmpl w:val="95B6E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nsid w:val="6F10156B"/>
    <w:multiLevelType w:val="multilevel"/>
    <w:tmpl w:val="51F226B8"/>
    <w:lvl w:ilvl="0">
      <w:start w:val="1"/>
      <w:numFmt w:val="decimal"/>
      <w:pStyle w:val="virsraksts"/>
      <w:lvlText w:val="%1."/>
      <w:lvlJc w:val="left"/>
      <w:pPr>
        <w:ind w:left="360" w:hanging="360"/>
      </w:pPr>
      <w:rPr>
        <w:rFonts w:hint="default"/>
      </w:rPr>
    </w:lvl>
    <w:lvl w:ilvl="1">
      <w:start w:val="1"/>
      <w:numFmt w:val="decimal"/>
      <w:pStyle w:val="apakvirsraksts"/>
      <w:lvlText w:val="%1.%2."/>
      <w:lvlJc w:val="left"/>
      <w:pPr>
        <w:ind w:left="792" w:hanging="432"/>
      </w:pPr>
      <w:rPr>
        <w:rFonts w:hint="default"/>
      </w:rPr>
    </w:lvl>
    <w:lvl w:ilvl="2">
      <w:start w:val="1"/>
      <w:numFmt w:val="decimal"/>
      <w:pStyle w:val="apakapakvirsraksts"/>
      <w:lvlText w:val="%1.%2.%3."/>
      <w:lvlJc w:val="left"/>
      <w:pPr>
        <w:ind w:left="5183" w:hanging="504"/>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pStyle w:val="3apakvirsraksts"/>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4">
    <w:nsid w:val="70D039ED"/>
    <w:multiLevelType w:val="hybridMultilevel"/>
    <w:tmpl w:val="E9A614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5">
    <w:nsid w:val="721317ED"/>
    <w:multiLevelType w:val="hybridMultilevel"/>
    <w:tmpl w:val="17CC3B9C"/>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56">
    <w:nsid w:val="72B15277"/>
    <w:multiLevelType w:val="hybridMultilevel"/>
    <w:tmpl w:val="F306D4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7">
    <w:nsid w:val="72E92480"/>
    <w:multiLevelType w:val="hybridMultilevel"/>
    <w:tmpl w:val="13726B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8">
    <w:nsid w:val="73ED2C12"/>
    <w:multiLevelType w:val="hybridMultilevel"/>
    <w:tmpl w:val="DA64C9B6"/>
    <w:lvl w:ilvl="0" w:tplc="04260001">
      <w:numFmt w:val="bullet"/>
      <w:lvlText w:val="-"/>
      <w:lvlJc w:val="left"/>
      <w:pPr>
        <w:ind w:left="720" w:hanging="360"/>
      </w:pPr>
      <w:rPr>
        <w:rFonts w:ascii="Times New Roman" w:eastAsia="Times New Roman" w:hAnsi="Times New Roman" w:cs="Times New Roman" w:hint="default"/>
        <w:sz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9">
    <w:nsid w:val="7488519F"/>
    <w:multiLevelType w:val="hybridMultilevel"/>
    <w:tmpl w:val="1A00BD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0">
    <w:nsid w:val="75494A0D"/>
    <w:multiLevelType w:val="hybridMultilevel"/>
    <w:tmpl w:val="FCDAEBF4"/>
    <w:lvl w:ilvl="0" w:tplc="04260001">
      <w:start w:val="2018"/>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1">
    <w:nsid w:val="75E1772F"/>
    <w:multiLevelType w:val="hybridMultilevel"/>
    <w:tmpl w:val="3A6837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2">
    <w:nsid w:val="77000080"/>
    <w:multiLevelType w:val="hybridMultilevel"/>
    <w:tmpl w:val="B47A5348"/>
    <w:lvl w:ilvl="0" w:tplc="8304CB1E">
      <w:start w:val="1"/>
      <w:numFmt w:val="decimal"/>
      <w:pStyle w:val="pielikumiem"/>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3">
    <w:nsid w:val="778A2E41"/>
    <w:multiLevelType w:val="hybridMultilevel"/>
    <w:tmpl w:val="476E9F50"/>
    <w:lvl w:ilvl="0" w:tplc="FC54D1FA">
      <w:start w:val="5"/>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4">
    <w:nsid w:val="77956A37"/>
    <w:multiLevelType w:val="hybridMultilevel"/>
    <w:tmpl w:val="2648E8E8"/>
    <w:lvl w:ilvl="0" w:tplc="CB147AF0">
      <w:start w:val="1"/>
      <w:numFmt w:val="bullet"/>
      <w:lvlText w:val=""/>
      <w:lvlJc w:val="left"/>
      <w:pPr>
        <w:ind w:left="720" w:hanging="360"/>
      </w:pPr>
      <w:rPr>
        <w:rFonts w:ascii="Symbol" w:hAnsi="Symbol" w:hint="default"/>
      </w:rPr>
    </w:lvl>
    <w:lvl w:ilvl="1" w:tplc="04260019" w:tentative="1">
      <w:start w:val="1"/>
      <w:numFmt w:val="bullet"/>
      <w:lvlText w:val="o"/>
      <w:lvlJc w:val="left"/>
      <w:pPr>
        <w:ind w:left="1440" w:hanging="360"/>
      </w:pPr>
      <w:rPr>
        <w:rFonts w:ascii="Courier New" w:hAnsi="Courier New" w:cs="Courier New" w:hint="default"/>
      </w:rPr>
    </w:lvl>
    <w:lvl w:ilvl="2" w:tplc="0426001B" w:tentative="1">
      <w:start w:val="1"/>
      <w:numFmt w:val="bullet"/>
      <w:lvlText w:val=""/>
      <w:lvlJc w:val="left"/>
      <w:pPr>
        <w:ind w:left="2160" w:hanging="360"/>
      </w:pPr>
      <w:rPr>
        <w:rFonts w:ascii="Wingdings" w:hAnsi="Wingdings" w:hint="default"/>
      </w:rPr>
    </w:lvl>
    <w:lvl w:ilvl="3" w:tplc="0426000F" w:tentative="1">
      <w:start w:val="1"/>
      <w:numFmt w:val="bullet"/>
      <w:lvlText w:val=""/>
      <w:lvlJc w:val="left"/>
      <w:pPr>
        <w:ind w:left="2880" w:hanging="360"/>
      </w:pPr>
      <w:rPr>
        <w:rFonts w:ascii="Symbol" w:hAnsi="Symbol" w:hint="default"/>
      </w:rPr>
    </w:lvl>
    <w:lvl w:ilvl="4" w:tplc="04260019" w:tentative="1">
      <w:start w:val="1"/>
      <w:numFmt w:val="bullet"/>
      <w:lvlText w:val="o"/>
      <w:lvlJc w:val="left"/>
      <w:pPr>
        <w:ind w:left="3600" w:hanging="360"/>
      </w:pPr>
      <w:rPr>
        <w:rFonts w:ascii="Courier New" w:hAnsi="Courier New" w:cs="Courier New" w:hint="default"/>
      </w:rPr>
    </w:lvl>
    <w:lvl w:ilvl="5" w:tplc="0426001B" w:tentative="1">
      <w:start w:val="1"/>
      <w:numFmt w:val="bullet"/>
      <w:lvlText w:val=""/>
      <w:lvlJc w:val="left"/>
      <w:pPr>
        <w:ind w:left="4320" w:hanging="360"/>
      </w:pPr>
      <w:rPr>
        <w:rFonts w:ascii="Wingdings" w:hAnsi="Wingdings" w:hint="default"/>
      </w:rPr>
    </w:lvl>
    <w:lvl w:ilvl="6" w:tplc="0426000F" w:tentative="1">
      <w:start w:val="1"/>
      <w:numFmt w:val="bullet"/>
      <w:lvlText w:val=""/>
      <w:lvlJc w:val="left"/>
      <w:pPr>
        <w:ind w:left="5040" w:hanging="360"/>
      </w:pPr>
      <w:rPr>
        <w:rFonts w:ascii="Symbol" w:hAnsi="Symbol" w:hint="default"/>
      </w:rPr>
    </w:lvl>
    <w:lvl w:ilvl="7" w:tplc="04260019" w:tentative="1">
      <w:start w:val="1"/>
      <w:numFmt w:val="bullet"/>
      <w:lvlText w:val="o"/>
      <w:lvlJc w:val="left"/>
      <w:pPr>
        <w:ind w:left="5760" w:hanging="360"/>
      </w:pPr>
      <w:rPr>
        <w:rFonts w:ascii="Courier New" w:hAnsi="Courier New" w:cs="Courier New" w:hint="default"/>
      </w:rPr>
    </w:lvl>
    <w:lvl w:ilvl="8" w:tplc="0426001B" w:tentative="1">
      <w:start w:val="1"/>
      <w:numFmt w:val="bullet"/>
      <w:lvlText w:val=""/>
      <w:lvlJc w:val="left"/>
      <w:pPr>
        <w:ind w:left="6480" w:hanging="360"/>
      </w:pPr>
      <w:rPr>
        <w:rFonts w:ascii="Wingdings" w:hAnsi="Wingdings" w:hint="default"/>
      </w:rPr>
    </w:lvl>
  </w:abstractNum>
  <w:abstractNum w:abstractNumId="165">
    <w:nsid w:val="77BF3377"/>
    <w:multiLevelType w:val="hybridMultilevel"/>
    <w:tmpl w:val="3670C65C"/>
    <w:lvl w:ilvl="0" w:tplc="7E68EE86">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6">
    <w:nsid w:val="78053D30"/>
    <w:multiLevelType w:val="hybridMultilevel"/>
    <w:tmpl w:val="1C9C0C66"/>
    <w:lvl w:ilvl="0" w:tplc="ABB6E8F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7">
    <w:nsid w:val="788713ED"/>
    <w:multiLevelType w:val="multilevel"/>
    <w:tmpl w:val="1AAC96DE"/>
    <w:lvl w:ilvl="0">
      <w:start w:val="1"/>
      <w:numFmt w:val="decimal"/>
      <w:lvlText w:val="%1."/>
      <w:lvlJc w:val="left"/>
      <w:pPr>
        <w:ind w:left="1440" w:hanging="360"/>
      </w:pPr>
      <w:rPr>
        <w:rFonts w:hint="default"/>
      </w:rPr>
    </w:lvl>
    <w:lvl w:ilvl="1">
      <w:start w:val="1"/>
      <w:numFmt w:val="bullet"/>
      <w:lvlText w:val=""/>
      <w:lvlJc w:val="left"/>
      <w:pPr>
        <w:ind w:left="1824" w:hanging="384"/>
      </w:pPr>
      <w:rPr>
        <w:rFonts w:ascii="Symbol" w:hAnsi="Symbol"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168">
    <w:nsid w:val="798A0254"/>
    <w:multiLevelType w:val="hybridMultilevel"/>
    <w:tmpl w:val="7DD2760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9">
    <w:nsid w:val="7AD74BBB"/>
    <w:multiLevelType w:val="hybridMultilevel"/>
    <w:tmpl w:val="176C0796"/>
    <w:lvl w:ilvl="0" w:tplc="ABB6E8F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0">
    <w:nsid w:val="7B9C74D5"/>
    <w:multiLevelType w:val="multilevel"/>
    <w:tmpl w:val="0426001F"/>
    <w:styleLink w:val="Style1"/>
    <w:lvl w:ilvl="0">
      <w:start w:val="3"/>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nsid w:val="7BDD1F6F"/>
    <w:multiLevelType w:val="hybridMultilevel"/>
    <w:tmpl w:val="3E4C37DA"/>
    <w:lvl w:ilvl="0" w:tplc="04260001">
      <w:numFmt w:val="bullet"/>
      <w:lvlText w:val="-"/>
      <w:lvlJc w:val="left"/>
      <w:pPr>
        <w:ind w:left="720" w:hanging="360"/>
      </w:pPr>
      <w:rPr>
        <w:rFonts w:ascii="Times New Roman" w:eastAsia="Times New Roman" w:hAnsi="Times New Roman" w:cs="Times New Roman" w:hint="default"/>
        <w:sz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2">
    <w:nsid w:val="7C2025AA"/>
    <w:multiLevelType w:val="hybridMultilevel"/>
    <w:tmpl w:val="6EE6FA8A"/>
    <w:lvl w:ilvl="0" w:tplc="A8EAA0C8">
      <w:numFmt w:val="bullet"/>
      <w:lvlText w:val="-"/>
      <w:lvlJc w:val="left"/>
      <w:pPr>
        <w:ind w:left="720" w:hanging="360"/>
      </w:pPr>
      <w:rPr>
        <w:rFonts w:ascii="Times New Roman" w:eastAsia="Times New Roman" w:hAnsi="Times New Roman" w:cs="Times New Roman" w:hint="default"/>
        <w:sz w:val="28"/>
      </w:rPr>
    </w:lvl>
    <w:lvl w:ilvl="1" w:tplc="C10C74C0" w:tentative="1">
      <w:start w:val="1"/>
      <w:numFmt w:val="bullet"/>
      <w:lvlText w:val="o"/>
      <w:lvlJc w:val="left"/>
      <w:pPr>
        <w:ind w:left="1440" w:hanging="360"/>
      </w:pPr>
      <w:rPr>
        <w:rFonts w:ascii="Courier New" w:hAnsi="Courier New" w:cs="Courier New" w:hint="default"/>
      </w:rPr>
    </w:lvl>
    <w:lvl w:ilvl="2" w:tplc="61BA9132" w:tentative="1">
      <w:start w:val="1"/>
      <w:numFmt w:val="bullet"/>
      <w:lvlText w:val=""/>
      <w:lvlJc w:val="left"/>
      <w:pPr>
        <w:ind w:left="2160" w:hanging="360"/>
      </w:pPr>
      <w:rPr>
        <w:rFonts w:ascii="Wingdings" w:hAnsi="Wingdings" w:hint="default"/>
      </w:rPr>
    </w:lvl>
    <w:lvl w:ilvl="3" w:tplc="B6B4CE02" w:tentative="1">
      <w:start w:val="1"/>
      <w:numFmt w:val="bullet"/>
      <w:lvlText w:val=""/>
      <w:lvlJc w:val="left"/>
      <w:pPr>
        <w:ind w:left="2880" w:hanging="360"/>
      </w:pPr>
      <w:rPr>
        <w:rFonts w:ascii="Symbol" w:hAnsi="Symbol" w:hint="default"/>
      </w:rPr>
    </w:lvl>
    <w:lvl w:ilvl="4" w:tplc="CAE6734A" w:tentative="1">
      <w:start w:val="1"/>
      <w:numFmt w:val="bullet"/>
      <w:lvlText w:val="o"/>
      <w:lvlJc w:val="left"/>
      <w:pPr>
        <w:ind w:left="3600" w:hanging="360"/>
      </w:pPr>
      <w:rPr>
        <w:rFonts w:ascii="Courier New" w:hAnsi="Courier New" w:cs="Courier New" w:hint="default"/>
      </w:rPr>
    </w:lvl>
    <w:lvl w:ilvl="5" w:tplc="69705946" w:tentative="1">
      <w:start w:val="1"/>
      <w:numFmt w:val="bullet"/>
      <w:lvlText w:val=""/>
      <w:lvlJc w:val="left"/>
      <w:pPr>
        <w:ind w:left="4320" w:hanging="360"/>
      </w:pPr>
      <w:rPr>
        <w:rFonts w:ascii="Wingdings" w:hAnsi="Wingdings" w:hint="default"/>
      </w:rPr>
    </w:lvl>
    <w:lvl w:ilvl="6" w:tplc="6658AACE" w:tentative="1">
      <w:start w:val="1"/>
      <w:numFmt w:val="bullet"/>
      <w:lvlText w:val=""/>
      <w:lvlJc w:val="left"/>
      <w:pPr>
        <w:ind w:left="5040" w:hanging="360"/>
      </w:pPr>
      <w:rPr>
        <w:rFonts w:ascii="Symbol" w:hAnsi="Symbol" w:hint="default"/>
      </w:rPr>
    </w:lvl>
    <w:lvl w:ilvl="7" w:tplc="2D9C1370" w:tentative="1">
      <w:start w:val="1"/>
      <w:numFmt w:val="bullet"/>
      <w:lvlText w:val="o"/>
      <w:lvlJc w:val="left"/>
      <w:pPr>
        <w:ind w:left="5760" w:hanging="360"/>
      </w:pPr>
      <w:rPr>
        <w:rFonts w:ascii="Courier New" w:hAnsi="Courier New" w:cs="Courier New" w:hint="default"/>
      </w:rPr>
    </w:lvl>
    <w:lvl w:ilvl="8" w:tplc="286ADF8C" w:tentative="1">
      <w:start w:val="1"/>
      <w:numFmt w:val="bullet"/>
      <w:lvlText w:val=""/>
      <w:lvlJc w:val="left"/>
      <w:pPr>
        <w:ind w:left="6480" w:hanging="360"/>
      </w:pPr>
      <w:rPr>
        <w:rFonts w:ascii="Wingdings" w:hAnsi="Wingdings" w:hint="default"/>
      </w:rPr>
    </w:lvl>
  </w:abstractNum>
  <w:abstractNum w:abstractNumId="173">
    <w:nsid w:val="7D992190"/>
    <w:multiLevelType w:val="multilevel"/>
    <w:tmpl w:val="85A47226"/>
    <w:lvl w:ilvl="0">
      <w:start w:val="1"/>
      <w:numFmt w:val="decimal"/>
      <w:lvlText w:val="%1."/>
      <w:lvlJc w:val="left"/>
      <w:pPr>
        <w:ind w:left="780" w:hanging="420"/>
      </w:pPr>
      <w:rPr>
        <w:rFonts w:hint="default"/>
        <w:color w:val="000000"/>
      </w:rPr>
    </w:lvl>
    <w:lvl w:ilvl="1">
      <w:start w:val="1"/>
      <w:numFmt w:val="decimal"/>
      <w:isLgl/>
      <w:lvlText w:val="%1.%2."/>
      <w:lvlJc w:val="left"/>
      <w:pPr>
        <w:ind w:left="502" w:hanging="360"/>
      </w:pPr>
      <w:rPr>
        <w:rFonts w:hint="default"/>
        <w:b/>
      </w:rPr>
    </w:lvl>
    <w:lvl w:ilvl="2">
      <w:start w:val="1"/>
      <w:numFmt w:val="bullet"/>
      <w:lvlText w:val=""/>
      <w:lvlJc w:val="left"/>
      <w:pPr>
        <w:ind w:left="1080" w:hanging="720"/>
      </w:pPr>
      <w:rPr>
        <w:rFonts w:ascii="Symbol" w:hAnsi="Symbol" w:hint="default"/>
        <w:b/>
        <w:color w:val="000000"/>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74">
    <w:nsid w:val="7DE937A4"/>
    <w:multiLevelType w:val="hybridMultilevel"/>
    <w:tmpl w:val="74A427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5">
    <w:nsid w:val="7EB702A8"/>
    <w:multiLevelType w:val="hybridMultilevel"/>
    <w:tmpl w:val="A0F41EC4"/>
    <w:lvl w:ilvl="0" w:tplc="6CBAB63E">
      <w:start w:val="2"/>
      <w:numFmt w:val="bullet"/>
      <w:lvlText w:val="-"/>
      <w:lvlJc w:val="left"/>
      <w:pPr>
        <w:ind w:left="786" w:hanging="360"/>
      </w:pPr>
      <w:rPr>
        <w:rFonts w:ascii="Times New Roman" w:eastAsia="Times New Roman" w:hAnsi="Times New Roman" w:cs="Times New Roman" w:hint="default"/>
      </w:rPr>
    </w:lvl>
    <w:lvl w:ilvl="1" w:tplc="0C825C36">
      <w:start w:val="1"/>
      <w:numFmt w:val="bullet"/>
      <w:lvlText w:val="o"/>
      <w:lvlJc w:val="left"/>
      <w:pPr>
        <w:ind w:left="1506" w:hanging="360"/>
      </w:pPr>
      <w:rPr>
        <w:rFonts w:ascii="Courier New" w:hAnsi="Courier New" w:cs="Courier New" w:hint="default"/>
      </w:rPr>
    </w:lvl>
    <w:lvl w:ilvl="2" w:tplc="DD5253EA">
      <w:start w:val="1"/>
      <w:numFmt w:val="bullet"/>
      <w:lvlText w:val=""/>
      <w:lvlJc w:val="left"/>
      <w:pPr>
        <w:ind w:left="2226" w:hanging="360"/>
      </w:pPr>
      <w:rPr>
        <w:rFonts w:ascii="Wingdings" w:hAnsi="Wingdings" w:hint="default"/>
      </w:rPr>
    </w:lvl>
    <w:lvl w:ilvl="3" w:tplc="9E0847BC">
      <w:start w:val="1"/>
      <w:numFmt w:val="bullet"/>
      <w:lvlText w:val=""/>
      <w:lvlJc w:val="left"/>
      <w:pPr>
        <w:ind w:left="2946" w:hanging="360"/>
      </w:pPr>
      <w:rPr>
        <w:rFonts w:ascii="Symbol" w:hAnsi="Symbol" w:hint="default"/>
      </w:rPr>
    </w:lvl>
    <w:lvl w:ilvl="4" w:tplc="5EA0BBDA">
      <w:start w:val="1"/>
      <w:numFmt w:val="bullet"/>
      <w:lvlText w:val="o"/>
      <w:lvlJc w:val="left"/>
      <w:pPr>
        <w:ind w:left="3666" w:hanging="360"/>
      </w:pPr>
      <w:rPr>
        <w:rFonts w:ascii="Courier New" w:hAnsi="Courier New" w:cs="Courier New" w:hint="default"/>
      </w:rPr>
    </w:lvl>
    <w:lvl w:ilvl="5" w:tplc="4986F72E">
      <w:start w:val="1"/>
      <w:numFmt w:val="bullet"/>
      <w:lvlText w:val=""/>
      <w:lvlJc w:val="left"/>
      <w:pPr>
        <w:ind w:left="4386" w:hanging="360"/>
      </w:pPr>
      <w:rPr>
        <w:rFonts w:ascii="Wingdings" w:hAnsi="Wingdings" w:hint="default"/>
      </w:rPr>
    </w:lvl>
    <w:lvl w:ilvl="6" w:tplc="6BF4FF2E">
      <w:start w:val="1"/>
      <w:numFmt w:val="bullet"/>
      <w:lvlText w:val=""/>
      <w:lvlJc w:val="left"/>
      <w:pPr>
        <w:ind w:left="5106" w:hanging="360"/>
      </w:pPr>
      <w:rPr>
        <w:rFonts w:ascii="Symbol" w:hAnsi="Symbol" w:hint="default"/>
      </w:rPr>
    </w:lvl>
    <w:lvl w:ilvl="7" w:tplc="3E2C69A2">
      <w:start w:val="1"/>
      <w:numFmt w:val="bullet"/>
      <w:lvlText w:val="o"/>
      <w:lvlJc w:val="left"/>
      <w:pPr>
        <w:ind w:left="5826" w:hanging="360"/>
      </w:pPr>
      <w:rPr>
        <w:rFonts w:ascii="Courier New" w:hAnsi="Courier New" w:cs="Courier New" w:hint="default"/>
      </w:rPr>
    </w:lvl>
    <w:lvl w:ilvl="8" w:tplc="0D5CD754">
      <w:start w:val="1"/>
      <w:numFmt w:val="bullet"/>
      <w:lvlText w:val=""/>
      <w:lvlJc w:val="left"/>
      <w:pPr>
        <w:ind w:left="6546" w:hanging="360"/>
      </w:pPr>
      <w:rPr>
        <w:rFonts w:ascii="Wingdings" w:hAnsi="Wingdings" w:hint="default"/>
      </w:rPr>
    </w:lvl>
  </w:abstractNum>
  <w:abstractNum w:abstractNumId="176">
    <w:nsid w:val="7FCE5E4A"/>
    <w:multiLevelType w:val="hybridMultilevel"/>
    <w:tmpl w:val="A322C7EE"/>
    <w:lvl w:ilvl="0" w:tplc="0220E346">
      <w:start w:val="1"/>
      <w:numFmt w:val="decimal"/>
      <w:lvlText w:val="%1)"/>
      <w:lvlJc w:val="left"/>
      <w:pPr>
        <w:ind w:left="927" w:hanging="360"/>
      </w:pPr>
      <w:rPr>
        <w:rFonts w:hint="default"/>
      </w:rPr>
    </w:lvl>
    <w:lvl w:ilvl="1" w:tplc="04260003" w:tentative="1">
      <w:start w:val="1"/>
      <w:numFmt w:val="lowerLetter"/>
      <w:lvlText w:val="%2."/>
      <w:lvlJc w:val="left"/>
      <w:pPr>
        <w:ind w:left="1647" w:hanging="360"/>
      </w:pPr>
    </w:lvl>
    <w:lvl w:ilvl="2" w:tplc="04260005" w:tentative="1">
      <w:start w:val="1"/>
      <w:numFmt w:val="lowerRoman"/>
      <w:lvlText w:val="%3."/>
      <w:lvlJc w:val="right"/>
      <w:pPr>
        <w:ind w:left="2367" w:hanging="180"/>
      </w:pPr>
    </w:lvl>
    <w:lvl w:ilvl="3" w:tplc="04260001" w:tentative="1">
      <w:start w:val="1"/>
      <w:numFmt w:val="decimal"/>
      <w:lvlText w:val="%4."/>
      <w:lvlJc w:val="left"/>
      <w:pPr>
        <w:ind w:left="3087" w:hanging="360"/>
      </w:pPr>
    </w:lvl>
    <w:lvl w:ilvl="4" w:tplc="04260003" w:tentative="1">
      <w:start w:val="1"/>
      <w:numFmt w:val="lowerLetter"/>
      <w:lvlText w:val="%5."/>
      <w:lvlJc w:val="left"/>
      <w:pPr>
        <w:ind w:left="3807" w:hanging="360"/>
      </w:pPr>
    </w:lvl>
    <w:lvl w:ilvl="5" w:tplc="04260005" w:tentative="1">
      <w:start w:val="1"/>
      <w:numFmt w:val="lowerRoman"/>
      <w:lvlText w:val="%6."/>
      <w:lvlJc w:val="right"/>
      <w:pPr>
        <w:ind w:left="4527" w:hanging="180"/>
      </w:pPr>
    </w:lvl>
    <w:lvl w:ilvl="6" w:tplc="04260001" w:tentative="1">
      <w:start w:val="1"/>
      <w:numFmt w:val="decimal"/>
      <w:lvlText w:val="%7."/>
      <w:lvlJc w:val="left"/>
      <w:pPr>
        <w:ind w:left="5247" w:hanging="360"/>
      </w:pPr>
    </w:lvl>
    <w:lvl w:ilvl="7" w:tplc="04260003" w:tentative="1">
      <w:start w:val="1"/>
      <w:numFmt w:val="lowerLetter"/>
      <w:lvlText w:val="%8."/>
      <w:lvlJc w:val="left"/>
      <w:pPr>
        <w:ind w:left="5967" w:hanging="360"/>
      </w:pPr>
    </w:lvl>
    <w:lvl w:ilvl="8" w:tplc="04260005" w:tentative="1">
      <w:start w:val="1"/>
      <w:numFmt w:val="lowerRoman"/>
      <w:lvlText w:val="%9."/>
      <w:lvlJc w:val="right"/>
      <w:pPr>
        <w:ind w:left="6687" w:hanging="180"/>
      </w:pPr>
    </w:lvl>
  </w:abstractNum>
  <w:num w:numId="1">
    <w:abstractNumId w:val="176"/>
  </w:num>
  <w:num w:numId="2">
    <w:abstractNumId w:val="127"/>
  </w:num>
  <w:num w:numId="3">
    <w:abstractNumId w:val="18"/>
  </w:num>
  <w:num w:numId="4">
    <w:abstractNumId w:val="123"/>
  </w:num>
  <w:num w:numId="5">
    <w:abstractNumId w:val="48"/>
  </w:num>
  <w:num w:numId="6">
    <w:abstractNumId w:val="84"/>
  </w:num>
  <w:num w:numId="7">
    <w:abstractNumId w:val="60"/>
  </w:num>
  <w:num w:numId="8">
    <w:abstractNumId w:val="14"/>
  </w:num>
  <w:num w:numId="9">
    <w:abstractNumId w:val="30"/>
  </w:num>
  <w:num w:numId="10">
    <w:abstractNumId w:val="64"/>
  </w:num>
  <w:num w:numId="11">
    <w:abstractNumId w:val="174"/>
  </w:num>
  <w:num w:numId="12">
    <w:abstractNumId w:val="49"/>
  </w:num>
  <w:num w:numId="13">
    <w:abstractNumId w:val="133"/>
  </w:num>
  <w:num w:numId="14">
    <w:abstractNumId w:val="3"/>
  </w:num>
  <w:num w:numId="15">
    <w:abstractNumId w:val="132"/>
  </w:num>
  <w:num w:numId="16">
    <w:abstractNumId w:val="164"/>
  </w:num>
  <w:num w:numId="17">
    <w:abstractNumId w:val="140"/>
  </w:num>
  <w:num w:numId="18">
    <w:abstractNumId w:val="45"/>
  </w:num>
  <w:num w:numId="19">
    <w:abstractNumId w:val="57"/>
  </w:num>
  <w:num w:numId="20">
    <w:abstractNumId w:val="52"/>
  </w:num>
  <w:num w:numId="21">
    <w:abstractNumId w:val="141"/>
  </w:num>
  <w:num w:numId="22">
    <w:abstractNumId w:val="16"/>
  </w:num>
  <w:num w:numId="23">
    <w:abstractNumId w:val="75"/>
  </w:num>
  <w:num w:numId="24">
    <w:abstractNumId w:val="39"/>
  </w:num>
  <w:num w:numId="25">
    <w:abstractNumId w:val="93"/>
  </w:num>
  <w:num w:numId="26">
    <w:abstractNumId w:val="111"/>
  </w:num>
  <w:num w:numId="27">
    <w:abstractNumId w:val="103"/>
  </w:num>
  <w:num w:numId="28">
    <w:abstractNumId w:val="173"/>
  </w:num>
  <w:num w:numId="29">
    <w:abstractNumId w:val="50"/>
  </w:num>
  <w:num w:numId="30">
    <w:abstractNumId w:val="94"/>
  </w:num>
  <w:num w:numId="31">
    <w:abstractNumId w:val="58"/>
  </w:num>
  <w:num w:numId="32">
    <w:abstractNumId w:val="151"/>
  </w:num>
  <w:num w:numId="33">
    <w:abstractNumId w:val="107"/>
  </w:num>
  <w:num w:numId="34">
    <w:abstractNumId w:val="51"/>
  </w:num>
  <w:num w:numId="35">
    <w:abstractNumId w:val="44"/>
  </w:num>
  <w:num w:numId="36">
    <w:abstractNumId w:val="12"/>
  </w:num>
  <w:num w:numId="37">
    <w:abstractNumId w:val="23"/>
  </w:num>
  <w:num w:numId="38">
    <w:abstractNumId w:val="129"/>
  </w:num>
  <w:num w:numId="39">
    <w:abstractNumId w:val="42"/>
  </w:num>
  <w:num w:numId="40">
    <w:abstractNumId w:val="110"/>
  </w:num>
  <w:num w:numId="41">
    <w:abstractNumId w:val="149"/>
  </w:num>
  <w:num w:numId="42">
    <w:abstractNumId w:val="87"/>
  </w:num>
  <w:num w:numId="43">
    <w:abstractNumId w:val="122"/>
  </w:num>
  <w:num w:numId="44">
    <w:abstractNumId w:val="100"/>
  </w:num>
  <w:num w:numId="45">
    <w:abstractNumId w:val="33"/>
  </w:num>
  <w:num w:numId="46">
    <w:abstractNumId w:val="61"/>
  </w:num>
  <w:num w:numId="47">
    <w:abstractNumId w:val="70"/>
  </w:num>
  <w:num w:numId="48">
    <w:abstractNumId w:val="165"/>
  </w:num>
  <w:num w:numId="49">
    <w:abstractNumId w:val="62"/>
  </w:num>
  <w:num w:numId="50">
    <w:abstractNumId w:val="5"/>
  </w:num>
  <w:num w:numId="51">
    <w:abstractNumId w:val="83"/>
  </w:num>
  <w:num w:numId="52">
    <w:abstractNumId w:val="86"/>
  </w:num>
  <w:num w:numId="53">
    <w:abstractNumId w:val="31"/>
  </w:num>
  <w:num w:numId="54">
    <w:abstractNumId w:val="8"/>
  </w:num>
  <w:num w:numId="55">
    <w:abstractNumId w:val="128"/>
  </w:num>
  <w:num w:numId="56">
    <w:abstractNumId w:val="7"/>
  </w:num>
  <w:num w:numId="57">
    <w:abstractNumId w:val="97"/>
  </w:num>
  <w:num w:numId="58">
    <w:abstractNumId w:val="166"/>
  </w:num>
  <w:num w:numId="59">
    <w:abstractNumId w:val="43"/>
  </w:num>
  <w:num w:numId="60">
    <w:abstractNumId w:val="120"/>
  </w:num>
  <w:num w:numId="61">
    <w:abstractNumId w:val="99"/>
  </w:num>
  <w:num w:numId="62">
    <w:abstractNumId w:val="56"/>
  </w:num>
  <w:num w:numId="63">
    <w:abstractNumId w:val="40"/>
  </w:num>
  <w:num w:numId="64">
    <w:abstractNumId w:val="136"/>
  </w:num>
  <w:num w:numId="65">
    <w:abstractNumId w:val="98"/>
  </w:num>
  <w:num w:numId="66">
    <w:abstractNumId w:val="144"/>
  </w:num>
  <w:num w:numId="67">
    <w:abstractNumId w:val="160"/>
  </w:num>
  <w:num w:numId="68">
    <w:abstractNumId w:val="71"/>
  </w:num>
  <w:num w:numId="69">
    <w:abstractNumId w:val="104"/>
  </w:num>
  <w:num w:numId="70">
    <w:abstractNumId w:val="170"/>
  </w:num>
  <w:num w:numId="71">
    <w:abstractNumId w:val="137"/>
  </w:num>
  <w:num w:numId="72">
    <w:abstractNumId w:val="38"/>
  </w:num>
  <w:num w:numId="73">
    <w:abstractNumId w:val="24"/>
  </w:num>
  <w:num w:numId="74">
    <w:abstractNumId w:val="10"/>
  </w:num>
  <w:num w:numId="75">
    <w:abstractNumId w:val="115"/>
  </w:num>
  <w:num w:numId="76">
    <w:abstractNumId w:val="15"/>
  </w:num>
  <w:num w:numId="77">
    <w:abstractNumId w:val="69"/>
  </w:num>
  <w:num w:numId="78">
    <w:abstractNumId w:val="26"/>
  </w:num>
  <w:num w:numId="79">
    <w:abstractNumId w:val="81"/>
  </w:num>
  <w:num w:numId="80">
    <w:abstractNumId w:val="88"/>
  </w:num>
  <w:num w:numId="81">
    <w:abstractNumId w:val="172"/>
  </w:num>
  <w:num w:numId="82">
    <w:abstractNumId w:val="37"/>
  </w:num>
  <w:num w:numId="83">
    <w:abstractNumId w:val="109"/>
  </w:num>
  <w:num w:numId="84">
    <w:abstractNumId w:val="92"/>
  </w:num>
  <w:num w:numId="85">
    <w:abstractNumId w:val="117"/>
  </w:num>
  <w:num w:numId="86">
    <w:abstractNumId w:val="171"/>
  </w:num>
  <w:num w:numId="87">
    <w:abstractNumId w:val="32"/>
  </w:num>
  <w:num w:numId="88">
    <w:abstractNumId w:val="114"/>
  </w:num>
  <w:num w:numId="89">
    <w:abstractNumId w:val="158"/>
  </w:num>
  <w:num w:numId="90">
    <w:abstractNumId w:val="29"/>
  </w:num>
  <w:num w:numId="91">
    <w:abstractNumId w:val="13"/>
  </w:num>
  <w:num w:numId="92">
    <w:abstractNumId w:val="25"/>
  </w:num>
  <w:num w:numId="93">
    <w:abstractNumId w:val="139"/>
  </w:num>
  <w:num w:numId="94">
    <w:abstractNumId w:val="55"/>
  </w:num>
  <w:num w:numId="95">
    <w:abstractNumId w:val="68"/>
  </w:num>
  <w:num w:numId="96">
    <w:abstractNumId w:val="108"/>
  </w:num>
  <w:num w:numId="97">
    <w:abstractNumId w:val="116"/>
  </w:num>
  <w:num w:numId="98">
    <w:abstractNumId w:val="175"/>
  </w:num>
  <w:num w:numId="99">
    <w:abstractNumId w:val="96"/>
  </w:num>
  <w:num w:numId="100">
    <w:abstractNumId w:val="4"/>
  </w:num>
  <w:num w:numId="101">
    <w:abstractNumId w:val="74"/>
  </w:num>
  <w:num w:numId="102">
    <w:abstractNumId w:val="101"/>
  </w:num>
  <w:num w:numId="103">
    <w:abstractNumId w:val="22"/>
  </w:num>
  <w:num w:numId="104">
    <w:abstractNumId w:val="9"/>
  </w:num>
  <w:num w:numId="105">
    <w:abstractNumId w:val="65"/>
  </w:num>
  <w:num w:numId="106">
    <w:abstractNumId w:val="130"/>
  </w:num>
  <w:num w:numId="107">
    <w:abstractNumId w:val="21"/>
  </w:num>
  <w:num w:numId="108">
    <w:abstractNumId w:val="145"/>
  </w:num>
  <w:num w:numId="109">
    <w:abstractNumId w:val="80"/>
  </w:num>
  <w:num w:numId="110">
    <w:abstractNumId w:val="163"/>
  </w:num>
  <w:num w:numId="111">
    <w:abstractNumId w:val="72"/>
  </w:num>
  <w:num w:numId="112">
    <w:abstractNumId w:val="73"/>
  </w:num>
  <w:num w:numId="113">
    <w:abstractNumId w:val="34"/>
  </w:num>
  <w:num w:numId="114">
    <w:abstractNumId w:val="11"/>
  </w:num>
  <w:num w:numId="115">
    <w:abstractNumId w:val="153"/>
  </w:num>
  <w:num w:numId="116">
    <w:abstractNumId w:val="152"/>
  </w:num>
  <w:num w:numId="117">
    <w:abstractNumId w:val="161"/>
  </w:num>
  <w:num w:numId="118">
    <w:abstractNumId w:val="77"/>
  </w:num>
  <w:num w:numId="119">
    <w:abstractNumId w:val="67"/>
  </w:num>
  <w:num w:numId="120">
    <w:abstractNumId w:val="28"/>
  </w:num>
  <w:num w:numId="121">
    <w:abstractNumId w:val="76"/>
  </w:num>
  <w:num w:numId="122">
    <w:abstractNumId w:val="112"/>
  </w:num>
  <w:num w:numId="123">
    <w:abstractNumId w:val="155"/>
  </w:num>
  <w:num w:numId="124">
    <w:abstractNumId w:val="59"/>
  </w:num>
  <w:num w:numId="125">
    <w:abstractNumId w:val="154"/>
  </w:num>
  <w:num w:numId="126">
    <w:abstractNumId w:val="0"/>
  </w:num>
  <w:num w:numId="127">
    <w:abstractNumId w:val="125"/>
  </w:num>
  <w:num w:numId="128">
    <w:abstractNumId w:val="106"/>
  </w:num>
  <w:num w:numId="129">
    <w:abstractNumId w:val="35"/>
  </w:num>
  <w:num w:numId="130">
    <w:abstractNumId w:val="126"/>
  </w:num>
  <w:num w:numId="131">
    <w:abstractNumId w:val="66"/>
  </w:num>
  <w:num w:numId="132">
    <w:abstractNumId w:val="27"/>
  </w:num>
  <w:num w:numId="133">
    <w:abstractNumId w:val="142"/>
  </w:num>
  <w:num w:numId="134">
    <w:abstractNumId w:val="90"/>
  </w:num>
  <w:num w:numId="135">
    <w:abstractNumId w:val="63"/>
  </w:num>
  <w:num w:numId="136">
    <w:abstractNumId w:val="168"/>
  </w:num>
  <w:num w:numId="137">
    <w:abstractNumId w:val="150"/>
  </w:num>
  <w:num w:numId="138">
    <w:abstractNumId w:val="118"/>
  </w:num>
  <w:num w:numId="139">
    <w:abstractNumId w:val="121"/>
  </w:num>
  <w:num w:numId="140">
    <w:abstractNumId w:val="159"/>
  </w:num>
  <w:num w:numId="141">
    <w:abstractNumId w:val="54"/>
  </w:num>
  <w:num w:numId="142">
    <w:abstractNumId w:val="17"/>
  </w:num>
  <w:num w:numId="143">
    <w:abstractNumId w:val="2"/>
  </w:num>
  <w:num w:numId="144">
    <w:abstractNumId w:val="167"/>
  </w:num>
  <w:num w:numId="145">
    <w:abstractNumId w:val="47"/>
  </w:num>
  <w:num w:numId="146">
    <w:abstractNumId w:val="85"/>
  </w:num>
  <w:num w:numId="147">
    <w:abstractNumId w:val="135"/>
  </w:num>
  <w:num w:numId="148">
    <w:abstractNumId w:val="53"/>
  </w:num>
  <w:num w:numId="149">
    <w:abstractNumId w:val="138"/>
  </w:num>
  <w:num w:numId="150">
    <w:abstractNumId w:val="148"/>
  </w:num>
  <w:num w:numId="151">
    <w:abstractNumId w:val="124"/>
  </w:num>
  <w:num w:numId="152">
    <w:abstractNumId w:val="79"/>
  </w:num>
  <w:num w:numId="153">
    <w:abstractNumId w:val="78"/>
  </w:num>
  <w:num w:numId="154">
    <w:abstractNumId w:val="146"/>
  </w:num>
  <w:num w:numId="155">
    <w:abstractNumId w:val="46"/>
  </w:num>
  <w:num w:numId="156">
    <w:abstractNumId w:val="113"/>
  </w:num>
  <w:num w:numId="157">
    <w:abstractNumId w:val="95"/>
  </w:num>
  <w:num w:numId="158">
    <w:abstractNumId w:val="41"/>
  </w:num>
  <w:num w:numId="159">
    <w:abstractNumId w:val="20"/>
  </w:num>
  <w:num w:numId="160">
    <w:abstractNumId w:val="105"/>
  </w:num>
  <w:num w:numId="161">
    <w:abstractNumId w:val="169"/>
  </w:num>
  <w:num w:numId="162">
    <w:abstractNumId w:val="156"/>
  </w:num>
  <w:num w:numId="163">
    <w:abstractNumId w:val="143"/>
  </w:num>
  <w:num w:numId="164">
    <w:abstractNumId w:val="91"/>
  </w:num>
  <w:num w:numId="165">
    <w:abstractNumId w:val="157"/>
  </w:num>
  <w:num w:numId="166">
    <w:abstractNumId w:val="82"/>
  </w:num>
  <w:num w:numId="167">
    <w:abstractNumId w:val="134"/>
  </w:num>
  <w:num w:numId="168">
    <w:abstractNumId w:val="63"/>
    <w:lvlOverride w:ilvl="0">
      <w:startOverride w:val="1"/>
    </w:lvlOverride>
    <w:lvlOverride w:ilvl="1">
      <w:startOverride w:val="2"/>
    </w:lvlOverride>
  </w:num>
  <w:num w:numId="169">
    <w:abstractNumId w:val="162"/>
  </w:num>
  <w:num w:numId="170">
    <w:abstractNumId w:val="1"/>
  </w:num>
  <w:num w:numId="171">
    <w:abstractNumId w:val="36"/>
  </w:num>
  <w:num w:numId="172">
    <w:abstractNumId w:val="102"/>
  </w:num>
  <w:num w:numId="173">
    <w:abstractNumId w:val="147"/>
  </w:num>
  <w:num w:numId="174">
    <w:abstractNumId w:val="119"/>
  </w:num>
  <w:num w:numId="175">
    <w:abstractNumId w:val="19"/>
  </w:num>
  <w:num w:numId="176">
    <w:abstractNumId w:val="6"/>
  </w:num>
  <w:num w:numId="177">
    <w:abstractNumId w:val="89"/>
  </w:num>
  <w:num w:numId="178">
    <w:abstractNumId w:val="131"/>
  </w:num>
  <w:numIdMacAtCleanup w:val="1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lina Celmina">
    <w15:presenceInfo w15:providerId="AD" w15:userId="S-1-5-21-738795142-1242532775-405837587-5849"/>
  </w15:person>
  <w15:person w15:author="Rita Strode">
    <w15:presenceInfo w15:providerId="AD" w15:userId="S-1-5-21-738795142-1242532775-405837587-1122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20"/>
  <w:displayHorizontalDrawingGridEvery w:val="2"/>
  <w:characterSpacingControl w:val="doNotCompress"/>
  <w:footnotePr>
    <w:footnote w:id="0"/>
    <w:footnote w:id="1"/>
  </w:footnotePr>
  <w:endnotePr>
    <w:endnote w:id="0"/>
    <w:endnote w:id="1"/>
  </w:endnotePr>
  <w:compat/>
  <w:docVars>
    <w:docVar w:name="__Grammarly_42____i" w:val="ϖϖ耀㈆_x000a_耀沨㈇䤀耀㈆_x000a_耀㈈⤴Լ耀㈆耀㈆謀耀㈆耀㈆⧌Լ耀㈆耀㈆耀㈆耀㈆⩤Լ㈆耀㈆耀㈆耀㈆耀⫼Լ耀㈆耀㈆耀㈆ࠀ䁐Ȁ퓃쀀ଢ쀀ଢ⮔Լ䟘Ô传Ô껮ԫ껲ԫ껶ԫ껺ԫ껾ⰬԼ꼂ԫ꼆ԫ꼊ԫ꼎ԫ꼒ԫ꼖ԫⳄԼ꼚ԫ꼞ԫ꼢ԫ꼦ԫ꼪ԫ꼮ԫⵜԼ꼲ԫ乘Ô侈Ô亴Ô耀ܚ⠀Լ翿翿"/>
  </w:docVars>
  <w:rsids>
    <w:rsidRoot w:val="007044FC"/>
    <w:rsid w:val="000003F9"/>
    <w:rsid w:val="00000417"/>
    <w:rsid w:val="00000985"/>
    <w:rsid w:val="00001603"/>
    <w:rsid w:val="00002E2B"/>
    <w:rsid w:val="00007649"/>
    <w:rsid w:val="0001141E"/>
    <w:rsid w:val="0001171F"/>
    <w:rsid w:val="0001242D"/>
    <w:rsid w:val="00013F4F"/>
    <w:rsid w:val="00014036"/>
    <w:rsid w:val="00015EF7"/>
    <w:rsid w:val="000176CF"/>
    <w:rsid w:val="00021783"/>
    <w:rsid w:val="00022497"/>
    <w:rsid w:val="00022F00"/>
    <w:rsid w:val="00022FD3"/>
    <w:rsid w:val="00023171"/>
    <w:rsid w:val="000248EA"/>
    <w:rsid w:val="00025884"/>
    <w:rsid w:val="0002699A"/>
    <w:rsid w:val="00026E03"/>
    <w:rsid w:val="00026E30"/>
    <w:rsid w:val="000278DA"/>
    <w:rsid w:val="00030F2A"/>
    <w:rsid w:val="0003147D"/>
    <w:rsid w:val="00031844"/>
    <w:rsid w:val="00031AC2"/>
    <w:rsid w:val="00032697"/>
    <w:rsid w:val="00033F0E"/>
    <w:rsid w:val="00034C86"/>
    <w:rsid w:val="000365E2"/>
    <w:rsid w:val="000372FE"/>
    <w:rsid w:val="0003759D"/>
    <w:rsid w:val="00037D97"/>
    <w:rsid w:val="00037F09"/>
    <w:rsid w:val="00041E38"/>
    <w:rsid w:val="00042EA1"/>
    <w:rsid w:val="00043A69"/>
    <w:rsid w:val="000443C3"/>
    <w:rsid w:val="00044E8F"/>
    <w:rsid w:val="00045450"/>
    <w:rsid w:val="000456FE"/>
    <w:rsid w:val="000471A3"/>
    <w:rsid w:val="00047EE7"/>
    <w:rsid w:val="00051679"/>
    <w:rsid w:val="00051EB8"/>
    <w:rsid w:val="000527DF"/>
    <w:rsid w:val="00052AA6"/>
    <w:rsid w:val="000530B4"/>
    <w:rsid w:val="0005446B"/>
    <w:rsid w:val="000545BD"/>
    <w:rsid w:val="00054AEB"/>
    <w:rsid w:val="00055206"/>
    <w:rsid w:val="00055995"/>
    <w:rsid w:val="00056D02"/>
    <w:rsid w:val="0006024D"/>
    <w:rsid w:val="00061894"/>
    <w:rsid w:val="00061FD4"/>
    <w:rsid w:val="0006259C"/>
    <w:rsid w:val="000630FF"/>
    <w:rsid w:val="00063D2A"/>
    <w:rsid w:val="00064906"/>
    <w:rsid w:val="00064C1E"/>
    <w:rsid w:val="00066EC1"/>
    <w:rsid w:val="0006732A"/>
    <w:rsid w:val="000675B4"/>
    <w:rsid w:val="00070960"/>
    <w:rsid w:val="00072A0E"/>
    <w:rsid w:val="00072B30"/>
    <w:rsid w:val="000732C6"/>
    <w:rsid w:val="0007337F"/>
    <w:rsid w:val="00074A77"/>
    <w:rsid w:val="00074BD7"/>
    <w:rsid w:val="00075816"/>
    <w:rsid w:val="00076516"/>
    <w:rsid w:val="000769DC"/>
    <w:rsid w:val="00076B41"/>
    <w:rsid w:val="00076D8B"/>
    <w:rsid w:val="00076FAC"/>
    <w:rsid w:val="00077330"/>
    <w:rsid w:val="000777DC"/>
    <w:rsid w:val="00077A3B"/>
    <w:rsid w:val="00077B21"/>
    <w:rsid w:val="00081D12"/>
    <w:rsid w:val="00082031"/>
    <w:rsid w:val="00082335"/>
    <w:rsid w:val="00082655"/>
    <w:rsid w:val="000858DE"/>
    <w:rsid w:val="00086C70"/>
    <w:rsid w:val="000903BE"/>
    <w:rsid w:val="000907AC"/>
    <w:rsid w:val="000927CA"/>
    <w:rsid w:val="00092F53"/>
    <w:rsid w:val="00093161"/>
    <w:rsid w:val="00093BDE"/>
    <w:rsid w:val="00094CC8"/>
    <w:rsid w:val="0009565D"/>
    <w:rsid w:val="00095A56"/>
    <w:rsid w:val="0009657F"/>
    <w:rsid w:val="000972AE"/>
    <w:rsid w:val="0009761F"/>
    <w:rsid w:val="00097ACB"/>
    <w:rsid w:val="00097E48"/>
    <w:rsid w:val="00097FA8"/>
    <w:rsid w:val="000A0812"/>
    <w:rsid w:val="000A08DA"/>
    <w:rsid w:val="000A124A"/>
    <w:rsid w:val="000A1800"/>
    <w:rsid w:val="000A19AA"/>
    <w:rsid w:val="000A1F18"/>
    <w:rsid w:val="000A35D8"/>
    <w:rsid w:val="000A3752"/>
    <w:rsid w:val="000A3C33"/>
    <w:rsid w:val="000A3DA3"/>
    <w:rsid w:val="000A3F5C"/>
    <w:rsid w:val="000A4BF7"/>
    <w:rsid w:val="000A51CF"/>
    <w:rsid w:val="000A5E3E"/>
    <w:rsid w:val="000A682A"/>
    <w:rsid w:val="000A6D6B"/>
    <w:rsid w:val="000A7157"/>
    <w:rsid w:val="000A73F0"/>
    <w:rsid w:val="000A7641"/>
    <w:rsid w:val="000A7C16"/>
    <w:rsid w:val="000A7EB8"/>
    <w:rsid w:val="000B2863"/>
    <w:rsid w:val="000B2A7D"/>
    <w:rsid w:val="000B2AA7"/>
    <w:rsid w:val="000B385A"/>
    <w:rsid w:val="000B3DB1"/>
    <w:rsid w:val="000B42DE"/>
    <w:rsid w:val="000B52FD"/>
    <w:rsid w:val="000B6BAD"/>
    <w:rsid w:val="000B7024"/>
    <w:rsid w:val="000B72CD"/>
    <w:rsid w:val="000B7409"/>
    <w:rsid w:val="000B7425"/>
    <w:rsid w:val="000B7AF4"/>
    <w:rsid w:val="000C0787"/>
    <w:rsid w:val="000C090F"/>
    <w:rsid w:val="000C0C61"/>
    <w:rsid w:val="000C12AC"/>
    <w:rsid w:val="000C1A74"/>
    <w:rsid w:val="000C2C59"/>
    <w:rsid w:val="000C3444"/>
    <w:rsid w:val="000C3638"/>
    <w:rsid w:val="000C528D"/>
    <w:rsid w:val="000C53CC"/>
    <w:rsid w:val="000C647F"/>
    <w:rsid w:val="000C723E"/>
    <w:rsid w:val="000C736F"/>
    <w:rsid w:val="000C75E9"/>
    <w:rsid w:val="000C79D9"/>
    <w:rsid w:val="000D14A4"/>
    <w:rsid w:val="000D2CE5"/>
    <w:rsid w:val="000D35F4"/>
    <w:rsid w:val="000D3DAB"/>
    <w:rsid w:val="000D4165"/>
    <w:rsid w:val="000D4E5F"/>
    <w:rsid w:val="000D6226"/>
    <w:rsid w:val="000D744B"/>
    <w:rsid w:val="000E0000"/>
    <w:rsid w:val="000E0C1D"/>
    <w:rsid w:val="000E0D42"/>
    <w:rsid w:val="000E1450"/>
    <w:rsid w:val="000E14E9"/>
    <w:rsid w:val="000E166E"/>
    <w:rsid w:val="000E18CF"/>
    <w:rsid w:val="000E199E"/>
    <w:rsid w:val="000E2CE6"/>
    <w:rsid w:val="000E2D27"/>
    <w:rsid w:val="000E48A8"/>
    <w:rsid w:val="000E73EF"/>
    <w:rsid w:val="000F00F9"/>
    <w:rsid w:val="000F09C4"/>
    <w:rsid w:val="000F0A29"/>
    <w:rsid w:val="000F1524"/>
    <w:rsid w:val="000F32E1"/>
    <w:rsid w:val="000F3601"/>
    <w:rsid w:val="000F38D9"/>
    <w:rsid w:val="000F420C"/>
    <w:rsid w:val="000F442F"/>
    <w:rsid w:val="000F4558"/>
    <w:rsid w:val="000F598F"/>
    <w:rsid w:val="000F646A"/>
    <w:rsid w:val="000F66D8"/>
    <w:rsid w:val="000F722C"/>
    <w:rsid w:val="000F7A8D"/>
    <w:rsid w:val="00100F0C"/>
    <w:rsid w:val="0010179D"/>
    <w:rsid w:val="001017A6"/>
    <w:rsid w:val="0010184F"/>
    <w:rsid w:val="00101930"/>
    <w:rsid w:val="00101B8C"/>
    <w:rsid w:val="00102A2E"/>
    <w:rsid w:val="001038A7"/>
    <w:rsid w:val="00103B06"/>
    <w:rsid w:val="00105105"/>
    <w:rsid w:val="001057EB"/>
    <w:rsid w:val="00106704"/>
    <w:rsid w:val="00106E6F"/>
    <w:rsid w:val="00106F4A"/>
    <w:rsid w:val="00107400"/>
    <w:rsid w:val="00107915"/>
    <w:rsid w:val="00107A77"/>
    <w:rsid w:val="00110156"/>
    <w:rsid w:val="001102DC"/>
    <w:rsid w:val="00110BDF"/>
    <w:rsid w:val="00111044"/>
    <w:rsid w:val="00111963"/>
    <w:rsid w:val="0011256B"/>
    <w:rsid w:val="00113982"/>
    <w:rsid w:val="00113CC9"/>
    <w:rsid w:val="001148D9"/>
    <w:rsid w:val="001152EF"/>
    <w:rsid w:val="00115F7E"/>
    <w:rsid w:val="00116E53"/>
    <w:rsid w:val="0011706E"/>
    <w:rsid w:val="00120110"/>
    <w:rsid w:val="00120E06"/>
    <w:rsid w:val="00124F90"/>
    <w:rsid w:val="00125624"/>
    <w:rsid w:val="00127E80"/>
    <w:rsid w:val="0013133C"/>
    <w:rsid w:val="001328DD"/>
    <w:rsid w:val="00132FA2"/>
    <w:rsid w:val="001339B7"/>
    <w:rsid w:val="00135ACE"/>
    <w:rsid w:val="00137BA0"/>
    <w:rsid w:val="00140220"/>
    <w:rsid w:val="00140D2A"/>
    <w:rsid w:val="001428A4"/>
    <w:rsid w:val="00143D48"/>
    <w:rsid w:val="00143ECC"/>
    <w:rsid w:val="00144CD8"/>
    <w:rsid w:val="00145381"/>
    <w:rsid w:val="00146671"/>
    <w:rsid w:val="001477CB"/>
    <w:rsid w:val="00150700"/>
    <w:rsid w:val="0015083B"/>
    <w:rsid w:val="00150E1E"/>
    <w:rsid w:val="0015183F"/>
    <w:rsid w:val="001531A8"/>
    <w:rsid w:val="00153ADA"/>
    <w:rsid w:val="0015409A"/>
    <w:rsid w:val="00154BDD"/>
    <w:rsid w:val="001552DC"/>
    <w:rsid w:val="00155519"/>
    <w:rsid w:val="00155568"/>
    <w:rsid w:val="00155F8A"/>
    <w:rsid w:val="001566BD"/>
    <w:rsid w:val="001605F9"/>
    <w:rsid w:val="00160DB6"/>
    <w:rsid w:val="0016150F"/>
    <w:rsid w:val="00162338"/>
    <w:rsid w:val="00162C99"/>
    <w:rsid w:val="0016323C"/>
    <w:rsid w:val="0016390D"/>
    <w:rsid w:val="001667E5"/>
    <w:rsid w:val="00166F83"/>
    <w:rsid w:val="00167563"/>
    <w:rsid w:val="00170339"/>
    <w:rsid w:val="001704FA"/>
    <w:rsid w:val="00170E97"/>
    <w:rsid w:val="00171A89"/>
    <w:rsid w:val="00172814"/>
    <w:rsid w:val="00172FE7"/>
    <w:rsid w:val="00173352"/>
    <w:rsid w:val="001744D0"/>
    <w:rsid w:val="001747F5"/>
    <w:rsid w:val="00177FF2"/>
    <w:rsid w:val="001810B1"/>
    <w:rsid w:val="00182203"/>
    <w:rsid w:val="00182C18"/>
    <w:rsid w:val="00182D32"/>
    <w:rsid w:val="001832A9"/>
    <w:rsid w:val="00184653"/>
    <w:rsid w:val="00184C85"/>
    <w:rsid w:val="0018604E"/>
    <w:rsid w:val="001875FB"/>
    <w:rsid w:val="00191114"/>
    <w:rsid w:val="00191274"/>
    <w:rsid w:val="0019156F"/>
    <w:rsid w:val="00192925"/>
    <w:rsid w:val="00192D2C"/>
    <w:rsid w:val="0019398A"/>
    <w:rsid w:val="00193ABE"/>
    <w:rsid w:val="00195362"/>
    <w:rsid w:val="0019594F"/>
    <w:rsid w:val="00197308"/>
    <w:rsid w:val="00197A80"/>
    <w:rsid w:val="00197C11"/>
    <w:rsid w:val="001A141F"/>
    <w:rsid w:val="001A2FCD"/>
    <w:rsid w:val="001A3907"/>
    <w:rsid w:val="001A3B11"/>
    <w:rsid w:val="001A4D2A"/>
    <w:rsid w:val="001A5775"/>
    <w:rsid w:val="001A67D9"/>
    <w:rsid w:val="001A6E45"/>
    <w:rsid w:val="001A6E9E"/>
    <w:rsid w:val="001B0A19"/>
    <w:rsid w:val="001B1996"/>
    <w:rsid w:val="001B1E6A"/>
    <w:rsid w:val="001B1F72"/>
    <w:rsid w:val="001B3172"/>
    <w:rsid w:val="001B4226"/>
    <w:rsid w:val="001B6C91"/>
    <w:rsid w:val="001C0643"/>
    <w:rsid w:val="001C17C1"/>
    <w:rsid w:val="001C17D4"/>
    <w:rsid w:val="001C29AD"/>
    <w:rsid w:val="001C3B5A"/>
    <w:rsid w:val="001C3F4B"/>
    <w:rsid w:val="001C3FB6"/>
    <w:rsid w:val="001C4CE2"/>
    <w:rsid w:val="001C4D07"/>
    <w:rsid w:val="001C6747"/>
    <w:rsid w:val="001D0C5B"/>
    <w:rsid w:val="001D0C71"/>
    <w:rsid w:val="001D3B35"/>
    <w:rsid w:val="001D431A"/>
    <w:rsid w:val="001D455C"/>
    <w:rsid w:val="001D60C5"/>
    <w:rsid w:val="001D79DA"/>
    <w:rsid w:val="001D7C6E"/>
    <w:rsid w:val="001E04FF"/>
    <w:rsid w:val="001E0E7F"/>
    <w:rsid w:val="001E14E3"/>
    <w:rsid w:val="001E2BEB"/>
    <w:rsid w:val="001E4ACE"/>
    <w:rsid w:val="001E6034"/>
    <w:rsid w:val="001E6BDF"/>
    <w:rsid w:val="001E76C1"/>
    <w:rsid w:val="001E77B5"/>
    <w:rsid w:val="001F0775"/>
    <w:rsid w:val="001F0EE4"/>
    <w:rsid w:val="001F228E"/>
    <w:rsid w:val="001F2555"/>
    <w:rsid w:val="001F2A27"/>
    <w:rsid w:val="001F2ECE"/>
    <w:rsid w:val="001F338D"/>
    <w:rsid w:val="001F3715"/>
    <w:rsid w:val="001F37C8"/>
    <w:rsid w:val="001F5816"/>
    <w:rsid w:val="001F633D"/>
    <w:rsid w:val="001F730E"/>
    <w:rsid w:val="0020146D"/>
    <w:rsid w:val="002019C2"/>
    <w:rsid w:val="002026FB"/>
    <w:rsid w:val="00203A08"/>
    <w:rsid w:val="00203B79"/>
    <w:rsid w:val="00203E06"/>
    <w:rsid w:val="0020463A"/>
    <w:rsid w:val="0020594A"/>
    <w:rsid w:val="0020635D"/>
    <w:rsid w:val="0020657B"/>
    <w:rsid w:val="00207516"/>
    <w:rsid w:val="002075BB"/>
    <w:rsid w:val="00211436"/>
    <w:rsid w:val="00212E10"/>
    <w:rsid w:val="00212F5A"/>
    <w:rsid w:val="00213197"/>
    <w:rsid w:val="0021681A"/>
    <w:rsid w:val="002178C6"/>
    <w:rsid w:val="00220F17"/>
    <w:rsid w:val="00220F9B"/>
    <w:rsid w:val="002217A1"/>
    <w:rsid w:val="00222855"/>
    <w:rsid w:val="0022341C"/>
    <w:rsid w:val="00224B50"/>
    <w:rsid w:val="00224FD6"/>
    <w:rsid w:val="00225331"/>
    <w:rsid w:val="002253C9"/>
    <w:rsid w:val="00225AE3"/>
    <w:rsid w:val="002264CD"/>
    <w:rsid w:val="00227046"/>
    <w:rsid w:val="00227DE1"/>
    <w:rsid w:val="002345A4"/>
    <w:rsid w:val="002355AD"/>
    <w:rsid w:val="00235ECE"/>
    <w:rsid w:val="00235F1B"/>
    <w:rsid w:val="002366C6"/>
    <w:rsid w:val="002376C3"/>
    <w:rsid w:val="00240A2B"/>
    <w:rsid w:val="00240BC6"/>
    <w:rsid w:val="00241769"/>
    <w:rsid w:val="00242C2C"/>
    <w:rsid w:val="002442C0"/>
    <w:rsid w:val="0024430A"/>
    <w:rsid w:val="00245E75"/>
    <w:rsid w:val="00246169"/>
    <w:rsid w:val="00246848"/>
    <w:rsid w:val="00246B0E"/>
    <w:rsid w:val="002478A6"/>
    <w:rsid w:val="00247CEF"/>
    <w:rsid w:val="00247FF9"/>
    <w:rsid w:val="002505E4"/>
    <w:rsid w:val="00252804"/>
    <w:rsid w:val="00252FA1"/>
    <w:rsid w:val="002533BE"/>
    <w:rsid w:val="00255037"/>
    <w:rsid w:val="002556CF"/>
    <w:rsid w:val="002556DA"/>
    <w:rsid w:val="002557F9"/>
    <w:rsid w:val="00255CC4"/>
    <w:rsid w:val="002562D2"/>
    <w:rsid w:val="00260FD3"/>
    <w:rsid w:val="00261B23"/>
    <w:rsid w:val="0026291B"/>
    <w:rsid w:val="002638C9"/>
    <w:rsid w:val="00263925"/>
    <w:rsid w:val="00263C72"/>
    <w:rsid w:val="00264478"/>
    <w:rsid w:val="002644D3"/>
    <w:rsid w:val="00264A50"/>
    <w:rsid w:val="0026512D"/>
    <w:rsid w:val="00266C8E"/>
    <w:rsid w:val="0027044B"/>
    <w:rsid w:val="00270A4F"/>
    <w:rsid w:val="00270C9D"/>
    <w:rsid w:val="002714B5"/>
    <w:rsid w:val="00271BA3"/>
    <w:rsid w:val="00271E8B"/>
    <w:rsid w:val="0027288F"/>
    <w:rsid w:val="0027294F"/>
    <w:rsid w:val="00273948"/>
    <w:rsid w:val="002742FF"/>
    <w:rsid w:val="00275358"/>
    <w:rsid w:val="00275A4E"/>
    <w:rsid w:val="00275CE2"/>
    <w:rsid w:val="00275FFB"/>
    <w:rsid w:val="00276521"/>
    <w:rsid w:val="0027704D"/>
    <w:rsid w:val="00277FE7"/>
    <w:rsid w:val="002809B6"/>
    <w:rsid w:val="00280C31"/>
    <w:rsid w:val="00280E83"/>
    <w:rsid w:val="002810C5"/>
    <w:rsid w:val="002814A4"/>
    <w:rsid w:val="0028243F"/>
    <w:rsid w:val="00282C5C"/>
    <w:rsid w:val="0028523E"/>
    <w:rsid w:val="00286675"/>
    <w:rsid w:val="0029067C"/>
    <w:rsid w:val="00291BCC"/>
    <w:rsid w:val="002941BF"/>
    <w:rsid w:val="00295217"/>
    <w:rsid w:val="00295B90"/>
    <w:rsid w:val="00295F9A"/>
    <w:rsid w:val="002960B9"/>
    <w:rsid w:val="00297526"/>
    <w:rsid w:val="00297B78"/>
    <w:rsid w:val="00297C34"/>
    <w:rsid w:val="002A074C"/>
    <w:rsid w:val="002A1AAB"/>
    <w:rsid w:val="002A1ABD"/>
    <w:rsid w:val="002A2BB2"/>
    <w:rsid w:val="002A4AEF"/>
    <w:rsid w:val="002A554C"/>
    <w:rsid w:val="002A5A69"/>
    <w:rsid w:val="002A67F1"/>
    <w:rsid w:val="002A6C92"/>
    <w:rsid w:val="002A774C"/>
    <w:rsid w:val="002B0BA7"/>
    <w:rsid w:val="002B120D"/>
    <w:rsid w:val="002B32D2"/>
    <w:rsid w:val="002B3A61"/>
    <w:rsid w:val="002B3EF0"/>
    <w:rsid w:val="002B425C"/>
    <w:rsid w:val="002B46D0"/>
    <w:rsid w:val="002B5C69"/>
    <w:rsid w:val="002B67BA"/>
    <w:rsid w:val="002B7499"/>
    <w:rsid w:val="002B7B11"/>
    <w:rsid w:val="002B7E0F"/>
    <w:rsid w:val="002C00A6"/>
    <w:rsid w:val="002C079B"/>
    <w:rsid w:val="002C16A7"/>
    <w:rsid w:val="002C1872"/>
    <w:rsid w:val="002C5DCE"/>
    <w:rsid w:val="002C5E1F"/>
    <w:rsid w:val="002C6CF9"/>
    <w:rsid w:val="002D0971"/>
    <w:rsid w:val="002D2286"/>
    <w:rsid w:val="002D26F6"/>
    <w:rsid w:val="002D2BB7"/>
    <w:rsid w:val="002D3552"/>
    <w:rsid w:val="002D3C24"/>
    <w:rsid w:val="002D4219"/>
    <w:rsid w:val="002D4BB9"/>
    <w:rsid w:val="002D505E"/>
    <w:rsid w:val="002D52D6"/>
    <w:rsid w:val="002D566E"/>
    <w:rsid w:val="002D5807"/>
    <w:rsid w:val="002D666B"/>
    <w:rsid w:val="002D7125"/>
    <w:rsid w:val="002E01E3"/>
    <w:rsid w:val="002E0962"/>
    <w:rsid w:val="002E177D"/>
    <w:rsid w:val="002E3676"/>
    <w:rsid w:val="002E39B2"/>
    <w:rsid w:val="002E3B58"/>
    <w:rsid w:val="002E3EEC"/>
    <w:rsid w:val="002E4387"/>
    <w:rsid w:val="002E5CE4"/>
    <w:rsid w:val="002E7079"/>
    <w:rsid w:val="002E7DD6"/>
    <w:rsid w:val="002F0538"/>
    <w:rsid w:val="002F05A7"/>
    <w:rsid w:val="002F1BFA"/>
    <w:rsid w:val="002F2804"/>
    <w:rsid w:val="002F4BE8"/>
    <w:rsid w:val="002F551F"/>
    <w:rsid w:val="002F5CEC"/>
    <w:rsid w:val="002F7797"/>
    <w:rsid w:val="002F7F5B"/>
    <w:rsid w:val="0030326A"/>
    <w:rsid w:val="003052D5"/>
    <w:rsid w:val="00305F1B"/>
    <w:rsid w:val="0030649D"/>
    <w:rsid w:val="00306DDC"/>
    <w:rsid w:val="00307213"/>
    <w:rsid w:val="003072D2"/>
    <w:rsid w:val="003079CC"/>
    <w:rsid w:val="003113B2"/>
    <w:rsid w:val="003124EC"/>
    <w:rsid w:val="00312975"/>
    <w:rsid w:val="00313549"/>
    <w:rsid w:val="003148FB"/>
    <w:rsid w:val="003149D6"/>
    <w:rsid w:val="0031533E"/>
    <w:rsid w:val="00315872"/>
    <w:rsid w:val="00316778"/>
    <w:rsid w:val="003174E8"/>
    <w:rsid w:val="00320BA2"/>
    <w:rsid w:val="003215C4"/>
    <w:rsid w:val="0032174C"/>
    <w:rsid w:val="00321BC3"/>
    <w:rsid w:val="003224B8"/>
    <w:rsid w:val="0032268B"/>
    <w:rsid w:val="0032276F"/>
    <w:rsid w:val="00323390"/>
    <w:rsid w:val="00323B56"/>
    <w:rsid w:val="00323E2E"/>
    <w:rsid w:val="00323E31"/>
    <w:rsid w:val="00323FB2"/>
    <w:rsid w:val="00324B63"/>
    <w:rsid w:val="00324B6C"/>
    <w:rsid w:val="00324F73"/>
    <w:rsid w:val="003251C2"/>
    <w:rsid w:val="0032579B"/>
    <w:rsid w:val="00325DCB"/>
    <w:rsid w:val="00325ED7"/>
    <w:rsid w:val="003265B2"/>
    <w:rsid w:val="00327422"/>
    <w:rsid w:val="00330372"/>
    <w:rsid w:val="00330579"/>
    <w:rsid w:val="003330EC"/>
    <w:rsid w:val="00333475"/>
    <w:rsid w:val="003353AC"/>
    <w:rsid w:val="00335BAD"/>
    <w:rsid w:val="00336976"/>
    <w:rsid w:val="00337DF1"/>
    <w:rsid w:val="0034054D"/>
    <w:rsid w:val="00341D5B"/>
    <w:rsid w:val="00342636"/>
    <w:rsid w:val="00343B1B"/>
    <w:rsid w:val="00343BC9"/>
    <w:rsid w:val="003466B2"/>
    <w:rsid w:val="00347D1B"/>
    <w:rsid w:val="00351655"/>
    <w:rsid w:val="0035269A"/>
    <w:rsid w:val="00353284"/>
    <w:rsid w:val="00353FD6"/>
    <w:rsid w:val="0035631F"/>
    <w:rsid w:val="0035667A"/>
    <w:rsid w:val="003600D2"/>
    <w:rsid w:val="0036026A"/>
    <w:rsid w:val="00360DBC"/>
    <w:rsid w:val="00361116"/>
    <w:rsid w:val="00361DE3"/>
    <w:rsid w:val="0036339E"/>
    <w:rsid w:val="00363509"/>
    <w:rsid w:val="00363D52"/>
    <w:rsid w:val="00364ACF"/>
    <w:rsid w:val="00364B8D"/>
    <w:rsid w:val="0036665B"/>
    <w:rsid w:val="00366BDB"/>
    <w:rsid w:val="00366CBC"/>
    <w:rsid w:val="00367FDB"/>
    <w:rsid w:val="00370077"/>
    <w:rsid w:val="00370F70"/>
    <w:rsid w:val="00371709"/>
    <w:rsid w:val="0037212D"/>
    <w:rsid w:val="00372A76"/>
    <w:rsid w:val="003733C9"/>
    <w:rsid w:val="00373CB4"/>
    <w:rsid w:val="00373D88"/>
    <w:rsid w:val="00374224"/>
    <w:rsid w:val="00374AD8"/>
    <w:rsid w:val="00377389"/>
    <w:rsid w:val="00381F09"/>
    <w:rsid w:val="003826E1"/>
    <w:rsid w:val="00383A1A"/>
    <w:rsid w:val="00384BF8"/>
    <w:rsid w:val="00387344"/>
    <w:rsid w:val="00387EF2"/>
    <w:rsid w:val="0039097F"/>
    <w:rsid w:val="00390E6B"/>
    <w:rsid w:val="003911E0"/>
    <w:rsid w:val="00391201"/>
    <w:rsid w:val="00391FF7"/>
    <w:rsid w:val="003945E0"/>
    <w:rsid w:val="00394F0D"/>
    <w:rsid w:val="00395382"/>
    <w:rsid w:val="00395FB7"/>
    <w:rsid w:val="003976C0"/>
    <w:rsid w:val="00397DCF"/>
    <w:rsid w:val="003A0D84"/>
    <w:rsid w:val="003A1270"/>
    <w:rsid w:val="003A202E"/>
    <w:rsid w:val="003A4027"/>
    <w:rsid w:val="003A47BC"/>
    <w:rsid w:val="003A4CD2"/>
    <w:rsid w:val="003A56BA"/>
    <w:rsid w:val="003A5DD7"/>
    <w:rsid w:val="003A5F0E"/>
    <w:rsid w:val="003A5F85"/>
    <w:rsid w:val="003A6356"/>
    <w:rsid w:val="003A63D6"/>
    <w:rsid w:val="003A6ACA"/>
    <w:rsid w:val="003A6B88"/>
    <w:rsid w:val="003A7BE1"/>
    <w:rsid w:val="003A7EEB"/>
    <w:rsid w:val="003B161E"/>
    <w:rsid w:val="003B1F4E"/>
    <w:rsid w:val="003B217C"/>
    <w:rsid w:val="003B289C"/>
    <w:rsid w:val="003B387E"/>
    <w:rsid w:val="003B3EA4"/>
    <w:rsid w:val="003B400F"/>
    <w:rsid w:val="003B4311"/>
    <w:rsid w:val="003B4C85"/>
    <w:rsid w:val="003B5B3E"/>
    <w:rsid w:val="003B68BA"/>
    <w:rsid w:val="003B74AB"/>
    <w:rsid w:val="003C1DA8"/>
    <w:rsid w:val="003C5EF1"/>
    <w:rsid w:val="003C634F"/>
    <w:rsid w:val="003C68DB"/>
    <w:rsid w:val="003C6DBA"/>
    <w:rsid w:val="003C6EB3"/>
    <w:rsid w:val="003C70A3"/>
    <w:rsid w:val="003C77DA"/>
    <w:rsid w:val="003C7941"/>
    <w:rsid w:val="003C7A62"/>
    <w:rsid w:val="003C7BA9"/>
    <w:rsid w:val="003D0FFA"/>
    <w:rsid w:val="003D1702"/>
    <w:rsid w:val="003D2972"/>
    <w:rsid w:val="003D30D7"/>
    <w:rsid w:val="003D3671"/>
    <w:rsid w:val="003D3796"/>
    <w:rsid w:val="003D40FD"/>
    <w:rsid w:val="003D5DA1"/>
    <w:rsid w:val="003E0BA4"/>
    <w:rsid w:val="003E16EF"/>
    <w:rsid w:val="003E2DFD"/>
    <w:rsid w:val="003E35CE"/>
    <w:rsid w:val="003E416F"/>
    <w:rsid w:val="003E4C61"/>
    <w:rsid w:val="003E5F80"/>
    <w:rsid w:val="003E6944"/>
    <w:rsid w:val="003E7823"/>
    <w:rsid w:val="003F1E09"/>
    <w:rsid w:val="003F2147"/>
    <w:rsid w:val="003F25C9"/>
    <w:rsid w:val="003F3B10"/>
    <w:rsid w:val="003F409D"/>
    <w:rsid w:val="003F41D2"/>
    <w:rsid w:val="003F469F"/>
    <w:rsid w:val="003F5745"/>
    <w:rsid w:val="003F61D1"/>
    <w:rsid w:val="003F6C16"/>
    <w:rsid w:val="003F6CFE"/>
    <w:rsid w:val="003F7338"/>
    <w:rsid w:val="00401403"/>
    <w:rsid w:val="0040170F"/>
    <w:rsid w:val="00402874"/>
    <w:rsid w:val="00404958"/>
    <w:rsid w:val="004056E0"/>
    <w:rsid w:val="00406F38"/>
    <w:rsid w:val="0040794D"/>
    <w:rsid w:val="00410F05"/>
    <w:rsid w:val="00412C0F"/>
    <w:rsid w:val="004131F5"/>
    <w:rsid w:val="004133FD"/>
    <w:rsid w:val="004135AA"/>
    <w:rsid w:val="004143AA"/>
    <w:rsid w:val="00415668"/>
    <w:rsid w:val="00415A6C"/>
    <w:rsid w:val="00416630"/>
    <w:rsid w:val="00417874"/>
    <w:rsid w:val="00417C83"/>
    <w:rsid w:val="00421D5B"/>
    <w:rsid w:val="00422202"/>
    <w:rsid w:val="00422A91"/>
    <w:rsid w:val="00423688"/>
    <w:rsid w:val="00426314"/>
    <w:rsid w:val="00426D56"/>
    <w:rsid w:val="00426ECC"/>
    <w:rsid w:val="00427491"/>
    <w:rsid w:val="00431459"/>
    <w:rsid w:val="004327AB"/>
    <w:rsid w:val="004328CA"/>
    <w:rsid w:val="00433CB0"/>
    <w:rsid w:val="004340B4"/>
    <w:rsid w:val="00434B87"/>
    <w:rsid w:val="00434F42"/>
    <w:rsid w:val="00436514"/>
    <w:rsid w:val="00436AA7"/>
    <w:rsid w:val="00440260"/>
    <w:rsid w:val="004406C1"/>
    <w:rsid w:val="004407BF"/>
    <w:rsid w:val="00440971"/>
    <w:rsid w:val="00441034"/>
    <w:rsid w:val="00441211"/>
    <w:rsid w:val="0044183F"/>
    <w:rsid w:val="0044184A"/>
    <w:rsid w:val="0044212D"/>
    <w:rsid w:val="004442C9"/>
    <w:rsid w:val="00444B5C"/>
    <w:rsid w:val="00445A06"/>
    <w:rsid w:val="00445B4A"/>
    <w:rsid w:val="00446171"/>
    <w:rsid w:val="004469D9"/>
    <w:rsid w:val="00447B2C"/>
    <w:rsid w:val="00447DBB"/>
    <w:rsid w:val="00450352"/>
    <w:rsid w:val="00450D40"/>
    <w:rsid w:val="00451D67"/>
    <w:rsid w:val="004525AC"/>
    <w:rsid w:val="00452796"/>
    <w:rsid w:val="00452C87"/>
    <w:rsid w:val="00452E24"/>
    <w:rsid w:val="00453215"/>
    <w:rsid w:val="00453358"/>
    <w:rsid w:val="0045554C"/>
    <w:rsid w:val="0045641D"/>
    <w:rsid w:val="004565D2"/>
    <w:rsid w:val="004578C2"/>
    <w:rsid w:val="00457B33"/>
    <w:rsid w:val="00460861"/>
    <w:rsid w:val="004612A6"/>
    <w:rsid w:val="00461EA5"/>
    <w:rsid w:val="00462293"/>
    <w:rsid w:val="00463443"/>
    <w:rsid w:val="0046525D"/>
    <w:rsid w:val="004655A5"/>
    <w:rsid w:val="004704B0"/>
    <w:rsid w:val="00470B9F"/>
    <w:rsid w:val="00470F24"/>
    <w:rsid w:val="0047141A"/>
    <w:rsid w:val="00471B22"/>
    <w:rsid w:val="00472589"/>
    <w:rsid w:val="00473DE3"/>
    <w:rsid w:val="004742DB"/>
    <w:rsid w:val="00474466"/>
    <w:rsid w:val="00474F63"/>
    <w:rsid w:val="004755F6"/>
    <w:rsid w:val="0047599C"/>
    <w:rsid w:val="004764F1"/>
    <w:rsid w:val="00476A01"/>
    <w:rsid w:val="00476B93"/>
    <w:rsid w:val="00476C67"/>
    <w:rsid w:val="00480B11"/>
    <w:rsid w:val="00481A15"/>
    <w:rsid w:val="004821D5"/>
    <w:rsid w:val="00482AD4"/>
    <w:rsid w:val="00485D69"/>
    <w:rsid w:val="00485F8A"/>
    <w:rsid w:val="00486EB1"/>
    <w:rsid w:val="00487F00"/>
    <w:rsid w:val="004916FE"/>
    <w:rsid w:val="00491804"/>
    <w:rsid w:val="00492A5F"/>
    <w:rsid w:val="00492DF0"/>
    <w:rsid w:val="00492FE9"/>
    <w:rsid w:val="00493794"/>
    <w:rsid w:val="00493ECB"/>
    <w:rsid w:val="00494E6F"/>
    <w:rsid w:val="00496284"/>
    <w:rsid w:val="00496FF4"/>
    <w:rsid w:val="004A13FE"/>
    <w:rsid w:val="004A26BD"/>
    <w:rsid w:val="004A2C1F"/>
    <w:rsid w:val="004A2FAD"/>
    <w:rsid w:val="004A3D82"/>
    <w:rsid w:val="004A41A9"/>
    <w:rsid w:val="004A4ADE"/>
    <w:rsid w:val="004A4C5B"/>
    <w:rsid w:val="004A56BE"/>
    <w:rsid w:val="004A5D02"/>
    <w:rsid w:val="004A628C"/>
    <w:rsid w:val="004A64E6"/>
    <w:rsid w:val="004A6C35"/>
    <w:rsid w:val="004A7001"/>
    <w:rsid w:val="004A70DA"/>
    <w:rsid w:val="004B0551"/>
    <w:rsid w:val="004B2685"/>
    <w:rsid w:val="004B2D9E"/>
    <w:rsid w:val="004B3A91"/>
    <w:rsid w:val="004B4C44"/>
    <w:rsid w:val="004B4D90"/>
    <w:rsid w:val="004B61EB"/>
    <w:rsid w:val="004B6405"/>
    <w:rsid w:val="004C00BB"/>
    <w:rsid w:val="004C11C0"/>
    <w:rsid w:val="004C1854"/>
    <w:rsid w:val="004C1ABB"/>
    <w:rsid w:val="004C2526"/>
    <w:rsid w:val="004C28B5"/>
    <w:rsid w:val="004C2B94"/>
    <w:rsid w:val="004C2E87"/>
    <w:rsid w:val="004C3074"/>
    <w:rsid w:val="004C50BE"/>
    <w:rsid w:val="004C60E3"/>
    <w:rsid w:val="004D143A"/>
    <w:rsid w:val="004D160C"/>
    <w:rsid w:val="004D1AD7"/>
    <w:rsid w:val="004D204B"/>
    <w:rsid w:val="004D2B7B"/>
    <w:rsid w:val="004D693E"/>
    <w:rsid w:val="004D69CE"/>
    <w:rsid w:val="004D70A2"/>
    <w:rsid w:val="004D78B6"/>
    <w:rsid w:val="004D7A12"/>
    <w:rsid w:val="004D7F49"/>
    <w:rsid w:val="004E005A"/>
    <w:rsid w:val="004E041A"/>
    <w:rsid w:val="004E1C2A"/>
    <w:rsid w:val="004E20DA"/>
    <w:rsid w:val="004E2297"/>
    <w:rsid w:val="004E2D9E"/>
    <w:rsid w:val="004E4C8B"/>
    <w:rsid w:val="004E5A13"/>
    <w:rsid w:val="004E5D1A"/>
    <w:rsid w:val="004F0BA3"/>
    <w:rsid w:val="004F184F"/>
    <w:rsid w:val="004F230B"/>
    <w:rsid w:val="004F28B0"/>
    <w:rsid w:val="004F3220"/>
    <w:rsid w:val="004F34D2"/>
    <w:rsid w:val="004F355B"/>
    <w:rsid w:val="004F389A"/>
    <w:rsid w:val="004F5401"/>
    <w:rsid w:val="004F6778"/>
    <w:rsid w:val="00500544"/>
    <w:rsid w:val="00501AC1"/>
    <w:rsid w:val="00501CBF"/>
    <w:rsid w:val="00502009"/>
    <w:rsid w:val="005030FC"/>
    <w:rsid w:val="00503105"/>
    <w:rsid w:val="0050378B"/>
    <w:rsid w:val="0050655B"/>
    <w:rsid w:val="00510393"/>
    <w:rsid w:val="00510C54"/>
    <w:rsid w:val="005110A1"/>
    <w:rsid w:val="00511978"/>
    <w:rsid w:val="0051221A"/>
    <w:rsid w:val="00512E34"/>
    <w:rsid w:val="005137AC"/>
    <w:rsid w:val="0051395D"/>
    <w:rsid w:val="0051414B"/>
    <w:rsid w:val="005159DE"/>
    <w:rsid w:val="00517B29"/>
    <w:rsid w:val="00517BE4"/>
    <w:rsid w:val="005201C2"/>
    <w:rsid w:val="00521C65"/>
    <w:rsid w:val="005243DF"/>
    <w:rsid w:val="00524E7E"/>
    <w:rsid w:val="00526E46"/>
    <w:rsid w:val="00527896"/>
    <w:rsid w:val="00527D70"/>
    <w:rsid w:val="00530974"/>
    <w:rsid w:val="00532684"/>
    <w:rsid w:val="0053299E"/>
    <w:rsid w:val="00532BDF"/>
    <w:rsid w:val="0053342F"/>
    <w:rsid w:val="00534A57"/>
    <w:rsid w:val="00535191"/>
    <w:rsid w:val="00535575"/>
    <w:rsid w:val="005358DA"/>
    <w:rsid w:val="0053617D"/>
    <w:rsid w:val="005405B8"/>
    <w:rsid w:val="005408FC"/>
    <w:rsid w:val="0054264F"/>
    <w:rsid w:val="0054404D"/>
    <w:rsid w:val="00544F61"/>
    <w:rsid w:val="0054539D"/>
    <w:rsid w:val="00545A97"/>
    <w:rsid w:val="00545D0C"/>
    <w:rsid w:val="00546445"/>
    <w:rsid w:val="00546807"/>
    <w:rsid w:val="0054685C"/>
    <w:rsid w:val="00550096"/>
    <w:rsid w:val="00550BF3"/>
    <w:rsid w:val="00551AF1"/>
    <w:rsid w:val="0055279D"/>
    <w:rsid w:val="005535D6"/>
    <w:rsid w:val="00557139"/>
    <w:rsid w:val="0055735B"/>
    <w:rsid w:val="005615D3"/>
    <w:rsid w:val="0056170A"/>
    <w:rsid w:val="00562191"/>
    <w:rsid w:val="0056243A"/>
    <w:rsid w:val="00562A53"/>
    <w:rsid w:val="005633C5"/>
    <w:rsid w:val="0056415D"/>
    <w:rsid w:val="00565F61"/>
    <w:rsid w:val="00565F72"/>
    <w:rsid w:val="00566D0F"/>
    <w:rsid w:val="005671CD"/>
    <w:rsid w:val="00567424"/>
    <w:rsid w:val="00567807"/>
    <w:rsid w:val="005704CE"/>
    <w:rsid w:val="0057300F"/>
    <w:rsid w:val="005740EC"/>
    <w:rsid w:val="00574BE4"/>
    <w:rsid w:val="0057729E"/>
    <w:rsid w:val="00580B04"/>
    <w:rsid w:val="005813CB"/>
    <w:rsid w:val="005818E7"/>
    <w:rsid w:val="00581987"/>
    <w:rsid w:val="00581B19"/>
    <w:rsid w:val="00581E31"/>
    <w:rsid w:val="00582C08"/>
    <w:rsid w:val="005843E6"/>
    <w:rsid w:val="00584ECA"/>
    <w:rsid w:val="005852BF"/>
    <w:rsid w:val="00586377"/>
    <w:rsid w:val="005867FC"/>
    <w:rsid w:val="00586F05"/>
    <w:rsid w:val="00587A0D"/>
    <w:rsid w:val="005903D4"/>
    <w:rsid w:val="005908AB"/>
    <w:rsid w:val="0059184A"/>
    <w:rsid w:val="00592295"/>
    <w:rsid w:val="00593710"/>
    <w:rsid w:val="00594BDC"/>
    <w:rsid w:val="00594C39"/>
    <w:rsid w:val="00594E6C"/>
    <w:rsid w:val="00595499"/>
    <w:rsid w:val="00596DEC"/>
    <w:rsid w:val="00597526"/>
    <w:rsid w:val="00597A46"/>
    <w:rsid w:val="005A0027"/>
    <w:rsid w:val="005A0737"/>
    <w:rsid w:val="005A1668"/>
    <w:rsid w:val="005A1B08"/>
    <w:rsid w:val="005A207F"/>
    <w:rsid w:val="005A31DC"/>
    <w:rsid w:val="005A4E93"/>
    <w:rsid w:val="005A62EE"/>
    <w:rsid w:val="005A7912"/>
    <w:rsid w:val="005A7ECE"/>
    <w:rsid w:val="005B06A0"/>
    <w:rsid w:val="005B08BF"/>
    <w:rsid w:val="005B1EB1"/>
    <w:rsid w:val="005B29DC"/>
    <w:rsid w:val="005B3329"/>
    <w:rsid w:val="005B3A97"/>
    <w:rsid w:val="005B4D4B"/>
    <w:rsid w:val="005B519A"/>
    <w:rsid w:val="005B7264"/>
    <w:rsid w:val="005B74DD"/>
    <w:rsid w:val="005C06D7"/>
    <w:rsid w:val="005C07F3"/>
    <w:rsid w:val="005C0F9E"/>
    <w:rsid w:val="005C31FA"/>
    <w:rsid w:val="005C4B96"/>
    <w:rsid w:val="005C57B2"/>
    <w:rsid w:val="005C5834"/>
    <w:rsid w:val="005C5F9D"/>
    <w:rsid w:val="005C6531"/>
    <w:rsid w:val="005C74D0"/>
    <w:rsid w:val="005C78B0"/>
    <w:rsid w:val="005D0767"/>
    <w:rsid w:val="005D0814"/>
    <w:rsid w:val="005D1022"/>
    <w:rsid w:val="005D17F3"/>
    <w:rsid w:val="005D1818"/>
    <w:rsid w:val="005D1829"/>
    <w:rsid w:val="005D21FB"/>
    <w:rsid w:val="005D49E8"/>
    <w:rsid w:val="005D4BA6"/>
    <w:rsid w:val="005D64F7"/>
    <w:rsid w:val="005D76F3"/>
    <w:rsid w:val="005E1217"/>
    <w:rsid w:val="005E194C"/>
    <w:rsid w:val="005E1A8B"/>
    <w:rsid w:val="005E1FE9"/>
    <w:rsid w:val="005E2857"/>
    <w:rsid w:val="005E3DB5"/>
    <w:rsid w:val="005E5278"/>
    <w:rsid w:val="005E64AF"/>
    <w:rsid w:val="005E738F"/>
    <w:rsid w:val="005E73F6"/>
    <w:rsid w:val="005E76FD"/>
    <w:rsid w:val="005F157F"/>
    <w:rsid w:val="005F16F9"/>
    <w:rsid w:val="005F3497"/>
    <w:rsid w:val="005F37C7"/>
    <w:rsid w:val="005F428A"/>
    <w:rsid w:val="005F42C6"/>
    <w:rsid w:val="005F44BC"/>
    <w:rsid w:val="005F62CA"/>
    <w:rsid w:val="005F69B1"/>
    <w:rsid w:val="00600219"/>
    <w:rsid w:val="00601CFA"/>
    <w:rsid w:val="006021BC"/>
    <w:rsid w:val="006030BC"/>
    <w:rsid w:val="00603CAD"/>
    <w:rsid w:val="0060467C"/>
    <w:rsid w:val="006047B8"/>
    <w:rsid w:val="00605DB8"/>
    <w:rsid w:val="00606093"/>
    <w:rsid w:val="0060652C"/>
    <w:rsid w:val="00606DF7"/>
    <w:rsid w:val="006106B3"/>
    <w:rsid w:val="00610B8C"/>
    <w:rsid w:val="00610C62"/>
    <w:rsid w:val="00611946"/>
    <w:rsid w:val="0061272C"/>
    <w:rsid w:val="00612F7A"/>
    <w:rsid w:val="006133DE"/>
    <w:rsid w:val="00615C75"/>
    <w:rsid w:val="00615EA0"/>
    <w:rsid w:val="006202E2"/>
    <w:rsid w:val="00620882"/>
    <w:rsid w:val="00622DB9"/>
    <w:rsid w:val="006235C6"/>
    <w:rsid w:val="00624AF7"/>
    <w:rsid w:val="00626855"/>
    <w:rsid w:val="006316FA"/>
    <w:rsid w:val="00632157"/>
    <w:rsid w:val="0063347A"/>
    <w:rsid w:val="006346F4"/>
    <w:rsid w:val="00634AFD"/>
    <w:rsid w:val="006362BB"/>
    <w:rsid w:val="00641DEA"/>
    <w:rsid w:val="0064332B"/>
    <w:rsid w:val="00643B30"/>
    <w:rsid w:val="00643D9F"/>
    <w:rsid w:val="0064408C"/>
    <w:rsid w:val="00644E7F"/>
    <w:rsid w:val="0064502E"/>
    <w:rsid w:val="00645457"/>
    <w:rsid w:val="006458A9"/>
    <w:rsid w:val="006460E3"/>
    <w:rsid w:val="00646FD8"/>
    <w:rsid w:val="00650554"/>
    <w:rsid w:val="0065091A"/>
    <w:rsid w:val="00653271"/>
    <w:rsid w:val="00654984"/>
    <w:rsid w:val="00654FBD"/>
    <w:rsid w:val="006551C1"/>
    <w:rsid w:val="00655D1D"/>
    <w:rsid w:val="00655FE1"/>
    <w:rsid w:val="0065652A"/>
    <w:rsid w:val="006569CD"/>
    <w:rsid w:val="00660A0C"/>
    <w:rsid w:val="00662352"/>
    <w:rsid w:val="00663CA9"/>
    <w:rsid w:val="00663CFE"/>
    <w:rsid w:val="006656A7"/>
    <w:rsid w:val="006657B2"/>
    <w:rsid w:val="0066684F"/>
    <w:rsid w:val="006674BE"/>
    <w:rsid w:val="006704A0"/>
    <w:rsid w:val="00671056"/>
    <w:rsid w:val="006725E8"/>
    <w:rsid w:val="00674186"/>
    <w:rsid w:val="0067470E"/>
    <w:rsid w:val="006747DD"/>
    <w:rsid w:val="00675560"/>
    <w:rsid w:val="00675E7E"/>
    <w:rsid w:val="00676189"/>
    <w:rsid w:val="006764DD"/>
    <w:rsid w:val="00677925"/>
    <w:rsid w:val="00680054"/>
    <w:rsid w:val="00680FCD"/>
    <w:rsid w:val="00681B87"/>
    <w:rsid w:val="00681F27"/>
    <w:rsid w:val="00682D7F"/>
    <w:rsid w:val="00684A3B"/>
    <w:rsid w:val="00684BA4"/>
    <w:rsid w:val="0068533F"/>
    <w:rsid w:val="006854ED"/>
    <w:rsid w:val="006856FD"/>
    <w:rsid w:val="00685CD2"/>
    <w:rsid w:val="00686A21"/>
    <w:rsid w:val="00691DF8"/>
    <w:rsid w:val="006923D1"/>
    <w:rsid w:val="00692670"/>
    <w:rsid w:val="00692EC2"/>
    <w:rsid w:val="00695257"/>
    <w:rsid w:val="00696156"/>
    <w:rsid w:val="00696222"/>
    <w:rsid w:val="00697C59"/>
    <w:rsid w:val="006A1B63"/>
    <w:rsid w:val="006A295C"/>
    <w:rsid w:val="006A2E08"/>
    <w:rsid w:val="006A358A"/>
    <w:rsid w:val="006A386C"/>
    <w:rsid w:val="006A3C85"/>
    <w:rsid w:val="006A431A"/>
    <w:rsid w:val="006A4573"/>
    <w:rsid w:val="006A54FE"/>
    <w:rsid w:val="006A696A"/>
    <w:rsid w:val="006A6F14"/>
    <w:rsid w:val="006A7F2D"/>
    <w:rsid w:val="006B0503"/>
    <w:rsid w:val="006B45B3"/>
    <w:rsid w:val="006B48CB"/>
    <w:rsid w:val="006B4CD4"/>
    <w:rsid w:val="006B4D95"/>
    <w:rsid w:val="006B5456"/>
    <w:rsid w:val="006B5D62"/>
    <w:rsid w:val="006B6AAA"/>
    <w:rsid w:val="006B77C4"/>
    <w:rsid w:val="006C08C4"/>
    <w:rsid w:val="006C0C6E"/>
    <w:rsid w:val="006C0D8B"/>
    <w:rsid w:val="006C15B0"/>
    <w:rsid w:val="006C1EC5"/>
    <w:rsid w:val="006C1F29"/>
    <w:rsid w:val="006C35FF"/>
    <w:rsid w:val="006C4A84"/>
    <w:rsid w:val="006C76D4"/>
    <w:rsid w:val="006D1607"/>
    <w:rsid w:val="006D1D29"/>
    <w:rsid w:val="006D371B"/>
    <w:rsid w:val="006D4699"/>
    <w:rsid w:val="006D4D12"/>
    <w:rsid w:val="006D51A6"/>
    <w:rsid w:val="006D71E5"/>
    <w:rsid w:val="006D7628"/>
    <w:rsid w:val="006D7808"/>
    <w:rsid w:val="006D78CA"/>
    <w:rsid w:val="006E1579"/>
    <w:rsid w:val="006E1BA4"/>
    <w:rsid w:val="006E1FB4"/>
    <w:rsid w:val="006E2AF5"/>
    <w:rsid w:val="006E4960"/>
    <w:rsid w:val="006E50E5"/>
    <w:rsid w:val="006E5AAA"/>
    <w:rsid w:val="006E7021"/>
    <w:rsid w:val="006E77D9"/>
    <w:rsid w:val="006F1A8E"/>
    <w:rsid w:val="006F1ACC"/>
    <w:rsid w:val="006F377B"/>
    <w:rsid w:val="006F3EE2"/>
    <w:rsid w:val="006F442D"/>
    <w:rsid w:val="006F4491"/>
    <w:rsid w:val="006F44B4"/>
    <w:rsid w:val="006F5370"/>
    <w:rsid w:val="006F5693"/>
    <w:rsid w:val="006F6D42"/>
    <w:rsid w:val="00700330"/>
    <w:rsid w:val="007007A9"/>
    <w:rsid w:val="00700B1A"/>
    <w:rsid w:val="0070242A"/>
    <w:rsid w:val="00703701"/>
    <w:rsid w:val="0070387D"/>
    <w:rsid w:val="00703FC8"/>
    <w:rsid w:val="007044FC"/>
    <w:rsid w:val="0070453F"/>
    <w:rsid w:val="0070628B"/>
    <w:rsid w:val="007062A0"/>
    <w:rsid w:val="007063A4"/>
    <w:rsid w:val="0070702B"/>
    <w:rsid w:val="0071065C"/>
    <w:rsid w:val="0071096B"/>
    <w:rsid w:val="00710D76"/>
    <w:rsid w:val="00712383"/>
    <w:rsid w:val="00712E89"/>
    <w:rsid w:val="00713650"/>
    <w:rsid w:val="007137F4"/>
    <w:rsid w:val="00713FCA"/>
    <w:rsid w:val="00714FC5"/>
    <w:rsid w:val="00716212"/>
    <w:rsid w:val="00716A54"/>
    <w:rsid w:val="0072054B"/>
    <w:rsid w:val="00721073"/>
    <w:rsid w:val="007217D3"/>
    <w:rsid w:val="007230A3"/>
    <w:rsid w:val="0072333C"/>
    <w:rsid w:val="007236F3"/>
    <w:rsid w:val="00723895"/>
    <w:rsid w:val="00723B8C"/>
    <w:rsid w:val="00724045"/>
    <w:rsid w:val="00724E0A"/>
    <w:rsid w:val="007254B7"/>
    <w:rsid w:val="00725B08"/>
    <w:rsid w:val="0072652C"/>
    <w:rsid w:val="00726CE3"/>
    <w:rsid w:val="00726E9D"/>
    <w:rsid w:val="0072788B"/>
    <w:rsid w:val="007305A2"/>
    <w:rsid w:val="007306E3"/>
    <w:rsid w:val="00731F9C"/>
    <w:rsid w:val="007324B7"/>
    <w:rsid w:val="00733F58"/>
    <w:rsid w:val="00734442"/>
    <w:rsid w:val="00735471"/>
    <w:rsid w:val="00736DC9"/>
    <w:rsid w:val="00737F91"/>
    <w:rsid w:val="00740E71"/>
    <w:rsid w:val="00741156"/>
    <w:rsid w:val="00741517"/>
    <w:rsid w:val="007432E7"/>
    <w:rsid w:val="00743D0F"/>
    <w:rsid w:val="00744909"/>
    <w:rsid w:val="00744B99"/>
    <w:rsid w:val="007453EF"/>
    <w:rsid w:val="00746328"/>
    <w:rsid w:val="00746694"/>
    <w:rsid w:val="0074683B"/>
    <w:rsid w:val="00746B6A"/>
    <w:rsid w:val="007500E9"/>
    <w:rsid w:val="00753328"/>
    <w:rsid w:val="00753ACC"/>
    <w:rsid w:val="00753E1E"/>
    <w:rsid w:val="00753F08"/>
    <w:rsid w:val="00754957"/>
    <w:rsid w:val="00754A9B"/>
    <w:rsid w:val="007555B9"/>
    <w:rsid w:val="007574C4"/>
    <w:rsid w:val="00757FC9"/>
    <w:rsid w:val="007600DA"/>
    <w:rsid w:val="00760809"/>
    <w:rsid w:val="00760D5E"/>
    <w:rsid w:val="00761553"/>
    <w:rsid w:val="00761672"/>
    <w:rsid w:val="00762118"/>
    <w:rsid w:val="007621E9"/>
    <w:rsid w:val="00763463"/>
    <w:rsid w:val="00763DB8"/>
    <w:rsid w:val="00764353"/>
    <w:rsid w:val="007653C9"/>
    <w:rsid w:val="0076547F"/>
    <w:rsid w:val="00765B29"/>
    <w:rsid w:val="00766282"/>
    <w:rsid w:val="00766A5D"/>
    <w:rsid w:val="007675BA"/>
    <w:rsid w:val="007678BB"/>
    <w:rsid w:val="00770241"/>
    <w:rsid w:val="00770587"/>
    <w:rsid w:val="0077073D"/>
    <w:rsid w:val="00770FD1"/>
    <w:rsid w:val="007713CF"/>
    <w:rsid w:val="00771DA0"/>
    <w:rsid w:val="007727B4"/>
    <w:rsid w:val="00773C09"/>
    <w:rsid w:val="00774582"/>
    <w:rsid w:val="00774AB1"/>
    <w:rsid w:val="00775EB0"/>
    <w:rsid w:val="007762AE"/>
    <w:rsid w:val="00776545"/>
    <w:rsid w:val="00777B6F"/>
    <w:rsid w:val="007803DC"/>
    <w:rsid w:val="00782DE4"/>
    <w:rsid w:val="0078344A"/>
    <w:rsid w:val="00783CC7"/>
    <w:rsid w:val="00784100"/>
    <w:rsid w:val="0078416F"/>
    <w:rsid w:val="00786C75"/>
    <w:rsid w:val="00790345"/>
    <w:rsid w:val="00790FB8"/>
    <w:rsid w:val="00791319"/>
    <w:rsid w:val="00791E2C"/>
    <w:rsid w:val="00792D79"/>
    <w:rsid w:val="00792E1F"/>
    <w:rsid w:val="00793600"/>
    <w:rsid w:val="007942DD"/>
    <w:rsid w:val="00795B48"/>
    <w:rsid w:val="00797F8B"/>
    <w:rsid w:val="007A0859"/>
    <w:rsid w:val="007A0EC6"/>
    <w:rsid w:val="007A2379"/>
    <w:rsid w:val="007A263A"/>
    <w:rsid w:val="007A2E45"/>
    <w:rsid w:val="007A2EDA"/>
    <w:rsid w:val="007A3269"/>
    <w:rsid w:val="007A381B"/>
    <w:rsid w:val="007A47D8"/>
    <w:rsid w:val="007A526C"/>
    <w:rsid w:val="007A5513"/>
    <w:rsid w:val="007A5786"/>
    <w:rsid w:val="007A588F"/>
    <w:rsid w:val="007A63EA"/>
    <w:rsid w:val="007A792A"/>
    <w:rsid w:val="007A7E41"/>
    <w:rsid w:val="007B168E"/>
    <w:rsid w:val="007B5861"/>
    <w:rsid w:val="007B5D07"/>
    <w:rsid w:val="007B670D"/>
    <w:rsid w:val="007B6FA1"/>
    <w:rsid w:val="007B7162"/>
    <w:rsid w:val="007B7669"/>
    <w:rsid w:val="007C0591"/>
    <w:rsid w:val="007C082D"/>
    <w:rsid w:val="007C1452"/>
    <w:rsid w:val="007C1F29"/>
    <w:rsid w:val="007C287B"/>
    <w:rsid w:val="007C28AD"/>
    <w:rsid w:val="007C2B2D"/>
    <w:rsid w:val="007C33ED"/>
    <w:rsid w:val="007C5886"/>
    <w:rsid w:val="007C673B"/>
    <w:rsid w:val="007C75FA"/>
    <w:rsid w:val="007C7D5F"/>
    <w:rsid w:val="007D0F9E"/>
    <w:rsid w:val="007D10CC"/>
    <w:rsid w:val="007D115D"/>
    <w:rsid w:val="007D23AF"/>
    <w:rsid w:val="007D29A1"/>
    <w:rsid w:val="007D3A55"/>
    <w:rsid w:val="007D3C0B"/>
    <w:rsid w:val="007D4A1B"/>
    <w:rsid w:val="007D4C46"/>
    <w:rsid w:val="007D4C8B"/>
    <w:rsid w:val="007D5427"/>
    <w:rsid w:val="007D58AF"/>
    <w:rsid w:val="007D6307"/>
    <w:rsid w:val="007D7E90"/>
    <w:rsid w:val="007E018E"/>
    <w:rsid w:val="007E20AA"/>
    <w:rsid w:val="007E277E"/>
    <w:rsid w:val="007E3A52"/>
    <w:rsid w:val="007E44E9"/>
    <w:rsid w:val="007E4A21"/>
    <w:rsid w:val="007F06EC"/>
    <w:rsid w:val="007F071E"/>
    <w:rsid w:val="007F32AE"/>
    <w:rsid w:val="007F512F"/>
    <w:rsid w:val="007F5602"/>
    <w:rsid w:val="007F5E42"/>
    <w:rsid w:val="007F6E57"/>
    <w:rsid w:val="007F7B5A"/>
    <w:rsid w:val="008011BB"/>
    <w:rsid w:val="00802F93"/>
    <w:rsid w:val="00803794"/>
    <w:rsid w:val="00804489"/>
    <w:rsid w:val="00804A60"/>
    <w:rsid w:val="00804D5D"/>
    <w:rsid w:val="0080560A"/>
    <w:rsid w:val="00805E12"/>
    <w:rsid w:val="008108D3"/>
    <w:rsid w:val="00810A7E"/>
    <w:rsid w:val="008138B4"/>
    <w:rsid w:val="00814461"/>
    <w:rsid w:val="0081493E"/>
    <w:rsid w:val="00814BA8"/>
    <w:rsid w:val="00815771"/>
    <w:rsid w:val="00815EB3"/>
    <w:rsid w:val="008160DA"/>
    <w:rsid w:val="00816CEB"/>
    <w:rsid w:val="00820017"/>
    <w:rsid w:val="0082161B"/>
    <w:rsid w:val="00821D44"/>
    <w:rsid w:val="00821EB4"/>
    <w:rsid w:val="00822027"/>
    <w:rsid w:val="008222D1"/>
    <w:rsid w:val="00822F03"/>
    <w:rsid w:val="008241B4"/>
    <w:rsid w:val="00824420"/>
    <w:rsid w:val="0082488B"/>
    <w:rsid w:val="0082495F"/>
    <w:rsid w:val="00824DEA"/>
    <w:rsid w:val="00825814"/>
    <w:rsid w:val="00827B8F"/>
    <w:rsid w:val="00827F75"/>
    <w:rsid w:val="00830823"/>
    <w:rsid w:val="008308C8"/>
    <w:rsid w:val="00830B9E"/>
    <w:rsid w:val="00831A04"/>
    <w:rsid w:val="008321B5"/>
    <w:rsid w:val="0083287C"/>
    <w:rsid w:val="008338CA"/>
    <w:rsid w:val="00833A9E"/>
    <w:rsid w:val="00833CD9"/>
    <w:rsid w:val="00833EED"/>
    <w:rsid w:val="00833F42"/>
    <w:rsid w:val="008349E2"/>
    <w:rsid w:val="00834B9D"/>
    <w:rsid w:val="00834E4F"/>
    <w:rsid w:val="00835A59"/>
    <w:rsid w:val="00836BDE"/>
    <w:rsid w:val="0083731E"/>
    <w:rsid w:val="00840D3F"/>
    <w:rsid w:val="00841B9C"/>
    <w:rsid w:val="0084252D"/>
    <w:rsid w:val="00842D28"/>
    <w:rsid w:val="00842E01"/>
    <w:rsid w:val="00842E23"/>
    <w:rsid w:val="00842E7F"/>
    <w:rsid w:val="008434E3"/>
    <w:rsid w:val="0084441E"/>
    <w:rsid w:val="008475CB"/>
    <w:rsid w:val="008475E4"/>
    <w:rsid w:val="0084779A"/>
    <w:rsid w:val="00847E38"/>
    <w:rsid w:val="008514AC"/>
    <w:rsid w:val="0085343E"/>
    <w:rsid w:val="008543DE"/>
    <w:rsid w:val="00855491"/>
    <w:rsid w:val="00856095"/>
    <w:rsid w:val="00856AB6"/>
    <w:rsid w:val="008573A8"/>
    <w:rsid w:val="008604A8"/>
    <w:rsid w:val="00860662"/>
    <w:rsid w:val="00860817"/>
    <w:rsid w:val="00860881"/>
    <w:rsid w:val="00860BA6"/>
    <w:rsid w:val="00862454"/>
    <w:rsid w:val="00863A6B"/>
    <w:rsid w:val="008674B5"/>
    <w:rsid w:val="00870AF9"/>
    <w:rsid w:val="00871B7C"/>
    <w:rsid w:val="0087222F"/>
    <w:rsid w:val="00872C9C"/>
    <w:rsid w:val="00874379"/>
    <w:rsid w:val="008744F3"/>
    <w:rsid w:val="00876123"/>
    <w:rsid w:val="00876861"/>
    <w:rsid w:val="0087736E"/>
    <w:rsid w:val="008821B3"/>
    <w:rsid w:val="008833E6"/>
    <w:rsid w:val="00883AC9"/>
    <w:rsid w:val="008848E7"/>
    <w:rsid w:val="00885437"/>
    <w:rsid w:val="008864A0"/>
    <w:rsid w:val="0088697B"/>
    <w:rsid w:val="00887138"/>
    <w:rsid w:val="0088759D"/>
    <w:rsid w:val="00887F10"/>
    <w:rsid w:val="00890580"/>
    <w:rsid w:val="00890A4B"/>
    <w:rsid w:val="00890C26"/>
    <w:rsid w:val="00891FB2"/>
    <w:rsid w:val="00892B6C"/>
    <w:rsid w:val="00893064"/>
    <w:rsid w:val="00893E88"/>
    <w:rsid w:val="00894571"/>
    <w:rsid w:val="0089642C"/>
    <w:rsid w:val="00896C42"/>
    <w:rsid w:val="00896DCF"/>
    <w:rsid w:val="0089717B"/>
    <w:rsid w:val="008A045D"/>
    <w:rsid w:val="008A0525"/>
    <w:rsid w:val="008A2344"/>
    <w:rsid w:val="008A2A40"/>
    <w:rsid w:val="008A2F54"/>
    <w:rsid w:val="008A7EC9"/>
    <w:rsid w:val="008B06FE"/>
    <w:rsid w:val="008B0D00"/>
    <w:rsid w:val="008B4587"/>
    <w:rsid w:val="008B4DC7"/>
    <w:rsid w:val="008C39C0"/>
    <w:rsid w:val="008C3D80"/>
    <w:rsid w:val="008C46CD"/>
    <w:rsid w:val="008C479B"/>
    <w:rsid w:val="008C4A38"/>
    <w:rsid w:val="008C5898"/>
    <w:rsid w:val="008C60A0"/>
    <w:rsid w:val="008C6B83"/>
    <w:rsid w:val="008C705F"/>
    <w:rsid w:val="008C7061"/>
    <w:rsid w:val="008C76FC"/>
    <w:rsid w:val="008D02E6"/>
    <w:rsid w:val="008D03C8"/>
    <w:rsid w:val="008D050E"/>
    <w:rsid w:val="008D07CA"/>
    <w:rsid w:val="008D0945"/>
    <w:rsid w:val="008D2645"/>
    <w:rsid w:val="008D2FC3"/>
    <w:rsid w:val="008D3C7E"/>
    <w:rsid w:val="008D4165"/>
    <w:rsid w:val="008D4370"/>
    <w:rsid w:val="008D48A0"/>
    <w:rsid w:val="008D5262"/>
    <w:rsid w:val="008D54E1"/>
    <w:rsid w:val="008D6552"/>
    <w:rsid w:val="008E00C7"/>
    <w:rsid w:val="008E0AED"/>
    <w:rsid w:val="008E4F3F"/>
    <w:rsid w:val="008E6527"/>
    <w:rsid w:val="008E7205"/>
    <w:rsid w:val="008E75C9"/>
    <w:rsid w:val="008E7881"/>
    <w:rsid w:val="008E7F4C"/>
    <w:rsid w:val="008F02F2"/>
    <w:rsid w:val="008F0C89"/>
    <w:rsid w:val="008F0CC3"/>
    <w:rsid w:val="008F32E0"/>
    <w:rsid w:val="008F56AC"/>
    <w:rsid w:val="008F70E6"/>
    <w:rsid w:val="00900470"/>
    <w:rsid w:val="009016DC"/>
    <w:rsid w:val="009026E9"/>
    <w:rsid w:val="00902DDA"/>
    <w:rsid w:val="00903901"/>
    <w:rsid w:val="009049B5"/>
    <w:rsid w:val="00905FCC"/>
    <w:rsid w:val="009066E9"/>
    <w:rsid w:val="00906F8A"/>
    <w:rsid w:val="009070DA"/>
    <w:rsid w:val="0091175C"/>
    <w:rsid w:val="009124B4"/>
    <w:rsid w:val="00912944"/>
    <w:rsid w:val="00913002"/>
    <w:rsid w:val="009135EE"/>
    <w:rsid w:val="00913765"/>
    <w:rsid w:val="00914311"/>
    <w:rsid w:val="009149CA"/>
    <w:rsid w:val="00915157"/>
    <w:rsid w:val="009152CA"/>
    <w:rsid w:val="00917A17"/>
    <w:rsid w:val="00917D4F"/>
    <w:rsid w:val="00917E78"/>
    <w:rsid w:val="00921D7A"/>
    <w:rsid w:val="00922A20"/>
    <w:rsid w:val="009233F8"/>
    <w:rsid w:val="00923944"/>
    <w:rsid w:val="00923BB2"/>
    <w:rsid w:val="0092679E"/>
    <w:rsid w:val="00927B1F"/>
    <w:rsid w:val="00927EFA"/>
    <w:rsid w:val="0093033B"/>
    <w:rsid w:val="00930616"/>
    <w:rsid w:val="00930A5B"/>
    <w:rsid w:val="00930DB4"/>
    <w:rsid w:val="00930F64"/>
    <w:rsid w:val="00931497"/>
    <w:rsid w:val="0093185F"/>
    <w:rsid w:val="009318AF"/>
    <w:rsid w:val="00931F0D"/>
    <w:rsid w:val="00933814"/>
    <w:rsid w:val="00933AAA"/>
    <w:rsid w:val="00935C56"/>
    <w:rsid w:val="00935D33"/>
    <w:rsid w:val="009364B8"/>
    <w:rsid w:val="00937B73"/>
    <w:rsid w:val="00940447"/>
    <w:rsid w:val="00940545"/>
    <w:rsid w:val="00941067"/>
    <w:rsid w:val="00941797"/>
    <w:rsid w:val="009420F3"/>
    <w:rsid w:val="00942421"/>
    <w:rsid w:val="00943756"/>
    <w:rsid w:val="009445BD"/>
    <w:rsid w:val="0094610E"/>
    <w:rsid w:val="0094645C"/>
    <w:rsid w:val="009501BA"/>
    <w:rsid w:val="00950526"/>
    <w:rsid w:val="00950B38"/>
    <w:rsid w:val="009517D9"/>
    <w:rsid w:val="00952201"/>
    <w:rsid w:val="00952859"/>
    <w:rsid w:val="00953EDB"/>
    <w:rsid w:val="009540FC"/>
    <w:rsid w:val="00955717"/>
    <w:rsid w:val="00955A3F"/>
    <w:rsid w:val="00955F6A"/>
    <w:rsid w:val="00956081"/>
    <w:rsid w:val="009563D2"/>
    <w:rsid w:val="009568E0"/>
    <w:rsid w:val="009577B2"/>
    <w:rsid w:val="009600BA"/>
    <w:rsid w:val="00960397"/>
    <w:rsid w:val="009604D5"/>
    <w:rsid w:val="00961DF9"/>
    <w:rsid w:val="00961EFE"/>
    <w:rsid w:val="00962803"/>
    <w:rsid w:val="0096280B"/>
    <w:rsid w:val="00962E17"/>
    <w:rsid w:val="00963138"/>
    <w:rsid w:val="00963E30"/>
    <w:rsid w:val="00963FB4"/>
    <w:rsid w:val="00965160"/>
    <w:rsid w:val="00966814"/>
    <w:rsid w:val="00967A8A"/>
    <w:rsid w:val="00967C07"/>
    <w:rsid w:val="00967C97"/>
    <w:rsid w:val="00970652"/>
    <w:rsid w:val="00972E13"/>
    <w:rsid w:val="00974002"/>
    <w:rsid w:val="00974759"/>
    <w:rsid w:val="0097480B"/>
    <w:rsid w:val="00974EE2"/>
    <w:rsid w:val="0097515A"/>
    <w:rsid w:val="00981643"/>
    <w:rsid w:val="0098180B"/>
    <w:rsid w:val="00982FC0"/>
    <w:rsid w:val="00983812"/>
    <w:rsid w:val="00984C0D"/>
    <w:rsid w:val="00987EAB"/>
    <w:rsid w:val="00990BEA"/>
    <w:rsid w:val="009925FD"/>
    <w:rsid w:val="00995B00"/>
    <w:rsid w:val="00995ECA"/>
    <w:rsid w:val="00996001"/>
    <w:rsid w:val="00997747"/>
    <w:rsid w:val="009A1A4D"/>
    <w:rsid w:val="009A1F3B"/>
    <w:rsid w:val="009A2BCA"/>
    <w:rsid w:val="009A2F1F"/>
    <w:rsid w:val="009A7619"/>
    <w:rsid w:val="009B00C6"/>
    <w:rsid w:val="009B088A"/>
    <w:rsid w:val="009B0AB3"/>
    <w:rsid w:val="009B0D76"/>
    <w:rsid w:val="009B0F7F"/>
    <w:rsid w:val="009B12C1"/>
    <w:rsid w:val="009B243B"/>
    <w:rsid w:val="009B24CF"/>
    <w:rsid w:val="009B2D3C"/>
    <w:rsid w:val="009B34BC"/>
    <w:rsid w:val="009B5B7A"/>
    <w:rsid w:val="009B613D"/>
    <w:rsid w:val="009B6A66"/>
    <w:rsid w:val="009B6BE8"/>
    <w:rsid w:val="009B7134"/>
    <w:rsid w:val="009C026D"/>
    <w:rsid w:val="009C05C2"/>
    <w:rsid w:val="009C06E7"/>
    <w:rsid w:val="009C0AA3"/>
    <w:rsid w:val="009C2D3A"/>
    <w:rsid w:val="009C5A55"/>
    <w:rsid w:val="009C5BCF"/>
    <w:rsid w:val="009C5C9E"/>
    <w:rsid w:val="009C76E7"/>
    <w:rsid w:val="009D1AF4"/>
    <w:rsid w:val="009D1F14"/>
    <w:rsid w:val="009D2413"/>
    <w:rsid w:val="009D4363"/>
    <w:rsid w:val="009D5310"/>
    <w:rsid w:val="009D6ABD"/>
    <w:rsid w:val="009D6ADC"/>
    <w:rsid w:val="009D75C4"/>
    <w:rsid w:val="009E1F78"/>
    <w:rsid w:val="009E1FE0"/>
    <w:rsid w:val="009E2E3C"/>
    <w:rsid w:val="009E3FBF"/>
    <w:rsid w:val="009E4084"/>
    <w:rsid w:val="009E4A92"/>
    <w:rsid w:val="009E5430"/>
    <w:rsid w:val="009E5641"/>
    <w:rsid w:val="009E5D47"/>
    <w:rsid w:val="009E64D1"/>
    <w:rsid w:val="009E650F"/>
    <w:rsid w:val="009E7A8E"/>
    <w:rsid w:val="009F0E6B"/>
    <w:rsid w:val="009F1E7D"/>
    <w:rsid w:val="009F2017"/>
    <w:rsid w:val="009F2D80"/>
    <w:rsid w:val="009F4053"/>
    <w:rsid w:val="009F470F"/>
    <w:rsid w:val="009F549E"/>
    <w:rsid w:val="009F5CD6"/>
    <w:rsid w:val="009F60C5"/>
    <w:rsid w:val="009F6530"/>
    <w:rsid w:val="00A00279"/>
    <w:rsid w:val="00A018BF"/>
    <w:rsid w:val="00A01D64"/>
    <w:rsid w:val="00A02780"/>
    <w:rsid w:val="00A043DE"/>
    <w:rsid w:val="00A04C03"/>
    <w:rsid w:val="00A06F38"/>
    <w:rsid w:val="00A12435"/>
    <w:rsid w:val="00A1364C"/>
    <w:rsid w:val="00A14B94"/>
    <w:rsid w:val="00A15206"/>
    <w:rsid w:val="00A15791"/>
    <w:rsid w:val="00A1624A"/>
    <w:rsid w:val="00A175B3"/>
    <w:rsid w:val="00A20543"/>
    <w:rsid w:val="00A20695"/>
    <w:rsid w:val="00A2096C"/>
    <w:rsid w:val="00A20DF6"/>
    <w:rsid w:val="00A213ED"/>
    <w:rsid w:val="00A21C95"/>
    <w:rsid w:val="00A22242"/>
    <w:rsid w:val="00A238E1"/>
    <w:rsid w:val="00A245B0"/>
    <w:rsid w:val="00A26248"/>
    <w:rsid w:val="00A26A9F"/>
    <w:rsid w:val="00A275AA"/>
    <w:rsid w:val="00A277B2"/>
    <w:rsid w:val="00A279EC"/>
    <w:rsid w:val="00A30956"/>
    <w:rsid w:val="00A323DC"/>
    <w:rsid w:val="00A32D3A"/>
    <w:rsid w:val="00A33411"/>
    <w:rsid w:val="00A34881"/>
    <w:rsid w:val="00A355E1"/>
    <w:rsid w:val="00A36578"/>
    <w:rsid w:val="00A36A64"/>
    <w:rsid w:val="00A36CD3"/>
    <w:rsid w:val="00A40145"/>
    <w:rsid w:val="00A401F5"/>
    <w:rsid w:val="00A42638"/>
    <w:rsid w:val="00A434FA"/>
    <w:rsid w:val="00A43554"/>
    <w:rsid w:val="00A43ED3"/>
    <w:rsid w:val="00A449FE"/>
    <w:rsid w:val="00A44F42"/>
    <w:rsid w:val="00A46B54"/>
    <w:rsid w:val="00A52543"/>
    <w:rsid w:val="00A53CEE"/>
    <w:rsid w:val="00A54810"/>
    <w:rsid w:val="00A54B33"/>
    <w:rsid w:val="00A5578E"/>
    <w:rsid w:val="00A566D0"/>
    <w:rsid w:val="00A6083D"/>
    <w:rsid w:val="00A61F1A"/>
    <w:rsid w:val="00A61FC6"/>
    <w:rsid w:val="00A622D5"/>
    <w:rsid w:val="00A65EC3"/>
    <w:rsid w:val="00A6607B"/>
    <w:rsid w:val="00A661B6"/>
    <w:rsid w:val="00A662B4"/>
    <w:rsid w:val="00A67859"/>
    <w:rsid w:val="00A67B65"/>
    <w:rsid w:val="00A67D7A"/>
    <w:rsid w:val="00A67D8F"/>
    <w:rsid w:val="00A708D6"/>
    <w:rsid w:val="00A73876"/>
    <w:rsid w:val="00A742EB"/>
    <w:rsid w:val="00A74EE8"/>
    <w:rsid w:val="00A7649F"/>
    <w:rsid w:val="00A76783"/>
    <w:rsid w:val="00A76E1D"/>
    <w:rsid w:val="00A77025"/>
    <w:rsid w:val="00A80645"/>
    <w:rsid w:val="00A807C7"/>
    <w:rsid w:val="00A81E09"/>
    <w:rsid w:val="00A82276"/>
    <w:rsid w:val="00A8264C"/>
    <w:rsid w:val="00A82CEB"/>
    <w:rsid w:val="00A82EB4"/>
    <w:rsid w:val="00A8332B"/>
    <w:rsid w:val="00A835E5"/>
    <w:rsid w:val="00A85996"/>
    <w:rsid w:val="00A860EF"/>
    <w:rsid w:val="00A866A5"/>
    <w:rsid w:val="00A86A48"/>
    <w:rsid w:val="00A87C1A"/>
    <w:rsid w:val="00A87E17"/>
    <w:rsid w:val="00A90073"/>
    <w:rsid w:val="00A9028A"/>
    <w:rsid w:val="00A9080E"/>
    <w:rsid w:val="00A90C5B"/>
    <w:rsid w:val="00A933DA"/>
    <w:rsid w:val="00A93930"/>
    <w:rsid w:val="00A94A65"/>
    <w:rsid w:val="00A96F1D"/>
    <w:rsid w:val="00A9777A"/>
    <w:rsid w:val="00A97EF7"/>
    <w:rsid w:val="00AA01B0"/>
    <w:rsid w:val="00AA0926"/>
    <w:rsid w:val="00AA121C"/>
    <w:rsid w:val="00AA2353"/>
    <w:rsid w:val="00AA2A3E"/>
    <w:rsid w:val="00AA32A2"/>
    <w:rsid w:val="00AA5971"/>
    <w:rsid w:val="00AB00AB"/>
    <w:rsid w:val="00AB0F5C"/>
    <w:rsid w:val="00AB0FD9"/>
    <w:rsid w:val="00AB28A4"/>
    <w:rsid w:val="00AB28CB"/>
    <w:rsid w:val="00AB36C6"/>
    <w:rsid w:val="00AB4F2B"/>
    <w:rsid w:val="00AB614A"/>
    <w:rsid w:val="00AB6C28"/>
    <w:rsid w:val="00AB7190"/>
    <w:rsid w:val="00AB7A9E"/>
    <w:rsid w:val="00AC0088"/>
    <w:rsid w:val="00AC0BA9"/>
    <w:rsid w:val="00AC1E74"/>
    <w:rsid w:val="00AC2CC7"/>
    <w:rsid w:val="00AC2E51"/>
    <w:rsid w:val="00AC3153"/>
    <w:rsid w:val="00AC31D1"/>
    <w:rsid w:val="00AC344C"/>
    <w:rsid w:val="00AC592C"/>
    <w:rsid w:val="00AC5C8A"/>
    <w:rsid w:val="00AD08F1"/>
    <w:rsid w:val="00AD1A61"/>
    <w:rsid w:val="00AD2528"/>
    <w:rsid w:val="00AD2A46"/>
    <w:rsid w:val="00AD2DC3"/>
    <w:rsid w:val="00AD3170"/>
    <w:rsid w:val="00AD3EDD"/>
    <w:rsid w:val="00AD3EE9"/>
    <w:rsid w:val="00AD3FB7"/>
    <w:rsid w:val="00AD400E"/>
    <w:rsid w:val="00AD43E9"/>
    <w:rsid w:val="00AD48F2"/>
    <w:rsid w:val="00AD5316"/>
    <w:rsid w:val="00AD58F9"/>
    <w:rsid w:val="00AD5A88"/>
    <w:rsid w:val="00AD5ED3"/>
    <w:rsid w:val="00AD66E6"/>
    <w:rsid w:val="00AD7FC8"/>
    <w:rsid w:val="00AE0C5C"/>
    <w:rsid w:val="00AE0DCF"/>
    <w:rsid w:val="00AE2E60"/>
    <w:rsid w:val="00AE429C"/>
    <w:rsid w:val="00AE4459"/>
    <w:rsid w:val="00AE5096"/>
    <w:rsid w:val="00AE56D4"/>
    <w:rsid w:val="00AE69EB"/>
    <w:rsid w:val="00AE69FA"/>
    <w:rsid w:val="00AE6A86"/>
    <w:rsid w:val="00AE6D3A"/>
    <w:rsid w:val="00AE785F"/>
    <w:rsid w:val="00AF09F0"/>
    <w:rsid w:val="00AF1941"/>
    <w:rsid w:val="00AF381F"/>
    <w:rsid w:val="00AF44A0"/>
    <w:rsid w:val="00AF5085"/>
    <w:rsid w:val="00AF5C4A"/>
    <w:rsid w:val="00AF6681"/>
    <w:rsid w:val="00AF69EA"/>
    <w:rsid w:val="00AF77CC"/>
    <w:rsid w:val="00B00B3F"/>
    <w:rsid w:val="00B00F28"/>
    <w:rsid w:val="00B019B1"/>
    <w:rsid w:val="00B02611"/>
    <w:rsid w:val="00B03575"/>
    <w:rsid w:val="00B052D3"/>
    <w:rsid w:val="00B05302"/>
    <w:rsid w:val="00B06C8B"/>
    <w:rsid w:val="00B108C3"/>
    <w:rsid w:val="00B10E4E"/>
    <w:rsid w:val="00B114D3"/>
    <w:rsid w:val="00B1163E"/>
    <w:rsid w:val="00B11A06"/>
    <w:rsid w:val="00B12311"/>
    <w:rsid w:val="00B13D6D"/>
    <w:rsid w:val="00B15D53"/>
    <w:rsid w:val="00B1644F"/>
    <w:rsid w:val="00B2000C"/>
    <w:rsid w:val="00B208B0"/>
    <w:rsid w:val="00B2176A"/>
    <w:rsid w:val="00B21C65"/>
    <w:rsid w:val="00B229CE"/>
    <w:rsid w:val="00B22D4A"/>
    <w:rsid w:val="00B234DF"/>
    <w:rsid w:val="00B23BC2"/>
    <w:rsid w:val="00B24067"/>
    <w:rsid w:val="00B2596F"/>
    <w:rsid w:val="00B25B39"/>
    <w:rsid w:val="00B2636C"/>
    <w:rsid w:val="00B26526"/>
    <w:rsid w:val="00B267EC"/>
    <w:rsid w:val="00B26DB2"/>
    <w:rsid w:val="00B303CB"/>
    <w:rsid w:val="00B3140E"/>
    <w:rsid w:val="00B32703"/>
    <w:rsid w:val="00B3395D"/>
    <w:rsid w:val="00B34639"/>
    <w:rsid w:val="00B358A2"/>
    <w:rsid w:val="00B35DA0"/>
    <w:rsid w:val="00B36349"/>
    <w:rsid w:val="00B3682E"/>
    <w:rsid w:val="00B36DA2"/>
    <w:rsid w:val="00B372CB"/>
    <w:rsid w:val="00B40942"/>
    <w:rsid w:val="00B41814"/>
    <w:rsid w:val="00B422E1"/>
    <w:rsid w:val="00B44E06"/>
    <w:rsid w:val="00B44FAE"/>
    <w:rsid w:val="00B465F0"/>
    <w:rsid w:val="00B46D45"/>
    <w:rsid w:val="00B46FF2"/>
    <w:rsid w:val="00B4725D"/>
    <w:rsid w:val="00B5114A"/>
    <w:rsid w:val="00B51CF6"/>
    <w:rsid w:val="00B529CB"/>
    <w:rsid w:val="00B532F7"/>
    <w:rsid w:val="00B535B5"/>
    <w:rsid w:val="00B535F2"/>
    <w:rsid w:val="00B54539"/>
    <w:rsid w:val="00B54BBD"/>
    <w:rsid w:val="00B557ED"/>
    <w:rsid w:val="00B576FC"/>
    <w:rsid w:val="00B6064B"/>
    <w:rsid w:val="00B61A21"/>
    <w:rsid w:val="00B6203F"/>
    <w:rsid w:val="00B63385"/>
    <w:rsid w:val="00B64260"/>
    <w:rsid w:val="00B6521D"/>
    <w:rsid w:val="00B6543A"/>
    <w:rsid w:val="00B6642A"/>
    <w:rsid w:val="00B66CCE"/>
    <w:rsid w:val="00B66DAB"/>
    <w:rsid w:val="00B671DE"/>
    <w:rsid w:val="00B7127F"/>
    <w:rsid w:val="00B71F20"/>
    <w:rsid w:val="00B72270"/>
    <w:rsid w:val="00B73A85"/>
    <w:rsid w:val="00B73BD1"/>
    <w:rsid w:val="00B74EAD"/>
    <w:rsid w:val="00B75FC9"/>
    <w:rsid w:val="00B7642D"/>
    <w:rsid w:val="00B76C2E"/>
    <w:rsid w:val="00B82DCF"/>
    <w:rsid w:val="00B82E13"/>
    <w:rsid w:val="00B82E8D"/>
    <w:rsid w:val="00B8337B"/>
    <w:rsid w:val="00B858A0"/>
    <w:rsid w:val="00B87378"/>
    <w:rsid w:val="00B87AFB"/>
    <w:rsid w:val="00B905B7"/>
    <w:rsid w:val="00B9078E"/>
    <w:rsid w:val="00B90B0A"/>
    <w:rsid w:val="00B921C2"/>
    <w:rsid w:val="00B939C3"/>
    <w:rsid w:val="00B9470B"/>
    <w:rsid w:val="00B9489E"/>
    <w:rsid w:val="00B957D9"/>
    <w:rsid w:val="00B95EAC"/>
    <w:rsid w:val="00B963FD"/>
    <w:rsid w:val="00B96772"/>
    <w:rsid w:val="00B96D0E"/>
    <w:rsid w:val="00B977DD"/>
    <w:rsid w:val="00BA03EC"/>
    <w:rsid w:val="00BA1727"/>
    <w:rsid w:val="00BA27C7"/>
    <w:rsid w:val="00BA2DCE"/>
    <w:rsid w:val="00BA3707"/>
    <w:rsid w:val="00BA378E"/>
    <w:rsid w:val="00BA4EEE"/>
    <w:rsid w:val="00BA557B"/>
    <w:rsid w:val="00BA583F"/>
    <w:rsid w:val="00BA6AB5"/>
    <w:rsid w:val="00BA720B"/>
    <w:rsid w:val="00BA769D"/>
    <w:rsid w:val="00BA7BE7"/>
    <w:rsid w:val="00BB1077"/>
    <w:rsid w:val="00BB1E05"/>
    <w:rsid w:val="00BB2C10"/>
    <w:rsid w:val="00BB2F76"/>
    <w:rsid w:val="00BB413E"/>
    <w:rsid w:val="00BB4481"/>
    <w:rsid w:val="00BB4F04"/>
    <w:rsid w:val="00BB67BB"/>
    <w:rsid w:val="00BC02CD"/>
    <w:rsid w:val="00BC03F1"/>
    <w:rsid w:val="00BC0B88"/>
    <w:rsid w:val="00BC181F"/>
    <w:rsid w:val="00BC18EB"/>
    <w:rsid w:val="00BC2214"/>
    <w:rsid w:val="00BC22F8"/>
    <w:rsid w:val="00BC282B"/>
    <w:rsid w:val="00BC389B"/>
    <w:rsid w:val="00BC444B"/>
    <w:rsid w:val="00BC4E63"/>
    <w:rsid w:val="00BC5345"/>
    <w:rsid w:val="00BC5A10"/>
    <w:rsid w:val="00BC62E2"/>
    <w:rsid w:val="00BC6DEE"/>
    <w:rsid w:val="00BC75D1"/>
    <w:rsid w:val="00BC7899"/>
    <w:rsid w:val="00BD0778"/>
    <w:rsid w:val="00BD13B3"/>
    <w:rsid w:val="00BD1C13"/>
    <w:rsid w:val="00BD391B"/>
    <w:rsid w:val="00BD4065"/>
    <w:rsid w:val="00BD5327"/>
    <w:rsid w:val="00BD5DD7"/>
    <w:rsid w:val="00BD5EFF"/>
    <w:rsid w:val="00BD64EA"/>
    <w:rsid w:val="00BD6FA0"/>
    <w:rsid w:val="00BE18CC"/>
    <w:rsid w:val="00BE1CB3"/>
    <w:rsid w:val="00BE1FD8"/>
    <w:rsid w:val="00BE2153"/>
    <w:rsid w:val="00BE258C"/>
    <w:rsid w:val="00BE2FED"/>
    <w:rsid w:val="00BE6EA2"/>
    <w:rsid w:val="00BE7A8C"/>
    <w:rsid w:val="00BF2EA6"/>
    <w:rsid w:val="00BF412A"/>
    <w:rsid w:val="00BF4385"/>
    <w:rsid w:val="00BF58C1"/>
    <w:rsid w:val="00BF6177"/>
    <w:rsid w:val="00BF664E"/>
    <w:rsid w:val="00BF7D06"/>
    <w:rsid w:val="00C011F1"/>
    <w:rsid w:val="00C01573"/>
    <w:rsid w:val="00C01F1D"/>
    <w:rsid w:val="00C03D4E"/>
    <w:rsid w:val="00C0450D"/>
    <w:rsid w:val="00C04DE0"/>
    <w:rsid w:val="00C077F7"/>
    <w:rsid w:val="00C0783A"/>
    <w:rsid w:val="00C07D3D"/>
    <w:rsid w:val="00C15312"/>
    <w:rsid w:val="00C22247"/>
    <w:rsid w:val="00C22380"/>
    <w:rsid w:val="00C22461"/>
    <w:rsid w:val="00C23CA9"/>
    <w:rsid w:val="00C24770"/>
    <w:rsid w:val="00C255F1"/>
    <w:rsid w:val="00C257B8"/>
    <w:rsid w:val="00C25E5E"/>
    <w:rsid w:val="00C26C31"/>
    <w:rsid w:val="00C300AF"/>
    <w:rsid w:val="00C3243D"/>
    <w:rsid w:val="00C333BE"/>
    <w:rsid w:val="00C33A64"/>
    <w:rsid w:val="00C34285"/>
    <w:rsid w:val="00C34AC5"/>
    <w:rsid w:val="00C35684"/>
    <w:rsid w:val="00C37908"/>
    <w:rsid w:val="00C37D0D"/>
    <w:rsid w:val="00C4280A"/>
    <w:rsid w:val="00C4292F"/>
    <w:rsid w:val="00C436EC"/>
    <w:rsid w:val="00C44615"/>
    <w:rsid w:val="00C44ADE"/>
    <w:rsid w:val="00C45309"/>
    <w:rsid w:val="00C456E7"/>
    <w:rsid w:val="00C45A27"/>
    <w:rsid w:val="00C4619C"/>
    <w:rsid w:val="00C46311"/>
    <w:rsid w:val="00C46A40"/>
    <w:rsid w:val="00C46AA6"/>
    <w:rsid w:val="00C46F29"/>
    <w:rsid w:val="00C47BF9"/>
    <w:rsid w:val="00C5149D"/>
    <w:rsid w:val="00C52CB5"/>
    <w:rsid w:val="00C548CE"/>
    <w:rsid w:val="00C5634D"/>
    <w:rsid w:val="00C57BE5"/>
    <w:rsid w:val="00C60841"/>
    <w:rsid w:val="00C60D79"/>
    <w:rsid w:val="00C618DD"/>
    <w:rsid w:val="00C61FF4"/>
    <w:rsid w:val="00C6256E"/>
    <w:rsid w:val="00C625BE"/>
    <w:rsid w:val="00C6378E"/>
    <w:rsid w:val="00C63F7D"/>
    <w:rsid w:val="00C64FCB"/>
    <w:rsid w:val="00C651C4"/>
    <w:rsid w:val="00C65728"/>
    <w:rsid w:val="00C70D2F"/>
    <w:rsid w:val="00C72249"/>
    <w:rsid w:val="00C73A0C"/>
    <w:rsid w:val="00C75B74"/>
    <w:rsid w:val="00C76236"/>
    <w:rsid w:val="00C76C50"/>
    <w:rsid w:val="00C771CF"/>
    <w:rsid w:val="00C77EAF"/>
    <w:rsid w:val="00C77FBF"/>
    <w:rsid w:val="00C81677"/>
    <w:rsid w:val="00C825D8"/>
    <w:rsid w:val="00C82CA1"/>
    <w:rsid w:val="00C82CD8"/>
    <w:rsid w:val="00C82EDC"/>
    <w:rsid w:val="00C8348F"/>
    <w:rsid w:val="00C83653"/>
    <w:rsid w:val="00C8376E"/>
    <w:rsid w:val="00C84CDD"/>
    <w:rsid w:val="00C85101"/>
    <w:rsid w:val="00C852B6"/>
    <w:rsid w:val="00C8593C"/>
    <w:rsid w:val="00C85EB4"/>
    <w:rsid w:val="00C91B09"/>
    <w:rsid w:val="00C92F97"/>
    <w:rsid w:val="00C93AC3"/>
    <w:rsid w:val="00C94377"/>
    <w:rsid w:val="00C944C9"/>
    <w:rsid w:val="00C9525B"/>
    <w:rsid w:val="00C95DCB"/>
    <w:rsid w:val="00C9707A"/>
    <w:rsid w:val="00CA14AF"/>
    <w:rsid w:val="00CA19FE"/>
    <w:rsid w:val="00CA21DF"/>
    <w:rsid w:val="00CA2333"/>
    <w:rsid w:val="00CA25ED"/>
    <w:rsid w:val="00CA39BE"/>
    <w:rsid w:val="00CA6BC9"/>
    <w:rsid w:val="00CA74CD"/>
    <w:rsid w:val="00CA7863"/>
    <w:rsid w:val="00CA7CDB"/>
    <w:rsid w:val="00CA7CFC"/>
    <w:rsid w:val="00CA7F34"/>
    <w:rsid w:val="00CB1329"/>
    <w:rsid w:val="00CB139C"/>
    <w:rsid w:val="00CB3478"/>
    <w:rsid w:val="00CB3F54"/>
    <w:rsid w:val="00CB3FE1"/>
    <w:rsid w:val="00CB4650"/>
    <w:rsid w:val="00CB5357"/>
    <w:rsid w:val="00CB5C4F"/>
    <w:rsid w:val="00CB5CC0"/>
    <w:rsid w:val="00CB78BF"/>
    <w:rsid w:val="00CB7C6E"/>
    <w:rsid w:val="00CC0D3C"/>
    <w:rsid w:val="00CC1E7E"/>
    <w:rsid w:val="00CC4D0F"/>
    <w:rsid w:val="00CC5F2C"/>
    <w:rsid w:val="00CC5F79"/>
    <w:rsid w:val="00CC79CF"/>
    <w:rsid w:val="00CD1D5B"/>
    <w:rsid w:val="00CD2D43"/>
    <w:rsid w:val="00CD32E6"/>
    <w:rsid w:val="00CD40BE"/>
    <w:rsid w:val="00CD45ED"/>
    <w:rsid w:val="00CD554C"/>
    <w:rsid w:val="00CD5FB8"/>
    <w:rsid w:val="00CD6258"/>
    <w:rsid w:val="00CD6D4F"/>
    <w:rsid w:val="00CD7303"/>
    <w:rsid w:val="00CD7633"/>
    <w:rsid w:val="00CD7A15"/>
    <w:rsid w:val="00CE071A"/>
    <w:rsid w:val="00CE07B8"/>
    <w:rsid w:val="00CE191C"/>
    <w:rsid w:val="00CE2377"/>
    <w:rsid w:val="00CE314E"/>
    <w:rsid w:val="00CE51B5"/>
    <w:rsid w:val="00CE5272"/>
    <w:rsid w:val="00CE5642"/>
    <w:rsid w:val="00CE5975"/>
    <w:rsid w:val="00CE667D"/>
    <w:rsid w:val="00CE7573"/>
    <w:rsid w:val="00CF0137"/>
    <w:rsid w:val="00CF09BF"/>
    <w:rsid w:val="00CF0A11"/>
    <w:rsid w:val="00CF1968"/>
    <w:rsid w:val="00CF4DD4"/>
    <w:rsid w:val="00CF62B9"/>
    <w:rsid w:val="00CF7047"/>
    <w:rsid w:val="00CF705C"/>
    <w:rsid w:val="00CF7288"/>
    <w:rsid w:val="00CF7DEE"/>
    <w:rsid w:val="00D001D0"/>
    <w:rsid w:val="00D01167"/>
    <w:rsid w:val="00D01A60"/>
    <w:rsid w:val="00D01C27"/>
    <w:rsid w:val="00D03128"/>
    <w:rsid w:val="00D03DA0"/>
    <w:rsid w:val="00D042F9"/>
    <w:rsid w:val="00D04A4D"/>
    <w:rsid w:val="00D051D0"/>
    <w:rsid w:val="00D057B9"/>
    <w:rsid w:val="00D05C1C"/>
    <w:rsid w:val="00D05E72"/>
    <w:rsid w:val="00D06DD4"/>
    <w:rsid w:val="00D0711E"/>
    <w:rsid w:val="00D07233"/>
    <w:rsid w:val="00D07345"/>
    <w:rsid w:val="00D074AA"/>
    <w:rsid w:val="00D10858"/>
    <w:rsid w:val="00D1132A"/>
    <w:rsid w:val="00D11594"/>
    <w:rsid w:val="00D11856"/>
    <w:rsid w:val="00D1186F"/>
    <w:rsid w:val="00D12B8E"/>
    <w:rsid w:val="00D13076"/>
    <w:rsid w:val="00D138A8"/>
    <w:rsid w:val="00D15565"/>
    <w:rsid w:val="00D16A53"/>
    <w:rsid w:val="00D17259"/>
    <w:rsid w:val="00D21135"/>
    <w:rsid w:val="00D2120C"/>
    <w:rsid w:val="00D21A2E"/>
    <w:rsid w:val="00D2225D"/>
    <w:rsid w:val="00D23C24"/>
    <w:rsid w:val="00D23FBA"/>
    <w:rsid w:val="00D265A5"/>
    <w:rsid w:val="00D277B1"/>
    <w:rsid w:val="00D27DCA"/>
    <w:rsid w:val="00D30A05"/>
    <w:rsid w:val="00D310F8"/>
    <w:rsid w:val="00D31D30"/>
    <w:rsid w:val="00D32767"/>
    <w:rsid w:val="00D32BA6"/>
    <w:rsid w:val="00D335BE"/>
    <w:rsid w:val="00D35728"/>
    <w:rsid w:val="00D3599D"/>
    <w:rsid w:val="00D3739C"/>
    <w:rsid w:val="00D37898"/>
    <w:rsid w:val="00D4050B"/>
    <w:rsid w:val="00D40A23"/>
    <w:rsid w:val="00D40F01"/>
    <w:rsid w:val="00D41CE5"/>
    <w:rsid w:val="00D4287C"/>
    <w:rsid w:val="00D43D52"/>
    <w:rsid w:val="00D44090"/>
    <w:rsid w:val="00D449E8"/>
    <w:rsid w:val="00D45905"/>
    <w:rsid w:val="00D46262"/>
    <w:rsid w:val="00D46268"/>
    <w:rsid w:val="00D46C6D"/>
    <w:rsid w:val="00D479FB"/>
    <w:rsid w:val="00D504F4"/>
    <w:rsid w:val="00D5112D"/>
    <w:rsid w:val="00D517A2"/>
    <w:rsid w:val="00D5244E"/>
    <w:rsid w:val="00D54545"/>
    <w:rsid w:val="00D5490A"/>
    <w:rsid w:val="00D54950"/>
    <w:rsid w:val="00D549AC"/>
    <w:rsid w:val="00D54F61"/>
    <w:rsid w:val="00D55208"/>
    <w:rsid w:val="00D55A21"/>
    <w:rsid w:val="00D55B47"/>
    <w:rsid w:val="00D55DEB"/>
    <w:rsid w:val="00D5784A"/>
    <w:rsid w:val="00D60B2F"/>
    <w:rsid w:val="00D6196C"/>
    <w:rsid w:val="00D6241C"/>
    <w:rsid w:val="00D6244A"/>
    <w:rsid w:val="00D62685"/>
    <w:rsid w:val="00D62963"/>
    <w:rsid w:val="00D62BB4"/>
    <w:rsid w:val="00D63024"/>
    <w:rsid w:val="00D64AF2"/>
    <w:rsid w:val="00D64FA4"/>
    <w:rsid w:val="00D6514F"/>
    <w:rsid w:val="00D67217"/>
    <w:rsid w:val="00D6730D"/>
    <w:rsid w:val="00D7096E"/>
    <w:rsid w:val="00D70ECD"/>
    <w:rsid w:val="00D71A98"/>
    <w:rsid w:val="00D72274"/>
    <w:rsid w:val="00D7338D"/>
    <w:rsid w:val="00D735DB"/>
    <w:rsid w:val="00D76FFC"/>
    <w:rsid w:val="00D77544"/>
    <w:rsid w:val="00D77AA4"/>
    <w:rsid w:val="00D81223"/>
    <w:rsid w:val="00D81A8E"/>
    <w:rsid w:val="00D81B72"/>
    <w:rsid w:val="00D85EA1"/>
    <w:rsid w:val="00D865C0"/>
    <w:rsid w:val="00D86714"/>
    <w:rsid w:val="00D86985"/>
    <w:rsid w:val="00D86AAE"/>
    <w:rsid w:val="00D87D05"/>
    <w:rsid w:val="00D90881"/>
    <w:rsid w:val="00D90BC7"/>
    <w:rsid w:val="00D90DE4"/>
    <w:rsid w:val="00D92538"/>
    <w:rsid w:val="00D9274D"/>
    <w:rsid w:val="00D9328A"/>
    <w:rsid w:val="00D95732"/>
    <w:rsid w:val="00D96BE4"/>
    <w:rsid w:val="00D97530"/>
    <w:rsid w:val="00D97C54"/>
    <w:rsid w:val="00D97CBD"/>
    <w:rsid w:val="00DA1906"/>
    <w:rsid w:val="00DA1CC4"/>
    <w:rsid w:val="00DA252E"/>
    <w:rsid w:val="00DA3638"/>
    <w:rsid w:val="00DA4287"/>
    <w:rsid w:val="00DA49DB"/>
    <w:rsid w:val="00DA4B77"/>
    <w:rsid w:val="00DA4F1E"/>
    <w:rsid w:val="00DA5411"/>
    <w:rsid w:val="00DA649B"/>
    <w:rsid w:val="00DA7C70"/>
    <w:rsid w:val="00DB0146"/>
    <w:rsid w:val="00DB0566"/>
    <w:rsid w:val="00DB09DB"/>
    <w:rsid w:val="00DB0ACA"/>
    <w:rsid w:val="00DB1149"/>
    <w:rsid w:val="00DB21B8"/>
    <w:rsid w:val="00DB22E0"/>
    <w:rsid w:val="00DB2CC6"/>
    <w:rsid w:val="00DB37AA"/>
    <w:rsid w:val="00DB3E43"/>
    <w:rsid w:val="00DB478E"/>
    <w:rsid w:val="00DB4D14"/>
    <w:rsid w:val="00DB5437"/>
    <w:rsid w:val="00DB6803"/>
    <w:rsid w:val="00DC102A"/>
    <w:rsid w:val="00DC1CF0"/>
    <w:rsid w:val="00DC3FD5"/>
    <w:rsid w:val="00DC464A"/>
    <w:rsid w:val="00DC4751"/>
    <w:rsid w:val="00DC4E76"/>
    <w:rsid w:val="00DC4F5A"/>
    <w:rsid w:val="00DC5439"/>
    <w:rsid w:val="00DC5A00"/>
    <w:rsid w:val="00DC5A44"/>
    <w:rsid w:val="00DC6203"/>
    <w:rsid w:val="00DC6CEC"/>
    <w:rsid w:val="00DD0313"/>
    <w:rsid w:val="00DD0DA5"/>
    <w:rsid w:val="00DD10B2"/>
    <w:rsid w:val="00DD128B"/>
    <w:rsid w:val="00DD1AA1"/>
    <w:rsid w:val="00DD26F6"/>
    <w:rsid w:val="00DD45EA"/>
    <w:rsid w:val="00DD5104"/>
    <w:rsid w:val="00DD550B"/>
    <w:rsid w:val="00DD5652"/>
    <w:rsid w:val="00DD5744"/>
    <w:rsid w:val="00DD7DB5"/>
    <w:rsid w:val="00DE19A6"/>
    <w:rsid w:val="00DE1C08"/>
    <w:rsid w:val="00DE2DE8"/>
    <w:rsid w:val="00DE3A43"/>
    <w:rsid w:val="00DE3D70"/>
    <w:rsid w:val="00DE4BDD"/>
    <w:rsid w:val="00DE4D97"/>
    <w:rsid w:val="00DE57E3"/>
    <w:rsid w:val="00DE7468"/>
    <w:rsid w:val="00DF1A1F"/>
    <w:rsid w:val="00DF1C97"/>
    <w:rsid w:val="00DF288F"/>
    <w:rsid w:val="00DF2E45"/>
    <w:rsid w:val="00DF3315"/>
    <w:rsid w:val="00DF3A3E"/>
    <w:rsid w:val="00DF3D81"/>
    <w:rsid w:val="00DF4932"/>
    <w:rsid w:val="00DF4C54"/>
    <w:rsid w:val="00DF6185"/>
    <w:rsid w:val="00DF6646"/>
    <w:rsid w:val="00DF675A"/>
    <w:rsid w:val="00DF6940"/>
    <w:rsid w:val="00DF77B3"/>
    <w:rsid w:val="00E0052E"/>
    <w:rsid w:val="00E01343"/>
    <w:rsid w:val="00E013A8"/>
    <w:rsid w:val="00E0268C"/>
    <w:rsid w:val="00E04360"/>
    <w:rsid w:val="00E04E9C"/>
    <w:rsid w:val="00E10DA4"/>
    <w:rsid w:val="00E11B76"/>
    <w:rsid w:val="00E12AEA"/>
    <w:rsid w:val="00E12BA0"/>
    <w:rsid w:val="00E13264"/>
    <w:rsid w:val="00E135B1"/>
    <w:rsid w:val="00E13D1A"/>
    <w:rsid w:val="00E1666B"/>
    <w:rsid w:val="00E16DCF"/>
    <w:rsid w:val="00E1709F"/>
    <w:rsid w:val="00E17538"/>
    <w:rsid w:val="00E17806"/>
    <w:rsid w:val="00E210FC"/>
    <w:rsid w:val="00E21C32"/>
    <w:rsid w:val="00E22E2A"/>
    <w:rsid w:val="00E23C0D"/>
    <w:rsid w:val="00E25801"/>
    <w:rsid w:val="00E258AC"/>
    <w:rsid w:val="00E25F1D"/>
    <w:rsid w:val="00E2768A"/>
    <w:rsid w:val="00E2798B"/>
    <w:rsid w:val="00E27DB6"/>
    <w:rsid w:val="00E3052E"/>
    <w:rsid w:val="00E3080A"/>
    <w:rsid w:val="00E31612"/>
    <w:rsid w:val="00E32403"/>
    <w:rsid w:val="00E32C44"/>
    <w:rsid w:val="00E33B78"/>
    <w:rsid w:val="00E33BA7"/>
    <w:rsid w:val="00E34BAA"/>
    <w:rsid w:val="00E34FAF"/>
    <w:rsid w:val="00E35B09"/>
    <w:rsid w:val="00E35FEA"/>
    <w:rsid w:val="00E37008"/>
    <w:rsid w:val="00E40E71"/>
    <w:rsid w:val="00E40F8A"/>
    <w:rsid w:val="00E41A72"/>
    <w:rsid w:val="00E426D6"/>
    <w:rsid w:val="00E42849"/>
    <w:rsid w:val="00E43354"/>
    <w:rsid w:val="00E438A9"/>
    <w:rsid w:val="00E43A06"/>
    <w:rsid w:val="00E43EBF"/>
    <w:rsid w:val="00E44042"/>
    <w:rsid w:val="00E44105"/>
    <w:rsid w:val="00E44507"/>
    <w:rsid w:val="00E457FF"/>
    <w:rsid w:val="00E46E3C"/>
    <w:rsid w:val="00E473D5"/>
    <w:rsid w:val="00E50C37"/>
    <w:rsid w:val="00E5127C"/>
    <w:rsid w:val="00E51A18"/>
    <w:rsid w:val="00E5276D"/>
    <w:rsid w:val="00E539A6"/>
    <w:rsid w:val="00E54971"/>
    <w:rsid w:val="00E5540B"/>
    <w:rsid w:val="00E55525"/>
    <w:rsid w:val="00E56E97"/>
    <w:rsid w:val="00E57A86"/>
    <w:rsid w:val="00E60C79"/>
    <w:rsid w:val="00E61287"/>
    <w:rsid w:val="00E6154B"/>
    <w:rsid w:val="00E61795"/>
    <w:rsid w:val="00E61C2E"/>
    <w:rsid w:val="00E61EFA"/>
    <w:rsid w:val="00E62CB9"/>
    <w:rsid w:val="00E62E93"/>
    <w:rsid w:val="00E6306C"/>
    <w:rsid w:val="00E63B74"/>
    <w:rsid w:val="00E6496D"/>
    <w:rsid w:val="00E64FFD"/>
    <w:rsid w:val="00E6513E"/>
    <w:rsid w:val="00E65C8B"/>
    <w:rsid w:val="00E66A9F"/>
    <w:rsid w:val="00E70768"/>
    <w:rsid w:val="00E70D96"/>
    <w:rsid w:val="00E718DC"/>
    <w:rsid w:val="00E723D6"/>
    <w:rsid w:val="00E72A4B"/>
    <w:rsid w:val="00E75FC4"/>
    <w:rsid w:val="00E76FDA"/>
    <w:rsid w:val="00E77E14"/>
    <w:rsid w:val="00E80305"/>
    <w:rsid w:val="00E808A7"/>
    <w:rsid w:val="00E80D19"/>
    <w:rsid w:val="00E81506"/>
    <w:rsid w:val="00E81513"/>
    <w:rsid w:val="00E81C27"/>
    <w:rsid w:val="00E8274A"/>
    <w:rsid w:val="00E83854"/>
    <w:rsid w:val="00E84108"/>
    <w:rsid w:val="00E85989"/>
    <w:rsid w:val="00E85AAA"/>
    <w:rsid w:val="00E86007"/>
    <w:rsid w:val="00E86030"/>
    <w:rsid w:val="00E8603F"/>
    <w:rsid w:val="00E863DD"/>
    <w:rsid w:val="00E86D78"/>
    <w:rsid w:val="00E90979"/>
    <w:rsid w:val="00E90AE7"/>
    <w:rsid w:val="00E90F6D"/>
    <w:rsid w:val="00E91369"/>
    <w:rsid w:val="00E923B8"/>
    <w:rsid w:val="00E92592"/>
    <w:rsid w:val="00E92F53"/>
    <w:rsid w:val="00E93805"/>
    <w:rsid w:val="00E94D49"/>
    <w:rsid w:val="00E95760"/>
    <w:rsid w:val="00E95AC6"/>
    <w:rsid w:val="00E965F1"/>
    <w:rsid w:val="00E9662B"/>
    <w:rsid w:val="00E96CB5"/>
    <w:rsid w:val="00EA0F23"/>
    <w:rsid w:val="00EA10DE"/>
    <w:rsid w:val="00EA1A95"/>
    <w:rsid w:val="00EA1E5B"/>
    <w:rsid w:val="00EA26D7"/>
    <w:rsid w:val="00EA5A55"/>
    <w:rsid w:val="00EA5D52"/>
    <w:rsid w:val="00EA6115"/>
    <w:rsid w:val="00EA6736"/>
    <w:rsid w:val="00EA683F"/>
    <w:rsid w:val="00EB097A"/>
    <w:rsid w:val="00EB2776"/>
    <w:rsid w:val="00EB2FFA"/>
    <w:rsid w:val="00EB3982"/>
    <w:rsid w:val="00EB3B12"/>
    <w:rsid w:val="00EB4231"/>
    <w:rsid w:val="00EB54AA"/>
    <w:rsid w:val="00EB56BE"/>
    <w:rsid w:val="00EB56DF"/>
    <w:rsid w:val="00EB57BA"/>
    <w:rsid w:val="00EB5C62"/>
    <w:rsid w:val="00EB61CC"/>
    <w:rsid w:val="00EC049B"/>
    <w:rsid w:val="00EC0B2D"/>
    <w:rsid w:val="00EC19AA"/>
    <w:rsid w:val="00EC1A1D"/>
    <w:rsid w:val="00EC2EE3"/>
    <w:rsid w:val="00EC3B8F"/>
    <w:rsid w:val="00EC4311"/>
    <w:rsid w:val="00EC7F25"/>
    <w:rsid w:val="00ED04C5"/>
    <w:rsid w:val="00ED07E0"/>
    <w:rsid w:val="00ED0865"/>
    <w:rsid w:val="00ED0A73"/>
    <w:rsid w:val="00ED0DC9"/>
    <w:rsid w:val="00ED1154"/>
    <w:rsid w:val="00ED23CE"/>
    <w:rsid w:val="00ED2A43"/>
    <w:rsid w:val="00ED34DB"/>
    <w:rsid w:val="00ED3836"/>
    <w:rsid w:val="00ED3D90"/>
    <w:rsid w:val="00ED439B"/>
    <w:rsid w:val="00ED542D"/>
    <w:rsid w:val="00ED67CF"/>
    <w:rsid w:val="00ED7B73"/>
    <w:rsid w:val="00EE0CBA"/>
    <w:rsid w:val="00EE132F"/>
    <w:rsid w:val="00EE187D"/>
    <w:rsid w:val="00EE1BA9"/>
    <w:rsid w:val="00EE298B"/>
    <w:rsid w:val="00EE36A6"/>
    <w:rsid w:val="00EE3A02"/>
    <w:rsid w:val="00EE3A73"/>
    <w:rsid w:val="00EE402B"/>
    <w:rsid w:val="00EE41A4"/>
    <w:rsid w:val="00EE61F1"/>
    <w:rsid w:val="00EE6896"/>
    <w:rsid w:val="00EE6C1D"/>
    <w:rsid w:val="00EF009D"/>
    <w:rsid w:val="00EF0EBD"/>
    <w:rsid w:val="00EF11AE"/>
    <w:rsid w:val="00EF26BF"/>
    <w:rsid w:val="00EF3D49"/>
    <w:rsid w:val="00EF4CCA"/>
    <w:rsid w:val="00EF5390"/>
    <w:rsid w:val="00EF56E5"/>
    <w:rsid w:val="00EF57D2"/>
    <w:rsid w:val="00EF77FA"/>
    <w:rsid w:val="00EF7BE7"/>
    <w:rsid w:val="00EF7E3F"/>
    <w:rsid w:val="00F0059F"/>
    <w:rsid w:val="00F02070"/>
    <w:rsid w:val="00F02115"/>
    <w:rsid w:val="00F02963"/>
    <w:rsid w:val="00F0340A"/>
    <w:rsid w:val="00F041D9"/>
    <w:rsid w:val="00F0464F"/>
    <w:rsid w:val="00F0637A"/>
    <w:rsid w:val="00F063DF"/>
    <w:rsid w:val="00F068A0"/>
    <w:rsid w:val="00F0715A"/>
    <w:rsid w:val="00F10357"/>
    <w:rsid w:val="00F12000"/>
    <w:rsid w:val="00F126BF"/>
    <w:rsid w:val="00F13B93"/>
    <w:rsid w:val="00F144B7"/>
    <w:rsid w:val="00F14C90"/>
    <w:rsid w:val="00F14CAC"/>
    <w:rsid w:val="00F1684E"/>
    <w:rsid w:val="00F169BA"/>
    <w:rsid w:val="00F177EE"/>
    <w:rsid w:val="00F17EB2"/>
    <w:rsid w:val="00F21169"/>
    <w:rsid w:val="00F211A5"/>
    <w:rsid w:val="00F216C6"/>
    <w:rsid w:val="00F225C3"/>
    <w:rsid w:val="00F22BE4"/>
    <w:rsid w:val="00F22D92"/>
    <w:rsid w:val="00F23726"/>
    <w:rsid w:val="00F24445"/>
    <w:rsid w:val="00F24695"/>
    <w:rsid w:val="00F248AD"/>
    <w:rsid w:val="00F24AE0"/>
    <w:rsid w:val="00F271F7"/>
    <w:rsid w:val="00F2737E"/>
    <w:rsid w:val="00F27B83"/>
    <w:rsid w:val="00F306A5"/>
    <w:rsid w:val="00F3086C"/>
    <w:rsid w:val="00F31EE6"/>
    <w:rsid w:val="00F3288F"/>
    <w:rsid w:val="00F32D79"/>
    <w:rsid w:val="00F349F1"/>
    <w:rsid w:val="00F34A88"/>
    <w:rsid w:val="00F35556"/>
    <w:rsid w:val="00F3661A"/>
    <w:rsid w:val="00F376B5"/>
    <w:rsid w:val="00F379DD"/>
    <w:rsid w:val="00F41195"/>
    <w:rsid w:val="00F41DAE"/>
    <w:rsid w:val="00F4216A"/>
    <w:rsid w:val="00F4340D"/>
    <w:rsid w:val="00F45374"/>
    <w:rsid w:val="00F45B36"/>
    <w:rsid w:val="00F47A7B"/>
    <w:rsid w:val="00F47B38"/>
    <w:rsid w:val="00F50A47"/>
    <w:rsid w:val="00F519EF"/>
    <w:rsid w:val="00F53F18"/>
    <w:rsid w:val="00F55C07"/>
    <w:rsid w:val="00F5711F"/>
    <w:rsid w:val="00F572DC"/>
    <w:rsid w:val="00F57C0D"/>
    <w:rsid w:val="00F60A27"/>
    <w:rsid w:val="00F612B1"/>
    <w:rsid w:val="00F64377"/>
    <w:rsid w:val="00F652A2"/>
    <w:rsid w:val="00F658AF"/>
    <w:rsid w:val="00F668AD"/>
    <w:rsid w:val="00F679C7"/>
    <w:rsid w:val="00F70765"/>
    <w:rsid w:val="00F7118E"/>
    <w:rsid w:val="00F715EC"/>
    <w:rsid w:val="00F71AEB"/>
    <w:rsid w:val="00F71D90"/>
    <w:rsid w:val="00F721DD"/>
    <w:rsid w:val="00F72232"/>
    <w:rsid w:val="00F72A10"/>
    <w:rsid w:val="00F72BE3"/>
    <w:rsid w:val="00F7446E"/>
    <w:rsid w:val="00F74B8F"/>
    <w:rsid w:val="00F74C20"/>
    <w:rsid w:val="00F74C2D"/>
    <w:rsid w:val="00F771CB"/>
    <w:rsid w:val="00F77C2C"/>
    <w:rsid w:val="00F809EE"/>
    <w:rsid w:val="00F85012"/>
    <w:rsid w:val="00F8585F"/>
    <w:rsid w:val="00F8630C"/>
    <w:rsid w:val="00F86773"/>
    <w:rsid w:val="00F870E0"/>
    <w:rsid w:val="00F87AB6"/>
    <w:rsid w:val="00F90925"/>
    <w:rsid w:val="00F92562"/>
    <w:rsid w:val="00F92CA9"/>
    <w:rsid w:val="00F94579"/>
    <w:rsid w:val="00F94F38"/>
    <w:rsid w:val="00F95296"/>
    <w:rsid w:val="00F96333"/>
    <w:rsid w:val="00F97185"/>
    <w:rsid w:val="00FA041E"/>
    <w:rsid w:val="00FA1B47"/>
    <w:rsid w:val="00FA1ED8"/>
    <w:rsid w:val="00FA3F81"/>
    <w:rsid w:val="00FA6043"/>
    <w:rsid w:val="00FA60EC"/>
    <w:rsid w:val="00FA6392"/>
    <w:rsid w:val="00FA6539"/>
    <w:rsid w:val="00FA67C5"/>
    <w:rsid w:val="00FA72C0"/>
    <w:rsid w:val="00FB07F6"/>
    <w:rsid w:val="00FB0896"/>
    <w:rsid w:val="00FB1B05"/>
    <w:rsid w:val="00FB1D1B"/>
    <w:rsid w:val="00FB2D95"/>
    <w:rsid w:val="00FB2F3A"/>
    <w:rsid w:val="00FB327A"/>
    <w:rsid w:val="00FB37BD"/>
    <w:rsid w:val="00FB4867"/>
    <w:rsid w:val="00FB4940"/>
    <w:rsid w:val="00FB5305"/>
    <w:rsid w:val="00FB6665"/>
    <w:rsid w:val="00FB68C8"/>
    <w:rsid w:val="00FB70CE"/>
    <w:rsid w:val="00FC01DD"/>
    <w:rsid w:val="00FC12A8"/>
    <w:rsid w:val="00FC17ED"/>
    <w:rsid w:val="00FC345D"/>
    <w:rsid w:val="00FC3D5E"/>
    <w:rsid w:val="00FC4349"/>
    <w:rsid w:val="00FC4635"/>
    <w:rsid w:val="00FC4A60"/>
    <w:rsid w:val="00FC650F"/>
    <w:rsid w:val="00FC6D27"/>
    <w:rsid w:val="00FC7661"/>
    <w:rsid w:val="00FC7D35"/>
    <w:rsid w:val="00FD0394"/>
    <w:rsid w:val="00FD0784"/>
    <w:rsid w:val="00FD0AE0"/>
    <w:rsid w:val="00FD1CAB"/>
    <w:rsid w:val="00FD22B6"/>
    <w:rsid w:val="00FD43AF"/>
    <w:rsid w:val="00FD4F66"/>
    <w:rsid w:val="00FD581E"/>
    <w:rsid w:val="00FD590A"/>
    <w:rsid w:val="00FD6ADA"/>
    <w:rsid w:val="00FD7390"/>
    <w:rsid w:val="00FD7C72"/>
    <w:rsid w:val="00FE0E54"/>
    <w:rsid w:val="00FE1C88"/>
    <w:rsid w:val="00FE23F9"/>
    <w:rsid w:val="00FE2526"/>
    <w:rsid w:val="00FE2A6C"/>
    <w:rsid w:val="00FE3F0F"/>
    <w:rsid w:val="00FE4F60"/>
    <w:rsid w:val="00FE52D6"/>
    <w:rsid w:val="00FE57B4"/>
    <w:rsid w:val="00FE67C0"/>
    <w:rsid w:val="00FE6C23"/>
    <w:rsid w:val="00FF117C"/>
    <w:rsid w:val="00FF15B5"/>
    <w:rsid w:val="00FF176F"/>
    <w:rsid w:val="00FF2537"/>
    <w:rsid w:val="00FF51E2"/>
    <w:rsid w:val="00FF55E2"/>
    <w:rsid w:val="00FF6390"/>
    <w:rsid w:val="00FF664D"/>
    <w:rsid w:val="00FF71FB"/>
    <w:rsid w:val="00FF7419"/>
    <w:rsid w:val="00FF7AD6"/>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38"/>
    <o:shapelayout v:ext="edit">
      <o:idmap v:ext="edit" data="1"/>
      <o:rules v:ext="edit">
        <o:r id="V:Rule2" type="connector" idref="#AutoShap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24B6C"/>
    <w:pPr>
      <w:spacing w:line="276" w:lineRule="auto"/>
      <w:jc w:val="both"/>
    </w:pPr>
    <w:rPr>
      <w:rFonts w:ascii="Times New Roman" w:hAnsi="Times New Roman"/>
      <w:sz w:val="24"/>
      <w:szCs w:val="24"/>
    </w:rPr>
  </w:style>
  <w:style w:type="paragraph" w:styleId="Heading1">
    <w:name w:val="heading 1"/>
    <w:basedOn w:val="Normal"/>
    <w:next w:val="Normal"/>
    <w:link w:val="Heading1Char"/>
    <w:uiPriority w:val="9"/>
    <w:qFormat/>
    <w:rsid w:val="00922A20"/>
    <w:pPr>
      <w:keepNext/>
      <w:pageBreakBefore/>
      <w:numPr>
        <w:numId w:val="135"/>
      </w:numPr>
      <w:shd w:val="clear" w:color="auto" w:fill="002060"/>
      <w:spacing w:before="240" w:after="240"/>
      <w:jc w:val="center"/>
      <w:outlineLvl w:val="0"/>
    </w:pPr>
    <w:rPr>
      <w:rFonts w:asciiTheme="majorHAnsi" w:eastAsiaTheme="majorEastAsia" w:hAnsiTheme="majorHAnsi" w:cstheme="majorBidi"/>
      <w:b/>
      <w:bCs/>
      <w:color w:val="FFFFFF" w:themeColor="background1"/>
      <w:kern w:val="32"/>
      <w:sz w:val="32"/>
      <w:szCs w:val="32"/>
    </w:rPr>
  </w:style>
  <w:style w:type="paragraph" w:styleId="Heading2">
    <w:name w:val="heading 2"/>
    <w:basedOn w:val="Normal"/>
    <w:next w:val="Normal"/>
    <w:link w:val="Heading2Char"/>
    <w:uiPriority w:val="9"/>
    <w:unhideWhenUsed/>
    <w:qFormat/>
    <w:rsid w:val="00922A20"/>
    <w:pPr>
      <w:keepNext/>
      <w:keepLines/>
      <w:numPr>
        <w:ilvl w:val="1"/>
        <w:numId w:val="135"/>
      </w:numPr>
      <w:spacing w:before="100" w:beforeAutospacing="1" w:after="100" w:afterAutospacing="1"/>
      <w:ind w:left="578" w:hanging="578"/>
      <w:outlineLvl w:val="1"/>
    </w:pPr>
    <w:rPr>
      <w:rFonts w:asciiTheme="majorHAnsi" w:eastAsiaTheme="majorEastAsia" w:hAnsiTheme="majorHAnsi" w:cstheme="majorBidi"/>
      <w:b/>
      <w:bCs/>
      <w:color w:val="0F243E" w:themeColor="text2" w:themeShade="80"/>
      <w:sz w:val="28"/>
      <w:szCs w:val="26"/>
    </w:rPr>
  </w:style>
  <w:style w:type="paragraph" w:styleId="Heading3">
    <w:name w:val="heading 3"/>
    <w:basedOn w:val="Normal"/>
    <w:next w:val="Normal"/>
    <w:link w:val="Heading3Char"/>
    <w:uiPriority w:val="9"/>
    <w:unhideWhenUsed/>
    <w:qFormat/>
    <w:rsid w:val="00324B6C"/>
    <w:pPr>
      <w:keepNext/>
      <w:keepLines/>
      <w:numPr>
        <w:ilvl w:val="2"/>
        <w:numId w:val="135"/>
      </w:numPr>
      <w:spacing w:before="240" w:after="120"/>
      <w:outlineLvl w:val="2"/>
    </w:pPr>
    <w:rPr>
      <w:rFonts w:asciiTheme="majorHAnsi" w:eastAsiaTheme="majorEastAsia" w:hAnsiTheme="majorHAnsi" w:cstheme="majorBidi"/>
      <w:b/>
      <w:bCs/>
      <w:i/>
      <w:color w:val="0F243E" w:themeColor="text2" w:themeShade="80"/>
    </w:rPr>
  </w:style>
  <w:style w:type="paragraph" w:styleId="Heading4">
    <w:name w:val="heading 4"/>
    <w:basedOn w:val="Normal"/>
    <w:next w:val="Normal"/>
    <w:link w:val="Heading4Char"/>
    <w:uiPriority w:val="9"/>
    <w:unhideWhenUsed/>
    <w:qFormat/>
    <w:rsid w:val="00D517A2"/>
    <w:pPr>
      <w:keepNext/>
      <w:keepLines/>
      <w:numPr>
        <w:ilvl w:val="3"/>
        <w:numId w:val="13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61C2E"/>
    <w:pPr>
      <w:keepNext/>
      <w:keepLines/>
      <w:numPr>
        <w:ilvl w:val="4"/>
        <w:numId w:val="13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61C2E"/>
    <w:pPr>
      <w:keepNext/>
      <w:keepLines/>
      <w:numPr>
        <w:ilvl w:val="5"/>
        <w:numId w:val="13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61C2E"/>
    <w:pPr>
      <w:keepNext/>
      <w:keepLines/>
      <w:numPr>
        <w:ilvl w:val="6"/>
        <w:numId w:val="13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61C2E"/>
    <w:pPr>
      <w:keepNext/>
      <w:keepLines/>
      <w:numPr>
        <w:ilvl w:val="7"/>
        <w:numId w:val="13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61C2E"/>
    <w:pPr>
      <w:keepNext/>
      <w:keepLines/>
      <w:numPr>
        <w:ilvl w:val="8"/>
        <w:numId w:val="13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2A20"/>
    <w:rPr>
      <w:rFonts w:asciiTheme="majorHAnsi" w:eastAsiaTheme="majorEastAsia" w:hAnsiTheme="majorHAnsi" w:cstheme="majorBidi"/>
      <w:b/>
      <w:bCs/>
      <w:color w:val="FFFFFF" w:themeColor="background1"/>
      <w:kern w:val="32"/>
      <w:sz w:val="32"/>
      <w:szCs w:val="32"/>
      <w:shd w:val="clear" w:color="auto" w:fill="002060"/>
    </w:rPr>
  </w:style>
  <w:style w:type="paragraph" w:styleId="Title">
    <w:name w:val="Title"/>
    <w:basedOn w:val="Normal"/>
    <w:link w:val="TitleChar"/>
    <w:qFormat/>
    <w:rsid w:val="00052AA6"/>
    <w:pPr>
      <w:jc w:val="center"/>
    </w:pPr>
    <w:rPr>
      <w:rFonts w:ascii="Garamond" w:eastAsia="Times New Roman" w:hAnsi="Garamond"/>
      <w:b/>
      <w:bCs/>
      <w:sz w:val="28"/>
      <w:u w:val="single"/>
      <w:lang w:eastAsia="en-US"/>
    </w:rPr>
  </w:style>
  <w:style w:type="character" w:customStyle="1" w:styleId="TitleChar">
    <w:name w:val="Title Char"/>
    <w:basedOn w:val="DefaultParagraphFont"/>
    <w:link w:val="Title"/>
    <w:rsid w:val="00052AA6"/>
    <w:rPr>
      <w:rFonts w:ascii="Garamond" w:eastAsia="Times New Roman" w:hAnsi="Garamond"/>
      <w:b/>
      <w:bCs/>
      <w:sz w:val="28"/>
      <w:szCs w:val="24"/>
      <w:u w:val="single"/>
      <w:lang w:eastAsia="en-US"/>
    </w:rPr>
  </w:style>
  <w:style w:type="paragraph" w:styleId="ListParagraph">
    <w:name w:val="List Paragraph"/>
    <w:aliases w:val="2,Strip,Saistīto dokumentu saraksts,Syle 1,Numurets,Normal bullet 2,Bullet list,H&amp;P List Paragraph,Colorful List - Accent 11,PPS_Bullet,Medium Grid 1 - Accent 21,Akapit z listą BS,Punkti ar numuriem,Grafika nosaukums,List Paragraph1"/>
    <w:link w:val="ListParagraphChar"/>
    <w:uiPriority w:val="34"/>
    <w:qFormat/>
    <w:rsid w:val="00653271"/>
    <w:pPr>
      <w:ind w:left="720"/>
      <w:contextualSpacing/>
    </w:pPr>
    <w:rPr>
      <w:rFonts w:ascii="Times New Roman" w:eastAsia="Times New Roman" w:hAnsi="Times New Roman"/>
      <w:sz w:val="24"/>
      <w:szCs w:val="24"/>
    </w:rPr>
  </w:style>
  <w:style w:type="paragraph" w:styleId="TOCHeading">
    <w:name w:val="TOC Heading"/>
    <w:basedOn w:val="Heading1"/>
    <w:next w:val="Normal"/>
    <w:uiPriority w:val="39"/>
    <w:unhideWhenUsed/>
    <w:qFormat/>
    <w:rsid w:val="00052AA6"/>
    <w:pPr>
      <w:keepLines/>
      <w:spacing w:before="480" w:after="0"/>
      <w:outlineLvl w:val="9"/>
    </w:pPr>
    <w:rPr>
      <w:color w:val="365F91" w:themeColor="accent1" w:themeShade="BF"/>
      <w:kern w:val="0"/>
      <w:sz w:val="28"/>
      <w:szCs w:val="28"/>
      <w:lang w:val="en-US" w:eastAsia="en-US"/>
    </w:rPr>
  </w:style>
  <w:style w:type="character" w:styleId="Hyperlink">
    <w:name w:val="Hyperlink"/>
    <w:uiPriority w:val="99"/>
    <w:rsid w:val="0028243F"/>
    <w:rPr>
      <w:rFonts w:ascii="Times New Roman" w:hAnsi="Times New Roman"/>
      <w:color w:val="002060"/>
      <w:sz w:val="24"/>
      <w:u w:val="single"/>
    </w:rPr>
  </w:style>
  <w:style w:type="character" w:styleId="FootnoteReference">
    <w:name w:val="footnote reference"/>
    <w:aliases w:val="Footnote Reference Number,Footnote symbol,Footnote Reference Superscript,Footnote Refernece,ftref,Odwołanie przypisu,BVI fnr,Footnotes refss,SUPERS,Ref,de nota al pie,-E Fußnotenzeichen,Footnote reference number,Times 10 Point,E,E FNZ"/>
    <w:link w:val="CharCharCharChar"/>
    <w:uiPriority w:val="99"/>
    <w:qFormat/>
    <w:rsid w:val="00CC0D3C"/>
    <w:rPr>
      <w:vertAlign w:val="superscript"/>
    </w:rPr>
  </w:style>
  <w:style w:type="paragraph" w:styleId="NormalWeb">
    <w:name w:val="Normal (Web)"/>
    <w:basedOn w:val="Normal"/>
    <w:uiPriority w:val="99"/>
    <w:rsid w:val="00CC0D3C"/>
    <w:pPr>
      <w:widowControl w:val="0"/>
      <w:suppressAutoHyphens/>
    </w:pPr>
    <w:rPr>
      <w:rFonts w:eastAsia="SimSun"/>
      <w:kern w:val="1"/>
      <w:lang w:eastAsia="zh-CN" w:bidi="hi-IN"/>
    </w:rPr>
  </w:style>
  <w:style w:type="table" w:styleId="TableGrid">
    <w:name w:val="Table Grid"/>
    <w:basedOn w:val="TableNormal"/>
    <w:uiPriority w:val="59"/>
    <w:rsid w:val="00990BE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922A20"/>
    <w:rPr>
      <w:rFonts w:asciiTheme="majorHAnsi" w:eastAsiaTheme="majorEastAsia" w:hAnsiTheme="majorHAnsi" w:cstheme="majorBidi"/>
      <w:b/>
      <w:bCs/>
      <w:color w:val="0F243E" w:themeColor="text2" w:themeShade="80"/>
      <w:sz w:val="28"/>
      <w:szCs w:val="26"/>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qFormat/>
    <w:rsid w:val="008674B5"/>
    <w:pPr>
      <w:suppressAutoHyphens/>
      <w:autoSpaceDE w:val="0"/>
      <w:jc w:val="left"/>
    </w:pPr>
    <w:rPr>
      <w:rFonts w:eastAsia="Times New Roman"/>
      <w:sz w:val="20"/>
      <w:szCs w:val="20"/>
      <w:lang w:eastAsia="zh-CN"/>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rsid w:val="008674B5"/>
    <w:rPr>
      <w:rFonts w:ascii="Times New Roman" w:eastAsia="Times New Roman" w:hAnsi="Times New Roman"/>
      <w:lang w:eastAsia="zh-CN"/>
    </w:rPr>
  </w:style>
  <w:style w:type="character" w:styleId="Strong">
    <w:name w:val="Strong"/>
    <w:uiPriority w:val="22"/>
    <w:qFormat/>
    <w:rsid w:val="00913765"/>
    <w:rPr>
      <w:b/>
      <w:bCs/>
    </w:rPr>
  </w:style>
  <w:style w:type="character" w:customStyle="1" w:styleId="Neatrisintapieminana1">
    <w:name w:val="Neatrisināta pieminēšana1"/>
    <w:basedOn w:val="DefaultParagraphFont"/>
    <w:uiPriority w:val="99"/>
    <w:semiHidden/>
    <w:unhideWhenUsed/>
    <w:rsid w:val="000C736F"/>
    <w:rPr>
      <w:color w:val="605E5C"/>
      <w:shd w:val="clear" w:color="auto" w:fill="E1DFDD"/>
    </w:rPr>
  </w:style>
  <w:style w:type="character" w:styleId="Emphasis">
    <w:name w:val="Emphasis"/>
    <w:uiPriority w:val="20"/>
    <w:qFormat/>
    <w:rsid w:val="00B9470B"/>
    <w:rPr>
      <w:i/>
    </w:rPr>
  </w:style>
  <w:style w:type="paragraph" w:customStyle="1" w:styleId="Default">
    <w:name w:val="Default"/>
    <w:rsid w:val="00076D8B"/>
    <w:pPr>
      <w:autoSpaceDE w:val="0"/>
      <w:autoSpaceDN w:val="0"/>
      <w:adjustRightInd w:val="0"/>
    </w:pPr>
    <w:rPr>
      <w:rFonts w:ascii="Times New Roman" w:eastAsiaTheme="minorHAnsi" w:hAnsi="Times New Roman"/>
      <w:color w:val="000000"/>
      <w:sz w:val="24"/>
      <w:szCs w:val="24"/>
      <w:lang w:eastAsia="en-US"/>
    </w:rPr>
  </w:style>
  <w:style w:type="character" w:customStyle="1" w:styleId="ListParagraphChar">
    <w:name w:val="List Paragraph Char"/>
    <w:aliases w:val="2 Char,Strip Char,Saistīto dokumentu saraksts Char,Syle 1 Char,Numurets Char,Normal bullet 2 Char,Bullet list Char,H&amp;P List Paragraph Char,Colorful List - Accent 11 Char,PPS_Bullet Char,Medium Grid 1 - Accent 21 Char"/>
    <w:link w:val="ListParagraph"/>
    <w:uiPriority w:val="34"/>
    <w:qFormat/>
    <w:locked/>
    <w:rsid w:val="00653271"/>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0732C6"/>
    <w:rPr>
      <w:rFonts w:ascii="Tahoma" w:hAnsi="Tahoma" w:cs="Tahoma"/>
      <w:sz w:val="16"/>
      <w:szCs w:val="16"/>
    </w:rPr>
  </w:style>
  <w:style w:type="character" w:customStyle="1" w:styleId="BalloonTextChar">
    <w:name w:val="Balloon Text Char"/>
    <w:basedOn w:val="DefaultParagraphFont"/>
    <w:link w:val="BalloonText"/>
    <w:uiPriority w:val="99"/>
    <w:semiHidden/>
    <w:rsid w:val="000732C6"/>
    <w:rPr>
      <w:rFonts w:ascii="Tahoma" w:hAnsi="Tahoma" w:cs="Tahoma"/>
      <w:sz w:val="16"/>
      <w:szCs w:val="16"/>
    </w:rPr>
  </w:style>
  <w:style w:type="character" w:customStyle="1" w:styleId="apple-converted-space">
    <w:name w:val="apple-converted-space"/>
    <w:basedOn w:val="DefaultParagraphFont"/>
    <w:rsid w:val="00162C99"/>
  </w:style>
  <w:style w:type="paragraph" w:styleId="TOC1">
    <w:name w:val="toc 1"/>
    <w:basedOn w:val="Normal"/>
    <w:next w:val="Normal"/>
    <w:autoRedefine/>
    <w:uiPriority w:val="39"/>
    <w:unhideWhenUsed/>
    <w:rsid w:val="00CA21DF"/>
    <w:pPr>
      <w:tabs>
        <w:tab w:val="left" w:pos="480"/>
        <w:tab w:val="right" w:leader="dot" w:pos="9682"/>
      </w:tabs>
      <w:spacing w:after="100"/>
    </w:pPr>
    <w:rPr>
      <w:b/>
      <w:noProof/>
    </w:rPr>
  </w:style>
  <w:style w:type="paragraph" w:styleId="TOC2">
    <w:name w:val="toc 2"/>
    <w:basedOn w:val="Normal"/>
    <w:next w:val="Normal"/>
    <w:autoRedefine/>
    <w:uiPriority w:val="39"/>
    <w:unhideWhenUsed/>
    <w:rsid w:val="00CA21DF"/>
    <w:pPr>
      <w:tabs>
        <w:tab w:val="left" w:pos="880"/>
        <w:tab w:val="right" w:leader="dot" w:pos="9682"/>
      </w:tabs>
      <w:spacing w:after="100"/>
      <w:ind w:left="240"/>
    </w:pPr>
    <w:rPr>
      <w:b/>
      <w:noProof/>
    </w:rPr>
  </w:style>
  <w:style w:type="paragraph" w:styleId="Header">
    <w:name w:val="header"/>
    <w:basedOn w:val="Normal"/>
    <w:link w:val="HeaderChar"/>
    <w:uiPriority w:val="99"/>
    <w:unhideWhenUsed/>
    <w:rsid w:val="00671056"/>
    <w:pPr>
      <w:tabs>
        <w:tab w:val="center" w:pos="4153"/>
        <w:tab w:val="right" w:pos="8306"/>
      </w:tabs>
    </w:pPr>
  </w:style>
  <w:style w:type="character" w:customStyle="1" w:styleId="HeaderChar">
    <w:name w:val="Header Char"/>
    <w:basedOn w:val="DefaultParagraphFont"/>
    <w:link w:val="Header"/>
    <w:uiPriority w:val="99"/>
    <w:rsid w:val="00671056"/>
    <w:rPr>
      <w:rFonts w:ascii="Times New Roman" w:hAnsi="Times New Roman"/>
      <w:sz w:val="24"/>
      <w:szCs w:val="24"/>
    </w:rPr>
  </w:style>
  <w:style w:type="paragraph" w:styleId="Footer">
    <w:name w:val="footer"/>
    <w:basedOn w:val="Normal"/>
    <w:link w:val="FooterChar"/>
    <w:uiPriority w:val="99"/>
    <w:unhideWhenUsed/>
    <w:rsid w:val="00671056"/>
    <w:pPr>
      <w:tabs>
        <w:tab w:val="center" w:pos="4153"/>
        <w:tab w:val="right" w:pos="8306"/>
      </w:tabs>
    </w:pPr>
  </w:style>
  <w:style w:type="character" w:customStyle="1" w:styleId="FooterChar">
    <w:name w:val="Footer Char"/>
    <w:basedOn w:val="DefaultParagraphFont"/>
    <w:link w:val="Footer"/>
    <w:uiPriority w:val="99"/>
    <w:rsid w:val="00671056"/>
    <w:rPr>
      <w:rFonts w:ascii="Times New Roman" w:hAnsi="Times New Roman"/>
      <w:sz w:val="24"/>
      <w:szCs w:val="24"/>
    </w:rPr>
  </w:style>
  <w:style w:type="paragraph" w:customStyle="1" w:styleId="CCTableText">
    <w:name w:val="CC Table Text"/>
    <w:basedOn w:val="Normal"/>
    <w:qFormat/>
    <w:rsid w:val="00B2636C"/>
    <w:pPr>
      <w:jc w:val="left"/>
    </w:pPr>
    <w:rPr>
      <w:color w:val="000000"/>
      <w:sz w:val="20"/>
      <w:szCs w:val="20"/>
      <w:lang w:val="en-US" w:eastAsia="en-US"/>
    </w:rPr>
  </w:style>
  <w:style w:type="paragraph" w:styleId="CommentText">
    <w:name w:val="annotation text"/>
    <w:basedOn w:val="Normal"/>
    <w:link w:val="CommentTextChar"/>
    <w:uiPriority w:val="99"/>
    <w:unhideWhenUsed/>
    <w:rsid w:val="00B2636C"/>
    <w:rPr>
      <w:sz w:val="20"/>
      <w:szCs w:val="20"/>
    </w:rPr>
  </w:style>
  <w:style w:type="character" w:customStyle="1" w:styleId="CommentTextChar">
    <w:name w:val="Comment Text Char"/>
    <w:basedOn w:val="DefaultParagraphFont"/>
    <w:link w:val="CommentText"/>
    <w:uiPriority w:val="99"/>
    <w:rsid w:val="00B2636C"/>
    <w:rPr>
      <w:rFonts w:ascii="Times New Roman" w:hAnsi="Times New Roman"/>
    </w:rPr>
  </w:style>
  <w:style w:type="character" w:customStyle="1" w:styleId="Heading3Char">
    <w:name w:val="Heading 3 Char"/>
    <w:basedOn w:val="DefaultParagraphFont"/>
    <w:link w:val="Heading3"/>
    <w:uiPriority w:val="9"/>
    <w:rsid w:val="00324B6C"/>
    <w:rPr>
      <w:rFonts w:asciiTheme="majorHAnsi" w:eastAsiaTheme="majorEastAsia" w:hAnsiTheme="majorHAnsi" w:cstheme="majorBidi"/>
      <w:b/>
      <w:bCs/>
      <w:i/>
      <w:color w:val="0F243E" w:themeColor="text2" w:themeShade="80"/>
      <w:sz w:val="24"/>
      <w:szCs w:val="24"/>
    </w:rPr>
  </w:style>
  <w:style w:type="paragraph" w:styleId="TOC3">
    <w:name w:val="toc 3"/>
    <w:basedOn w:val="Normal"/>
    <w:next w:val="Normal"/>
    <w:autoRedefine/>
    <w:uiPriority w:val="39"/>
    <w:unhideWhenUsed/>
    <w:rsid w:val="004C1ABB"/>
    <w:pPr>
      <w:tabs>
        <w:tab w:val="left" w:pos="1134"/>
        <w:tab w:val="right" w:leader="dot" w:pos="9682"/>
      </w:tabs>
      <w:spacing w:after="100"/>
      <w:ind w:left="482"/>
    </w:pPr>
    <w:rPr>
      <w:noProof/>
    </w:rPr>
  </w:style>
  <w:style w:type="paragraph" w:styleId="HTMLPreformatted">
    <w:name w:val="HTML Preformatted"/>
    <w:basedOn w:val="Normal"/>
    <w:link w:val="HTMLPreformattedChar"/>
    <w:uiPriority w:val="99"/>
    <w:unhideWhenUsed/>
    <w:rsid w:val="000B2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B2863"/>
    <w:rPr>
      <w:rFonts w:ascii="Courier New" w:eastAsia="Times New Roman" w:hAnsi="Courier New" w:cs="Courier New"/>
    </w:rPr>
  </w:style>
  <w:style w:type="paragraph" w:styleId="TableofFigures">
    <w:name w:val="table of figures"/>
    <w:basedOn w:val="Normal"/>
    <w:next w:val="Normal"/>
    <w:uiPriority w:val="99"/>
    <w:unhideWhenUsed/>
    <w:rsid w:val="00324B6C"/>
    <w:pPr>
      <w:jc w:val="left"/>
    </w:pPr>
    <w:rPr>
      <w:iCs/>
      <w:szCs w:val="20"/>
    </w:rPr>
  </w:style>
  <w:style w:type="paragraph" w:styleId="Caption">
    <w:name w:val="caption"/>
    <w:basedOn w:val="Normal"/>
    <w:next w:val="Normal"/>
    <w:uiPriority w:val="35"/>
    <w:unhideWhenUsed/>
    <w:qFormat/>
    <w:rsid w:val="00246B0E"/>
    <w:pPr>
      <w:keepNext/>
      <w:keepLines/>
      <w:spacing w:before="240" w:after="120"/>
      <w:jc w:val="left"/>
    </w:pPr>
    <w:rPr>
      <w:b/>
      <w:bCs/>
      <w:color w:val="244061" w:themeColor="accent1" w:themeShade="80"/>
      <w:szCs w:val="18"/>
    </w:rPr>
  </w:style>
  <w:style w:type="character" w:customStyle="1" w:styleId="Heading4Char">
    <w:name w:val="Heading 4 Char"/>
    <w:basedOn w:val="DefaultParagraphFont"/>
    <w:link w:val="Heading4"/>
    <w:uiPriority w:val="9"/>
    <w:rsid w:val="00D517A2"/>
    <w:rPr>
      <w:rFonts w:asciiTheme="majorHAnsi" w:eastAsiaTheme="majorEastAsia" w:hAnsiTheme="majorHAnsi" w:cstheme="majorBidi"/>
      <w:b/>
      <w:bCs/>
      <w:i/>
      <w:iCs/>
      <w:color w:val="4F81BD" w:themeColor="accent1"/>
      <w:sz w:val="24"/>
      <w:szCs w:val="24"/>
    </w:rPr>
  </w:style>
  <w:style w:type="character" w:customStyle="1" w:styleId="UnresolvedMention1">
    <w:name w:val="Unresolved Mention1"/>
    <w:basedOn w:val="DefaultParagraphFont"/>
    <w:uiPriority w:val="99"/>
    <w:semiHidden/>
    <w:unhideWhenUsed/>
    <w:rsid w:val="00D517A2"/>
    <w:rPr>
      <w:color w:val="605E5C"/>
      <w:shd w:val="clear" w:color="auto" w:fill="E1DFDD"/>
    </w:rPr>
  </w:style>
  <w:style w:type="character" w:styleId="FollowedHyperlink">
    <w:name w:val="FollowedHyperlink"/>
    <w:basedOn w:val="DefaultParagraphFont"/>
    <w:uiPriority w:val="99"/>
    <w:semiHidden/>
    <w:unhideWhenUsed/>
    <w:rsid w:val="00D517A2"/>
    <w:rPr>
      <w:color w:val="800080" w:themeColor="followedHyperlink"/>
      <w:u w:val="single"/>
    </w:rPr>
  </w:style>
  <w:style w:type="character" w:customStyle="1" w:styleId="spelle">
    <w:name w:val="spelle"/>
    <w:rsid w:val="004B3A91"/>
  </w:style>
  <w:style w:type="numbering" w:customStyle="1" w:styleId="Style1">
    <w:name w:val="Style1"/>
    <w:uiPriority w:val="99"/>
    <w:rsid w:val="00381F09"/>
    <w:pPr>
      <w:numPr>
        <w:numId w:val="70"/>
      </w:numPr>
    </w:pPr>
  </w:style>
  <w:style w:type="character" w:styleId="CommentReference">
    <w:name w:val="annotation reference"/>
    <w:basedOn w:val="DefaultParagraphFont"/>
    <w:uiPriority w:val="99"/>
    <w:semiHidden/>
    <w:unhideWhenUsed/>
    <w:rsid w:val="00381F09"/>
    <w:rPr>
      <w:sz w:val="16"/>
      <w:szCs w:val="16"/>
    </w:rPr>
  </w:style>
  <w:style w:type="paragraph" w:customStyle="1" w:styleId="tv213">
    <w:name w:val="tv213"/>
    <w:basedOn w:val="Normal"/>
    <w:rsid w:val="003E7823"/>
    <w:pPr>
      <w:spacing w:before="100" w:beforeAutospacing="1" w:after="100" w:afterAutospacing="1"/>
      <w:jc w:val="left"/>
    </w:pPr>
    <w:rPr>
      <w:rFonts w:eastAsia="Times New Roman"/>
    </w:rPr>
  </w:style>
  <w:style w:type="paragraph" w:customStyle="1" w:styleId="liknoteik">
    <w:name w:val="lik_noteik"/>
    <w:basedOn w:val="Normal"/>
    <w:rsid w:val="0015083B"/>
    <w:pPr>
      <w:spacing w:before="100" w:beforeAutospacing="1" w:after="100" w:afterAutospacing="1"/>
      <w:jc w:val="left"/>
    </w:pPr>
    <w:rPr>
      <w:rFonts w:eastAsia="Times New Roman"/>
      <w:lang w:val="en-US" w:eastAsia="en-US"/>
    </w:rPr>
  </w:style>
  <w:style w:type="character" w:customStyle="1" w:styleId="normaltextrun">
    <w:name w:val="normaltextrun"/>
    <w:basedOn w:val="DefaultParagraphFont"/>
    <w:rsid w:val="00B82E8D"/>
  </w:style>
  <w:style w:type="paragraph" w:customStyle="1" w:styleId="paragraph">
    <w:name w:val="paragraph"/>
    <w:basedOn w:val="Normal"/>
    <w:uiPriority w:val="99"/>
    <w:rsid w:val="00B82E8D"/>
    <w:pPr>
      <w:spacing w:before="100" w:beforeAutospacing="1" w:after="100" w:afterAutospacing="1"/>
    </w:pPr>
    <w:rPr>
      <w:rFonts w:eastAsia="Times New Roman"/>
      <w:color w:val="44546A"/>
    </w:rPr>
  </w:style>
  <w:style w:type="paragraph" w:customStyle="1" w:styleId="CharCharCharChar">
    <w:name w:val="Char Char Char Char"/>
    <w:aliases w:val="Char2"/>
    <w:basedOn w:val="Normal"/>
    <w:next w:val="Normal"/>
    <w:link w:val="FootnoteReference"/>
    <w:uiPriority w:val="99"/>
    <w:rsid w:val="00077330"/>
    <w:pPr>
      <w:spacing w:after="160" w:line="240" w:lineRule="exact"/>
      <w:textAlignment w:val="baseline"/>
    </w:pPr>
    <w:rPr>
      <w:rFonts w:ascii="Calibri" w:hAnsi="Calibri"/>
      <w:sz w:val="20"/>
      <w:szCs w:val="20"/>
      <w:vertAlign w:val="superscript"/>
    </w:rPr>
  </w:style>
  <w:style w:type="paragraph" w:customStyle="1" w:styleId="naiskr">
    <w:name w:val="naiskr"/>
    <w:basedOn w:val="Normal"/>
    <w:rsid w:val="00B529CB"/>
    <w:pPr>
      <w:spacing w:before="75" w:after="75"/>
      <w:jc w:val="left"/>
    </w:pPr>
    <w:rPr>
      <w:rFonts w:eastAsia="Times New Roman"/>
    </w:rPr>
  </w:style>
  <w:style w:type="paragraph" w:customStyle="1" w:styleId="apakapakvirsraksts">
    <w:name w:val="apakš apakš virsraksts"/>
    <w:basedOn w:val="Normal"/>
    <w:next w:val="3apakvirsraksts"/>
    <w:qFormat/>
    <w:rsid w:val="00F519EF"/>
    <w:pPr>
      <w:numPr>
        <w:ilvl w:val="2"/>
        <w:numId w:val="115"/>
      </w:numPr>
      <w:shd w:val="clear" w:color="auto" w:fill="FFFFFF"/>
      <w:spacing w:after="160" w:line="259" w:lineRule="auto"/>
      <w:ind w:left="284" w:hanging="284"/>
      <w:jc w:val="center"/>
    </w:pPr>
    <w:rPr>
      <w:rFonts w:eastAsiaTheme="minorHAnsi"/>
      <w:color w:val="000000"/>
      <w:u w:val="single"/>
      <w:lang w:eastAsia="en-US"/>
    </w:rPr>
  </w:style>
  <w:style w:type="paragraph" w:customStyle="1" w:styleId="apakvirsraksts">
    <w:name w:val="apakšvirsraksts"/>
    <w:basedOn w:val="Normal"/>
    <w:next w:val="apakapakvirsraksts"/>
    <w:link w:val="apakvirsrakstsChar"/>
    <w:qFormat/>
    <w:rsid w:val="00F519EF"/>
    <w:pPr>
      <w:numPr>
        <w:ilvl w:val="1"/>
        <w:numId w:val="115"/>
      </w:numPr>
      <w:shd w:val="clear" w:color="auto" w:fill="FFFFFF"/>
      <w:spacing w:after="160" w:line="259" w:lineRule="auto"/>
      <w:jc w:val="center"/>
    </w:pPr>
    <w:rPr>
      <w:rFonts w:eastAsiaTheme="minorHAnsi"/>
      <w:color w:val="000000"/>
      <w:sz w:val="28"/>
      <w:lang w:eastAsia="en-US"/>
    </w:rPr>
  </w:style>
  <w:style w:type="paragraph" w:customStyle="1" w:styleId="virsraksts">
    <w:name w:val="virsraksts"/>
    <w:basedOn w:val="Normal"/>
    <w:next w:val="apakvirsraksts"/>
    <w:qFormat/>
    <w:rsid w:val="00F519EF"/>
    <w:pPr>
      <w:numPr>
        <w:numId w:val="115"/>
      </w:numPr>
      <w:shd w:val="clear" w:color="auto" w:fill="FFFFFF"/>
      <w:spacing w:after="160" w:line="259" w:lineRule="auto"/>
      <w:jc w:val="center"/>
    </w:pPr>
    <w:rPr>
      <w:rFonts w:eastAsiaTheme="minorHAnsi"/>
      <w:b/>
      <w:color w:val="000000"/>
      <w:sz w:val="32"/>
      <w:lang w:eastAsia="en-US"/>
    </w:rPr>
  </w:style>
  <w:style w:type="character" w:customStyle="1" w:styleId="apakvirsrakstsChar">
    <w:name w:val="apakšvirsraksts Char"/>
    <w:basedOn w:val="DefaultParagraphFont"/>
    <w:link w:val="apakvirsraksts"/>
    <w:rsid w:val="00F519EF"/>
    <w:rPr>
      <w:rFonts w:ascii="Times New Roman" w:eastAsiaTheme="minorHAnsi" w:hAnsi="Times New Roman"/>
      <w:color w:val="000000"/>
      <w:sz w:val="28"/>
      <w:szCs w:val="24"/>
      <w:shd w:val="clear" w:color="auto" w:fill="FFFFFF"/>
      <w:lang w:eastAsia="en-US"/>
    </w:rPr>
  </w:style>
  <w:style w:type="paragraph" w:customStyle="1" w:styleId="3apakvirsraksts">
    <w:name w:val="3apakš virsraksts"/>
    <w:basedOn w:val="Normal"/>
    <w:qFormat/>
    <w:rsid w:val="00F519EF"/>
    <w:pPr>
      <w:numPr>
        <w:ilvl w:val="3"/>
        <w:numId w:val="115"/>
      </w:numPr>
      <w:shd w:val="clear" w:color="auto" w:fill="FFFFFF"/>
      <w:ind w:left="993" w:hanging="1019"/>
    </w:pPr>
    <w:rPr>
      <w:rFonts w:eastAsiaTheme="minorHAnsi"/>
      <w:color w:val="000000"/>
      <w:lang w:eastAsia="en-US"/>
    </w:rPr>
  </w:style>
  <w:style w:type="paragraph" w:styleId="TOC4">
    <w:name w:val="toc 4"/>
    <w:basedOn w:val="Normal"/>
    <w:next w:val="Normal"/>
    <w:autoRedefine/>
    <w:uiPriority w:val="39"/>
    <w:unhideWhenUsed/>
    <w:rsid w:val="005903D4"/>
    <w:pPr>
      <w:spacing w:after="100"/>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5903D4"/>
    <w:pPr>
      <w:spacing w:after="100"/>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5903D4"/>
    <w:pPr>
      <w:spacing w:after="100"/>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5903D4"/>
    <w:pPr>
      <w:spacing w:after="100"/>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5903D4"/>
    <w:pPr>
      <w:spacing w:after="100"/>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5903D4"/>
    <w:pPr>
      <w:spacing w:after="100"/>
      <w:ind w:left="1760"/>
      <w:jc w:val="left"/>
    </w:pPr>
    <w:rPr>
      <w:rFonts w:asciiTheme="minorHAnsi" w:eastAsiaTheme="minorEastAsia" w:hAnsiTheme="minorHAnsi" w:cstheme="minorBidi"/>
      <w:sz w:val="22"/>
      <w:szCs w:val="22"/>
    </w:rPr>
  </w:style>
  <w:style w:type="character" w:customStyle="1" w:styleId="fontsize2">
    <w:name w:val="fontsize2"/>
    <w:basedOn w:val="DefaultParagraphFont"/>
    <w:rsid w:val="009B0D76"/>
  </w:style>
  <w:style w:type="paragraph" w:customStyle="1" w:styleId="labojumupamats">
    <w:name w:val="labojumu_pamats"/>
    <w:basedOn w:val="Normal"/>
    <w:rsid w:val="009B0D76"/>
    <w:pPr>
      <w:spacing w:before="100" w:beforeAutospacing="1" w:after="100" w:afterAutospacing="1"/>
      <w:jc w:val="left"/>
    </w:pPr>
    <w:rPr>
      <w:rFonts w:eastAsia="Times New Roman"/>
      <w:lang w:val="en-US" w:eastAsia="en-US"/>
    </w:rPr>
  </w:style>
  <w:style w:type="paragraph" w:styleId="CommentSubject">
    <w:name w:val="annotation subject"/>
    <w:basedOn w:val="CommentText"/>
    <w:next w:val="CommentText"/>
    <w:link w:val="CommentSubjectChar"/>
    <w:uiPriority w:val="99"/>
    <w:semiHidden/>
    <w:unhideWhenUsed/>
    <w:rsid w:val="0007337F"/>
    <w:pPr>
      <w:jc w:val="left"/>
    </w:pPr>
    <w:rPr>
      <w:rFonts w:eastAsiaTheme="minorHAnsi" w:cstheme="minorBidi"/>
      <w:b/>
      <w:bCs/>
      <w:lang w:eastAsia="en-US"/>
    </w:rPr>
  </w:style>
  <w:style w:type="character" w:customStyle="1" w:styleId="CommentSubjectChar">
    <w:name w:val="Comment Subject Char"/>
    <w:basedOn w:val="CommentTextChar"/>
    <w:link w:val="CommentSubject"/>
    <w:uiPriority w:val="99"/>
    <w:semiHidden/>
    <w:rsid w:val="0007337F"/>
    <w:rPr>
      <w:rFonts w:ascii="Times New Roman" w:eastAsiaTheme="minorHAnsi" w:hAnsi="Times New Roman" w:cstheme="minorBidi"/>
      <w:b/>
      <w:bCs/>
      <w:lang w:eastAsia="en-US"/>
    </w:rPr>
  </w:style>
  <w:style w:type="paragraph" w:customStyle="1" w:styleId="Navnumercija">
    <w:name w:val="Nav numerācija"/>
    <w:aliases w:val="ir saturā,*nav num"/>
    <w:qFormat/>
    <w:rsid w:val="005A207F"/>
    <w:pPr>
      <w:pageBreakBefore/>
      <w:shd w:val="clear" w:color="auto" w:fill="002060"/>
      <w:spacing w:before="240" w:after="240"/>
      <w:jc w:val="center"/>
      <w:outlineLvl w:val="0"/>
    </w:pPr>
    <w:rPr>
      <w:rFonts w:ascii="Times New Roman" w:hAnsi="Times New Roman"/>
      <w:b/>
      <w:color w:val="FFFFFF" w:themeColor="background1"/>
      <w:sz w:val="32"/>
      <w:szCs w:val="24"/>
    </w:rPr>
  </w:style>
  <w:style w:type="paragraph" w:customStyle="1" w:styleId="virsrakstslvl2">
    <w:name w:val="virsraksts lvl 2"/>
    <w:basedOn w:val="Normal"/>
    <w:qFormat/>
    <w:rsid w:val="007432E7"/>
    <w:pPr>
      <w:spacing w:before="240" w:after="240"/>
    </w:pPr>
    <w:rPr>
      <w:rFonts w:asciiTheme="majorHAnsi" w:eastAsiaTheme="majorEastAsia" w:hAnsiTheme="majorHAnsi" w:cstheme="majorBidi"/>
      <w:b/>
      <w:bCs/>
      <w:color w:val="002060"/>
      <w:sz w:val="28"/>
      <w:szCs w:val="26"/>
    </w:rPr>
  </w:style>
  <w:style w:type="paragraph" w:customStyle="1" w:styleId="virsrakstslvl3">
    <w:name w:val="virsraksts lvl 3"/>
    <w:qFormat/>
    <w:rsid w:val="00C92F97"/>
    <w:pPr>
      <w:keepNext/>
      <w:spacing w:before="240" w:after="240"/>
    </w:pPr>
    <w:rPr>
      <w:rFonts w:asciiTheme="majorHAnsi" w:eastAsiaTheme="majorEastAsia" w:hAnsiTheme="majorHAnsi" w:cstheme="majorBidi"/>
      <w:b/>
      <w:bCs/>
      <w:i/>
      <w:color w:val="002060"/>
      <w:sz w:val="24"/>
      <w:szCs w:val="24"/>
    </w:rPr>
  </w:style>
  <w:style w:type="character" w:customStyle="1" w:styleId="Heading5Char">
    <w:name w:val="Heading 5 Char"/>
    <w:basedOn w:val="DefaultParagraphFont"/>
    <w:link w:val="Heading5"/>
    <w:uiPriority w:val="9"/>
    <w:semiHidden/>
    <w:rsid w:val="00E61C2E"/>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E61C2E"/>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E61C2E"/>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E61C2E"/>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61C2E"/>
    <w:rPr>
      <w:rFonts w:asciiTheme="majorHAnsi" w:eastAsiaTheme="majorEastAsia" w:hAnsiTheme="majorHAnsi" w:cstheme="majorBidi"/>
      <w:i/>
      <w:iCs/>
      <w:color w:val="404040" w:themeColor="text1" w:themeTint="BF"/>
    </w:rPr>
  </w:style>
  <w:style w:type="paragraph" w:styleId="DocumentMap">
    <w:name w:val="Document Map"/>
    <w:basedOn w:val="Normal"/>
    <w:link w:val="DocumentMapChar"/>
    <w:uiPriority w:val="99"/>
    <w:semiHidden/>
    <w:unhideWhenUsed/>
    <w:rsid w:val="00E61C2E"/>
    <w:rPr>
      <w:rFonts w:ascii="Tahoma" w:hAnsi="Tahoma" w:cs="Tahoma"/>
      <w:sz w:val="16"/>
      <w:szCs w:val="16"/>
    </w:rPr>
  </w:style>
  <w:style w:type="character" w:customStyle="1" w:styleId="DocumentMapChar">
    <w:name w:val="Document Map Char"/>
    <w:basedOn w:val="DefaultParagraphFont"/>
    <w:link w:val="DocumentMap"/>
    <w:uiPriority w:val="99"/>
    <w:semiHidden/>
    <w:rsid w:val="00E61C2E"/>
    <w:rPr>
      <w:rFonts w:ascii="Tahoma" w:hAnsi="Tahoma" w:cs="Tahoma"/>
      <w:sz w:val="16"/>
      <w:szCs w:val="16"/>
    </w:rPr>
  </w:style>
  <w:style w:type="paragraph" w:customStyle="1" w:styleId="virsrakstslvl4">
    <w:name w:val="virsraksts lvl 4"/>
    <w:basedOn w:val="Normal"/>
    <w:qFormat/>
    <w:rsid w:val="00DA49DB"/>
    <w:pPr>
      <w:keepNext/>
      <w:spacing w:before="240" w:after="120"/>
    </w:pPr>
    <w:rPr>
      <w:rFonts w:asciiTheme="majorHAnsi" w:eastAsiaTheme="majorEastAsia" w:hAnsiTheme="majorHAnsi" w:cstheme="majorBidi"/>
      <w:b/>
      <w:bCs/>
      <w:i/>
      <w:iCs/>
      <w:color w:val="002060"/>
    </w:rPr>
  </w:style>
  <w:style w:type="paragraph" w:customStyle="1" w:styleId="navnumirsaturlevel3">
    <w:name w:val="nav num ir saturā level 3"/>
    <w:basedOn w:val="Heading3"/>
    <w:link w:val="navnumirsaturlevel3Char"/>
    <w:qFormat/>
    <w:rsid w:val="00DE4D97"/>
    <w:pPr>
      <w:numPr>
        <w:ilvl w:val="0"/>
        <w:numId w:val="0"/>
      </w:numPr>
      <w:spacing w:after="240"/>
    </w:pPr>
    <w:rPr>
      <w:bCs w:val="0"/>
      <w:color w:val="002060"/>
      <w:sz w:val="28"/>
    </w:rPr>
  </w:style>
  <w:style w:type="paragraph" w:customStyle="1" w:styleId="navnumirsaturlevel2">
    <w:name w:val="nav num ir saturā level2"/>
    <w:qFormat/>
    <w:rsid w:val="00F10357"/>
    <w:pPr>
      <w:keepNext/>
      <w:spacing w:before="240" w:after="240"/>
      <w:outlineLvl w:val="1"/>
    </w:pPr>
    <w:rPr>
      <w:rFonts w:asciiTheme="majorHAnsi" w:eastAsiaTheme="majorEastAsia" w:hAnsiTheme="majorHAnsi" w:cstheme="majorBidi"/>
      <w:b/>
      <w:bCs/>
      <w:color w:val="002060"/>
      <w:sz w:val="28"/>
      <w:szCs w:val="26"/>
    </w:rPr>
  </w:style>
  <w:style w:type="paragraph" w:styleId="Subtitle">
    <w:name w:val="Subtitle"/>
    <w:basedOn w:val="Normal"/>
    <w:next w:val="Normal"/>
    <w:link w:val="SubtitleChar"/>
    <w:qFormat/>
    <w:rsid w:val="009F2017"/>
    <w:pPr>
      <w:spacing w:after="60" w:line="240" w:lineRule="auto"/>
      <w:jc w:val="center"/>
      <w:outlineLvl w:val="1"/>
    </w:pPr>
    <w:rPr>
      <w:rFonts w:ascii="Cambria" w:eastAsia="Times New Roman" w:hAnsi="Cambria"/>
    </w:rPr>
  </w:style>
  <w:style w:type="character" w:customStyle="1" w:styleId="SubtitleChar">
    <w:name w:val="Subtitle Char"/>
    <w:basedOn w:val="DefaultParagraphFont"/>
    <w:link w:val="Subtitle"/>
    <w:rsid w:val="009F2017"/>
    <w:rPr>
      <w:rFonts w:ascii="Cambria" w:eastAsia="Times New Roman" w:hAnsi="Cambria"/>
      <w:sz w:val="24"/>
      <w:szCs w:val="24"/>
    </w:rPr>
  </w:style>
  <w:style w:type="paragraph" w:styleId="z-BottomofForm">
    <w:name w:val="HTML Bottom of Form"/>
    <w:basedOn w:val="Normal"/>
    <w:next w:val="Normal"/>
    <w:link w:val="z-BottomofFormChar"/>
    <w:hidden/>
    <w:uiPriority w:val="99"/>
    <w:semiHidden/>
    <w:unhideWhenUsed/>
    <w:rsid w:val="00ED23CE"/>
    <w:pPr>
      <w:pBdr>
        <w:top w:val="single" w:sz="6" w:space="1" w:color="auto"/>
      </w:pBdr>
      <w:jc w:val="center"/>
    </w:pPr>
    <w:rPr>
      <w:rFonts w:ascii="Arial" w:hAnsi="Arial" w:cs="Arial"/>
      <w:vanish/>
      <w:sz w:val="16"/>
      <w:szCs w:val="16"/>
      <w:lang w:eastAsia="en-US"/>
    </w:rPr>
  </w:style>
  <w:style w:type="character" w:customStyle="1" w:styleId="z-BottomofFormChar">
    <w:name w:val="z-Bottom of Form Char"/>
    <w:basedOn w:val="DefaultParagraphFont"/>
    <w:link w:val="z-BottomofForm"/>
    <w:uiPriority w:val="99"/>
    <w:semiHidden/>
    <w:rsid w:val="00ED23CE"/>
    <w:rPr>
      <w:rFonts w:ascii="Arial" w:hAnsi="Arial" w:cs="Arial"/>
      <w:vanish/>
      <w:sz w:val="16"/>
      <w:szCs w:val="16"/>
      <w:lang w:eastAsia="en-US"/>
    </w:rPr>
  </w:style>
  <w:style w:type="character" w:customStyle="1" w:styleId="txt11black">
    <w:name w:val="txt_11_black"/>
    <w:rsid w:val="00584ECA"/>
  </w:style>
  <w:style w:type="paragraph" w:styleId="PlainText">
    <w:name w:val="Plain Text"/>
    <w:basedOn w:val="Normal"/>
    <w:link w:val="PlainTextChar"/>
    <w:uiPriority w:val="99"/>
    <w:unhideWhenUsed/>
    <w:rsid w:val="006F5693"/>
    <w:pPr>
      <w:spacing w:line="240" w:lineRule="auto"/>
      <w:jc w:val="left"/>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6F5693"/>
    <w:rPr>
      <w:rFonts w:eastAsiaTheme="minorHAnsi" w:cstheme="minorBidi"/>
      <w:sz w:val="22"/>
      <w:szCs w:val="21"/>
      <w:lang w:eastAsia="en-US"/>
    </w:rPr>
  </w:style>
  <w:style w:type="paragraph" w:customStyle="1" w:styleId="TOC2Style2">
    <w:name w:val="TOC2Style2"/>
    <w:basedOn w:val="TOC2"/>
    <w:qFormat/>
    <w:rsid w:val="00CA21DF"/>
    <w:rPr>
      <w:b w:val="0"/>
    </w:rPr>
  </w:style>
  <w:style w:type="paragraph" w:customStyle="1" w:styleId="Style2">
    <w:name w:val="Style2"/>
    <w:basedOn w:val="Normal"/>
    <w:qFormat/>
    <w:rsid w:val="00F14C90"/>
    <w:pPr>
      <w:tabs>
        <w:tab w:val="left" w:leader="dot" w:pos="9639"/>
      </w:tabs>
    </w:pPr>
  </w:style>
  <w:style w:type="paragraph" w:customStyle="1" w:styleId="Standartaskolas">
    <w:name w:val="*Standarta skolas"/>
    <w:basedOn w:val="Normal"/>
    <w:qFormat/>
    <w:rsid w:val="004D78B6"/>
    <w:pPr>
      <w:spacing w:line="360" w:lineRule="auto"/>
      <w:ind w:firstLine="567"/>
    </w:pPr>
    <w:rPr>
      <w:rFonts w:eastAsia="Times New Roman"/>
      <w:szCs w:val="20"/>
    </w:rPr>
  </w:style>
  <w:style w:type="paragraph" w:customStyle="1" w:styleId="Bildes">
    <w:name w:val="*Bildes"/>
    <w:basedOn w:val="Standartaskolas"/>
    <w:qFormat/>
    <w:rsid w:val="004D78B6"/>
    <w:pPr>
      <w:keepNext/>
      <w:jc w:val="center"/>
    </w:pPr>
    <w:rPr>
      <w:noProof/>
      <w:lang w:val="en-US"/>
    </w:rPr>
  </w:style>
  <w:style w:type="character" w:customStyle="1" w:styleId="FootnoteTextChar2">
    <w:name w:val="Footnote Text Char2"/>
    <w:aliases w:val="Footnote Char2,Fußnote Char2,Char Char2,Char Rakstz. Rakstz. Rakstz. Rakstz. Rakstz. Rakstz. Rakstz. Char2,Char Rakstz. Rakstz. Rakstz. Rakstz. Rakstz. Rakstz. Char2,f Char1"/>
    <w:uiPriority w:val="99"/>
    <w:rsid w:val="00A933DA"/>
    <w:rPr>
      <w:rFonts w:ascii="Calibri" w:hAnsi="Calibri" w:cs="Calibri"/>
      <w:sz w:val="20"/>
      <w:szCs w:val="20"/>
    </w:rPr>
  </w:style>
  <w:style w:type="character" w:customStyle="1" w:styleId="field-content">
    <w:name w:val="field-content"/>
    <w:uiPriority w:val="99"/>
    <w:rsid w:val="00A933DA"/>
  </w:style>
  <w:style w:type="paragraph" w:customStyle="1" w:styleId="greypar1">
    <w:name w:val="grey_par1"/>
    <w:basedOn w:val="Normal"/>
    <w:rsid w:val="00255CC4"/>
    <w:pPr>
      <w:spacing w:before="100" w:beforeAutospacing="1" w:after="100" w:afterAutospacing="1" w:line="240" w:lineRule="auto"/>
      <w:jc w:val="left"/>
    </w:pPr>
    <w:rPr>
      <w:rFonts w:eastAsia="Times New Roman"/>
    </w:rPr>
  </w:style>
  <w:style w:type="character" w:customStyle="1" w:styleId="leftside">
    <w:name w:val="left_side"/>
    <w:basedOn w:val="DefaultParagraphFont"/>
    <w:rsid w:val="00255CC4"/>
  </w:style>
  <w:style w:type="character" w:customStyle="1" w:styleId="rightside">
    <w:name w:val="right_side"/>
    <w:basedOn w:val="DefaultParagraphFont"/>
    <w:rsid w:val="00255CC4"/>
  </w:style>
  <w:style w:type="paragraph" w:customStyle="1" w:styleId="navnumnavsaturaarandom">
    <w:name w:val="nav num nav saturaa random"/>
    <w:basedOn w:val="Navnumercija"/>
    <w:qFormat/>
    <w:rsid w:val="00A661B6"/>
    <w:pPr>
      <w:outlineLvl w:val="9"/>
    </w:pPr>
  </w:style>
  <w:style w:type="paragraph" w:customStyle="1" w:styleId="pielikumiem">
    <w:name w:val="pielikumiem"/>
    <w:basedOn w:val="Heading3"/>
    <w:qFormat/>
    <w:rsid w:val="004C1ABB"/>
    <w:pPr>
      <w:numPr>
        <w:ilvl w:val="0"/>
        <w:numId w:val="169"/>
      </w:numPr>
    </w:pPr>
    <w:rPr>
      <w:i w:val="0"/>
      <w:sz w:val="28"/>
    </w:rPr>
  </w:style>
  <w:style w:type="paragraph" w:customStyle="1" w:styleId="galaziojums">
    <w:name w:val="gala ziņojums"/>
    <w:basedOn w:val="Normal"/>
    <w:link w:val="galaziojumsChar"/>
    <w:qFormat/>
    <w:rsid w:val="00DA49DB"/>
    <w:pPr>
      <w:jc w:val="center"/>
    </w:pPr>
    <w:rPr>
      <w:b/>
      <w:color w:val="244061" w:themeColor="accent1" w:themeShade="80"/>
      <w:sz w:val="32"/>
    </w:rPr>
  </w:style>
  <w:style w:type="paragraph" w:customStyle="1" w:styleId="Style3">
    <w:name w:val="Style3"/>
    <w:basedOn w:val="Normal"/>
    <w:qFormat/>
    <w:rsid w:val="00AB7A9E"/>
    <w:pPr>
      <w:jc w:val="center"/>
    </w:pPr>
    <w:rPr>
      <w:b/>
      <w:color w:val="244061" w:themeColor="accent1" w:themeShade="80"/>
    </w:rPr>
  </w:style>
  <w:style w:type="paragraph" w:customStyle="1" w:styleId="avotiemft10">
    <w:name w:val="avotiem ft10"/>
    <w:basedOn w:val="Normal"/>
    <w:qFormat/>
    <w:rsid w:val="00AB7A9E"/>
    <w:rPr>
      <w:sz w:val="20"/>
      <w:szCs w:val="20"/>
    </w:rPr>
  </w:style>
  <w:style w:type="paragraph" w:customStyle="1" w:styleId="pasvtrotais">
    <w:name w:val="pasvītrotais"/>
    <w:basedOn w:val="Normal"/>
    <w:qFormat/>
    <w:rsid w:val="00DA49DB"/>
    <w:rPr>
      <w:u w:val="single"/>
    </w:rPr>
  </w:style>
  <w:style w:type="paragraph" w:customStyle="1" w:styleId="under">
    <w:name w:val="under"/>
    <w:aliases w:val="italic"/>
    <w:basedOn w:val="Normal"/>
    <w:qFormat/>
    <w:rsid w:val="00C92F97"/>
    <w:rPr>
      <w:i/>
      <w:u w:val="single"/>
    </w:rPr>
  </w:style>
  <w:style w:type="paragraph" w:customStyle="1" w:styleId="capsunderitalic">
    <w:name w:val="caps under italic"/>
    <w:basedOn w:val="Normal"/>
    <w:qFormat/>
    <w:rsid w:val="00C92F97"/>
    <w:rPr>
      <w:u w:val="single"/>
    </w:rPr>
  </w:style>
  <w:style w:type="character" w:customStyle="1" w:styleId="galaziojumsChar">
    <w:name w:val="gala ziņojums Char"/>
    <w:basedOn w:val="DefaultParagraphFont"/>
    <w:link w:val="galaziojums"/>
    <w:rsid w:val="00DA49DB"/>
    <w:rPr>
      <w:rFonts w:ascii="Times New Roman" w:hAnsi="Times New Roman"/>
      <w:b/>
      <w:color w:val="244061" w:themeColor="accent1" w:themeShade="80"/>
      <w:sz w:val="32"/>
      <w:szCs w:val="24"/>
    </w:rPr>
  </w:style>
  <w:style w:type="paragraph" w:customStyle="1" w:styleId="CharChar">
    <w:name w:val="Char Char"/>
    <w:basedOn w:val="Normal"/>
    <w:rsid w:val="00597A46"/>
    <w:pPr>
      <w:spacing w:line="240" w:lineRule="auto"/>
      <w:jc w:val="left"/>
    </w:pPr>
    <w:rPr>
      <w:rFonts w:eastAsia="Times New Roman"/>
      <w:lang w:val="pl-PL" w:eastAsia="pl-PL"/>
    </w:rPr>
  </w:style>
  <w:style w:type="character" w:customStyle="1" w:styleId="navnumirsaturlevel3Char">
    <w:name w:val="nav num ir saturā level 3 Char"/>
    <w:basedOn w:val="Heading3Char"/>
    <w:link w:val="navnumirsaturlevel3"/>
    <w:rsid w:val="00DE4D97"/>
    <w:rPr>
      <w:rFonts w:asciiTheme="majorHAnsi" w:eastAsiaTheme="majorEastAsia" w:hAnsiTheme="majorHAnsi" w:cstheme="majorBidi"/>
      <w:b/>
      <w:bCs/>
      <w:i/>
      <w:color w:val="002060"/>
      <w:sz w:val="28"/>
      <w:szCs w:val="24"/>
    </w:rPr>
  </w:style>
  <w:style w:type="paragraph" w:customStyle="1" w:styleId="Normalatteli">
    <w:name w:val="Normal_atteli"/>
    <w:basedOn w:val="Normal"/>
    <w:link w:val="NormalatteliChar"/>
    <w:qFormat/>
    <w:rsid w:val="00744B99"/>
    <w:rPr>
      <w:bCs/>
      <w:sz w:val="22"/>
    </w:rPr>
  </w:style>
  <w:style w:type="character" w:customStyle="1" w:styleId="NormalatteliChar">
    <w:name w:val="Normal_atteli Char"/>
    <w:basedOn w:val="Heading3Char"/>
    <w:link w:val="Normalatteli"/>
    <w:rsid w:val="00744B99"/>
    <w:rPr>
      <w:rFonts w:ascii="Times New Roman" w:eastAsiaTheme="majorEastAsia" w:hAnsi="Times New Roman" w:cstheme="majorBidi"/>
      <w:b/>
      <w:bCs/>
      <w:i/>
      <w:color w:val="0F243E" w:themeColor="text2" w:themeShade="80"/>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34976874">
      <w:bodyDiv w:val="1"/>
      <w:marLeft w:val="0"/>
      <w:marRight w:val="0"/>
      <w:marTop w:val="0"/>
      <w:marBottom w:val="0"/>
      <w:divBdr>
        <w:top w:val="none" w:sz="0" w:space="0" w:color="auto"/>
        <w:left w:val="none" w:sz="0" w:space="0" w:color="auto"/>
        <w:bottom w:val="none" w:sz="0" w:space="0" w:color="auto"/>
        <w:right w:val="none" w:sz="0" w:space="0" w:color="auto"/>
      </w:divBdr>
    </w:div>
    <w:div w:id="235627551">
      <w:bodyDiv w:val="1"/>
      <w:marLeft w:val="0"/>
      <w:marRight w:val="0"/>
      <w:marTop w:val="0"/>
      <w:marBottom w:val="0"/>
      <w:divBdr>
        <w:top w:val="none" w:sz="0" w:space="0" w:color="auto"/>
        <w:left w:val="none" w:sz="0" w:space="0" w:color="auto"/>
        <w:bottom w:val="none" w:sz="0" w:space="0" w:color="auto"/>
        <w:right w:val="none" w:sz="0" w:space="0" w:color="auto"/>
      </w:divBdr>
    </w:div>
    <w:div w:id="296883342">
      <w:bodyDiv w:val="1"/>
      <w:marLeft w:val="0"/>
      <w:marRight w:val="0"/>
      <w:marTop w:val="0"/>
      <w:marBottom w:val="0"/>
      <w:divBdr>
        <w:top w:val="none" w:sz="0" w:space="0" w:color="auto"/>
        <w:left w:val="none" w:sz="0" w:space="0" w:color="auto"/>
        <w:bottom w:val="none" w:sz="0" w:space="0" w:color="auto"/>
        <w:right w:val="none" w:sz="0" w:space="0" w:color="auto"/>
      </w:divBdr>
    </w:div>
    <w:div w:id="323776974">
      <w:bodyDiv w:val="1"/>
      <w:marLeft w:val="0"/>
      <w:marRight w:val="0"/>
      <w:marTop w:val="0"/>
      <w:marBottom w:val="0"/>
      <w:divBdr>
        <w:top w:val="none" w:sz="0" w:space="0" w:color="auto"/>
        <w:left w:val="none" w:sz="0" w:space="0" w:color="auto"/>
        <w:bottom w:val="none" w:sz="0" w:space="0" w:color="auto"/>
        <w:right w:val="none" w:sz="0" w:space="0" w:color="auto"/>
      </w:divBdr>
    </w:div>
    <w:div w:id="379788664">
      <w:bodyDiv w:val="1"/>
      <w:marLeft w:val="0"/>
      <w:marRight w:val="0"/>
      <w:marTop w:val="0"/>
      <w:marBottom w:val="0"/>
      <w:divBdr>
        <w:top w:val="none" w:sz="0" w:space="0" w:color="auto"/>
        <w:left w:val="none" w:sz="0" w:space="0" w:color="auto"/>
        <w:bottom w:val="none" w:sz="0" w:space="0" w:color="auto"/>
        <w:right w:val="none" w:sz="0" w:space="0" w:color="auto"/>
      </w:divBdr>
    </w:div>
    <w:div w:id="467087134">
      <w:bodyDiv w:val="1"/>
      <w:marLeft w:val="0"/>
      <w:marRight w:val="0"/>
      <w:marTop w:val="0"/>
      <w:marBottom w:val="0"/>
      <w:divBdr>
        <w:top w:val="none" w:sz="0" w:space="0" w:color="auto"/>
        <w:left w:val="none" w:sz="0" w:space="0" w:color="auto"/>
        <w:bottom w:val="none" w:sz="0" w:space="0" w:color="auto"/>
        <w:right w:val="none" w:sz="0" w:space="0" w:color="auto"/>
      </w:divBdr>
    </w:div>
    <w:div w:id="492765250">
      <w:bodyDiv w:val="1"/>
      <w:marLeft w:val="0"/>
      <w:marRight w:val="0"/>
      <w:marTop w:val="0"/>
      <w:marBottom w:val="0"/>
      <w:divBdr>
        <w:top w:val="none" w:sz="0" w:space="0" w:color="auto"/>
        <w:left w:val="none" w:sz="0" w:space="0" w:color="auto"/>
        <w:bottom w:val="none" w:sz="0" w:space="0" w:color="auto"/>
        <w:right w:val="none" w:sz="0" w:space="0" w:color="auto"/>
      </w:divBdr>
    </w:div>
    <w:div w:id="547684878">
      <w:bodyDiv w:val="1"/>
      <w:marLeft w:val="0"/>
      <w:marRight w:val="0"/>
      <w:marTop w:val="0"/>
      <w:marBottom w:val="0"/>
      <w:divBdr>
        <w:top w:val="none" w:sz="0" w:space="0" w:color="auto"/>
        <w:left w:val="none" w:sz="0" w:space="0" w:color="auto"/>
        <w:bottom w:val="none" w:sz="0" w:space="0" w:color="auto"/>
        <w:right w:val="none" w:sz="0" w:space="0" w:color="auto"/>
      </w:divBdr>
    </w:div>
    <w:div w:id="550850690">
      <w:bodyDiv w:val="1"/>
      <w:marLeft w:val="0"/>
      <w:marRight w:val="0"/>
      <w:marTop w:val="0"/>
      <w:marBottom w:val="0"/>
      <w:divBdr>
        <w:top w:val="none" w:sz="0" w:space="0" w:color="auto"/>
        <w:left w:val="none" w:sz="0" w:space="0" w:color="auto"/>
        <w:bottom w:val="none" w:sz="0" w:space="0" w:color="auto"/>
        <w:right w:val="none" w:sz="0" w:space="0" w:color="auto"/>
      </w:divBdr>
    </w:div>
    <w:div w:id="660542884">
      <w:bodyDiv w:val="1"/>
      <w:marLeft w:val="0"/>
      <w:marRight w:val="0"/>
      <w:marTop w:val="0"/>
      <w:marBottom w:val="0"/>
      <w:divBdr>
        <w:top w:val="none" w:sz="0" w:space="0" w:color="auto"/>
        <w:left w:val="none" w:sz="0" w:space="0" w:color="auto"/>
        <w:bottom w:val="none" w:sz="0" w:space="0" w:color="auto"/>
        <w:right w:val="none" w:sz="0" w:space="0" w:color="auto"/>
      </w:divBdr>
      <w:divsChild>
        <w:div w:id="335037491">
          <w:marLeft w:val="0"/>
          <w:marRight w:val="0"/>
          <w:marTop w:val="0"/>
          <w:marBottom w:val="0"/>
          <w:divBdr>
            <w:top w:val="none" w:sz="0" w:space="0" w:color="auto"/>
            <w:left w:val="none" w:sz="0" w:space="0" w:color="auto"/>
            <w:bottom w:val="none" w:sz="0" w:space="0" w:color="auto"/>
            <w:right w:val="none" w:sz="0" w:space="0" w:color="auto"/>
          </w:divBdr>
          <w:divsChild>
            <w:div w:id="313684797">
              <w:marLeft w:val="0"/>
              <w:marRight w:val="0"/>
              <w:marTop w:val="0"/>
              <w:marBottom w:val="0"/>
              <w:divBdr>
                <w:top w:val="none" w:sz="0" w:space="0" w:color="auto"/>
                <w:left w:val="none" w:sz="0" w:space="0" w:color="auto"/>
                <w:bottom w:val="none" w:sz="0" w:space="0" w:color="auto"/>
                <w:right w:val="none" w:sz="0" w:space="0" w:color="auto"/>
              </w:divBdr>
              <w:divsChild>
                <w:div w:id="183618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502549">
      <w:bodyDiv w:val="1"/>
      <w:marLeft w:val="0"/>
      <w:marRight w:val="0"/>
      <w:marTop w:val="0"/>
      <w:marBottom w:val="0"/>
      <w:divBdr>
        <w:top w:val="none" w:sz="0" w:space="0" w:color="auto"/>
        <w:left w:val="none" w:sz="0" w:space="0" w:color="auto"/>
        <w:bottom w:val="none" w:sz="0" w:space="0" w:color="auto"/>
        <w:right w:val="none" w:sz="0" w:space="0" w:color="auto"/>
      </w:divBdr>
    </w:div>
    <w:div w:id="763696620">
      <w:bodyDiv w:val="1"/>
      <w:marLeft w:val="0"/>
      <w:marRight w:val="0"/>
      <w:marTop w:val="0"/>
      <w:marBottom w:val="0"/>
      <w:divBdr>
        <w:top w:val="none" w:sz="0" w:space="0" w:color="auto"/>
        <w:left w:val="none" w:sz="0" w:space="0" w:color="auto"/>
        <w:bottom w:val="none" w:sz="0" w:space="0" w:color="auto"/>
        <w:right w:val="none" w:sz="0" w:space="0" w:color="auto"/>
      </w:divBdr>
    </w:div>
    <w:div w:id="783036380">
      <w:bodyDiv w:val="1"/>
      <w:marLeft w:val="0"/>
      <w:marRight w:val="0"/>
      <w:marTop w:val="0"/>
      <w:marBottom w:val="0"/>
      <w:divBdr>
        <w:top w:val="none" w:sz="0" w:space="0" w:color="auto"/>
        <w:left w:val="none" w:sz="0" w:space="0" w:color="auto"/>
        <w:bottom w:val="none" w:sz="0" w:space="0" w:color="auto"/>
        <w:right w:val="none" w:sz="0" w:space="0" w:color="auto"/>
      </w:divBdr>
    </w:div>
    <w:div w:id="942802344">
      <w:bodyDiv w:val="1"/>
      <w:marLeft w:val="0"/>
      <w:marRight w:val="0"/>
      <w:marTop w:val="0"/>
      <w:marBottom w:val="0"/>
      <w:divBdr>
        <w:top w:val="none" w:sz="0" w:space="0" w:color="auto"/>
        <w:left w:val="none" w:sz="0" w:space="0" w:color="auto"/>
        <w:bottom w:val="none" w:sz="0" w:space="0" w:color="auto"/>
        <w:right w:val="none" w:sz="0" w:space="0" w:color="auto"/>
      </w:divBdr>
    </w:div>
    <w:div w:id="995187821">
      <w:bodyDiv w:val="1"/>
      <w:marLeft w:val="0"/>
      <w:marRight w:val="0"/>
      <w:marTop w:val="0"/>
      <w:marBottom w:val="0"/>
      <w:divBdr>
        <w:top w:val="none" w:sz="0" w:space="0" w:color="auto"/>
        <w:left w:val="none" w:sz="0" w:space="0" w:color="auto"/>
        <w:bottom w:val="none" w:sz="0" w:space="0" w:color="auto"/>
        <w:right w:val="none" w:sz="0" w:space="0" w:color="auto"/>
      </w:divBdr>
    </w:div>
    <w:div w:id="1163088938">
      <w:bodyDiv w:val="1"/>
      <w:marLeft w:val="0"/>
      <w:marRight w:val="0"/>
      <w:marTop w:val="0"/>
      <w:marBottom w:val="0"/>
      <w:divBdr>
        <w:top w:val="none" w:sz="0" w:space="0" w:color="auto"/>
        <w:left w:val="none" w:sz="0" w:space="0" w:color="auto"/>
        <w:bottom w:val="none" w:sz="0" w:space="0" w:color="auto"/>
        <w:right w:val="none" w:sz="0" w:space="0" w:color="auto"/>
      </w:divBdr>
    </w:div>
    <w:div w:id="1214466623">
      <w:bodyDiv w:val="1"/>
      <w:marLeft w:val="0"/>
      <w:marRight w:val="0"/>
      <w:marTop w:val="0"/>
      <w:marBottom w:val="0"/>
      <w:divBdr>
        <w:top w:val="none" w:sz="0" w:space="0" w:color="auto"/>
        <w:left w:val="none" w:sz="0" w:space="0" w:color="auto"/>
        <w:bottom w:val="none" w:sz="0" w:space="0" w:color="auto"/>
        <w:right w:val="none" w:sz="0" w:space="0" w:color="auto"/>
      </w:divBdr>
    </w:div>
    <w:div w:id="1255556110">
      <w:bodyDiv w:val="1"/>
      <w:marLeft w:val="0"/>
      <w:marRight w:val="0"/>
      <w:marTop w:val="0"/>
      <w:marBottom w:val="0"/>
      <w:divBdr>
        <w:top w:val="none" w:sz="0" w:space="0" w:color="auto"/>
        <w:left w:val="none" w:sz="0" w:space="0" w:color="auto"/>
        <w:bottom w:val="none" w:sz="0" w:space="0" w:color="auto"/>
        <w:right w:val="none" w:sz="0" w:space="0" w:color="auto"/>
      </w:divBdr>
      <w:divsChild>
        <w:div w:id="219364267">
          <w:marLeft w:val="547"/>
          <w:marRight w:val="0"/>
          <w:marTop w:val="0"/>
          <w:marBottom w:val="0"/>
          <w:divBdr>
            <w:top w:val="none" w:sz="0" w:space="0" w:color="auto"/>
            <w:left w:val="none" w:sz="0" w:space="0" w:color="auto"/>
            <w:bottom w:val="none" w:sz="0" w:space="0" w:color="auto"/>
            <w:right w:val="none" w:sz="0" w:space="0" w:color="auto"/>
          </w:divBdr>
        </w:div>
        <w:div w:id="865754097">
          <w:marLeft w:val="547"/>
          <w:marRight w:val="0"/>
          <w:marTop w:val="0"/>
          <w:marBottom w:val="0"/>
          <w:divBdr>
            <w:top w:val="none" w:sz="0" w:space="0" w:color="auto"/>
            <w:left w:val="none" w:sz="0" w:space="0" w:color="auto"/>
            <w:bottom w:val="none" w:sz="0" w:space="0" w:color="auto"/>
            <w:right w:val="none" w:sz="0" w:space="0" w:color="auto"/>
          </w:divBdr>
        </w:div>
        <w:div w:id="1225141957">
          <w:marLeft w:val="547"/>
          <w:marRight w:val="0"/>
          <w:marTop w:val="0"/>
          <w:marBottom w:val="0"/>
          <w:divBdr>
            <w:top w:val="none" w:sz="0" w:space="0" w:color="auto"/>
            <w:left w:val="none" w:sz="0" w:space="0" w:color="auto"/>
            <w:bottom w:val="none" w:sz="0" w:space="0" w:color="auto"/>
            <w:right w:val="none" w:sz="0" w:space="0" w:color="auto"/>
          </w:divBdr>
        </w:div>
        <w:div w:id="1267469859">
          <w:marLeft w:val="547"/>
          <w:marRight w:val="0"/>
          <w:marTop w:val="0"/>
          <w:marBottom w:val="0"/>
          <w:divBdr>
            <w:top w:val="none" w:sz="0" w:space="0" w:color="auto"/>
            <w:left w:val="none" w:sz="0" w:space="0" w:color="auto"/>
            <w:bottom w:val="none" w:sz="0" w:space="0" w:color="auto"/>
            <w:right w:val="none" w:sz="0" w:space="0" w:color="auto"/>
          </w:divBdr>
        </w:div>
        <w:div w:id="1413623529">
          <w:marLeft w:val="547"/>
          <w:marRight w:val="0"/>
          <w:marTop w:val="0"/>
          <w:marBottom w:val="0"/>
          <w:divBdr>
            <w:top w:val="none" w:sz="0" w:space="0" w:color="auto"/>
            <w:left w:val="none" w:sz="0" w:space="0" w:color="auto"/>
            <w:bottom w:val="none" w:sz="0" w:space="0" w:color="auto"/>
            <w:right w:val="none" w:sz="0" w:space="0" w:color="auto"/>
          </w:divBdr>
        </w:div>
      </w:divsChild>
    </w:div>
    <w:div w:id="1371416324">
      <w:bodyDiv w:val="1"/>
      <w:marLeft w:val="0"/>
      <w:marRight w:val="0"/>
      <w:marTop w:val="0"/>
      <w:marBottom w:val="0"/>
      <w:divBdr>
        <w:top w:val="none" w:sz="0" w:space="0" w:color="auto"/>
        <w:left w:val="none" w:sz="0" w:space="0" w:color="auto"/>
        <w:bottom w:val="none" w:sz="0" w:space="0" w:color="auto"/>
        <w:right w:val="none" w:sz="0" w:space="0" w:color="auto"/>
      </w:divBdr>
    </w:div>
    <w:div w:id="1447655611">
      <w:bodyDiv w:val="1"/>
      <w:marLeft w:val="0"/>
      <w:marRight w:val="0"/>
      <w:marTop w:val="0"/>
      <w:marBottom w:val="0"/>
      <w:divBdr>
        <w:top w:val="none" w:sz="0" w:space="0" w:color="auto"/>
        <w:left w:val="none" w:sz="0" w:space="0" w:color="auto"/>
        <w:bottom w:val="none" w:sz="0" w:space="0" w:color="auto"/>
        <w:right w:val="none" w:sz="0" w:space="0" w:color="auto"/>
      </w:divBdr>
    </w:div>
    <w:div w:id="1708527191">
      <w:bodyDiv w:val="1"/>
      <w:marLeft w:val="0"/>
      <w:marRight w:val="0"/>
      <w:marTop w:val="0"/>
      <w:marBottom w:val="0"/>
      <w:divBdr>
        <w:top w:val="none" w:sz="0" w:space="0" w:color="auto"/>
        <w:left w:val="none" w:sz="0" w:space="0" w:color="auto"/>
        <w:bottom w:val="none" w:sz="0" w:space="0" w:color="auto"/>
        <w:right w:val="none" w:sz="0" w:space="0" w:color="auto"/>
      </w:divBdr>
      <w:divsChild>
        <w:div w:id="283929397">
          <w:marLeft w:val="0"/>
          <w:marRight w:val="0"/>
          <w:marTop w:val="0"/>
          <w:marBottom w:val="0"/>
          <w:divBdr>
            <w:top w:val="none" w:sz="0" w:space="0" w:color="auto"/>
            <w:left w:val="none" w:sz="0" w:space="0" w:color="auto"/>
            <w:bottom w:val="none" w:sz="0" w:space="0" w:color="auto"/>
            <w:right w:val="none" w:sz="0" w:space="0" w:color="auto"/>
          </w:divBdr>
        </w:div>
        <w:div w:id="319190170">
          <w:marLeft w:val="0"/>
          <w:marRight w:val="0"/>
          <w:marTop w:val="0"/>
          <w:marBottom w:val="0"/>
          <w:divBdr>
            <w:top w:val="none" w:sz="0" w:space="0" w:color="auto"/>
            <w:left w:val="none" w:sz="0" w:space="0" w:color="auto"/>
            <w:bottom w:val="none" w:sz="0" w:space="0" w:color="auto"/>
            <w:right w:val="none" w:sz="0" w:space="0" w:color="auto"/>
          </w:divBdr>
        </w:div>
        <w:div w:id="1009019278">
          <w:marLeft w:val="0"/>
          <w:marRight w:val="0"/>
          <w:marTop w:val="0"/>
          <w:marBottom w:val="0"/>
          <w:divBdr>
            <w:top w:val="none" w:sz="0" w:space="0" w:color="auto"/>
            <w:left w:val="none" w:sz="0" w:space="0" w:color="auto"/>
            <w:bottom w:val="none" w:sz="0" w:space="0" w:color="auto"/>
            <w:right w:val="none" w:sz="0" w:space="0" w:color="auto"/>
          </w:divBdr>
        </w:div>
        <w:div w:id="1307969997">
          <w:marLeft w:val="0"/>
          <w:marRight w:val="0"/>
          <w:marTop w:val="0"/>
          <w:marBottom w:val="0"/>
          <w:divBdr>
            <w:top w:val="none" w:sz="0" w:space="0" w:color="auto"/>
            <w:left w:val="none" w:sz="0" w:space="0" w:color="auto"/>
            <w:bottom w:val="none" w:sz="0" w:space="0" w:color="auto"/>
            <w:right w:val="none" w:sz="0" w:space="0" w:color="auto"/>
          </w:divBdr>
        </w:div>
        <w:div w:id="1719087974">
          <w:marLeft w:val="0"/>
          <w:marRight w:val="0"/>
          <w:marTop w:val="0"/>
          <w:marBottom w:val="0"/>
          <w:divBdr>
            <w:top w:val="none" w:sz="0" w:space="0" w:color="auto"/>
            <w:left w:val="none" w:sz="0" w:space="0" w:color="auto"/>
            <w:bottom w:val="none" w:sz="0" w:space="0" w:color="auto"/>
            <w:right w:val="none" w:sz="0" w:space="0" w:color="auto"/>
          </w:divBdr>
        </w:div>
        <w:div w:id="1879584767">
          <w:marLeft w:val="0"/>
          <w:marRight w:val="0"/>
          <w:marTop w:val="0"/>
          <w:marBottom w:val="0"/>
          <w:divBdr>
            <w:top w:val="none" w:sz="0" w:space="0" w:color="auto"/>
            <w:left w:val="none" w:sz="0" w:space="0" w:color="auto"/>
            <w:bottom w:val="none" w:sz="0" w:space="0" w:color="auto"/>
            <w:right w:val="none" w:sz="0" w:space="0" w:color="auto"/>
          </w:divBdr>
        </w:div>
      </w:divsChild>
    </w:div>
    <w:div w:id="1710569604">
      <w:bodyDiv w:val="1"/>
      <w:marLeft w:val="0"/>
      <w:marRight w:val="0"/>
      <w:marTop w:val="0"/>
      <w:marBottom w:val="0"/>
      <w:divBdr>
        <w:top w:val="none" w:sz="0" w:space="0" w:color="auto"/>
        <w:left w:val="none" w:sz="0" w:space="0" w:color="auto"/>
        <w:bottom w:val="none" w:sz="0" w:space="0" w:color="auto"/>
        <w:right w:val="none" w:sz="0" w:space="0" w:color="auto"/>
      </w:divBdr>
    </w:div>
    <w:div w:id="1806585325">
      <w:bodyDiv w:val="1"/>
      <w:marLeft w:val="0"/>
      <w:marRight w:val="0"/>
      <w:marTop w:val="0"/>
      <w:marBottom w:val="0"/>
      <w:divBdr>
        <w:top w:val="none" w:sz="0" w:space="0" w:color="auto"/>
        <w:left w:val="none" w:sz="0" w:space="0" w:color="auto"/>
        <w:bottom w:val="none" w:sz="0" w:space="0" w:color="auto"/>
        <w:right w:val="none" w:sz="0" w:space="0" w:color="auto"/>
      </w:divBdr>
    </w:div>
    <w:div w:id="1872691995">
      <w:bodyDiv w:val="1"/>
      <w:marLeft w:val="0"/>
      <w:marRight w:val="0"/>
      <w:marTop w:val="0"/>
      <w:marBottom w:val="0"/>
      <w:divBdr>
        <w:top w:val="none" w:sz="0" w:space="0" w:color="auto"/>
        <w:left w:val="none" w:sz="0" w:space="0" w:color="auto"/>
        <w:bottom w:val="none" w:sz="0" w:space="0" w:color="auto"/>
        <w:right w:val="none" w:sz="0" w:space="0" w:color="auto"/>
      </w:divBdr>
    </w:div>
    <w:div w:id="1912961126">
      <w:bodyDiv w:val="1"/>
      <w:marLeft w:val="0"/>
      <w:marRight w:val="0"/>
      <w:marTop w:val="0"/>
      <w:marBottom w:val="0"/>
      <w:divBdr>
        <w:top w:val="none" w:sz="0" w:space="0" w:color="auto"/>
        <w:left w:val="none" w:sz="0" w:space="0" w:color="auto"/>
        <w:bottom w:val="none" w:sz="0" w:space="0" w:color="auto"/>
        <w:right w:val="none" w:sz="0" w:space="0" w:color="auto"/>
      </w:divBdr>
    </w:div>
    <w:div w:id="204027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0.emf"/><Relationship Id="rId299" Type="http://schemas.openxmlformats.org/officeDocument/2006/relationships/hyperlink" Target="http://www.tiesibsargs.lv/uploads/content/lapas/zinojums_pasvaldibu_majokli_pielikums_1535637005.pdf" TargetMode="External"/><Relationship Id="rId303" Type="http://schemas.openxmlformats.org/officeDocument/2006/relationships/hyperlink" Target="https://issuu.com/sif2015/docs/petijums_romi_lavija" TargetMode="External"/><Relationship Id="rId21" Type="http://schemas.openxmlformats.org/officeDocument/2006/relationships/image" Target="media/image8.emf"/><Relationship Id="rId42" Type="http://schemas.openxmlformats.org/officeDocument/2006/relationships/image" Target="media/image26.emf"/><Relationship Id="rId63" Type="http://schemas.openxmlformats.org/officeDocument/2006/relationships/image" Target="media/image42.emf"/><Relationship Id="rId84" Type="http://schemas.openxmlformats.org/officeDocument/2006/relationships/image" Target="media/image63.emf"/><Relationship Id="rId138" Type="http://schemas.openxmlformats.org/officeDocument/2006/relationships/hyperlink" Target="https://likumi.lv/doc.php?id=64328" TargetMode="External"/><Relationship Id="rId159" Type="http://schemas.openxmlformats.org/officeDocument/2006/relationships/hyperlink" Target="https://likumi.lv/doc.php?id=50759" TargetMode="External"/><Relationship Id="rId324" Type="http://schemas.openxmlformats.org/officeDocument/2006/relationships/hyperlink" Target="http://tap.mk.gov.lv/lv/mk/tap/?pid=40412827" TargetMode="External"/><Relationship Id="rId345" Type="http://schemas.openxmlformats.org/officeDocument/2006/relationships/hyperlink" Target="http://m.esfondi.lv/upload/Petijumi_un_izvertejumi/apraksti/Izvertesanas_vadlinijas_31012014_final.pdf" TargetMode="External"/><Relationship Id="rId366" Type="http://schemas.microsoft.com/office/2011/relationships/people" Target="people.xml"/><Relationship Id="rId170" Type="http://schemas.openxmlformats.org/officeDocument/2006/relationships/hyperlink" Target="https://likumi.lv/doc.php?id=65827" TargetMode="External"/><Relationship Id="rId191" Type="http://schemas.openxmlformats.org/officeDocument/2006/relationships/hyperlink" Target="https://likumi.lv/ta/id/270686-grozijumi-ministru-kabineta-2013-gada-27-augusta-noteikumos-nr-665-noteikumi-par-minimalo-menesa-darba-algu-un-minimalo-stundas" TargetMode="External"/><Relationship Id="rId205" Type="http://schemas.openxmlformats.org/officeDocument/2006/relationships/hyperlink" Target="https://m.likumi.lv/doc.php?id=255042" TargetMode="External"/><Relationship Id="rId226" Type="http://schemas.openxmlformats.org/officeDocument/2006/relationships/hyperlink" Target="http://polsis.mk.gov.lv/documents/6393" TargetMode="External"/><Relationship Id="rId247" Type="http://schemas.openxmlformats.org/officeDocument/2006/relationships/hyperlink" Target="http://www.lm.gov.lv/upload/berns_gimene/apstr_plans_11032013.pdf" TargetMode="External"/><Relationship Id="rId107" Type="http://schemas.openxmlformats.org/officeDocument/2006/relationships/image" Target="media/image80.emf"/><Relationship Id="rId268" Type="http://schemas.openxmlformats.org/officeDocument/2006/relationships/hyperlink" Target="http://www.biss.soc.lv/downloads/publications/BISS_Petijuma_zinojums_2017.pdf" TargetMode="External"/><Relationship Id="rId289" Type="http://schemas.openxmlformats.org/officeDocument/2006/relationships/hyperlink" Target="http://www.tiesibsargs.lv/uploads/content/kopsavilkums_1551263741.pdf" TargetMode="External"/><Relationship Id="rId11" Type="http://schemas.openxmlformats.org/officeDocument/2006/relationships/hyperlink" Target="http://petijumi.mk.gov.lv/" TargetMode="External"/><Relationship Id="rId32" Type="http://schemas.openxmlformats.org/officeDocument/2006/relationships/image" Target="media/image19.emf"/><Relationship Id="rId53" Type="http://schemas.openxmlformats.org/officeDocument/2006/relationships/image" Target="media/image34.emf"/><Relationship Id="rId74" Type="http://schemas.openxmlformats.org/officeDocument/2006/relationships/image" Target="media/image53.emf"/><Relationship Id="rId128" Type="http://schemas.openxmlformats.org/officeDocument/2006/relationships/image" Target="media/image101.emf"/><Relationship Id="rId149" Type="http://schemas.openxmlformats.org/officeDocument/2006/relationships/hyperlink" Target="https://likumi.lv/ta/id/276770-grozijumi-elektroenergijas-tirgus-likuma" TargetMode="External"/><Relationship Id="rId314" Type="http://schemas.openxmlformats.org/officeDocument/2006/relationships/hyperlink" Target="http://www.vm.gov.lv/images/userfiles/vmzino_110314_prostit.pdf" TargetMode="External"/><Relationship Id="rId335" Type="http://schemas.openxmlformats.org/officeDocument/2006/relationships/hyperlink" Target="https://ec.europa.eu/eurostat/web/microdata/european-union-statistics-on-income-and-living-conditions" TargetMode="External"/><Relationship Id="rId356" Type="http://schemas.openxmlformats.org/officeDocument/2006/relationships/hyperlink" Target="http://www.likumi.lv" TargetMode="External"/><Relationship Id="rId5" Type="http://schemas.openxmlformats.org/officeDocument/2006/relationships/webSettings" Target="webSettings.xml"/><Relationship Id="rId95" Type="http://schemas.openxmlformats.org/officeDocument/2006/relationships/hyperlink" Target="https://www.em.gov.lv/files/attachments/2018-05-02_16_24_45_EMLik_190318_ire.docx" TargetMode="External"/><Relationship Id="rId160" Type="http://schemas.openxmlformats.org/officeDocument/2006/relationships/hyperlink" Target="https://likumi.lv/doc.php?id=105785" TargetMode="External"/><Relationship Id="rId181" Type="http://schemas.openxmlformats.org/officeDocument/2006/relationships/hyperlink" Target="https://likumi.lv/doc.php?id=262102" TargetMode="External"/><Relationship Id="rId216" Type="http://schemas.openxmlformats.org/officeDocument/2006/relationships/hyperlink" Target="http://likumi.lv/doc.php?id=202676" TargetMode="External"/><Relationship Id="rId237" Type="http://schemas.openxmlformats.org/officeDocument/2006/relationships/hyperlink" Target="http://polsis.mk.gov.lv/documents/2994" TargetMode="External"/><Relationship Id="rId258" Type="http://schemas.openxmlformats.org/officeDocument/2006/relationships/hyperlink" Target="http://tap.mk.gov.lv/doc/2017_06/VMrik_160617_RSplans%20.695.doc" TargetMode="External"/><Relationship Id="rId279" Type="http://schemas.openxmlformats.org/officeDocument/2006/relationships/hyperlink" Target="http://www.ievp.gov.lv/images/stories/petijums/181220_Gala_zinojums_2v.pdf" TargetMode="External"/><Relationship Id="rId22" Type="http://schemas.openxmlformats.org/officeDocument/2006/relationships/image" Target="media/image9.emf"/><Relationship Id="rId43" Type="http://schemas.openxmlformats.org/officeDocument/2006/relationships/image" Target="media/image27.emf"/><Relationship Id="rId64" Type="http://schemas.openxmlformats.org/officeDocument/2006/relationships/image" Target="media/image43.emf"/><Relationship Id="rId118" Type="http://schemas.openxmlformats.org/officeDocument/2006/relationships/image" Target="media/image91.emf"/><Relationship Id="rId139" Type="http://schemas.openxmlformats.org/officeDocument/2006/relationships/hyperlink" Target="https://likumi.lv/doc.php?id=193573" TargetMode="External"/><Relationship Id="rId290" Type="http://schemas.openxmlformats.org/officeDocument/2006/relationships/hyperlink" Target="http://www.tiesibsargs.lv/uploads/content/2_sejums_1551263667.pdf" TargetMode="External"/><Relationship Id="rId304" Type="http://schemas.openxmlformats.org/officeDocument/2006/relationships/hyperlink" Target="http://www.ievp.gov.lv/images/stories/petijums/17041_Gala_zinojums_2018.07.20..pdf" TargetMode="External"/><Relationship Id="rId325" Type="http://schemas.openxmlformats.org/officeDocument/2006/relationships/hyperlink" Target="http://www.vm.gov.lv/lv/aktualitates/par_veselibas_aprupes_sistemas_reformu/" TargetMode="External"/><Relationship Id="rId346" Type="http://schemas.openxmlformats.org/officeDocument/2006/relationships/hyperlink" Target="https://eur-lex.europa.eu/legal-content/LV/TXT/HTML/?uri=CELEX:52011DC0173&amp;from=EN" TargetMode="External"/><Relationship Id="rId367" Type="http://schemas.microsoft.com/office/2007/relationships/stylesWithEffects" Target="stylesWithEffects.xml"/><Relationship Id="rId85" Type="http://schemas.openxmlformats.org/officeDocument/2006/relationships/image" Target="media/image64.emf"/><Relationship Id="rId150" Type="http://schemas.openxmlformats.org/officeDocument/2006/relationships/hyperlink" Target="https://likumi.lv/ta/id/278635-grozijumi-likuma-par-nekustama-ipasuma-nodokli" TargetMode="External"/><Relationship Id="rId171" Type="http://schemas.openxmlformats.org/officeDocument/2006/relationships/hyperlink" Target="https://likumi.lv/doc.php?id=43913" TargetMode="External"/><Relationship Id="rId192" Type="http://schemas.openxmlformats.org/officeDocument/2006/relationships/hyperlink" Target="https://likumi.lv/ta/id/271255-noteikumi-par-valsts-socialas-apdrosinasanas-iemaksu-likmes-sadalijumu-pa-valsts-socialas-apdrosinasanas-veidiem-2015-gada" TargetMode="External"/><Relationship Id="rId206" Type="http://schemas.openxmlformats.org/officeDocument/2006/relationships/hyperlink" Target="https://www.eriga.lv/ServiceCards/Default.aspx?cardExternalId=RD017958AJ0010" TargetMode="External"/><Relationship Id="rId227" Type="http://schemas.openxmlformats.org/officeDocument/2006/relationships/hyperlink" Target="http://polsis.mk.gov.lv/documents/4559" TargetMode="External"/><Relationship Id="rId248" Type="http://schemas.openxmlformats.org/officeDocument/2006/relationships/hyperlink" Target="http://www.lm.gov.lv/upload/sabiedribas_lidzdaliba/demografisko_lietu/1/plans_2015-17_300315.pdf" TargetMode="External"/><Relationship Id="rId269" Type="http://schemas.openxmlformats.org/officeDocument/2006/relationships/hyperlink" Target="https://eige.europa.eu/rdc/eige-publications/estimating-costs-gender-based-violence-european-union-report" TargetMode="External"/><Relationship Id="rId12" Type="http://schemas.openxmlformats.org/officeDocument/2006/relationships/hyperlink" Target="http://www.likumi.lv" TargetMode="External"/><Relationship Id="rId33" Type="http://schemas.openxmlformats.org/officeDocument/2006/relationships/chart" Target="charts/chart1.xml"/><Relationship Id="rId108" Type="http://schemas.openxmlformats.org/officeDocument/2006/relationships/image" Target="media/image81.emf"/><Relationship Id="rId129" Type="http://schemas.openxmlformats.org/officeDocument/2006/relationships/image" Target="media/image102.emf"/><Relationship Id="rId280" Type="http://schemas.openxmlformats.org/officeDocument/2006/relationships/hyperlink" Target="http://polsis.mk.gov.lv/documents/6307" TargetMode="External"/><Relationship Id="rId315" Type="http://schemas.openxmlformats.org/officeDocument/2006/relationships/hyperlink" Target="http://tap.mk.gov.lv/mk/tap/?pid=40402066" TargetMode="External"/><Relationship Id="rId336" Type="http://schemas.openxmlformats.org/officeDocument/2006/relationships/hyperlink" Target="https://ec.europa.eu/eurostat/statistics-explained/index.php/Housing_statistics" TargetMode="External"/><Relationship Id="rId357" Type="http://schemas.openxmlformats.org/officeDocument/2006/relationships/hyperlink" Target="http://www.likumi.lv" TargetMode="External"/><Relationship Id="rId54" Type="http://schemas.openxmlformats.org/officeDocument/2006/relationships/image" Target="media/image35.emf"/><Relationship Id="rId75" Type="http://schemas.openxmlformats.org/officeDocument/2006/relationships/image" Target="media/image54.emf"/><Relationship Id="rId96" Type="http://schemas.openxmlformats.org/officeDocument/2006/relationships/hyperlink" Target="https://www.em.gov.lv/files/attachments/2018-05-02_16_24_45_EMLik_190318_ire.docx" TargetMode="External"/><Relationship Id="rId140" Type="http://schemas.openxmlformats.org/officeDocument/2006/relationships/hyperlink" Target="https://likumi.lv/doc.php?id=221382" TargetMode="External"/><Relationship Id="rId161" Type="http://schemas.openxmlformats.org/officeDocument/2006/relationships/hyperlink" Target="https://likumi.lv/ta/id/269374-kreditinformacijas-biroju-likums" TargetMode="External"/><Relationship Id="rId182" Type="http://schemas.openxmlformats.org/officeDocument/2006/relationships/hyperlink" Target="https://likumi.lv/doc.php?id=256929" TargetMode="External"/><Relationship Id="rId217" Type="http://schemas.openxmlformats.org/officeDocument/2006/relationships/hyperlink" Target="https://likumi.lv/doc.php?id=202676" TargetMode="External"/><Relationship Id="rId6" Type="http://schemas.openxmlformats.org/officeDocument/2006/relationships/footnotes" Target="footnotes.xml"/><Relationship Id="rId238" Type="http://schemas.openxmlformats.org/officeDocument/2006/relationships/hyperlink" Target="http://www.lm.gov.lv/upload/sociala_ieklausana/koncepcija_fin.pdf" TargetMode="External"/><Relationship Id="rId259" Type="http://schemas.openxmlformats.org/officeDocument/2006/relationships/hyperlink" Target="https://likumi.lv/ta/id/294753-par-hiv-infekcijas-seksualas-transmisijas-infekciju-b-un-c-hepatita-izplatibas-ierobezosanas-ricibas-planu-2018-2020-gadam" TargetMode="External"/><Relationship Id="rId23" Type="http://schemas.openxmlformats.org/officeDocument/2006/relationships/image" Target="media/image10.emf"/><Relationship Id="rId119" Type="http://schemas.openxmlformats.org/officeDocument/2006/relationships/image" Target="media/image92.emf"/><Relationship Id="rId270" Type="http://schemas.openxmlformats.org/officeDocument/2006/relationships/hyperlink" Target="http://fra.europa.eu/en/publications-and-resources/data-and-maps/survey-data-explorer-violence-against-women-survey" TargetMode="External"/><Relationship Id="rId291" Type="http://schemas.openxmlformats.org/officeDocument/2006/relationships/hyperlink" Target="https://dspace.lu.lv/dspace/bitstream/handle/7/5082/19803-Irina_Mozajeva_2012.pdf?sequence=1" TargetMode="External"/><Relationship Id="rId305" Type="http://schemas.openxmlformats.org/officeDocument/2006/relationships/hyperlink" Target="http://www.lm.gov.lv/upload/sociala_ieklausana/lm_nabadzibas_izvertejums_nodevums.pdf" TargetMode="External"/><Relationship Id="rId326" Type="http://schemas.openxmlformats.org/officeDocument/2006/relationships/hyperlink" Target="http://tap.mk.gov.lv/mk/tap/?pid=40459486" TargetMode="External"/><Relationship Id="rId347" Type="http://schemas.openxmlformats.org/officeDocument/2006/relationships/hyperlink" Target="https://www.oecd.org/economy/launch-of-the-economic-survey-of-latvia-2017.htm" TargetMode="External"/><Relationship Id="rId44" Type="http://schemas.openxmlformats.org/officeDocument/2006/relationships/image" Target="media/image28.emf"/><Relationship Id="rId65" Type="http://schemas.openxmlformats.org/officeDocument/2006/relationships/image" Target="media/image44.emf"/><Relationship Id="rId86" Type="http://schemas.openxmlformats.org/officeDocument/2006/relationships/image" Target="media/image65.emf"/><Relationship Id="rId130" Type="http://schemas.openxmlformats.org/officeDocument/2006/relationships/diagramData" Target="diagrams/data1.xml"/><Relationship Id="rId151" Type="http://schemas.openxmlformats.org/officeDocument/2006/relationships/hyperlink" Target="https://likumi.lv/ta/id/278641-grozijumi-likuma-par-nodokliem-un-nodevam" TargetMode="External"/><Relationship Id="rId368" Type="http://schemas.microsoft.com/office/2007/relationships/diagramDrawing" Target="diagrams/drawing1.xml"/><Relationship Id="rId172" Type="http://schemas.openxmlformats.org/officeDocument/2006/relationships/hyperlink" Target="https://likumi.lv/doc.php?id=56812" TargetMode="External"/><Relationship Id="rId193" Type="http://schemas.openxmlformats.org/officeDocument/2006/relationships/hyperlink" Target="https://likumi.lv/doc.php?id=253731" TargetMode="External"/><Relationship Id="rId207" Type="http://schemas.openxmlformats.org/officeDocument/2006/relationships/hyperlink" Target="https://likumi.lv/doc.php?id=252684" TargetMode="External"/><Relationship Id="rId228" Type="http://schemas.openxmlformats.org/officeDocument/2006/relationships/hyperlink" Target="http://polsis.mk.gov.lv/documents/4633" TargetMode="External"/><Relationship Id="rId249" Type="http://schemas.openxmlformats.org/officeDocument/2006/relationships/hyperlink" Target="http://polsis.mk.gov.lv/documents/4965" TargetMode="External"/><Relationship Id="rId13" Type="http://schemas.openxmlformats.org/officeDocument/2006/relationships/hyperlink" Target="http://www.lm.gov.lv/lv/nozares-politika/sociala-apdrosinasana/2-statistika" TargetMode="External"/><Relationship Id="rId109" Type="http://schemas.openxmlformats.org/officeDocument/2006/relationships/image" Target="media/image82.emf"/><Relationship Id="rId260" Type="http://schemas.openxmlformats.org/officeDocument/2006/relationships/hyperlink" Target="https://likumi.lv/ta/id/299503-par-mates-un-berna-veselibas-uzlabosanas-planu-2018-2020-gadam" TargetMode="External"/><Relationship Id="rId281" Type="http://schemas.openxmlformats.org/officeDocument/2006/relationships/hyperlink" Target="http://polsis.mk.gov.lv/documents?query=%E2%80%A2%0924.10.2017.%20Informat%C4%ABvais%20zi%C5%86ojums%20%E2%80%9E%C4%92ku%20atjauno%C5%A1anas%20ilgtermi%C5%86a%20strat%C4%93%C4%A3ija%E2%80%9D&amp;order=desc&amp;pageNr=0&amp;pageSize=10" TargetMode="External"/><Relationship Id="rId316" Type="http://schemas.openxmlformats.org/officeDocument/2006/relationships/hyperlink" Target="http://tap.mk.gov.lv/mk/tap/?pid=40404592" TargetMode="External"/><Relationship Id="rId337" Type="http://schemas.openxmlformats.org/officeDocument/2006/relationships/hyperlink" Target="https://ec.europa.eu/eurostat/web/products-datasets/product?code=tepsr_sp310" TargetMode="External"/><Relationship Id="rId34" Type="http://schemas.openxmlformats.org/officeDocument/2006/relationships/chart" Target="charts/chart2.xml"/><Relationship Id="rId55" Type="http://schemas.openxmlformats.org/officeDocument/2006/relationships/image" Target="media/image36.emf"/><Relationship Id="rId76" Type="http://schemas.openxmlformats.org/officeDocument/2006/relationships/image" Target="media/image55.emf"/><Relationship Id="rId97" Type="http://schemas.openxmlformats.org/officeDocument/2006/relationships/image" Target="media/image70.emf"/><Relationship Id="rId120" Type="http://schemas.openxmlformats.org/officeDocument/2006/relationships/image" Target="media/image93.emf"/><Relationship Id="rId141" Type="http://schemas.openxmlformats.org/officeDocument/2006/relationships/hyperlink" Target="http://tap.mk.gov.lv/mk/tap/?pid=40460362" TargetMode="External"/><Relationship Id="rId358" Type="http://schemas.openxmlformats.org/officeDocument/2006/relationships/hyperlink" Target="http://www.likumi.lv" TargetMode="External"/><Relationship Id="rId7" Type="http://schemas.openxmlformats.org/officeDocument/2006/relationships/endnotes" Target="endnotes.xml"/><Relationship Id="rId162" Type="http://schemas.openxmlformats.org/officeDocument/2006/relationships/hyperlink" Target="http://titania.saeima.lv/LIVS12/SaeimaLIVS12.nsf/0/A57D4D026B9B8107C2258251002F6750?OpenDocument" TargetMode="External"/><Relationship Id="rId183" Type="http://schemas.openxmlformats.org/officeDocument/2006/relationships/hyperlink" Target="https://likumi.lv/ta/id/282400-darbibas-programmas-izaugsme-un-nodarbinatiba-9-2-4-specifiska-atbalsta-merka-uzlabot-pieejamibu-veselibas-veicinasanas" TargetMode="External"/><Relationship Id="rId218" Type="http://schemas.openxmlformats.org/officeDocument/2006/relationships/hyperlink" Target="https://likumi.lv/doc.php?id=296188" TargetMode="External"/><Relationship Id="rId239" Type="http://schemas.openxmlformats.org/officeDocument/2006/relationships/hyperlink" Target="https://www.em.gov.lv/lv/eiropas_savieniba/strategija__eiropa_2020_/latvijas_nacionala_reformu_programma/" TargetMode="External"/><Relationship Id="rId250" Type="http://schemas.openxmlformats.org/officeDocument/2006/relationships/hyperlink" Target="http://www.varam.gov.lv/lat/darbibas_veidi/reg_att/?doc=13630" TargetMode="External"/><Relationship Id="rId271" Type="http://schemas.openxmlformats.org/officeDocument/2006/relationships/hyperlink" Target="http://europa.eu/rapid/press-release_MEMO-09-467_en.pdf" TargetMode="External"/><Relationship Id="rId292" Type="http://schemas.openxmlformats.org/officeDocument/2006/relationships/hyperlink" Target="http://www.vmnvd.gov.lv/lv/esf-projekts/zinojumi" TargetMode="External"/><Relationship Id="rId306" Type="http://schemas.openxmlformats.org/officeDocument/2006/relationships/hyperlink" Target="http://llufb.llu.lv/dissertation-summary/regionaleconomics/A_Sidelska_prom_darba_kopsavilkums_2014_LLU.pdf" TargetMode="External"/><Relationship Id="rId24" Type="http://schemas.openxmlformats.org/officeDocument/2006/relationships/image" Target="media/image11.emf"/><Relationship Id="rId45" Type="http://schemas.openxmlformats.org/officeDocument/2006/relationships/package" Target="embeddings/Microsoft_Office_Excel_Worksheet2.xlsx"/><Relationship Id="rId66" Type="http://schemas.openxmlformats.org/officeDocument/2006/relationships/image" Target="media/image45.emf"/><Relationship Id="rId87" Type="http://schemas.openxmlformats.org/officeDocument/2006/relationships/image" Target="media/image66.emf"/><Relationship Id="rId110" Type="http://schemas.openxmlformats.org/officeDocument/2006/relationships/image" Target="media/image83.emf"/><Relationship Id="rId131" Type="http://schemas.openxmlformats.org/officeDocument/2006/relationships/diagramLayout" Target="diagrams/layout1.xml"/><Relationship Id="rId327" Type="http://schemas.openxmlformats.org/officeDocument/2006/relationships/hyperlink" Target="http://tap.mk.gov.lv/mk/tap/?pid=40459041" TargetMode="External"/><Relationship Id="rId348" Type="http://schemas.openxmlformats.org/officeDocument/2006/relationships/hyperlink" Target="https://www.em.gov.lv/lv/jaunumi/21029-mk-atbalsta-em-piedavajumu-daudzdzivoklu-dzivojamo-maju-buvniecibai-regionos" TargetMode="External"/><Relationship Id="rId152" Type="http://schemas.openxmlformats.org/officeDocument/2006/relationships/hyperlink" Target="https://likumi.lv/ta/id/271317-grozijumi-likuma-par-iedzivotaju-ienakuma-nodokli" TargetMode="External"/><Relationship Id="rId173" Type="http://schemas.openxmlformats.org/officeDocument/2006/relationships/hyperlink" Target="https://likumi.lv/doc.php?id=57255" TargetMode="External"/><Relationship Id="rId194" Type="http://schemas.openxmlformats.org/officeDocument/2006/relationships/hyperlink" Target="http://likumi.lv/doc.php?id=259405" TargetMode="External"/><Relationship Id="rId208" Type="http://schemas.openxmlformats.org/officeDocument/2006/relationships/hyperlink" Target="https://likumi.lv/doc.php?id=254202" TargetMode="External"/><Relationship Id="rId229" Type="http://schemas.openxmlformats.org/officeDocument/2006/relationships/hyperlink" Target="http://polsis.mk.gov.lv/documents/584" TargetMode="External"/><Relationship Id="rId240" Type="http://schemas.openxmlformats.org/officeDocument/2006/relationships/hyperlink" Target="http://polsis.mk.gov.lv/documents/3782" TargetMode="External"/><Relationship Id="rId261" Type="http://schemas.openxmlformats.org/officeDocument/2006/relationships/hyperlink" Target="http://www.vm.gov.lv/lv/aktualitates/preses_relizes/5938_veselibas_ministre_piedava_ieviest_vienotu_veselibas_aprupes" TargetMode="External"/><Relationship Id="rId14" Type="http://schemas.openxmlformats.org/officeDocument/2006/relationships/hyperlink" Target="http://www.lm.gov.lv/lv/nozares-politika/sociala-apdrosinasana/2-statistika" TargetMode="External"/><Relationship Id="rId35" Type="http://schemas.openxmlformats.org/officeDocument/2006/relationships/chart" Target="charts/chart3.xml"/><Relationship Id="rId56" Type="http://schemas.openxmlformats.org/officeDocument/2006/relationships/package" Target="embeddings/Microsoft_Office_Excel_Worksheet5.xlsx"/><Relationship Id="rId77" Type="http://schemas.openxmlformats.org/officeDocument/2006/relationships/image" Target="media/image56.emf"/><Relationship Id="rId100" Type="http://schemas.openxmlformats.org/officeDocument/2006/relationships/image" Target="media/image73.emf"/><Relationship Id="rId282" Type="http://schemas.openxmlformats.org/officeDocument/2006/relationships/hyperlink" Target="https://www.em.gov.lv/lv/nozares_politika/majokli/informativie_zinojumi/" TargetMode="External"/><Relationship Id="rId317" Type="http://schemas.openxmlformats.org/officeDocument/2006/relationships/hyperlink" Target="http://tap.mk.gov.lv/lv/mk/tap/?pid=40403121&amp;mode=mk&amp;date=2016-11-08" TargetMode="External"/><Relationship Id="rId338" Type="http://schemas.openxmlformats.org/officeDocument/2006/relationships/hyperlink" Target="https://ec.europa.eu/eurostat/web/income-and-living-conditions/data/ad-hoc-modules" TargetMode="External"/><Relationship Id="rId359" Type="http://schemas.openxmlformats.org/officeDocument/2006/relationships/footer" Target="footer2.xml"/><Relationship Id="rId8" Type="http://schemas.openxmlformats.org/officeDocument/2006/relationships/image" Target="media/image1.jpeg"/><Relationship Id="rId98" Type="http://schemas.openxmlformats.org/officeDocument/2006/relationships/image" Target="media/image71.emf"/><Relationship Id="rId121" Type="http://schemas.openxmlformats.org/officeDocument/2006/relationships/image" Target="media/image94.emf"/><Relationship Id="rId142" Type="http://schemas.openxmlformats.org/officeDocument/2006/relationships/hyperlink" Target="https://likumi.lv/doc.php?id=108834" TargetMode="External"/><Relationship Id="rId163" Type="http://schemas.openxmlformats.org/officeDocument/2006/relationships/hyperlink" Target="https://www.em.gov.lv/lv/nozares_politika/majokli/dzivojamo_telpu_ires_likumprojekts/" TargetMode="External"/><Relationship Id="rId184" Type="http://schemas.openxmlformats.org/officeDocument/2006/relationships/hyperlink" Target="https://likumi.lv/doc.php?id=11215" TargetMode="External"/><Relationship Id="rId219" Type="http://schemas.openxmlformats.org/officeDocument/2006/relationships/hyperlink" Target="http://www.vm.gov.lv/lv/nozare/normativie_dokumenti/" TargetMode="External"/><Relationship Id="rId230" Type="http://schemas.openxmlformats.org/officeDocument/2006/relationships/hyperlink" Target="https://likumi.lv/ta/id/67556-par-majoklu-attistibas-kreditesanas-programmu-ii-posms" TargetMode="External"/><Relationship Id="rId251" Type="http://schemas.openxmlformats.org/officeDocument/2006/relationships/hyperlink" Target="http://www.vm.gov.lv/images/userfiles/pamatnostad_veseligs_uzturs_20032013.pdf" TargetMode="External"/><Relationship Id="rId25" Type="http://schemas.openxmlformats.org/officeDocument/2006/relationships/image" Target="media/image12.gif"/><Relationship Id="rId46" Type="http://schemas.openxmlformats.org/officeDocument/2006/relationships/image" Target="media/image29.emf"/><Relationship Id="rId67" Type="http://schemas.openxmlformats.org/officeDocument/2006/relationships/image" Target="media/image46.emf"/><Relationship Id="rId272" Type="http://schemas.openxmlformats.org/officeDocument/2006/relationships/hyperlink" Target="http://ec.europa.eu/regional_policy/sources/docgener/evaluation/guide/evaluation_sourcebook.pdf" TargetMode="External"/><Relationship Id="rId293" Type="http://schemas.openxmlformats.org/officeDocument/2006/relationships/hyperlink" Target="https://ec.europa.eu/info/sites/info/files/eapn-access-to-housing-and-health-services.pdf" TargetMode="External"/><Relationship Id="rId307" Type="http://schemas.openxmlformats.org/officeDocument/2006/relationships/hyperlink" Target="https://www.spkc.gov.lv/upload/Petijumi%20un%20zinojumi/FINBALT/finbalt_2016_2.pdf" TargetMode="External"/><Relationship Id="rId328" Type="http://schemas.openxmlformats.org/officeDocument/2006/relationships/hyperlink" Target="http://www.vmnvd.gov.lv/uploads/files/583d767fda31f.pdf" TargetMode="External"/><Relationship Id="rId349" Type="http://schemas.openxmlformats.org/officeDocument/2006/relationships/hyperlink" Target="https://www.km.gov.lv/uploads/ckeditor/files/Sabiedribas_integracija/Romi/Dokumenti/Ieteikums_romu_integracijai_2013.pdf" TargetMode="External"/><Relationship Id="rId88" Type="http://schemas.openxmlformats.org/officeDocument/2006/relationships/image" Target="media/image67.emf"/><Relationship Id="rId111" Type="http://schemas.openxmlformats.org/officeDocument/2006/relationships/image" Target="media/image84.emf"/><Relationship Id="rId132" Type="http://schemas.openxmlformats.org/officeDocument/2006/relationships/diagramQuickStyle" Target="diagrams/quickStyle1.xml"/><Relationship Id="rId153" Type="http://schemas.openxmlformats.org/officeDocument/2006/relationships/hyperlink" Target="https://likumi.lv/ta/id/278633-grozijumi-likuma-par-iedzivotaju-ienakuma-nodokli" TargetMode="External"/><Relationship Id="rId174" Type="http://schemas.openxmlformats.org/officeDocument/2006/relationships/hyperlink" Target="https://likumi.lv/doc.php?id=36850" TargetMode="External"/><Relationship Id="rId195" Type="http://schemas.openxmlformats.org/officeDocument/2006/relationships/hyperlink" Target="https://likumi.lv/ta/id/278067-noteikumi-par-minimalas-menesa-darba-algas-apmeru-normala-darba-laika-ietvaros-un-minimalas-stundas-tarifa-likmes-aprekinasanu" TargetMode="External"/><Relationship Id="rId209" Type="http://schemas.openxmlformats.org/officeDocument/2006/relationships/hyperlink" Target="https://www.eriga.lv/ServiceCards/Default.aspx?cardExternalId=RD018661AJ0018" TargetMode="External"/><Relationship Id="rId360" Type="http://schemas.openxmlformats.org/officeDocument/2006/relationships/hyperlink" Target="https://www.rsu.lv/sabiedribas-veselibas-instituts" TargetMode="External"/><Relationship Id="rId220" Type="http://schemas.openxmlformats.org/officeDocument/2006/relationships/hyperlink" Target="http://polsis.mk.gov.lv/documents/6128" TargetMode="External"/><Relationship Id="rId241" Type="http://schemas.openxmlformats.org/officeDocument/2006/relationships/hyperlink" Target="http://polsis.mk.gov.lv/documents/1232" TargetMode="External"/><Relationship Id="rId15" Type="http://schemas.openxmlformats.org/officeDocument/2006/relationships/image" Target="media/image3.emf"/><Relationship Id="rId36" Type="http://schemas.openxmlformats.org/officeDocument/2006/relationships/image" Target="media/image20.png"/><Relationship Id="rId57" Type="http://schemas.openxmlformats.org/officeDocument/2006/relationships/image" Target="media/image37.emf"/><Relationship Id="rId106" Type="http://schemas.openxmlformats.org/officeDocument/2006/relationships/image" Target="media/image79.emf"/><Relationship Id="rId127" Type="http://schemas.openxmlformats.org/officeDocument/2006/relationships/image" Target="media/image100.emf"/><Relationship Id="rId262" Type="http://schemas.openxmlformats.org/officeDocument/2006/relationships/hyperlink" Target="http://www.lm.gov.lv/upload/projekts/faili/4_vadiba_partneri_zinojums_saskanots.pdf" TargetMode="External"/><Relationship Id="rId283" Type="http://schemas.openxmlformats.org/officeDocument/2006/relationships/hyperlink" Target="https://www.rsu.lv/sites/default/files/dissertations/AIvanovs_promocijas_darbs.pdf" TargetMode="External"/><Relationship Id="rId313" Type="http://schemas.openxmlformats.org/officeDocument/2006/relationships/hyperlink" Target="http://tap.mk.gov.lv/mk/tap/?pid=40291708" TargetMode="External"/><Relationship Id="rId318" Type="http://schemas.openxmlformats.org/officeDocument/2006/relationships/hyperlink" Target="http://tap.mk.gov.lv/mk/tap/?pid=40406934" TargetMode="External"/><Relationship Id="rId339" Type="http://schemas.openxmlformats.org/officeDocument/2006/relationships/hyperlink" Target="http://www.pmlp.gov.lv/lv/sakums/statistika/patveruma-mekletaji.html" TargetMode="External"/><Relationship Id="rId10" Type="http://schemas.openxmlformats.org/officeDocument/2006/relationships/hyperlink" Target="http://www.likumi.lv" TargetMode="External"/><Relationship Id="rId31" Type="http://schemas.openxmlformats.org/officeDocument/2006/relationships/image" Target="media/image18.emf"/><Relationship Id="rId52" Type="http://schemas.openxmlformats.org/officeDocument/2006/relationships/image" Target="media/image33.emf"/><Relationship Id="rId73" Type="http://schemas.openxmlformats.org/officeDocument/2006/relationships/image" Target="media/image52.emf"/><Relationship Id="rId78" Type="http://schemas.openxmlformats.org/officeDocument/2006/relationships/image" Target="media/image57.emf"/><Relationship Id="rId94" Type="http://schemas.openxmlformats.org/officeDocument/2006/relationships/hyperlink" Target="https://www.em.gov.lv/files/attachments/2018-05-02_16_24_45_EMLik_190318_ire.docx" TargetMode="External"/><Relationship Id="rId99" Type="http://schemas.openxmlformats.org/officeDocument/2006/relationships/image" Target="media/image72.emf"/><Relationship Id="rId101" Type="http://schemas.openxmlformats.org/officeDocument/2006/relationships/image" Target="media/image74.emf"/><Relationship Id="rId122" Type="http://schemas.openxmlformats.org/officeDocument/2006/relationships/image" Target="media/image95.emf"/><Relationship Id="rId143" Type="http://schemas.openxmlformats.org/officeDocument/2006/relationships/hyperlink" Target="https://likumi.lv/doc.php?id=52951" TargetMode="External"/><Relationship Id="rId148" Type="http://schemas.openxmlformats.org/officeDocument/2006/relationships/hyperlink" Target="https://likumi.lv/ta/id/277316-grozijumi-dzivesvietas-deklaresanas-likuma" TargetMode="External"/><Relationship Id="rId164" Type="http://schemas.openxmlformats.org/officeDocument/2006/relationships/hyperlink" Target="http://tap.mk.gov.lv/lv/mk/tap/?pid=40438757" TargetMode="External"/><Relationship Id="rId169" Type="http://schemas.openxmlformats.org/officeDocument/2006/relationships/hyperlink" Target="https://likumi.lv/doc.php?id=35770" TargetMode="External"/><Relationship Id="rId185" Type="http://schemas.openxmlformats.org/officeDocument/2006/relationships/hyperlink" Target="https://likumi.lv/ta/id/301399" TargetMode="External"/><Relationship Id="rId334" Type="http://schemas.openxmlformats.org/officeDocument/2006/relationships/hyperlink" Target="https://www.csb.gov.lv/lv/statistika/db" TargetMode="External"/><Relationship Id="rId350" Type="http://schemas.openxmlformats.org/officeDocument/2006/relationships/hyperlink" Target="https://www.eriga.lv/ServiceCards/Default.aspx?cardExternalId=RD018661AJ0018" TargetMode="External"/><Relationship Id="rId355" Type="http://schemas.openxmlformats.org/officeDocument/2006/relationships/hyperlink" Target="http://www.likumi.lv"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likumi.lv/doc.php?id=223578" TargetMode="External"/><Relationship Id="rId210" Type="http://schemas.openxmlformats.org/officeDocument/2006/relationships/hyperlink" Target="https://likumi.lv/doc.php?id=252684" TargetMode="External"/><Relationship Id="rId215" Type="http://schemas.openxmlformats.org/officeDocument/2006/relationships/hyperlink" Target="http://likumi.lv/doc.php?id=68483" TargetMode="External"/><Relationship Id="rId236" Type="http://schemas.openxmlformats.org/officeDocument/2006/relationships/hyperlink" Target="http://www.lm.gov.lv/upload/berns_gimene/lmpamn_200111_gvp.pdf" TargetMode="External"/><Relationship Id="rId257" Type="http://schemas.openxmlformats.org/officeDocument/2006/relationships/hyperlink" Target="http://tap.mk.gov.lv/mk/tap/?pid=40398873" TargetMode="External"/><Relationship Id="rId278" Type="http://schemas.openxmlformats.org/officeDocument/2006/relationships/hyperlink" Target="http://cilvektirdznieciba.lv/data/Files/macibspekiem/Gramata_Ministrijai_LV_NEW.pdf" TargetMode="External"/><Relationship Id="rId26" Type="http://schemas.openxmlformats.org/officeDocument/2006/relationships/image" Target="media/image13.emf"/><Relationship Id="rId231" Type="http://schemas.openxmlformats.org/officeDocument/2006/relationships/hyperlink" Target="http://polsis.mk.gov.lv/documents/5499" TargetMode="External"/><Relationship Id="rId252" Type="http://schemas.openxmlformats.org/officeDocument/2006/relationships/hyperlink" Target="http://www.vm.gov.lv/images/userfiles/phoebe/tiesibu_akti_attistibas_planosanas_dokumenti_d81959c0f94f7a66c22574960024121e/cilvekresursu__programma.pdf" TargetMode="External"/><Relationship Id="rId273" Type="http://schemas.openxmlformats.org/officeDocument/2006/relationships/hyperlink" Target="https://ortus.rtu.lv/science/lv/publications/23942/attachments/2580" TargetMode="External"/><Relationship Id="rId294" Type="http://schemas.openxmlformats.org/officeDocument/2006/relationships/hyperlink" Target="http://www.oecd.org/economy/surveys/Latvia-2017-OECD-economic-survey-overview.pdf" TargetMode="External"/><Relationship Id="rId308" Type="http://schemas.openxmlformats.org/officeDocument/2006/relationships/hyperlink" Target="http://www.housingeurope.eu/resource-1000/the-state-of-housing-in-the-eu-2017" TargetMode="External"/><Relationship Id="rId329" Type="http://schemas.openxmlformats.org/officeDocument/2006/relationships/hyperlink" Target="https://www.who.int/healthinfo/indicators/2018/en/" TargetMode="External"/><Relationship Id="rId47" Type="http://schemas.openxmlformats.org/officeDocument/2006/relationships/package" Target="embeddings/Microsoft_Office_Excel_Worksheet3.xlsx"/><Relationship Id="rId68" Type="http://schemas.openxmlformats.org/officeDocument/2006/relationships/image" Target="media/image47.emf"/><Relationship Id="rId89" Type="http://schemas.openxmlformats.org/officeDocument/2006/relationships/image" Target="media/image68.emf"/><Relationship Id="rId112" Type="http://schemas.openxmlformats.org/officeDocument/2006/relationships/image" Target="media/image85.emf"/><Relationship Id="rId133" Type="http://schemas.openxmlformats.org/officeDocument/2006/relationships/diagramColors" Target="diagrams/colors1.xml"/><Relationship Id="rId154" Type="http://schemas.openxmlformats.org/officeDocument/2006/relationships/hyperlink" Target="https://likumi.lv/ta/id/270231-grozijumi-likuma-par-maternitates-un-slimibas-apdrosinasanu-" TargetMode="External"/><Relationship Id="rId175" Type="http://schemas.openxmlformats.org/officeDocument/2006/relationships/hyperlink" Target="https://likumi.lv/doc.php?id=57980" TargetMode="External"/><Relationship Id="rId340" Type="http://schemas.openxmlformats.org/officeDocument/2006/relationships/hyperlink" Target="https://www.pmlp.gov.lv/lv/assets/documents/statistika/Iedz%C4%ABvot%C4%81ju%20re%C4%A3istrs%20st.%20uz%2001072018/ISVN_Latvija_pec_TTB_VPD.pdf" TargetMode="External"/><Relationship Id="rId361" Type="http://schemas.openxmlformats.org/officeDocument/2006/relationships/footer" Target="footer3.xml"/><Relationship Id="rId196" Type="http://schemas.openxmlformats.org/officeDocument/2006/relationships/hyperlink" Target="http://tap.mk.gov.lv/mk/tap/?pid=40460362" TargetMode="External"/><Relationship Id="rId200" Type="http://schemas.openxmlformats.org/officeDocument/2006/relationships/hyperlink" Target="https://likumi.lv/doc.php?id=147113" TargetMode="External"/><Relationship Id="rId16" Type="http://schemas.openxmlformats.org/officeDocument/2006/relationships/package" Target="embeddings/Microsoft_Office_Excel_Worksheet1.xlsx"/><Relationship Id="rId221" Type="http://schemas.openxmlformats.org/officeDocument/2006/relationships/hyperlink" Target="http://polsis.mk.gov.lv/documents/6023" TargetMode="External"/><Relationship Id="rId242" Type="http://schemas.openxmlformats.org/officeDocument/2006/relationships/hyperlink" Target="http://polsis.mk.gov.lv/documents/757" TargetMode="External"/><Relationship Id="rId263" Type="http://schemas.openxmlformats.org/officeDocument/2006/relationships/hyperlink" Target="https://www.researchgate.net/publication/265059299_HOUSING_AFFORDABILITY_IN_THE_EU_Current_situation_and_recent_trends" TargetMode="External"/><Relationship Id="rId284" Type="http://schemas.openxmlformats.org/officeDocument/2006/relationships/hyperlink" Target="http://www.vm.gov.lv/images/userfiles/sab_ves_pamatnost_izvertejums_31_01_14.pdf" TargetMode="External"/><Relationship Id="rId319" Type="http://schemas.openxmlformats.org/officeDocument/2006/relationships/hyperlink" Target="http://tap.mk.gov.lv/lv/mk/tap/?pid=40390907&amp;mode=mk&amp;date=2016-09-27" TargetMode="External"/><Relationship Id="rId37" Type="http://schemas.openxmlformats.org/officeDocument/2006/relationships/image" Target="media/image21.emf"/><Relationship Id="rId58" Type="http://schemas.openxmlformats.org/officeDocument/2006/relationships/image" Target="media/image38.emf"/><Relationship Id="rId79" Type="http://schemas.openxmlformats.org/officeDocument/2006/relationships/image" Target="media/image58.emf"/><Relationship Id="rId102" Type="http://schemas.openxmlformats.org/officeDocument/2006/relationships/image" Target="media/image75.emf"/><Relationship Id="rId123" Type="http://schemas.openxmlformats.org/officeDocument/2006/relationships/image" Target="media/image96.emf"/><Relationship Id="rId144" Type="http://schemas.openxmlformats.org/officeDocument/2006/relationships/hyperlink" Target="https://likumi.lv/doc.php?id=43127" TargetMode="External"/><Relationship Id="rId330" Type="http://schemas.openxmlformats.org/officeDocument/2006/relationships/hyperlink" Target="http://dx.doi.org/10.1787/9789264262782-en" TargetMode="External"/><Relationship Id="rId90" Type="http://schemas.openxmlformats.org/officeDocument/2006/relationships/image" Target="media/image69.emf"/><Relationship Id="rId165" Type="http://schemas.openxmlformats.org/officeDocument/2006/relationships/hyperlink" Target="http://titania.saeima.lv/LIVS12/SaeimaLIVS12.nsf/0/C31CBED7BAE8551BC2257E50002625A0?OpenDocument" TargetMode="External"/><Relationship Id="rId186" Type="http://schemas.openxmlformats.org/officeDocument/2006/relationships/hyperlink" Target="https://likumi.lv/doc.php?id=187621" TargetMode="External"/><Relationship Id="rId351" Type="http://schemas.openxmlformats.org/officeDocument/2006/relationships/hyperlink" Target="http://www.cilvektirdznieciba.lv/lv/paplasinas-atbalsta-un-palidzibas-pakalpojumi-cilveku-tirdznieciba-cietusajiem/212" TargetMode="External"/><Relationship Id="rId211" Type="http://schemas.openxmlformats.org/officeDocument/2006/relationships/hyperlink" Target="https://likumi.lv/doc.php?id=68488" TargetMode="External"/><Relationship Id="rId232" Type="http://schemas.openxmlformats.org/officeDocument/2006/relationships/hyperlink" Target="https://ec.europa.eu/eurostat/statistics-explained/index.php?title=Glossary:Overcrowding_rate" TargetMode="External"/><Relationship Id="rId253" Type="http://schemas.openxmlformats.org/officeDocument/2006/relationships/hyperlink" Target="https://likumi.lv/ta/id/179405-par-pamatnostadnem-iedzivotaju-garigas-veselibas-uzlabosana-2009-2014-gada" TargetMode="External"/><Relationship Id="rId274" Type="http://schemas.openxmlformats.org/officeDocument/2006/relationships/hyperlink" Target="http://vmnvd.gov.lv/uploads/files/583d31a666f9a.pdf" TargetMode="External"/><Relationship Id="rId295" Type="http://schemas.openxmlformats.org/officeDocument/2006/relationships/hyperlink" Target="http://dx.doi.org/10.1787/9789264262782-en" TargetMode="External"/><Relationship Id="rId309" Type="http://schemas.openxmlformats.org/officeDocument/2006/relationships/hyperlink" Target="http://www.lm.gov.lv/upload/sociala_ieklausana/csp_sipkk_20062017.pdf" TargetMode="External"/><Relationship Id="rId27" Type="http://schemas.openxmlformats.org/officeDocument/2006/relationships/image" Target="media/image14.emf"/><Relationship Id="rId48" Type="http://schemas.openxmlformats.org/officeDocument/2006/relationships/image" Target="media/image30.emf"/><Relationship Id="rId69" Type="http://schemas.openxmlformats.org/officeDocument/2006/relationships/image" Target="media/image48.emf"/><Relationship Id="rId113" Type="http://schemas.openxmlformats.org/officeDocument/2006/relationships/image" Target="media/image86.emf"/><Relationship Id="rId134" Type="http://schemas.openxmlformats.org/officeDocument/2006/relationships/hyperlink" Target="https://likumi.lv/doc.php?id=147522" TargetMode="External"/><Relationship Id="rId320" Type="http://schemas.openxmlformats.org/officeDocument/2006/relationships/hyperlink" Target="http://tap.mk.gov.lv/mk/tap/?pid=40390907" TargetMode="External"/><Relationship Id="rId80" Type="http://schemas.openxmlformats.org/officeDocument/2006/relationships/image" Target="media/image59.emf"/><Relationship Id="rId155" Type="http://schemas.openxmlformats.org/officeDocument/2006/relationships/hyperlink" Target="https://likumi.lv/ta/id/270225-grozijumi-likuma-par-obligato-socialo-apdrosinasanu-pret-nelaimes-gadijumiem-darba-un-arodslimibam-" TargetMode="External"/><Relationship Id="rId176" Type="http://schemas.openxmlformats.org/officeDocument/2006/relationships/hyperlink" Target="https://likumi.lv/doc.php?id=214590" TargetMode="External"/><Relationship Id="rId197" Type="http://schemas.openxmlformats.org/officeDocument/2006/relationships/hyperlink" Target="http://tap.mk.gov.lv/mk/tap/?pid=40393118" TargetMode="External"/><Relationship Id="rId341" Type="http://schemas.openxmlformats.org/officeDocument/2006/relationships/hyperlink" Target="http://polsis.mk.gov.lv/" TargetMode="External"/><Relationship Id="rId362" Type="http://schemas.openxmlformats.org/officeDocument/2006/relationships/fontTable" Target="fontTable.xml"/><Relationship Id="rId201" Type="http://schemas.openxmlformats.org/officeDocument/2006/relationships/hyperlink" Target="http://tap.mk.gov.lv/lv/mk/tap/?pid=40461868" TargetMode="External"/><Relationship Id="rId222" Type="http://schemas.openxmlformats.org/officeDocument/2006/relationships/hyperlink" Target="http://polsis.mk.gov.lv/documents/5825" TargetMode="External"/><Relationship Id="rId243" Type="http://schemas.openxmlformats.org/officeDocument/2006/relationships/hyperlink" Target="http://polsis.mk.gov.lv/documents/4558" TargetMode="External"/><Relationship Id="rId264" Type="http://schemas.openxmlformats.org/officeDocument/2006/relationships/hyperlink" Target="http://petijumi.mk.gov.lv/node/2210" TargetMode="External"/><Relationship Id="rId285" Type="http://schemas.openxmlformats.org/officeDocument/2006/relationships/hyperlink" Target="https://www.spkc.gov.lv/upload/Petijumi%20un%20zinojumi/Atkaribu%20slimibu%20petijumi/narkotiku_izplatiba_ieslodzijuma_vietas_lv_2014_gada.pdf" TargetMode="External"/><Relationship Id="rId17" Type="http://schemas.openxmlformats.org/officeDocument/2006/relationships/image" Target="media/image4.emf"/><Relationship Id="rId38" Type="http://schemas.openxmlformats.org/officeDocument/2006/relationships/image" Target="media/image22.emf"/><Relationship Id="rId59" Type="http://schemas.openxmlformats.org/officeDocument/2006/relationships/image" Target="media/image39.emf"/><Relationship Id="rId103" Type="http://schemas.openxmlformats.org/officeDocument/2006/relationships/image" Target="media/image76.emf"/><Relationship Id="rId124" Type="http://schemas.openxmlformats.org/officeDocument/2006/relationships/image" Target="media/image97.emf"/><Relationship Id="rId310" Type="http://schemas.openxmlformats.org/officeDocument/2006/relationships/hyperlink" Target="http://tap.mk.gov.lv/doc/2005/VMZino_220813_papild.2331.docx" TargetMode="External"/><Relationship Id="rId70" Type="http://schemas.openxmlformats.org/officeDocument/2006/relationships/image" Target="media/image49.emf"/><Relationship Id="rId91" Type="http://schemas.openxmlformats.org/officeDocument/2006/relationships/hyperlink" Target="https://likumi.lv/ta/id/43913-par-nekustama-ipasuma-nodokli" TargetMode="External"/><Relationship Id="rId145" Type="http://schemas.openxmlformats.org/officeDocument/2006/relationships/hyperlink" Target="http://www.fm.gov.lv/lv/sadalas/valsts_budzets/valsts_budzeta_izstrade/_budzets2018/" TargetMode="External"/><Relationship Id="rId166" Type="http://schemas.openxmlformats.org/officeDocument/2006/relationships/hyperlink" Target="https://likumi.lv/doc.php?id=56812" TargetMode="External"/><Relationship Id="rId187" Type="http://schemas.openxmlformats.org/officeDocument/2006/relationships/hyperlink" Target="https://likumi.lv/doc.php?id=147522" TargetMode="External"/><Relationship Id="rId331" Type="http://schemas.openxmlformats.org/officeDocument/2006/relationships/hyperlink" Target="https://www.spkc.gov.lv/upload/Petijumi%20un%20zinojumi/Atkaribu%20slimibu%20petijumi/Diana/biss_atkaribu_lietosana_ieslodzijuma_2018_redits_002.pdf" TargetMode="External"/><Relationship Id="rId352" Type="http://schemas.openxmlformats.org/officeDocument/2006/relationships/hyperlink" Target="http://www.rtpv.edu.lv/spaw/uploads/files/TIESIBU_PAMATI.pdf" TargetMode="External"/><Relationship Id="rId1" Type="http://schemas.openxmlformats.org/officeDocument/2006/relationships/customXml" Target="../customXml/item1.xml"/><Relationship Id="rId212" Type="http://schemas.openxmlformats.org/officeDocument/2006/relationships/hyperlink" Target="https://likumi.lv/doc.php?id=11215" TargetMode="External"/><Relationship Id="rId233" Type="http://schemas.openxmlformats.org/officeDocument/2006/relationships/hyperlink" Target="http://polsis.mk.gov.lv/documents/158" TargetMode="External"/><Relationship Id="rId254" Type="http://schemas.openxmlformats.org/officeDocument/2006/relationships/hyperlink" Target="http://www.epaac.eu/from_heidi_wiki/Latvia_-_Oncolgical_Diseases_Control_Programme_2009-2015,_Latvi.pdf" TargetMode="External"/><Relationship Id="rId28" Type="http://schemas.openxmlformats.org/officeDocument/2006/relationships/image" Target="media/image15.emf"/><Relationship Id="rId49" Type="http://schemas.openxmlformats.org/officeDocument/2006/relationships/package" Target="embeddings/Microsoft_Office_Excel_Worksheet4.xlsx"/><Relationship Id="rId114" Type="http://schemas.openxmlformats.org/officeDocument/2006/relationships/image" Target="media/image87.emf"/><Relationship Id="rId275" Type="http://schemas.openxmlformats.org/officeDocument/2006/relationships/hyperlink" Target="http://www.vmnvd.gov.lv/uploads/files/58aef4ca681b0.pdf" TargetMode="External"/><Relationship Id="rId296" Type="http://schemas.openxmlformats.org/officeDocument/2006/relationships/hyperlink" Target="http://dx.doi.org/10.1787/9789264262782-en" TargetMode="External"/><Relationship Id="rId300" Type="http://schemas.openxmlformats.org/officeDocument/2006/relationships/hyperlink" Target="https://www.pkc.gov.lv/sites/default/files/inline-files/NAP2020%20vidusposma%20zinojums%20final_1.pdf" TargetMode="External"/><Relationship Id="rId60" Type="http://schemas.openxmlformats.org/officeDocument/2006/relationships/footer" Target="footer1.xml"/><Relationship Id="rId81" Type="http://schemas.openxmlformats.org/officeDocument/2006/relationships/image" Target="media/image60.emf"/><Relationship Id="rId135" Type="http://schemas.openxmlformats.org/officeDocument/2006/relationships/hyperlink" Target="https://likumi.lv/doc.php?id=44108" TargetMode="External"/><Relationship Id="rId156" Type="http://schemas.openxmlformats.org/officeDocument/2006/relationships/hyperlink" Target="https://likumi.lv/ta/id/274899-grozijumi-likuma-par-valsts-pensijam-" TargetMode="External"/><Relationship Id="rId177" Type="http://schemas.openxmlformats.org/officeDocument/2006/relationships/hyperlink" Target="https://likumi.lv/doc.php?id=203061" TargetMode="External"/><Relationship Id="rId198" Type="http://schemas.openxmlformats.org/officeDocument/2006/relationships/hyperlink" Target="https://likumi.lv/doc.php?id=167547" TargetMode="External"/><Relationship Id="rId321" Type="http://schemas.openxmlformats.org/officeDocument/2006/relationships/hyperlink" Target="http://tap.mk.gov.lv/lv/mk/tap/?pid=40406912&amp;mode=mkk&amp;date=2016-12-19" TargetMode="External"/><Relationship Id="rId342" Type="http://schemas.openxmlformats.org/officeDocument/2006/relationships/hyperlink" Target="http://www.beglis.lv/lv/ir-stajusies-speka-kartiba-kada-patveruma-mekletaju-izmitinasanas-centra-ievietotai-personai-veicama-veselibas-parbaude" TargetMode="External"/><Relationship Id="rId363" Type="http://schemas.openxmlformats.org/officeDocument/2006/relationships/theme" Target="theme/theme1.xml"/><Relationship Id="rId202" Type="http://schemas.openxmlformats.org/officeDocument/2006/relationships/hyperlink" Target="http://tap.mk.gov.lv/mk/tap/?pid=40460362" TargetMode="External"/><Relationship Id="rId223" Type="http://schemas.openxmlformats.org/officeDocument/2006/relationships/hyperlink" Target="http://polsis.mk.gov.lv/documents/4805" TargetMode="External"/><Relationship Id="rId244" Type="http://schemas.openxmlformats.org/officeDocument/2006/relationships/hyperlink" Target="http://www.vm.gov.lv/images/userfiles/vmpl_270214_pva.doc" TargetMode="External"/><Relationship Id="rId18" Type="http://schemas.openxmlformats.org/officeDocument/2006/relationships/image" Target="media/image5.emf"/><Relationship Id="rId39" Type="http://schemas.openxmlformats.org/officeDocument/2006/relationships/image" Target="media/image23.emf"/><Relationship Id="rId265" Type="http://schemas.openxmlformats.org/officeDocument/2006/relationships/hyperlink" Target="http://petijumi.mk.gov.lv/sites/default/files/title_file/petij_sif_motivac_paaugst_un_atbalst_pakalpoj_potencial%2Bmerka%2Bgrup_profiles_un_vaj_izpete.pdf" TargetMode="External"/><Relationship Id="rId286" Type="http://schemas.openxmlformats.org/officeDocument/2006/relationships/hyperlink" Target="http://www.lm.gov.lv/upload/vardarbiba_gimene/lmzino_280318_vg.pdf" TargetMode="External"/><Relationship Id="rId50" Type="http://schemas.openxmlformats.org/officeDocument/2006/relationships/image" Target="media/image31.emf"/><Relationship Id="rId104" Type="http://schemas.openxmlformats.org/officeDocument/2006/relationships/image" Target="media/image77.emf"/><Relationship Id="rId125" Type="http://schemas.openxmlformats.org/officeDocument/2006/relationships/image" Target="media/image98.emf"/><Relationship Id="rId146" Type="http://schemas.openxmlformats.org/officeDocument/2006/relationships/hyperlink" Target="https://likumi.lv/ta/id/278512-grozijumi-bernu-tiesibu-aizsardzibas-likuma" TargetMode="External"/><Relationship Id="rId167" Type="http://schemas.openxmlformats.org/officeDocument/2006/relationships/hyperlink" Target="https://likumi.lv/doc.php?id=56863" TargetMode="External"/><Relationship Id="rId188" Type="http://schemas.openxmlformats.org/officeDocument/2006/relationships/hyperlink" Target="https://likumi.lv/doc.php?id=207462" TargetMode="External"/><Relationship Id="rId311" Type="http://schemas.openxmlformats.org/officeDocument/2006/relationships/hyperlink" Target="http://tap.mk.gov.lv/mk/tap/?pid=40267911" TargetMode="External"/><Relationship Id="rId332" Type="http://schemas.openxmlformats.org/officeDocument/2006/relationships/hyperlink" Target="https://www.csb.gov.lv/lv/statistika/statistikas-temas/socialie-procesi/veseliba/meklet-tema/214-iedzivotaju-veselibas-apsekojuma-rezultati" TargetMode="External"/><Relationship Id="rId353" Type="http://schemas.openxmlformats.org/officeDocument/2006/relationships/hyperlink" Target="http://www.lm.gov.lv/lv/index.php?option=com_content&amp;view=article&amp;id=81555" TargetMode="External"/><Relationship Id="rId71" Type="http://schemas.openxmlformats.org/officeDocument/2006/relationships/image" Target="media/image50.emf"/><Relationship Id="rId92" Type="http://schemas.openxmlformats.org/officeDocument/2006/relationships/hyperlink" Target="https://likumi.lv/ta/id/200087-noteikumi-par-valsts-nodevu-par-ipasuma-tiesibu-un-kilas-tiesibu-nostiprinasanu-zemesgramata" TargetMode="External"/><Relationship Id="rId213" Type="http://schemas.openxmlformats.org/officeDocument/2006/relationships/hyperlink" Target="http://www.fm.gov.lv/lv/sadalas/valsts_budzets/valsts_budzeta_izstrade/_budzets2017/" TargetMode="External"/><Relationship Id="rId234" Type="http://schemas.openxmlformats.org/officeDocument/2006/relationships/hyperlink" Target="https://www.esfondi.lv/upload/Planosana/FMProg_270115_DP_2.pdf" TargetMode="External"/><Relationship Id="rId2" Type="http://schemas.openxmlformats.org/officeDocument/2006/relationships/numbering" Target="numbering.xml"/><Relationship Id="rId29" Type="http://schemas.openxmlformats.org/officeDocument/2006/relationships/image" Target="media/image16.emf"/><Relationship Id="rId255" Type="http://schemas.openxmlformats.org/officeDocument/2006/relationships/hyperlink" Target="http://www.vm.gov.lv/images/userfiles/phoebe/tiesibu_akti_attistibas_planosanas_dokumenti_d81959c0f94f7a66c22574960024121e/informat_zinojums_programmai.pdf" TargetMode="External"/><Relationship Id="rId276" Type="http://schemas.openxmlformats.org/officeDocument/2006/relationships/hyperlink" Target="https://coebank.org/media/documents/Part_3-Inequality-Housing.pdf" TargetMode="External"/><Relationship Id="rId297" Type="http://schemas.openxmlformats.org/officeDocument/2006/relationships/hyperlink" Target="http://www.refworld.org/pdfid/47a7079a1.pdf" TargetMode="External"/><Relationship Id="rId40" Type="http://schemas.openxmlformats.org/officeDocument/2006/relationships/image" Target="media/image24.emf"/><Relationship Id="rId115" Type="http://schemas.openxmlformats.org/officeDocument/2006/relationships/image" Target="media/image88.emf"/><Relationship Id="rId136" Type="http://schemas.openxmlformats.org/officeDocument/2006/relationships/hyperlink" Target="http://www.babite.lv/wp-content/uploads/2015/07/SN-16-pabalstiem-ar-materi%C4%81l%C4%81-st%C4%81vok%C4%BCa-izv%C4%93rt%C4%93%C5%A1anu_25.10.2017..pdf" TargetMode="External"/><Relationship Id="rId157" Type="http://schemas.openxmlformats.org/officeDocument/2006/relationships/hyperlink" Target="https://likumi.lv/ta/id/269517-grozijumi-maksatnespejas-likuma" TargetMode="External"/><Relationship Id="rId178" Type="http://schemas.openxmlformats.org/officeDocument/2006/relationships/hyperlink" Target="https://likumi.lv/doc.php?id=155220" TargetMode="External"/><Relationship Id="rId301" Type="http://schemas.openxmlformats.org/officeDocument/2006/relationships/hyperlink" Target="http://www.biceps.org/assets/docs/neregulara-rakstura/OccasionalPaperNo11" TargetMode="External"/><Relationship Id="rId322" Type="http://schemas.openxmlformats.org/officeDocument/2006/relationships/hyperlink" Target="http://tap.mk.gov.lv/mk/tap/?pid=40441420" TargetMode="External"/><Relationship Id="rId343" Type="http://schemas.openxmlformats.org/officeDocument/2006/relationships/hyperlink" Target="http://www.oecd.org/eco/surveys/economic-survey-latvia.htm" TargetMode="External"/><Relationship Id="rId61" Type="http://schemas.openxmlformats.org/officeDocument/2006/relationships/image" Target="media/image40.emf"/><Relationship Id="rId82" Type="http://schemas.openxmlformats.org/officeDocument/2006/relationships/image" Target="media/image61.emf"/><Relationship Id="rId199" Type="http://schemas.openxmlformats.org/officeDocument/2006/relationships/hyperlink" Target="https://likumi.lv/doc.php?id=48995&amp;from=o" TargetMode="External"/><Relationship Id="rId203" Type="http://schemas.openxmlformats.org/officeDocument/2006/relationships/hyperlink" Target="https://likumi.lv/ta/id/291013-par-valsts-nodoklu-politikas-pamatnostadnem-2018-2021-gadam" TargetMode="External"/><Relationship Id="rId19" Type="http://schemas.openxmlformats.org/officeDocument/2006/relationships/image" Target="media/image6.emf"/><Relationship Id="rId224" Type="http://schemas.openxmlformats.org/officeDocument/2006/relationships/hyperlink" Target="http://tap.mk.gov.lv/lv/mk/tap/?pid=40467516" TargetMode="External"/><Relationship Id="rId245" Type="http://schemas.openxmlformats.org/officeDocument/2006/relationships/hyperlink" Target="http://www.varam.gov.lv/lat/pol/ppd/?doc=20773" TargetMode="External"/><Relationship Id="rId266" Type="http://schemas.openxmlformats.org/officeDocument/2006/relationships/hyperlink" Target="http://petijumi.mk.gov.lv/node/3060" TargetMode="External"/><Relationship Id="rId287" Type="http://schemas.openxmlformats.org/officeDocument/2006/relationships/hyperlink" Target="http://www.tiesibsargs.lv/uploads/content/legacy/Petijums_Valsts_garantetais_mediciniskas_palidzibas_minimums_2016.pdf" TargetMode="External"/><Relationship Id="rId30" Type="http://schemas.openxmlformats.org/officeDocument/2006/relationships/image" Target="media/image17.emf"/><Relationship Id="rId105" Type="http://schemas.openxmlformats.org/officeDocument/2006/relationships/image" Target="media/image78.emf"/><Relationship Id="rId126" Type="http://schemas.openxmlformats.org/officeDocument/2006/relationships/image" Target="media/image99.emf"/><Relationship Id="rId147" Type="http://schemas.openxmlformats.org/officeDocument/2006/relationships/hyperlink" Target="https://likumi.lv/ta/id/264622-grozijumi-civilprocesa-likuma" TargetMode="External"/><Relationship Id="rId168" Type="http://schemas.openxmlformats.org/officeDocument/2006/relationships/hyperlink" Target="https://likumi.lv/doc.php?id=36850" TargetMode="External"/><Relationship Id="rId312" Type="http://schemas.openxmlformats.org/officeDocument/2006/relationships/hyperlink" Target="http://tap.mk.gov.lv/doc/2005/VMInf_171213.1621.docx" TargetMode="External"/><Relationship Id="rId333" Type="http://schemas.openxmlformats.org/officeDocument/2006/relationships/hyperlink" Target="https://www.csb.gov.lv/lv/statistika/db" TargetMode="External"/><Relationship Id="rId354" Type="http://schemas.openxmlformats.org/officeDocument/2006/relationships/hyperlink" Target="mailto:Rita.Strode@lm.gov.lv" TargetMode="External"/><Relationship Id="rId51" Type="http://schemas.openxmlformats.org/officeDocument/2006/relationships/image" Target="media/image32.emf"/><Relationship Id="rId72" Type="http://schemas.openxmlformats.org/officeDocument/2006/relationships/image" Target="media/image51.emf"/><Relationship Id="rId93" Type="http://schemas.openxmlformats.org/officeDocument/2006/relationships/hyperlink" Target="https://likumi.lv/ta/id/297289-noteikumi-par-valsts-palidzibu-dzivojamas-telpas-iegadei-vai-buvniecibai" TargetMode="External"/><Relationship Id="rId189" Type="http://schemas.openxmlformats.org/officeDocument/2006/relationships/hyperlink" Target="https://likumi.lv/ta/id/267626-noteikumi-par-valsts-pensijas-apmera-parskatisanu" TargetMode="External"/><Relationship Id="rId3" Type="http://schemas.openxmlformats.org/officeDocument/2006/relationships/styles" Target="styles.xml"/><Relationship Id="rId214" Type="http://schemas.openxmlformats.org/officeDocument/2006/relationships/hyperlink" Target="https://likumi.lv/doc.php?id=63545" TargetMode="External"/><Relationship Id="rId235" Type="http://schemas.openxmlformats.org/officeDocument/2006/relationships/hyperlink" Target="http://www.lm.gov.lv/upload/berns_gimene/lmpamn_200111_gvp.pdf" TargetMode="External"/><Relationship Id="rId256" Type="http://schemas.openxmlformats.org/officeDocument/2006/relationships/hyperlink" Target="http://www.vm.gov.lv/images/userfiles/Sabiedriska_apspriesana/141216_ONKO_PLANS_2017_2020%5B1%5D.docx" TargetMode="External"/><Relationship Id="rId277" Type="http://schemas.openxmlformats.org/officeDocument/2006/relationships/hyperlink" Target="https://ec.europa.eu/health/sites/health/files/social_determinants/docs/2017_vulnerable_literaturereview_en.pdf" TargetMode="External"/><Relationship Id="rId298" Type="http://schemas.openxmlformats.org/officeDocument/2006/relationships/hyperlink" Target="http://www.vmnvd.gov.lv/uploads/files/58104acc690b4.pdf" TargetMode="External"/><Relationship Id="rId116" Type="http://schemas.openxmlformats.org/officeDocument/2006/relationships/image" Target="media/image89.emf"/><Relationship Id="rId137" Type="http://schemas.openxmlformats.org/officeDocument/2006/relationships/hyperlink" Target="https://likumi.lv/ta/id/282400-darbibas-programmas-izaugsme-un-nodarbinatiba-9-2-4-specifiska-atbalsta-merka-uzlabot-pieejamibu-veselibas-veicinasanas" TargetMode="External"/><Relationship Id="rId158" Type="http://schemas.openxmlformats.org/officeDocument/2006/relationships/hyperlink" Target="https://likumi.lv/doc.php?id=211494" TargetMode="External"/><Relationship Id="rId302" Type="http://schemas.openxmlformats.org/officeDocument/2006/relationships/hyperlink" Target="https://www.em.gov.lv/files/eiropas_savieniba/Annex_LV_NRP_2016_Latvian.pdf" TargetMode="External"/><Relationship Id="rId323" Type="http://schemas.openxmlformats.org/officeDocument/2006/relationships/hyperlink" Target="http://tap.mk.gov.lv/mk/tap/?pid=40443903" TargetMode="External"/><Relationship Id="rId344" Type="http://schemas.openxmlformats.org/officeDocument/2006/relationships/hyperlink" Target="https://www.em.gov.lv/lv/nozares_politika/majokli/" TargetMode="External"/><Relationship Id="rId20" Type="http://schemas.openxmlformats.org/officeDocument/2006/relationships/image" Target="media/image7.emf"/><Relationship Id="rId41" Type="http://schemas.openxmlformats.org/officeDocument/2006/relationships/image" Target="media/image25.emf"/><Relationship Id="rId62" Type="http://schemas.openxmlformats.org/officeDocument/2006/relationships/image" Target="media/image41.emf"/><Relationship Id="rId83" Type="http://schemas.openxmlformats.org/officeDocument/2006/relationships/image" Target="media/image62.emf"/><Relationship Id="rId179" Type="http://schemas.openxmlformats.org/officeDocument/2006/relationships/hyperlink" Target="https://likumi.lv/ta/id/222142-noteikumi-par-valsts-socialo-pabalstu-cernobilas-atomelektrostacijas-avarijas-seku-likvidesanas-dalibniekiem-un-miruso-cernobil" TargetMode="External"/><Relationship Id="rId190" Type="http://schemas.openxmlformats.org/officeDocument/2006/relationships/hyperlink" Target="https://likumi.lv/ta/id/270789-darbibas-programmas-partikas-un-pamata-materialas-palidzibas-sniegsana-vistrucigakajam-personam-2014-2020-gada-planosanas" TargetMode="External"/><Relationship Id="rId204" Type="http://schemas.openxmlformats.org/officeDocument/2006/relationships/hyperlink" Target="https://likumi.lv/doc.php?id=194076" TargetMode="External"/><Relationship Id="rId225" Type="http://schemas.openxmlformats.org/officeDocument/2006/relationships/hyperlink" Target="http://tap.mk.gov.lv/mk/tap/?pid=40443771" TargetMode="External"/><Relationship Id="rId246" Type="http://schemas.openxmlformats.org/officeDocument/2006/relationships/hyperlink" Target="https://likumi.lv/ta/id/280055-par-ricibas-planu-gimenes-valsts-politikas-pamatnostadnu-2011-2017-gadam-istenosanai-2016-2017-gada" TargetMode="External"/><Relationship Id="rId267" Type="http://schemas.openxmlformats.org/officeDocument/2006/relationships/hyperlink" Target="http://petijumi.mk.gov.lv/sites/default/files/title_file/petij_sif_motivac_paaugst_un_atbalst_pakalpoj_potencial%2Bmerka%2Bgrup_profiles_un_vaj_izpete.pdf" TargetMode="External"/><Relationship Id="rId288" Type="http://schemas.openxmlformats.org/officeDocument/2006/relationships/hyperlink" Target="http://www.tiesibsargs.lv/uploads/content/lapas/zinojums_pasvaldibu_majokli_1535636795.pdf"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likumi.lv/doc.php?id=43127" TargetMode="External"/><Relationship Id="rId21" Type="http://schemas.openxmlformats.org/officeDocument/2006/relationships/hyperlink" Target="http://likumi.lv/doc.php?id=254128" TargetMode="External"/><Relationship Id="rId42" Type="http://schemas.openxmlformats.org/officeDocument/2006/relationships/hyperlink" Target="https://likumi.lv/ta/id/270232-grozijumi-darba-likuma" TargetMode="External"/><Relationship Id="rId63" Type="http://schemas.openxmlformats.org/officeDocument/2006/relationships/hyperlink" Target="https://likumi.lv/ta/id/274117-grozijumi-likuma-par-iedzivotaju-ienakuma-nodokli-" TargetMode="External"/><Relationship Id="rId84" Type="http://schemas.openxmlformats.org/officeDocument/2006/relationships/hyperlink" Target="https://ec.europa.eu/eurostat/web/microdata/european-union-statistics-on-income-and-living-conditions" TargetMode="External"/><Relationship Id="rId138" Type="http://schemas.openxmlformats.org/officeDocument/2006/relationships/hyperlink" Target="https://likumi.lv/ta/id/67556-par-majoklu-attistibas-kreditesanas-programmu-ii-posms" TargetMode="External"/><Relationship Id="rId159" Type="http://schemas.openxmlformats.org/officeDocument/2006/relationships/hyperlink" Target="https://likumi.lv/doc.php?id=56812" TargetMode="External"/><Relationship Id="rId170" Type="http://schemas.openxmlformats.org/officeDocument/2006/relationships/hyperlink" Target="http://polsis.mk.gov.lv/documents?order=desc&amp;pageNr=0&amp;pageSize=10&amp;query=M%C4%81jok%C4%BCa" TargetMode="External"/><Relationship Id="rId191" Type="http://schemas.openxmlformats.org/officeDocument/2006/relationships/hyperlink" Target="http://polsis.mk.gov.lv/documents?order=desc&amp;pageNr=0&amp;pageSize=10&amp;query=siltumapg%C4%81de" TargetMode="External"/><Relationship Id="rId205" Type="http://schemas.openxmlformats.org/officeDocument/2006/relationships/hyperlink" Target="https://likumi.lv/doc.php?id=68488" TargetMode="External"/><Relationship Id="rId226" Type="http://schemas.openxmlformats.org/officeDocument/2006/relationships/hyperlink" Target="https://likumi.lv/doc.php?id=211494" TargetMode="External"/><Relationship Id="rId247" Type="http://schemas.openxmlformats.org/officeDocument/2006/relationships/hyperlink" Target="http://tap.mk.gov.lv/mk/tap/?pid=40393118" TargetMode="External"/><Relationship Id="rId107" Type="http://schemas.openxmlformats.org/officeDocument/2006/relationships/hyperlink" Target="http://polsis.mk.gov.lv/documents/6214" TargetMode="External"/><Relationship Id="rId268" Type="http://schemas.openxmlformats.org/officeDocument/2006/relationships/hyperlink" Target="http://www.varam.gov.lv/lat/darbibas_veidi/reg_att/?doc=13630" TargetMode="External"/><Relationship Id="rId11" Type="http://schemas.openxmlformats.org/officeDocument/2006/relationships/hyperlink" Target="http://www.refworld.org/pdfid/47a7079a1.pdf" TargetMode="External"/><Relationship Id="rId32" Type="http://schemas.openxmlformats.org/officeDocument/2006/relationships/hyperlink" Target="http://www.lm.gov.lv/lv/nozares-politika/sociala-apdrosinasana/2-statistika" TargetMode="External"/><Relationship Id="rId53" Type="http://schemas.openxmlformats.org/officeDocument/2006/relationships/hyperlink" Target="https://likumi.lv/ta/id/274899-grozijumi-likuma-par-valsts-pensijam-" TargetMode="External"/><Relationship Id="rId74" Type="http://schemas.openxmlformats.org/officeDocument/2006/relationships/hyperlink" Target="https://www.who.int/healthinfo/indicators/2018/en/" TargetMode="External"/><Relationship Id="rId128" Type="http://schemas.openxmlformats.org/officeDocument/2006/relationships/hyperlink" Target="http://petijumi.mk.gov.lv/sites/default/files/title_file/petij_sif_motivac_paaugst_un_atbalst_pakalpoj_potencial%2Bmerka%2Bgrup_profiles_un_vaj_izpete.pdf" TargetMode="External"/><Relationship Id="rId149" Type="http://schemas.openxmlformats.org/officeDocument/2006/relationships/hyperlink" Target="https://likumi.lv/doc.php?id=57980" TargetMode="External"/><Relationship Id="rId5" Type="http://schemas.openxmlformats.org/officeDocument/2006/relationships/hyperlink" Target="http://www.csb.gov.lv/statistikas-temas/metodologija/materiala-nenodrosinatiba-37053.html" TargetMode="External"/><Relationship Id="rId95" Type="http://schemas.openxmlformats.org/officeDocument/2006/relationships/hyperlink" Target="http://www.vm.gov.lv/images/userfiles/sab_ves_pamatnost_izvertejums_31_01_14.pdf" TargetMode="External"/><Relationship Id="rId160" Type="http://schemas.openxmlformats.org/officeDocument/2006/relationships/hyperlink" Target="http://llufb.llu.lv/dissertation-summary/regionaleconomics/A_Sidelska_prom_darba_kopsavilkums_2014_LLU.pdf" TargetMode="External"/><Relationship Id="rId181" Type="http://schemas.openxmlformats.org/officeDocument/2006/relationships/hyperlink" Target="http://polsis.mk.gov.lv/documents/4559" TargetMode="External"/><Relationship Id="rId216" Type="http://schemas.openxmlformats.org/officeDocument/2006/relationships/hyperlink" Target="http://www.oecd.org/economy/surveys/Latvia-2017-OECD-economic-survey-overview.pdf" TargetMode="External"/><Relationship Id="rId237" Type="http://schemas.openxmlformats.org/officeDocument/2006/relationships/hyperlink" Target="http://www.ievp.gov.lv/images/stories/petijums/17041_Gala_zinojums_2018.07.20..pdf" TargetMode="External"/><Relationship Id="rId258" Type="http://schemas.openxmlformats.org/officeDocument/2006/relationships/hyperlink" Target="https://www.csb.gov.lv/lv/statistika/termini/pilsetu-un-lauku-iedzivotaji" TargetMode="External"/><Relationship Id="rId22" Type="http://schemas.openxmlformats.org/officeDocument/2006/relationships/hyperlink" Target="https://likumi.lv/doc.php?id=254128" TargetMode="External"/><Relationship Id="rId43" Type="http://schemas.openxmlformats.org/officeDocument/2006/relationships/hyperlink" Target="https://www.em.gov.lv/files/eiropas_savieniba/Annex_LV_NRP_2016_Latvian.pdf" TargetMode="External"/><Relationship Id="rId64" Type="http://schemas.openxmlformats.org/officeDocument/2006/relationships/hyperlink" Target="https://likumi.lv/ta/id/274418-grozijumi-transportlidzekla-ekspluatacijas-nodokla-un-uznemumu-vieglo-transportlidzeklu-nodokla-likuma" TargetMode="External"/><Relationship Id="rId118" Type="http://schemas.openxmlformats.org/officeDocument/2006/relationships/hyperlink" Target="https://likumi.lv/doc.php?id=147522" TargetMode="External"/><Relationship Id="rId139" Type="http://schemas.openxmlformats.org/officeDocument/2006/relationships/hyperlink" Target="http://polsis.mk.gov.lv/documents/158" TargetMode="External"/><Relationship Id="rId85" Type="http://schemas.openxmlformats.org/officeDocument/2006/relationships/hyperlink" Target="https://www.spkc.gov.lv/upload/Petijumi%20un%20zinojumi/FINBALT/finbalt_2016_2.pdf" TargetMode="External"/><Relationship Id="rId150" Type="http://schemas.openxmlformats.org/officeDocument/2006/relationships/hyperlink" Target="https://likumi.lv/doc.php?id=36850" TargetMode="External"/><Relationship Id="rId171" Type="http://schemas.openxmlformats.org/officeDocument/2006/relationships/hyperlink" Target="http://polsis.mk.gov.lv/documents?order=desc&amp;pageNr=0&amp;pageSize=10&amp;query=siltumapg%C4%81de" TargetMode="External"/><Relationship Id="rId192" Type="http://schemas.openxmlformats.org/officeDocument/2006/relationships/hyperlink" Target="https://www.em.gov.lv/lv/nozares_politika/majokli/informativie_zinojumi/" TargetMode="External"/><Relationship Id="rId206" Type="http://schemas.openxmlformats.org/officeDocument/2006/relationships/hyperlink" Target="https://likumi.lv/doc.php?id=167547" TargetMode="External"/><Relationship Id="rId227" Type="http://schemas.openxmlformats.org/officeDocument/2006/relationships/hyperlink" Target="http://petijumi.mk.gov.lv/sites/default/files/title_file/petij_sif_motivac_paaugst_un_atbalst_pakalpoj_potencial%2Bmerka%2Bgrup_profiles_un_vaj_izpete.pdf" TargetMode="External"/><Relationship Id="rId248" Type="http://schemas.openxmlformats.org/officeDocument/2006/relationships/hyperlink" Target="https://likumi.lv/doc.php?id=64328" TargetMode="External"/><Relationship Id="rId269" Type="http://schemas.openxmlformats.org/officeDocument/2006/relationships/hyperlink" Target="http://tap.mk.gov.lv/mk/tap/?pid=40460362" TargetMode="External"/><Relationship Id="rId12" Type="http://schemas.openxmlformats.org/officeDocument/2006/relationships/hyperlink" Target="http://www.rtpv.edu.lv/spaw/uploads/files/TIESIBU_PAMATI.pdf" TargetMode="External"/><Relationship Id="rId33" Type="http://schemas.openxmlformats.org/officeDocument/2006/relationships/hyperlink" Target="https://likumi.lv/ta/id/222142-noteikumi-par-valsts-socialo-pabalstu-cernobilas-atomelektrostacijas-avarijas-seku-likvidesanas-dalibniekiem-un-miruso-cernobil" TargetMode="External"/><Relationship Id="rId108" Type="http://schemas.openxmlformats.org/officeDocument/2006/relationships/hyperlink" Target="http://polsis.mk.gov.lv/documents/6128" TargetMode="External"/><Relationship Id="rId129" Type="http://schemas.openxmlformats.org/officeDocument/2006/relationships/hyperlink" Target="http://www.cilvektirdznieciba.lv/lv/paplasinas-atbalsta-un-palidzibas-pakalpojumi-cilveku-tirdznieciba-cietusajiem/212" TargetMode="External"/><Relationship Id="rId54" Type="http://schemas.openxmlformats.org/officeDocument/2006/relationships/hyperlink" Target="https://likumi.lv/doc.php?id=65827" TargetMode="External"/><Relationship Id="rId75" Type="http://schemas.openxmlformats.org/officeDocument/2006/relationships/hyperlink" Target="http://dx.doi.org/10.1787/9789264262782-en" TargetMode="External"/><Relationship Id="rId96" Type="http://schemas.openxmlformats.org/officeDocument/2006/relationships/hyperlink" Target="http://tap.mk.gov.lv/lv/mk/tap/?pid=40467516" TargetMode="External"/><Relationship Id="rId140" Type="http://schemas.openxmlformats.org/officeDocument/2006/relationships/hyperlink" Target="https://ortus.rtu.lv/science/lv/publications/23942/attachments/2580" TargetMode="External"/><Relationship Id="rId161" Type="http://schemas.openxmlformats.org/officeDocument/2006/relationships/hyperlink" Target="http://www.housingeurope.eu/resource-1000/the-state-of-housing-in-the-eu-2017" TargetMode="External"/><Relationship Id="rId182" Type="http://schemas.openxmlformats.org/officeDocument/2006/relationships/hyperlink" Target="http://polsis.mk.gov.lv/documents/2994" TargetMode="External"/><Relationship Id="rId217" Type="http://schemas.openxmlformats.org/officeDocument/2006/relationships/hyperlink" Target="http://www.lm.gov.lv/upload/projekts/faili/4_vadiba_partneri_zinojums_saskanots.pdf" TargetMode="External"/><Relationship Id="rId6" Type="http://schemas.openxmlformats.org/officeDocument/2006/relationships/hyperlink" Target="https://likumi.lv/doc.php?id=207462" TargetMode="External"/><Relationship Id="rId238" Type="http://schemas.openxmlformats.org/officeDocument/2006/relationships/hyperlink" Target="http://www.ievp.gov.lv/images/stories/petijums/181220_Gala_zinojums_2v.pdf" TargetMode="External"/><Relationship Id="rId259" Type="http://schemas.openxmlformats.org/officeDocument/2006/relationships/hyperlink" Target="http://www.vmnvd.gov.lv/lv/esf-projekts/zinojumi" TargetMode="External"/><Relationship Id="rId23" Type="http://schemas.openxmlformats.org/officeDocument/2006/relationships/hyperlink" Target="https://likumi.lv/ta/id/269034-grozijumi-elektroenergijas-tirgus-likuma" TargetMode="External"/><Relationship Id="rId119" Type="http://schemas.openxmlformats.org/officeDocument/2006/relationships/hyperlink" Target="https://likumi.lv/doc.php?id=52951" TargetMode="External"/><Relationship Id="rId270" Type="http://schemas.openxmlformats.org/officeDocument/2006/relationships/hyperlink" Target="https://www.eriga.lv/ServiceCards/Default.aspx?cardExternalId=RD018661AJ0018" TargetMode="External"/><Relationship Id="rId44" Type="http://schemas.openxmlformats.org/officeDocument/2006/relationships/hyperlink" Target="https://likumi.lv/ta/id/270686-grozijumi-ministru-kabineta-2013-gada-27-augusta-noteikumos-nr-665-noteikumi-par-minimalo-menesa-darba-algu-un-minimalo-stundas" TargetMode="External"/><Relationship Id="rId60" Type="http://schemas.openxmlformats.org/officeDocument/2006/relationships/hyperlink" Target="https://likumi.lv/ta/id/270225-grozijumi-likuma-par-obligato-socialo-apdrosinasanu-pret-nelaimes-gadijumiem-darba-un-arodslimibam-" TargetMode="External"/><Relationship Id="rId65" Type="http://schemas.openxmlformats.org/officeDocument/2006/relationships/hyperlink" Target="https://likumi.lv/ta/id/278635-grozijumi-likuma-par-nekustama-ipasuma-nodokli" TargetMode="External"/><Relationship Id="rId81" Type="http://schemas.openxmlformats.org/officeDocument/2006/relationships/hyperlink" Target="http://www.vmnvd.gov.lv/uploads/files/583d767fda31f.pdf" TargetMode="External"/><Relationship Id="rId86" Type="http://schemas.openxmlformats.org/officeDocument/2006/relationships/hyperlink" Target="https://ec.europa.eu/eurostat/web/income-and-living-conditions/data/ad-hoc-modules" TargetMode="External"/><Relationship Id="rId130" Type="http://schemas.openxmlformats.org/officeDocument/2006/relationships/hyperlink" Target="https://www.spkc.gov.lv/upload/Petijumi%20un%20zinojumi/Atkaribu%20slimibu%20petijumi/Diana/biss_atkaribu_lietosana_ieslodzijuma_2018_redits_002.pdf" TargetMode="External"/><Relationship Id="rId135" Type="http://schemas.openxmlformats.org/officeDocument/2006/relationships/hyperlink" Target="http://www.beglis.lv/lv/ir-stajusies-speka-kartiba-kada-patveruma-mekletaju-izmitinasanas-centra-ievietotai-personai-veicama-veselibas-parbaude" TargetMode="External"/><Relationship Id="rId151" Type="http://schemas.openxmlformats.org/officeDocument/2006/relationships/hyperlink" Target="https://likumi.lv/doc.php?id=57255" TargetMode="External"/><Relationship Id="rId156" Type="http://schemas.openxmlformats.org/officeDocument/2006/relationships/hyperlink" Target="http://www.tiesibsargs.lv/uploads/content/lapas/zinojums_pasvaldibu_majokli_1535636795.pdf" TargetMode="External"/><Relationship Id="rId177" Type="http://schemas.openxmlformats.org/officeDocument/2006/relationships/hyperlink" Target="https://likumi.lv/ta/id/280055-par-ricibas-planu-gimenes-valsts-politikas-pamatnostadnu-2011-2017-gadam-istenosanai-2016-2017-gada" TargetMode="External"/><Relationship Id="rId198" Type="http://schemas.openxmlformats.org/officeDocument/2006/relationships/hyperlink" Target="https://likumi.lv/doc.php?id=56812" TargetMode="External"/><Relationship Id="rId172" Type="http://schemas.openxmlformats.org/officeDocument/2006/relationships/hyperlink" Target="http://polsis.mk.gov.lv/documents?order=desc&amp;pageNr=0&amp;pageSize=10&amp;query=energo" TargetMode="External"/><Relationship Id="rId193" Type="http://schemas.openxmlformats.org/officeDocument/2006/relationships/hyperlink" Target="http://polsis.mk.gov.lv/documents?order=desc&amp;pageNr=0&amp;pageSize=10&amp;query=energo" TargetMode="External"/><Relationship Id="rId202" Type="http://schemas.openxmlformats.org/officeDocument/2006/relationships/hyperlink" Target="https://likumi.lv/doc.php?id=221382" TargetMode="External"/><Relationship Id="rId207" Type="http://schemas.openxmlformats.org/officeDocument/2006/relationships/hyperlink" Target="https://likumi.lv/doc.php?id=211494" TargetMode="External"/><Relationship Id="rId223" Type="http://schemas.openxmlformats.org/officeDocument/2006/relationships/hyperlink" Target="https://www.csb.gov.lv/lv/statistika/statistikas-temas/socialie-procesi/nabadziba/tabulas/mng140/iedzivotaju-dzila-materiala-nenodrosinatiba" TargetMode="External"/><Relationship Id="rId228" Type="http://schemas.openxmlformats.org/officeDocument/2006/relationships/hyperlink" Target="https://likumi.lv/doc.php?id=223578" TargetMode="External"/><Relationship Id="rId244" Type="http://schemas.openxmlformats.org/officeDocument/2006/relationships/hyperlink" Target="https://issuu.com/sif2015/docs/petijums_romi_lavija" TargetMode="External"/><Relationship Id="rId249" Type="http://schemas.openxmlformats.org/officeDocument/2006/relationships/hyperlink" Target="https://likumi.lv/doc.php?id=68488" TargetMode="External"/><Relationship Id="rId13" Type="http://schemas.openxmlformats.org/officeDocument/2006/relationships/hyperlink" Target="http://ec.europa.eu/regional_policy/sources/docgener/evaluation/guide/evaluation_sourcebook.pdf" TargetMode="External"/><Relationship Id="rId18" Type="http://schemas.openxmlformats.org/officeDocument/2006/relationships/hyperlink" Target="https://www.em.gov.lv/files/eiropas_savieniba/Annex_LV_NRP_2016_Latvian.pdf" TargetMode="External"/><Relationship Id="rId39" Type="http://schemas.openxmlformats.org/officeDocument/2006/relationships/hyperlink" Target="https://likumi.lv/ta/id/269374-kreditinformacijas-biroju-likums" TargetMode="External"/><Relationship Id="rId109" Type="http://schemas.openxmlformats.org/officeDocument/2006/relationships/hyperlink" Target="http://polsis.mk.gov.lv/documents/6048" TargetMode="External"/><Relationship Id="rId260" Type="http://schemas.openxmlformats.org/officeDocument/2006/relationships/hyperlink" Target="http://www.vm.gov.lv/lv/nozare/normativie_dokumenti/attistibas_planosanas_dokumenti1/" TargetMode="External"/><Relationship Id="rId265" Type="http://schemas.openxmlformats.org/officeDocument/2006/relationships/hyperlink" Target="https://www.pkc.gov.lv/sites/default/files/inline-files/NAP2020%20vidusposma%20zinojums%20final_1.pdf" TargetMode="External"/><Relationship Id="rId34" Type="http://schemas.openxmlformats.org/officeDocument/2006/relationships/hyperlink" Target="http://www.lm.gov.lv/lv/nozares-politika/valsts-socialie-pabalsti/8-publikacijas-petijumi-un-statistika/8-statistika" TargetMode="External"/><Relationship Id="rId50" Type="http://schemas.openxmlformats.org/officeDocument/2006/relationships/hyperlink" Target="https://www.em.gov.lv/files/eiropas_savieniba/Annex_LV_NRP_2016_Latvian.pdf" TargetMode="External"/><Relationship Id="rId55" Type="http://schemas.openxmlformats.org/officeDocument/2006/relationships/hyperlink" Target="https://www.em.gov.lv/files/eiropas_savieniba/Annex_LV_NRP_2016_Latvian.pdf" TargetMode="External"/><Relationship Id="rId76" Type="http://schemas.openxmlformats.org/officeDocument/2006/relationships/hyperlink" Target="http://europa.eu/rapid/press-release_MEMO-09-467_en.pdf" TargetMode="External"/><Relationship Id="rId97" Type="http://schemas.openxmlformats.org/officeDocument/2006/relationships/hyperlink" Target="http://www.vm.gov.lv/lv/aktualitates/preses_relizes/5938_veselibas_ministre_piedava_ieviest_vienotu_veselibas_aprupes" TargetMode="External"/><Relationship Id="rId104" Type="http://schemas.openxmlformats.org/officeDocument/2006/relationships/hyperlink" Target="http://www.vmnvd.gov.lv/uploads/files/58104acc690b4.pdf" TargetMode="External"/><Relationship Id="rId120" Type="http://schemas.openxmlformats.org/officeDocument/2006/relationships/hyperlink" Target="https://likumi.lv/doc.php?id=11215" TargetMode="External"/><Relationship Id="rId125" Type="http://schemas.openxmlformats.org/officeDocument/2006/relationships/hyperlink" Target="https://likumi.lv/ta/id/299503-par-mates-un-berna-veselibas-uzlabosanas-planu-2018-2020-gadam" TargetMode="External"/><Relationship Id="rId141" Type="http://schemas.openxmlformats.org/officeDocument/2006/relationships/hyperlink" Target="https://likumi.lv/doc.php?id=35770" TargetMode="External"/><Relationship Id="rId146" Type="http://schemas.openxmlformats.org/officeDocument/2006/relationships/hyperlink" Target="https://ortus.rtu.lv/science/lv/publications/23942/attachments/2580" TargetMode="External"/><Relationship Id="rId167" Type="http://schemas.openxmlformats.org/officeDocument/2006/relationships/hyperlink" Target="http://www.rdpad.lv/wp-content/uploads/2017/10/majoklu/8_pielikums_Majokla%20standarts.pdf" TargetMode="External"/><Relationship Id="rId188" Type="http://schemas.openxmlformats.org/officeDocument/2006/relationships/hyperlink" Target="http://tap.mk.gov.lv/mk/tap/?pid=40460362" TargetMode="External"/><Relationship Id="rId7" Type="http://schemas.openxmlformats.org/officeDocument/2006/relationships/hyperlink" Target="http://polsis.mk.gov.lv/documents/4965" TargetMode="External"/><Relationship Id="rId71" Type="http://schemas.openxmlformats.org/officeDocument/2006/relationships/hyperlink" Target="https://www.rsu.lv/sites/default/files/dissertations/AIvanovs_promocijas_darbs.pdf" TargetMode="External"/><Relationship Id="rId92" Type="http://schemas.openxmlformats.org/officeDocument/2006/relationships/hyperlink" Target="http://www.vm.gov.lv/images/userfiles/vmpl_270214_pva.doc" TargetMode="External"/><Relationship Id="rId162" Type="http://schemas.openxmlformats.org/officeDocument/2006/relationships/hyperlink" Target="https://coebank.org/media/documents/Part_3-Inequality-Housing.pdf" TargetMode="External"/><Relationship Id="rId183" Type="http://schemas.openxmlformats.org/officeDocument/2006/relationships/hyperlink" Target="http://polsis.mk.gov.lv/documents/1232" TargetMode="External"/><Relationship Id="rId213" Type="http://schemas.openxmlformats.org/officeDocument/2006/relationships/hyperlink" Target="https://likumi.lv/doc.php?id=105785" TargetMode="External"/><Relationship Id="rId218" Type="http://schemas.openxmlformats.org/officeDocument/2006/relationships/hyperlink" Target="http://tap.mk.gov.lv/mk/tap/?pid=40460362" TargetMode="External"/><Relationship Id="rId234" Type="http://schemas.openxmlformats.org/officeDocument/2006/relationships/hyperlink" Target="https://likumi.lv/doc.php?id=147113" TargetMode="External"/><Relationship Id="rId239" Type="http://schemas.openxmlformats.org/officeDocument/2006/relationships/hyperlink" Target="http://www.likumi.lv/doc.php?id=252684" TargetMode="External"/><Relationship Id="rId2" Type="http://schemas.openxmlformats.org/officeDocument/2006/relationships/hyperlink" Target="https://www.csb.gov.lv/lv/statistika/statistikas-temas/socialie-procesi/nabadziba/tabulas/nig020/nabadzibas-riska-slieksnis-ilustrativas-vertibas" TargetMode="External"/><Relationship Id="rId29" Type="http://schemas.openxmlformats.org/officeDocument/2006/relationships/hyperlink" Target="https://likumi.lv/doc.php?id=202676" TargetMode="External"/><Relationship Id="rId250" Type="http://schemas.openxmlformats.org/officeDocument/2006/relationships/hyperlink" Target="https://likumi.lv/doc.php?id=252684" TargetMode="External"/><Relationship Id="rId255" Type="http://schemas.openxmlformats.org/officeDocument/2006/relationships/hyperlink" Target="https://www.em.gov.lv/lv/eiropas_savieniba/strategija__eiropa_2020_/latvijas_nacionala_reformu_programma/" TargetMode="External"/><Relationship Id="rId271" Type="http://schemas.openxmlformats.org/officeDocument/2006/relationships/hyperlink" Target="https://likumi.lv/doc.php?id=63545" TargetMode="External"/><Relationship Id="rId24" Type="http://schemas.openxmlformats.org/officeDocument/2006/relationships/hyperlink" Target="https://likumi.lv/ta/id/270789-darbibas-programmas-partikas-un-pamata-materialas-palidzibas-sniegsana-vistrucigakajam-personam-2014-2020-gada-planosanas" TargetMode="External"/><Relationship Id="rId40" Type="http://schemas.openxmlformats.org/officeDocument/2006/relationships/hyperlink" Target="https://likumi.lv/ta/id/269517-grozijumi-maksatnespejas-likuma" TargetMode="External"/><Relationship Id="rId45" Type="http://schemas.openxmlformats.org/officeDocument/2006/relationships/hyperlink" Target="http://www.lm.gov.lv/lv/index.php?option=com_content&amp;view=article&amp;id=80635" TargetMode="External"/><Relationship Id="rId66" Type="http://schemas.openxmlformats.org/officeDocument/2006/relationships/hyperlink" Target="http://appsso.eurostat.ec.europa.eu/nui/show.do?dataset=ilc_di12" TargetMode="External"/><Relationship Id="rId87" Type="http://schemas.openxmlformats.org/officeDocument/2006/relationships/hyperlink" Target="https://www.csb.gov.lv/lv/statistika/statistikas-temas/socialie-procesi/veseliba/meklet-tema/214-iedzivotaju-veselibas-apsekojuma-rezultati" TargetMode="External"/><Relationship Id="rId110" Type="http://schemas.openxmlformats.org/officeDocument/2006/relationships/hyperlink" Target="http://polsis.mk.gov.lv/documents/6214" TargetMode="External"/><Relationship Id="rId115" Type="http://schemas.openxmlformats.org/officeDocument/2006/relationships/hyperlink" Target="http://dx.doi.org/10.1787/9789264262782-en" TargetMode="External"/><Relationship Id="rId131" Type="http://schemas.openxmlformats.org/officeDocument/2006/relationships/hyperlink" Target="https://www.spkc.gov.lv/upload/Petijumi%20un%20zinojumi/Atkaribu%20slimibu%20petijumi/narkotiku_izplatiba_ieslodzijuma_vietas_lv_2014_gada.pdf" TargetMode="External"/><Relationship Id="rId136" Type="http://schemas.openxmlformats.org/officeDocument/2006/relationships/hyperlink" Target="http://polsis.mk.gov.lv/documents?order=desc&amp;pageNr=1&amp;pageSize=10&amp;query=m%C4%81jok%C4%BCa" TargetMode="External"/><Relationship Id="rId157" Type="http://schemas.openxmlformats.org/officeDocument/2006/relationships/hyperlink" Target="https://likumi.lv/doc.php?id=255022" TargetMode="External"/><Relationship Id="rId178" Type="http://schemas.openxmlformats.org/officeDocument/2006/relationships/hyperlink" Target="http://polsis.mk.gov.lv/documents/4558" TargetMode="External"/><Relationship Id="rId61" Type="http://schemas.openxmlformats.org/officeDocument/2006/relationships/hyperlink" Target="https://likumi.lv/ta/id/278633-grozijumi-likuma-par-iedzivotaju-ienakuma-nodokli" TargetMode="External"/><Relationship Id="rId82" Type="http://schemas.openxmlformats.org/officeDocument/2006/relationships/hyperlink" Target="http://www.vmnvd.gov.lv/uploads/files/58aef4ca681b0.pdf" TargetMode="External"/><Relationship Id="rId152" Type="http://schemas.openxmlformats.org/officeDocument/2006/relationships/hyperlink" Target="http://www.tiesibsargs.lv/uploads/content/lapas/zinojums_pasvaldibu_majokli_1535636795.pdf" TargetMode="External"/><Relationship Id="rId173" Type="http://schemas.openxmlformats.org/officeDocument/2006/relationships/hyperlink" Target="http://www.varam.gov.lv/lat/pol/ppd/?doc=20773" TargetMode="External"/><Relationship Id="rId194" Type="http://schemas.openxmlformats.org/officeDocument/2006/relationships/hyperlink" Target="http://polsis.mk.gov.lv/documents?query=%E2%80%A2%0924.10.2017.%20Informat%C4%ABvais%20zi%C5%86ojums%20%E2%80%9E%C4%92ku%20atjauno%C5%A1anas%20ilgtermi%C5%86a%20strat%C4%93%C4%A3ija%E2%80%9D&amp;order=desc&amp;pageNr=0&amp;pageSize=10" TargetMode="External"/><Relationship Id="rId199" Type="http://schemas.openxmlformats.org/officeDocument/2006/relationships/hyperlink" Target="https://www.em.gov.lv/lv/nozares_politika/majokli/dzivojamo_telpu_ires_likumprojekts/" TargetMode="External"/><Relationship Id="rId203" Type="http://schemas.openxmlformats.org/officeDocument/2006/relationships/hyperlink" Target="https://likumi.lv/doc.php?id=108834" TargetMode="External"/><Relationship Id="rId208" Type="http://schemas.openxmlformats.org/officeDocument/2006/relationships/hyperlink" Target="http://www.oecd.org/eco/surveys/economic-survey-latvia.htm" TargetMode="External"/><Relationship Id="rId229" Type="http://schemas.openxmlformats.org/officeDocument/2006/relationships/hyperlink" Target="https://likumi.lv/doc.php?id=50759" TargetMode="External"/><Relationship Id="rId19" Type="http://schemas.openxmlformats.org/officeDocument/2006/relationships/hyperlink" Target="http://likumi.lv/doc.php?id=259405" TargetMode="External"/><Relationship Id="rId224" Type="http://schemas.openxmlformats.org/officeDocument/2006/relationships/hyperlink" Target="https://www.csb.gov.lv/lv/statistika/statistikas-temas/socialie-procesi/majokla-apstakli/meklet-tema/2391-majokla-uzturesanas-izdevumi-2017-gada" TargetMode="External"/><Relationship Id="rId240" Type="http://schemas.openxmlformats.org/officeDocument/2006/relationships/hyperlink" Target="https://data1.csb.gov.lv/pxweb/lv/iedz/iedz__iedzrakst/IRG090.px" TargetMode="External"/><Relationship Id="rId245" Type="http://schemas.openxmlformats.org/officeDocument/2006/relationships/hyperlink" Target="http://www.pmlp.gov.lv/lv/sakums/statistika/patveruma-mekletaji.html" TargetMode="External"/><Relationship Id="rId261" Type="http://schemas.openxmlformats.org/officeDocument/2006/relationships/hyperlink" Target="http://www.vm.gov.lv/lv/nozare/normativie_dokumenti/" TargetMode="External"/><Relationship Id="rId266" Type="http://schemas.openxmlformats.org/officeDocument/2006/relationships/hyperlink" Target="https://www.em.gov.lv/lv/jaunumi/21029-mk-atbalsta-em-piedavajumu-daudzdzivoklu-dzivojamo-maju-buvniecibai-regionos" TargetMode="External"/><Relationship Id="rId14" Type="http://schemas.openxmlformats.org/officeDocument/2006/relationships/hyperlink" Target="http://m.esfondi.lv/upload/Petijumi_un_izvertejumi/apraksti/Izvertesanas_vadlinijas_31012014_final.pdf" TargetMode="External"/><Relationship Id="rId30" Type="http://schemas.openxmlformats.org/officeDocument/2006/relationships/hyperlink" Target="https://www.letonika.lv/groups/default.aspx?r=1107&amp;q=jo&amp;id=2060051&amp;g=1" TargetMode="External"/><Relationship Id="rId35" Type="http://schemas.openxmlformats.org/officeDocument/2006/relationships/hyperlink" Target="https://likumi.lv/ta/id/271317-grozijumi-likuma-par-iedzivotaju-ienakuma-nodokli" TargetMode="External"/><Relationship Id="rId56" Type="http://schemas.openxmlformats.org/officeDocument/2006/relationships/hyperlink" Target="http://www.biceps.org/assets/docs/neregulara-rakstura/OccasionalPaperNo11" TargetMode="External"/><Relationship Id="rId77" Type="http://schemas.openxmlformats.org/officeDocument/2006/relationships/hyperlink" Target="https://dspace.lu.lv/dspace/bitstream/handle/7/5082/19803-Irina_Mozajeva_2012.pdf?sequence=1" TargetMode="External"/><Relationship Id="rId100" Type="http://schemas.openxmlformats.org/officeDocument/2006/relationships/hyperlink" Target="http://www.vm.gov.lv/lv/aktualitates/par_veselibas_aprupes_sistemas_reformu/" TargetMode="External"/><Relationship Id="rId105" Type="http://schemas.openxmlformats.org/officeDocument/2006/relationships/hyperlink" Target="https://likumi.lv/ta/id/299503-par-mates-un-berna-veselibas-uzlabosanas-planu-2018-2020-gadam" TargetMode="External"/><Relationship Id="rId126" Type="http://schemas.openxmlformats.org/officeDocument/2006/relationships/hyperlink" Target="http://fra.europa.eu/en/publications-and-resources/data-and-maps/survey-data-explorer-violence-against-women-survey" TargetMode="External"/><Relationship Id="rId147" Type="http://schemas.openxmlformats.org/officeDocument/2006/relationships/hyperlink" Target="https://www.oecd.org/economy/launch-of-the-economic-survey-of-latvia-2017.htm" TargetMode="External"/><Relationship Id="rId168" Type="http://schemas.openxmlformats.org/officeDocument/2006/relationships/hyperlink" Target="https://ec.europa.eu/eurostat/statistics-explained/index.php?title=Glossary:Overcrowding_rate" TargetMode="External"/><Relationship Id="rId8" Type="http://schemas.openxmlformats.org/officeDocument/2006/relationships/hyperlink" Target="http://polsis.mk.gov.lv/documents/4965" TargetMode="External"/><Relationship Id="rId51" Type="http://schemas.openxmlformats.org/officeDocument/2006/relationships/hyperlink" Target="https://likumi.lv/doc.php?id=155220" TargetMode="External"/><Relationship Id="rId72" Type="http://schemas.openxmlformats.org/officeDocument/2006/relationships/hyperlink" Target="https://www.rsu.lv/sites/default/files/dissertations/AIvanovs_promocijas_darbs.pdf" TargetMode="External"/><Relationship Id="rId93" Type="http://schemas.openxmlformats.org/officeDocument/2006/relationships/hyperlink" Target="http://polsis.mk.gov.lv/documents/4965" TargetMode="External"/><Relationship Id="rId98" Type="http://schemas.openxmlformats.org/officeDocument/2006/relationships/hyperlink" Target="http://polsis.mk.gov.lv/documents/6393" TargetMode="External"/><Relationship Id="rId121" Type="http://schemas.openxmlformats.org/officeDocument/2006/relationships/hyperlink" Target="http://dx.doi.org/10.1787/9789264262782-en" TargetMode="External"/><Relationship Id="rId142" Type="http://schemas.openxmlformats.org/officeDocument/2006/relationships/hyperlink" Target="http://www.babite.lv/wp-content/uploads/2015/07/SN-16-pabalstiem-ar-materi%C4%81l%C4%81-st%C4%81vok%C4%BCa-izv%C4%93rt%C4%93%C5%A1anu_25.10.2017..pdf" TargetMode="External"/><Relationship Id="rId163" Type="http://schemas.openxmlformats.org/officeDocument/2006/relationships/hyperlink" Target="https://www.researchgate.net/publication/265059299_HOUSING_AFFORDABILITY_IN_THE_EU_Current_situation_and_recent_trends" TargetMode="External"/><Relationship Id="rId184" Type="http://schemas.openxmlformats.org/officeDocument/2006/relationships/hyperlink" Target="http://polsis.mk.gov.lv/documents/757" TargetMode="External"/><Relationship Id="rId189" Type="http://schemas.openxmlformats.org/officeDocument/2006/relationships/hyperlink" Target="http://tap.mk.gov.lv/lv/mk/tap/?pid=40461868" TargetMode="External"/><Relationship Id="rId219" Type="http://schemas.openxmlformats.org/officeDocument/2006/relationships/hyperlink" Target="http://www.tiesibsargs.lv/uploads/content/lapas/zinojums_pasvaldibu_majokli_pielikums_1535637005.pdf" TargetMode="External"/><Relationship Id="rId3" Type="http://schemas.openxmlformats.org/officeDocument/2006/relationships/hyperlink" Target="https://www.csb.gov.lv/lv/statistika/statistikas-temas/socialie-procesi/mba/tabulas/iig090/majsaimniecibu-riciba-esosie-ienakumi-kvintilu-grupas" TargetMode="External"/><Relationship Id="rId214" Type="http://schemas.openxmlformats.org/officeDocument/2006/relationships/hyperlink" Target="http://tap.mk.gov.lv/mk/tap/?pid=40460362" TargetMode="External"/><Relationship Id="rId230" Type="http://schemas.openxmlformats.org/officeDocument/2006/relationships/hyperlink" Target="http://www.lm.gov.lv/upload/berns_gimene/lmpamn_200111_gvp.pdf" TargetMode="External"/><Relationship Id="rId235" Type="http://schemas.openxmlformats.org/officeDocument/2006/relationships/hyperlink" Target="http://www.lm.gov.lv/lv/index.php?option=com_content&amp;view=article&amp;id=81555" TargetMode="External"/><Relationship Id="rId251" Type="http://schemas.openxmlformats.org/officeDocument/2006/relationships/hyperlink" Target="https://www.eriga.lv/ServiceCards/Default.aspx?cardExternalId=RD017958AJ0010" TargetMode="External"/><Relationship Id="rId256" Type="http://schemas.openxmlformats.org/officeDocument/2006/relationships/hyperlink" Target="https://likumi.lv/doc.php?id=203061" TargetMode="External"/><Relationship Id="rId25" Type="http://schemas.openxmlformats.org/officeDocument/2006/relationships/hyperlink" Target="http://www.sif.gov.lv" TargetMode="External"/><Relationship Id="rId46" Type="http://schemas.openxmlformats.org/officeDocument/2006/relationships/hyperlink" Target="http://likumi.lv/doc.php?id=254128" TargetMode="External"/><Relationship Id="rId67" Type="http://schemas.openxmlformats.org/officeDocument/2006/relationships/hyperlink" Target="http://www.tiesibsargs.lv/uploads/content/2_sejums_1551263667.pdf" TargetMode="External"/><Relationship Id="rId116" Type="http://schemas.openxmlformats.org/officeDocument/2006/relationships/hyperlink" Target="http://polsis.mk.gov.lv/documents/6214" TargetMode="External"/><Relationship Id="rId137" Type="http://schemas.openxmlformats.org/officeDocument/2006/relationships/hyperlink" Target="http://polsis.mk.gov.lv/documents/584" TargetMode="External"/><Relationship Id="rId158" Type="http://schemas.openxmlformats.org/officeDocument/2006/relationships/hyperlink" Target="https://rm.coe.int/168049159f" TargetMode="External"/><Relationship Id="rId20" Type="http://schemas.openxmlformats.org/officeDocument/2006/relationships/hyperlink" Target="https://likumi.lv/ta/id/278067-noteikumi-par-minimalas-menesa-darba-algas-apmeru-normala-darba-laika-ietvaros-un-minimalas-stundas-tarifa-likmes-aprekinasanu" TargetMode="External"/><Relationship Id="rId41" Type="http://schemas.openxmlformats.org/officeDocument/2006/relationships/hyperlink" Target="https://likumi.lv/ta/id/272497-grozijumi-maksatnespejas-likuma" TargetMode="External"/><Relationship Id="rId62" Type="http://schemas.openxmlformats.org/officeDocument/2006/relationships/hyperlink" Target="http://www.biceps.org/assets/docs/neregulara-rakstura/OccasionalPaperNo11" TargetMode="External"/><Relationship Id="rId83" Type="http://schemas.openxmlformats.org/officeDocument/2006/relationships/hyperlink" Target="http://www.vmnvd.gov.lv/uploads/files/58104acc690b4.pdf" TargetMode="External"/><Relationship Id="rId88" Type="http://schemas.openxmlformats.org/officeDocument/2006/relationships/hyperlink" Target="https://likumi.lv/doc.php?id=44108" TargetMode="External"/><Relationship Id="rId111" Type="http://schemas.openxmlformats.org/officeDocument/2006/relationships/hyperlink" Target="http://polsis.mk.gov.lv/documents/6214" TargetMode="External"/><Relationship Id="rId132" Type="http://schemas.openxmlformats.org/officeDocument/2006/relationships/hyperlink" Target="https://issuu.com/sif2015/docs/petijums_romi_lavija" TargetMode="External"/><Relationship Id="rId153" Type="http://schemas.openxmlformats.org/officeDocument/2006/relationships/hyperlink" Target="https://ec.europa.eu/info/sites/info/files/eapn-access-to-housing-and-health-services.pdf" TargetMode="External"/><Relationship Id="rId174" Type="http://schemas.openxmlformats.org/officeDocument/2006/relationships/hyperlink" Target="http://www.lm.gov.lv/upload/berns_gimene/lmpamn_200111_gvp.pdf" TargetMode="External"/><Relationship Id="rId179" Type="http://schemas.openxmlformats.org/officeDocument/2006/relationships/hyperlink" Target="http://polsis.mk.gov.lv/documents/5499" TargetMode="External"/><Relationship Id="rId195" Type="http://schemas.openxmlformats.org/officeDocument/2006/relationships/hyperlink" Target="https://www.esfondi.lv/upload/Planosana/FMProg_270115_DP_2.pdf" TargetMode="External"/><Relationship Id="rId209" Type="http://schemas.openxmlformats.org/officeDocument/2006/relationships/hyperlink" Target="http://titania.saeima.lv/LIVS12/SaeimaLIVS12.nsf/0/A57D4D026B9B8107C2258251002F6750?OpenDocument" TargetMode="External"/><Relationship Id="rId190" Type="http://schemas.openxmlformats.org/officeDocument/2006/relationships/hyperlink" Target="https://likumi.lv/doc.php?id=56863" TargetMode="External"/><Relationship Id="rId204" Type="http://schemas.openxmlformats.org/officeDocument/2006/relationships/hyperlink" Target="https://likumi.lv/doc.php?id=214590" TargetMode="External"/><Relationship Id="rId220" Type="http://schemas.openxmlformats.org/officeDocument/2006/relationships/hyperlink" Target="http://www.tiesibsargs.lv/lv/pages/petijumi-un-publikacijas/gadazinojumi/specialie-zinojumi" TargetMode="External"/><Relationship Id="rId225" Type="http://schemas.openxmlformats.org/officeDocument/2006/relationships/hyperlink" Target="https://www.csb.gov.lv/lv/statistika/statistikas-temas/socialie-procesi/majokla-apstakli/meklet-tema/2610-majokla-uzturesanas-izdevumi-2018-gada" TargetMode="External"/><Relationship Id="rId241" Type="http://schemas.openxmlformats.org/officeDocument/2006/relationships/hyperlink" Target="https://www.pmlp.gov.lv/lv/assets/documents/statistika/Iedz%C4%ABvot%C4%81ju%20re%C4%A3istrs%20st.%20uz%2001072018/ISVN_Latvija_pec_TTB_VPD.pdf" TargetMode="External"/><Relationship Id="rId246" Type="http://schemas.openxmlformats.org/officeDocument/2006/relationships/hyperlink" Target="http://www.biss.soc.lv/downloads/publications/BISS_Petijuma_zinojums_2017.pdf" TargetMode="External"/><Relationship Id="rId267" Type="http://schemas.openxmlformats.org/officeDocument/2006/relationships/hyperlink" Target="https://likumi.lv/ta/id/264622-grozijumi-civilprocesa-likuma" TargetMode="External"/><Relationship Id="rId15" Type="http://schemas.openxmlformats.org/officeDocument/2006/relationships/hyperlink" Target="http://m.esfondi.lv/upload/Petijumi_un_izvertejumi/apraksti/Izvertesanas_vadlinijas_31012014_final.pdf" TargetMode="External"/><Relationship Id="rId36" Type="http://schemas.openxmlformats.org/officeDocument/2006/relationships/hyperlink" Target="http://www.tiesibsargs.lv/uploads/content/2_sejums_1551263667.pdf" TargetMode="External"/><Relationship Id="rId57" Type="http://schemas.openxmlformats.org/officeDocument/2006/relationships/hyperlink" Target="https://likumi.lv/ta/id/278512-grozijumi-bernu-tiesibu-aizsardzibas-likuma" TargetMode="External"/><Relationship Id="rId106" Type="http://schemas.openxmlformats.org/officeDocument/2006/relationships/hyperlink" Target="http://polsis.mk.gov.lv/documents/5923" TargetMode="External"/><Relationship Id="rId127" Type="http://schemas.openxmlformats.org/officeDocument/2006/relationships/hyperlink" Target="http://petijumi.mk.gov.lv/sites/default/files/title_file/petij_sif_motivac_paaugst_un_atbalst_pakalpoj_potencial%2Bmerka%2Bgrup_profiles_un_vaj_izpete.pdf" TargetMode="External"/><Relationship Id="rId262" Type="http://schemas.openxmlformats.org/officeDocument/2006/relationships/hyperlink" Target="http://www.fm.gov.lv/lv/sadalas/valsts_budzets/valsts_budzeta_izstrade/_budzets2018/" TargetMode="External"/><Relationship Id="rId10" Type="http://schemas.openxmlformats.org/officeDocument/2006/relationships/hyperlink" Target="https://www.eveseliba.gov.lv/sakums/informativie-raksti/veselibas-veicinasana" TargetMode="External"/><Relationship Id="rId31" Type="http://schemas.openxmlformats.org/officeDocument/2006/relationships/hyperlink" Target="https://likumi.lv/doc.php?id=256929" TargetMode="External"/><Relationship Id="rId52" Type="http://schemas.openxmlformats.org/officeDocument/2006/relationships/hyperlink" Target="http://titania.saeima.lv/LIVS12/SaeimaLIVS12.nsf/0/C31CBED7BAE8551BC2257E50002625A0?OpenDocument" TargetMode="External"/><Relationship Id="rId73" Type="http://schemas.openxmlformats.org/officeDocument/2006/relationships/hyperlink" Target="https://www.who.int/healthinfo/indicators/2018/en/" TargetMode="External"/><Relationship Id="rId78" Type="http://schemas.openxmlformats.org/officeDocument/2006/relationships/hyperlink" Target="https://ec.europa.eu/health/sites/health/files/social_determinants/docs/2017_vulnerable_literaturereview_en.pdf" TargetMode="External"/><Relationship Id="rId94" Type="http://schemas.openxmlformats.org/officeDocument/2006/relationships/hyperlink" Target="http://polsis.mk.gov.lv/documents/3768" TargetMode="External"/><Relationship Id="rId99" Type="http://schemas.openxmlformats.org/officeDocument/2006/relationships/hyperlink" Target="https://likumi.lv/ta/id/282400-darbibas-programmas-izaugsme-un-nodarbinatiba-9-2-4-specifiska-atbalsta-merka-uzlabot-pieejamibu-veselibas-veicinasanas" TargetMode="External"/><Relationship Id="rId101" Type="http://schemas.openxmlformats.org/officeDocument/2006/relationships/hyperlink" Target="http://polsis.mk.gov.lv/documents/6229" TargetMode="External"/><Relationship Id="rId122" Type="http://schemas.openxmlformats.org/officeDocument/2006/relationships/hyperlink" Target="http://www.fm.gov.lv/lv/sadalas/valsts_budzets/valsts_budzeta_izstrade/_budzets2017/" TargetMode="External"/><Relationship Id="rId143" Type="http://schemas.openxmlformats.org/officeDocument/2006/relationships/hyperlink" Target="https://www.csb.gov.lv/lv/statistika/termini?tid=Tradicion%C4%81lais+m%C4%81joklis+%28921%29" TargetMode="External"/><Relationship Id="rId148" Type="http://schemas.openxmlformats.org/officeDocument/2006/relationships/hyperlink" Target="https://www.oecd.org/economy/surveys/Latvia-2017-OECD-economic-Survey-boosting-productivity-and-inclusiveness.pdf" TargetMode="External"/><Relationship Id="rId164" Type="http://schemas.openxmlformats.org/officeDocument/2006/relationships/hyperlink" Target="https://ec.europa.eu/info/sites/info/files/eapn-access-to-housing-and-health-services.pdf" TargetMode="External"/><Relationship Id="rId169" Type="http://schemas.openxmlformats.org/officeDocument/2006/relationships/hyperlink" Target="https://www.pkc.gov.lv/sites/default/files/inline-files/NAP2020%20vidusposma%20zinojums%20final_1.pdf" TargetMode="External"/><Relationship Id="rId185" Type="http://schemas.openxmlformats.org/officeDocument/2006/relationships/hyperlink" Target="https://likumi.lv/ta/id/291013-par-valsts-nodoklu-politikas-pamatnostadnem-2018-2021-gadam" TargetMode="External"/><Relationship Id="rId4" Type="http://schemas.openxmlformats.org/officeDocument/2006/relationships/hyperlink" Target="https://www.csb.gov.lv/lv/statistika/termini?tid=Priv%C4%81t%C4%81+m%C4%81jsaimniec%C4%ABba+%28m%C4%81jsaimniec%C4%ABba%29+%28199%29" TargetMode="External"/><Relationship Id="rId9" Type="http://schemas.openxmlformats.org/officeDocument/2006/relationships/hyperlink" Target="https://www.eveseliba.gov.lv/sakums/informativie-raksti/slimibas-un-to-profilakses" TargetMode="External"/><Relationship Id="rId180" Type="http://schemas.openxmlformats.org/officeDocument/2006/relationships/hyperlink" Target="http://polsis.mk.gov.lv/documents/4633" TargetMode="External"/><Relationship Id="rId210" Type="http://schemas.openxmlformats.org/officeDocument/2006/relationships/hyperlink" Target="https://likumi.lv/doc.php?id=48995&amp;from=o" TargetMode="External"/><Relationship Id="rId215" Type="http://schemas.openxmlformats.org/officeDocument/2006/relationships/hyperlink" Target="http://tap.mk.gov.lv/mk/tap/?pid=40460362" TargetMode="External"/><Relationship Id="rId236" Type="http://schemas.openxmlformats.org/officeDocument/2006/relationships/hyperlink" Target="https://eige.europa.eu/rdc/eige-publications/estimating-costs-gender-based-violence-european-union-report" TargetMode="External"/><Relationship Id="rId257" Type="http://schemas.openxmlformats.org/officeDocument/2006/relationships/hyperlink" Target="http://www.lm.gov.lv/upload/sociala_ieklausana/csp_sipkk_20062017.pdf" TargetMode="External"/><Relationship Id="rId26" Type="http://schemas.openxmlformats.org/officeDocument/2006/relationships/hyperlink" Target="https://likumi.lv/doc.php?id=194076" TargetMode="External"/><Relationship Id="rId231" Type="http://schemas.openxmlformats.org/officeDocument/2006/relationships/hyperlink" Target="https://likumi.lv/ta/id/264622-grozijumi-civilprocesa-likuma" TargetMode="External"/><Relationship Id="rId252" Type="http://schemas.openxmlformats.org/officeDocument/2006/relationships/hyperlink" Target="https://www.eriga.lv/ServiceCards/Default.aspx?cardExternalId=RD018661AJ0018" TargetMode="External"/><Relationship Id="rId47" Type="http://schemas.openxmlformats.org/officeDocument/2006/relationships/hyperlink" Target="https://likumi.lv/doc.php?id=254128" TargetMode="External"/><Relationship Id="rId68" Type="http://schemas.openxmlformats.org/officeDocument/2006/relationships/hyperlink" Target="https://likumi.lv/doc.php?id=253731" TargetMode="External"/><Relationship Id="rId89" Type="http://schemas.openxmlformats.org/officeDocument/2006/relationships/hyperlink" Target="http://polsis.mk.gov.lv/documents/4965" TargetMode="External"/><Relationship Id="rId112" Type="http://schemas.openxmlformats.org/officeDocument/2006/relationships/hyperlink" Target="https://likumi.lv/doc.php?id=296188" TargetMode="External"/><Relationship Id="rId133" Type="http://schemas.openxmlformats.org/officeDocument/2006/relationships/hyperlink" Target="http://www.biss.soc.lv/downloads/publications/BISS_Petijuma_zinojums_2017.pdf" TargetMode="External"/><Relationship Id="rId154" Type="http://schemas.openxmlformats.org/officeDocument/2006/relationships/hyperlink" Target="http://www.refworld.org/pdfid/47a7079a1.pdf" TargetMode="External"/><Relationship Id="rId175" Type="http://schemas.openxmlformats.org/officeDocument/2006/relationships/hyperlink" Target="http://www.lm.gov.lv/upload/berns_gimene/apstr_plans_11032013.pdf" TargetMode="External"/><Relationship Id="rId196" Type="http://schemas.openxmlformats.org/officeDocument/2006/relationships/hyperlink" Target="https://likumi.lv/doc.php?id=36850" TargetMode="External"/><Relationship Id="rId200" Type="http://schemas.openxmlformats.org/officeDocument/2006/relationships/hyperlink" Target="https://likumi.lv/doc.php?id=43913" TargetMode="External"/><Relationship Id="rId16" Type="http://schemas.openxmlformats.org/officeDocument/2006/relationships/hyperlink" Target="http://www.lm.gov.lv/upload/sociala_ieklausana/lm_nabadzibas_izvertejums_nodevums.pdf" TargetMode="External"/><Relationship Id="rId221" Type="http://schemas.openxmlformats.org/officeDocument/2006/relationships/hyperlink" Target="http://petijumi.mk.gov.lv/node/3060" TargetMode="External"/><Relationship Id="rId242" Type="http://schemas.openxmlformats.org/officeDocument/2006/relationships/hyperlink" Target="https://eur-lex.europa.eu/legal-content/LV/TXT/HTML/?uri=CELEX:52011DC0173&amp;from=EN" TargetMode="External"/><Relationship Id="rId263" Type="http://schemas.openxmlformats.org/officeDocument/2006/relationships/hyperlink" Target="https://www.em.gov.lv/lv/nozares_politika/majokli/" TargetMode="External"/><Relationship Id="rId37" Type="http://schemas.openxmlformats.org/officeDocument/2006/relationships/hyperlink" Target="https://likumi.lv/ta/id/271255-noteikumi-par-valsts-socialas-apdrosinasanas-iemaksu-likmes-sadalijumu-pa-valsts-socialas-apdrosinasanas-veidiem-2015-gada" TargetMode="External"/><Relationship Id="rId58" Type="http://schemas.openxmlformats.org/officeDocument/2006/relationships/hyperlink" Target="https://likumi.lv/ta/id/277316-grozijumi-dzivesvietas-deklaresanas-likuma" TargetMode="External"/><Relationship Id="rId79" Type="http://schemas.openxmlformats.org/officeDocument/2006/relationships/hyperlink" Target="http://www.tiesibsargs.lv/uploads/content/legacy/Petijums_Valsts_garantetais_mediciniskas_palidzibas_minimums_2016.pdf" TargetMode="External"/><Relationship Id="rId102" Type="http://schemas.openxmlformats.org/officeDocument/2006/relationships/hyperlink" Target="http://petijumi.mk.gov.lv/node/2210" TargetMode="External"/><Relationship Id="rId123" Type="http://schemas.openxmlformats.org/officeDocument/2006/relationships/hyperlink" Target="https://www.fm.gov.lv/lv/sadalas/valsts_budzets/valsts_budzeta_izstrade/_budzets2017/" TargetMode="External"/><Relationship Id="rId144" Type="http://schemas.openxmlformats.org/officeDocument/2006/relationships/hyperlink" Target="https://www.csb.gov.lv/lv/statistika/termini?tid=%22M%C4%81joklis+%5Btautas+skait%C4%AB%C5%A1ana%2C+2000%5D+%281399%29%22" TargetMode="External"/><Relationship Id="rId90" Type="http://schemas.openxmlformats.org/officeDocument/2006/relationships/hyperlink" Target="http://polsis.mk.gov.lv/documents/3768" TargetMode="External"/><Relationship Id="rId165" Type="http://schemas.openxmlformats.org/officeDocument/2006/relationships/hyperlink" Target="https://ec.europa.eu/eurostat/statistics-explained/index.php/Housing_statistics" TargetMode="External"/><Relationship Id="rId186" Type="http://schemas.openxmlformats.org/officeDocument/2006/relationships/hyperlink" Target="http://polsis.mk.gov.lv/documents/3782" TargetMode="External"/><Relationship Id="rId211" Type="http://schemas.openxmlformats.org/officeDocument/2006/relationships/hyperlink" Target="http://petijumi.mk.gov.lv/node/3060" TargetMode="External"/><Relationship Id="rId232" Type="http://schemas.openxmlformats.org/officeDocument/2006/relationships/hyperlink" Target="http://www.lm.gov.lv/upload/vardarbiba_gimene/lmzino_280318_vg.pdf" TargetMode="External"/><Relationship Id="rId253" Type="http://schemas.openxmlformats.org/officeDocument/2006/relationships/hyperlink" Target="https://likumi.lv/doc.php?id=254202" TargetMode="External"/><Relationship Id="rId27" Type="http://schemas.openxmlformats.org/officeDocument/2006/relationships/hyperlink" Target="http://likumi.lv/doc.php?id=68483" TargetMode="External"/><Relationship Id="rId48" Type="http://schemas.openxmlformats.org/officeDocument/2006/relationships/hyperlink" Target="https://likumi.lv/doc.php?id=90223" TargetMode="External"/><Relationship Id="rId69" Type="http://schemas.openxmlformats.org/officeDocument/2006/relationships/hyperlink" Target="http://www.biceps.org/assets/docs/neregulara-rakstura/OccasionalPaperNo11" TargetMode="External"/><Relationship Id="rId113" Type="http://schemas.openxmlformats.org/officeDocument/2006/relationships/hyperlink" Target="https://likumi.lv/doc.php?id=286029" TargetMode="External"/><Relationship Id="rId134" Type="http://schemas.openxmlformats.org/officeDocument/2006/relationships/hyperlink" Target="http://www.pmlp.gov.lv/lv/sakums/statistika/patveruma-mekletaji.html" TargetMode="External"/><Relationship Id="rId80" Type="http://schemas.openxmlformats.org/officeDocument/2006/relationships/hyperlink" Target="http://vmnvd.gov.lv/uploads/files/583d31a666f9a.pdf" TargetMode="External"/><Relationship Id="rId155" Type="http://schemas.openxmlformats.org/officeDocument/2006/relationships/hyperlink" Target="https://m.likumi.lv/doc.php?id=255042" TargetMode="External"/><Relationship Id="rId176" Type="http://schemas.openxmlformats.org/officeDocument/2006/relationships/hyperlink" Target="http://www.lm.gov.lv/upload/sabiedribas_lidzdaliba/demografisko_lietu/1/plans_2015-17_300315.pdf" TargetMode="External"/><Relationship Id="rId197" Type="http://schemas.openxmlformats.org/officeDocument/2006/relationships/hyperlink" Target="https://likumi.lv/doc.php?id=57255" TargetMode="External"/><Relationship Id="rId201" Type="http://schemas.openxmlformats.org/officeDocument/2006/relationships/hyperlink" Target="https://likumi.lv/doc.php?id=193573" TargetMode="External"/><Relationship Id="rId222" Type="http://schemas.openxmlformats.org/officeDocument/2006/relationships/hyperlink" Target="https://www.csb.gov.lv/lv/statistika/statistikas-temas/buvnieciba-rupnieciba-tirdznieciba/nekustamais/tabulas/metadati-dzivojamais-fonds-un-ta" TargetMode="External"/><Relationship Id="rId243" Type="http://schemas.openxmlformats.org/officeDocument/2006/relationships/hyperlink" Target="https://www.km.gov.lv/uploads/ckeditor/files/Sabiedribas_integracija/Romi/Dokumenti/Ieteikums_romu_integracijai_2013.pdf" TargetMode="External"/><Relationship Id="rId264" Type="http://schemas.openxmlformats.org/officeDocument/2006/relationships/hyperlink" Target="https://www.em.gov.lv/lv/nozares_politika/majokli/normativie_akti/" TargetMode="External"/><Relationship Id="rId17" Type="http://schemas.openxmlformats.org/officeDocument/2006/relationships/hyperlink" Target="http://www.lm.gov.lv/lv/index.php?option=com_content&amp;view=article&amp;id=81239" TargetMode="External"/><Relationship Id="rId38" Type="http://schemas.openxmlformats.org/officeDocument/2006/relationships/hyperlink" Target="https://likumi.lv/ta/id/263238-noteikumi-par-valsts-socialas-apdrosinasanas-obligato-un-brivpratigo-iemaksu-objekta-minimalo-un-maksimalo-apmeru" TargetMode="External"/><Relationship Id="rId59" Type="http://schemas.openxmlformats.org/officeDocument/2006/relationships/hyperlink" Target="https://likumi.lv/ta/id/270231-grozijumi-likuma-par-maternitates-un-slimibas-apdrosinasanu-" TargetMode="External"/><Relationship Id="rId103" Type="http://schemas.openxmlformats.org/officeDocument/2006/relationships/hyperlink" Target="http://polsis.mk.gov.lv/documents/5727" TargetMode="External"/><Relationship Id="rId124" Type="http://schemas.openxmlformats.org/officeDocument/2006/relationships/hyperlink" Target="https://www.fm.gov.lv/lv/sadalas/valsts_budzets/valsts_budzeta_izstrade/_budzets2017/" TargetMode="External"/><Relationship Id="rId70" Type="http://schemas.openxmlformats.org/officeDocument/2006/relationships/hyperlink" Target="https://ec.europa.eu/eurostat/web/microdata/european-union-statistics-on-income-and-living-conditions" TargetMode="External"/><Relationship Id="rId91" Type="http://schemas.openxmlformats.org/officeDocument/2006/relationships/hyperlink" Target="http://polsis.mk.gov.lv/documents/4965" TargetMode="External"/><Relationship Id="rId145" Type="http://schemas.openxmlformats.org/officeDocument/2006/relationships/hyperlink" Target="http://llufb.llu.lv/dissertation-summary/regionaleconomics/A_Sidelska_prom_darba_kopsavilkums_2014_LLU.pdf" TargetMode="External"/><Relationship Id="rId166" Type="http://schemas.openxmlformats.org/officeDocument/2006/relationships/hyperlink" Target="https://ec.europa.eu/eurostat/statistics-explained/index.php?title=Glossary:Overcrowding_rate" TargetMode="External"/><Relationship Id="rId187" Type="http://schemas.openxmlformats.org/officeDocument/2006/relationships/hyperlink" Target="http://polsis.mk.gov.lv/documents/6307" TargetMode="External"/><Relationship Id="rId1" Type="http://schemas.openxmlformats.org/officeDocument/2006/relationships/hyperlink" Target="https://www.csb.gov.lv/lv/statistika/statistikas-temas/socialie-procesi/nabadziba/tabulas/nig120/dzini-koeficients" TargetMode="External"/><Relationship Id="rId212" Type="http://schemas.openxmlformats.org/officeDocument/2006/relationships/hyperlink" Target="http://tap.mk.gov.lv/lv/mk/tap/?pid=40438757" TargetMode="External"/><Relationship Id="rId233" Type="http://schemas.openxmlformats.org/officeDocument/2006/relationships/hyperlink" Target="http://cilvektirdznieciba.lv/data/Files/macibspekiem/Gramata_Ministrijai_LV_NEW.pdf" TargetMode="External"/><Relationship Id="rId254" Type="http://schemas.openxmlformats.org/officeDocument/2006/relationships/hyperlink" Target="https://www.em.gov.lv/lv/eiropas_savieniba/strategija__eiropa_2020_/latvijas_nacionala_reformu_programma/" TargetMode="External"/><Relationship Id="rId28" Type="http://schemas.openxmlformats.org/officeDocument/2006/relationships/hyperlink" Target="http://likumi.lv/doc.php?id=202676" TargetMode="External"/><Relationship Id="rId49" Type="http://schemas.openxmlformats.org/officeDocument/2006/relationships/hyperlink" Target="https://likumi.lv/ta/id/276770-grozijumi-elektroenergijas-tirgus-likuma" TargetMode="External"/><Relationship Id="rId114" Type="http://schemas.openxmlformats.org/officeDocument/2006/relationships/hyperlink" Target="http://www.vmnvd.gov.lv/uploads/files/58aef4ca681b0.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Piccolo\BISS\LM_nab_izvertejums\NABADZIBA\Administrativie%20dati\Aprekini_Zinojuma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iccolo\BISS\LM_nab_izvertejums\NABADZIBA\Administrativie%20dati\Aprekini_Zinojumam.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iccolo\BISS\LM_nab_izvertejums\NABADZIBA\Administrativie%20dati\Aprekini_Zinojuma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lv-LV"/>
  <c:chart>
    <c:title>
      <c:tx>
        <c:rich>
          <a:bodyPr/>
          <a:lstStyle/>
          <a:p>
            <a:pPr>
              <a:defRPr lang="en-US"/>
            </a:pPr>
            <a:r>
              <a:rPr lang="lv-LV" sz="1200">
                <a:latin typeface="Times New Roman" panose="02020603050405020304" pitchFamily="18" charset="0"/>
                <a:cs typeface="Times New Roman" panose="02020603050405020304" pitchFamily="18" charset="0"/>
              </a:rPr>
              <a:t>Valstī</a:t>
            </a:r>
          </a:p>
        </c:rich>
      </c:tx>
      <c:layout/>
    </c:title>
    <c:plotArea>
      <c:layout>
        <c:manualLayout>
          <c:layoutTarget val="inner"/>
          <c:xMode val="edge"/>
          <c:yMode val="edge"/>
          <c:x val="0.18801679790026501"/>
          <c:y val="0.23522218682202636"/>
          <c:w val="0.62396682414698168"/>
          <c:h val="0.64406154433008733"/>
        </c:manualLayout>
      </c:layout>
      <c:pieChart>
        <c:varyColors val="1"/>
        <c:ser>
          <c:idx val="0"/>
          <c:order val="0"/>
          <c:dPt>
            <c:idx val="1"/>
            <c:spPr>
              <a:solidFill>
                <a:srgbClr val="FFC000"/>
              </a:solidFill>
            </c:spPr>
            <c:extLst xmlns:c16r2="http://schemas.microsoft.com/office/drawing/2015/06/chart">
              <c:ext xmlns:c16="http://schemas.microsoft.com/office/drawing/2014/chart" uri="{C3380CC4-5D6E-409C-BE32-E72D297353CC}">
                <c16:uniqueId val="{00000000-47A8-4FF8-895B-4B100353F123}"/>
              </c:ext>
            </c:extLst>
          </c:dPt>
          <c:dPt>
            <c:idx val="4"/>
            <c:spPr>
              <a:solidFill>
                <a:schemeClr val="accent6">
                  <a:lumMod val="75000"/>
                </a:schemeClr>
              </a:solidFill>
            </c:spPr>
            <c:extLst xmlns:c16r2="http://schemas.microsoft.com/office/drawing/2015/06/chart">
              <c:ext xmlns:c16="http://schemas.microsoft.com/office/drawing/2014/chart" uri="{C3380CC4-5D6E-409C-BE32-E72D297353CC}">
                <c16:uniqueId val="{00000001-47A8-4FF8-895B-4B100353F123}"/>
              </c:ext>
            </c:extLst>
          </c:dPt>
          <c:dPt>
            <c:idx val="5"/>
            <c:spPr>
              <a:solidFill>
                <a:schemeClr val="bg1">
                  <a:lumMod val="85000"/>
                </a:schemeClr>
              </a:solidFill>
            </c:spPr>
            <c:extLst xmlns:c16r2="http://schemas.microsoft.com/office/drawing/2015/06/chart">
              <c:ext xmlns:c16="http://schemas.microsoft.com/office/drawing/2014/chart" uri="{C3380CC4-5D6E-409C-BE32-E72D297353CC}">
                <c16:uniqueId val="{00000002-47A8-4FF8-895B-4B100353F123}"/>
              </c:ext>
            </c:extLst>
          </c:dPt>
          <c:dLbls>
            <c:dLbl>
              <c:idx val="0"/>
              <c:spPr/>
              <c:txPr>
                <a:bodyPr/>
                <a:lstStyle/>
                <a:p>
                  <a:pPr>
                    <a:defRPr lang="en-US" sz="900">
                      <a:solidFill>
                        <a:schemeClr val="bg1"/>
                      </a:solidFill>
                    </a:defRPr>
                  </a:pPr>
                  <a:endParaRPr lang="lv-LV"/>
                </a:p>
              </c:txPr>
            </c:dLbl>
            <c:spPr>
              <a:noFill/>
              <a:ln>
                <a:noFill/>
              </a:ln>
              <a:effectLst/>
            </c:spPr>
            <c:txPr>
              <a:bodyPr/>
              <a:lstStyle/>
              <a:p>
                <a:pPr>
                  <a:defRPr lang="en-US" sz="900"/>
                </a:pPr>
                <a:endParaRPr lang="lv-LV"/>
              </a:p>
            </c:txPr>
            <c:showPercent val="1"/>
            <c:showLeaderLines val="1"/>
            <c:extLst xmlns:c16r2="http://schemas.microsoft.com/office/drawing/2015/06/chart">
              <c:ext xmlns:c15="http://schemas.microsoft.com/office/drawing/2012/chart" uri="{CE6537A1-D6FC-4f65-9D91-7224C49458BB}"/>
            </c:extLst>
          </c:dLbls>
          <c:cat>
            <c:strRef>
              <c:f>Sheet1!$H$5:$H$10</c:f>
              <c:strCache>
                <c:ptCount val="6"/>
                <c:pt idx="0">
                  <c:v>bērni </c:v>
                </c:pt>
                <c:pt idx="1">
                  <c:v>strādājošas personas</c:v>
                </c:pt>
                <c:pt idx="2">
                  <c:v>nestrādājošas personas</c:v>
                </c:pt>
                <c:pt idx="3">
                  <c:v>personas BKA</c:v>
                </c:pt>
                <c:pt idx="4">
                  <c:v>personas ar invaliditāti</c:v>
                </c:pt>
                <c:pt idx="5">
                  <c:v>pensijas vecuma personas</c:v>
                </c:pt>
              </c:strCache>
            </c:strRef>
          </c:cat>
          <c:val>
            <c:numRef>
              <c:f>Sheet1!$I$5:$I$10</c:f>
              <c:numCache>
                <c:formatCode>General</c:formatCode>
                <c:ptCount val="6"/>
                <c:pt idx="0">
                  <c:v>22</c:v>
                </c:pt>
                <c:pt idx="1">
                  <c:v>8.7000000000000011</c:v>
                </c:pt>
                <c:pt idx="2">
                  <c:v>42.4</c:v>
                </c:pt>
                <c:pt idx="3">
                  <c:v>2.2999999999999998</c:v>
                </c:pt>
                <c:pt idx="4">
                  <c:v>13.5</c:v>
                </c:pt>
                <c:pt idx="5">
                  <c:v>11</c:v>
                </c:pt>
              </c:numCache>
            </c:numRef>
          </c:val>
          <c:extLst xmlns:c16r2="http://schemas.microsoft.com/office/drawing/2015/06/chart">
            <c:ext xmlns:c16="http://schemas.microsoft.com/office/drawing/2014/chart" uri="{C3380CC4-5D6E-409C-BE32-E72D297353CC}">
              <c16:uniqueId val="{00000004-47A8-4FF8-895B-4B100353F123}"/>
            </c:ext>
          </c:extLst>
        </c:ser>
        <c:dLbls>
          <c:showPercent val="1"/>
        </c:dLbls>
        <c:firstSliceAng val="0"/>
      </c:pieChart>
    </c:plotArea>
    <c:plotVisOnly val="1"/>
    <c:dispBlanksAs val="zero"/>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lv-LV"/>
  <c:chart>
    <c:title>
      <c:tx>
        <c:rich>
          <a:bodyPr/>
          <a:lstStyle/>
          <a:p>
            <a:pPr>
              <a:defRPr lang="en-US" sz="1200"/>
            </a:pPr>
            <a:r>
              <a:rPr lang="lv-LV" sz="1200">
                <a:latin typeface="Times New Roman" panose="02020603050405020304" pitchFamily="18" charset="0"/>
                <a:cs typeface="Times New Roman" panose="02020603050405020304" pitchFamily="18" charset="0"/>
              </a:rPr>
              <a:t>Lielās pilsētās</a:t>
            </a:r>
          </a:p>
        </c:rich>
      </c:tx>
      <c:layout/>
    </c:title>
    <c:plotArea>
      <c:layout/>
      <c:pieChart>
        <c:varyColors val="1"/>
        <c:ser>
          <c:idx val="1"/>
          <c:order val="1"/>
          <c:dPt>
            <c:idx val="1"/>
            <c:spPr>
              <a:solidFill>
                <a:srgbClr val="FFC000"/>
              </a:solidFill>
            </c:spPr>
            <c:extLst xmlns:c16r2="http://schemas.microsoft.com/office/drawing/2015/06/chart">
              <c:ext xmlns:c16="http://schemas.microsoft.com/office/drawing/2014/chart" uri="{C3380CC4-5D6E-409C-BE32-E72D297353CC}">
                <c16:uniqueId val="{00000000-A015-4B57-A7D9-8FA8CA94BF6B}"/>
              </c:ext>
            </c:extLst>
          </c:dPt>
          <c:dPt>
            <c:idx val="4"/>
            <c:spPr>
              <a:solidFill>
                <a:schemeClr val="accent6">
                  <a:lumMod val="75000"/>
                </a:schemeClr>
              </a:solidFill>
            </c:spPr>
            <c:extLst xmlns:c16r2="http://schemas.microsoft.com/office/drawing/2015/06/chart">
              <c:ext xmlns:c16="http://schemas.microsoft.com/office/drawing/2014/chart" uri="{C3380CC4-5D6E-409C-BE32-E72D297353CC}">
                <c16:uniqueId val="{00000001-A015-4B57-A7D9-8FA8CA94BF6B}"/>
              </c:ext>
            </c:extLst>
          </c:dPt>
          <c:dPt>
            <c:idx val="5"/>
            <c:spPr>
              <a:solidFill>
                <a:schemeClr val="bg1">
                  <a:lumMod val="85000"/>
                </a:schemeClr>
              </a:solidFill>
            </c:spPr>
            <c:extLst xmlns:c16r2="http://schemas.microsoft.com/office/drawing/2015/06/chart">
              <c:ext xmlns:c16="http://schemas.microsoft.com/office/drawing/2014/chart" uri="{C3380CC4-5D6E-409C-BE32-E72D297353CC}">
                <c16:uniqueId val="{00000002-A015-4B57-A7D9-8FA8CA94BF6B}"/>
              </c:ext>
            </c:extLst>
          </c:dPt>
          <c:dLbls>
            <c:dLbl>
              <c:idx val="0"/>
              <c:spPr>
                <a:noFill/>
                <a:ln>
                  <a:noFill/>
                </a:ln>
                <a:effectLst/>
              </c:spPr>
              <c:txPr>
                <a:bodyPr wrap="square" lIns="38100" tIns="19050" rIns="38100" bIns="19050" anchor="ctr">
                  <a:spAutoFit/>
                </a:bodyPr>
                <a:lstStyle/>
                <a:p>
                  <a:pPr>
                    <a:defRPr lang="en-US">
                      <a:solidFill>
                        <a:schemeClr val="bg1"/>
                      </a:solidFill>
                    </a:defRPr>
                  </a:pPr>
                  <a:endParaRPr lang="lv-LV"/>
                </a:p>
              </c:txPr>
            </c:dLbl>
            <c:spPr>
              <a:noFill/>
              <a:ln>
                <a:noFill/>
              </a:ln>
              <a:effectLst/>
            </c:spPr>
            <c:txPr>
              <a:bodyPr/>
              <a:lstStyle/>
              <a:p>
                <a:pPr>
                  <a:defRPr lang="en-US"/>
                </a:pPr>
                <a:endParaRPr lang="lv-LV"/>
              </a:p>
            </c:txPr>
            <c:showPercent val="1"/>
            <c:extLst xmlns:c16r2="http://schemas.microsoft.com/office/drawing/2015/06/chart">
              <c:ext xmlns:c15="http://schemas.microsoft.com/office/drawing/2012/chart" uri="{CE6537A1-D6FC-4f65-9D91-7224C49458BB}"/>
            </c:extLst>
          </c:dLbls>
          <c:cat>
            <c:strRef>
              <c:f>Sheet1!$M$5:$M$10</c:f>
              <c:strCache>
                <c:ptCount val="6"/>
                <c:pt idx="0">
                  <c:v>bērni </c:v>
                </c:pt>
                <c:pt idx="1">
                  <c:v>strādājošas personas</c:v>
                </c:pt>
                <c:pt idx="2">
                  <c:v>nestrādājošas personas</c:v>
                </c:pt>
                <c:pt idx="3">
                  <c:v>personas BKA</c:v>
                </c:pt>
                <c:pt idx="4">
                  <c:v>personas ar invaliditāti</c:v>
                </c:pt>
                <c:pt idx="5">
                  <c:v>pensijas vecuma personas</c:v>
                </c:pt>
              </c:strCache>
            </c:strRef>
          </c:cat>
          <c:val>
            <c:numRef>
              <c:f>Sheet1!$N$5:$N$10</c:f>
              <c:numCache>
                <c:formatCode>General</c:formatCode>
                <c:ptCount val="6"/>
                <c:pt idx="0">
                  <c:v>21.4</c:v>
                </c:pt>
                <c:pt idx="1">
                  <c:v>10.1</c:v>
                </c:pt>
                <c:pt idx="2">
                  <c:v>29.4</c:v>
                </c:pt>
                <c:pt idx="3">
                  <c:v>2.2999999999999998</c:v>
                </c:pt>
                <c:pt idx="4">
                  <c:v>21</c:v>
                </c:pt>
                <c:pt idx="5">
                  <c:v>15.8</c:v>
                </c:pt>
              </c:numCache>
            </c:numRef>
          </c:val>
          <c:extLst xmlns:c16r2="http://schemas.microsoft.com/office/drawing/2015/06/chart">
            <c:ext xmlns:c16="http://schemas.microsoft.com/office/drawing/2014/chart" uri="{C3380CC4-5D6E-409C-BE32-E72D297353CC}">
              <c16:uniqueId val="{00000004-A015-4B57-A7D9-8FA8CA94BF6B}"/>
            </c:ext>
          </c:extLst>
        </c:ser>
        <c:ser>
          <c:idx val="0"/>
          <c:order val="0"/>
          <c:dPt>
            <c:idx val="1"/>
            <c:spPr>
              <a:solidFill>
                <a:srgbClr val="FFC000"/>
              </a:solidFill>
            </c:spPr>
            <c:extLst xmlns:c16r2="http://schemas.microsoft.com/office/drawing/2015/06/chart">
              <c:ext xmlns:c16="http://schemas.microsoft.com/office/drawing/2014/chart" uri="{C3380CC4-5D6E-409C-BE32-E72D297353CC}">
                <c16:uniqueId val="{00000005-A015-4B57-A7D9-8FA8CA94BF6B}"/>
              </c:ext>
            </c:extLst>
          </c:dPt>
          <c:dPt>
            <c:idx val="4"/>
            <c:spPr>
              <a:solidFill>
                <a:schemeClr val="accent6">
                  <a:lumMod val="75000"/>
                </a:schemeClr>
              </a:solidFill>
            </c:spPr>
            <c:extLst xmlns:c16r2="http://schemas.microsoft.com/office/drawing/2015/06/chart">
              <c:ext xmlns:c16="http://schemas.microsoft.com/office/drawing/2014/chart" uri="{C3380CC4-5D6E-409C-BE32-E72D297353CC}">
                <c16:uniqueId val="{00000006-A015-4B57-A7D9-8FA8CA94BF6B}"/>
              </c:ext>
            </c:extLst>
          </c:dPt>
          <c:dPt>
            <c:idx val="5"/>
            <c:spPr>
              <a:solidFill>
                <a:schemeClr val="bg1">
                  <a:lumMod val="85000"/>
                </a:schemeClr>
              </a:solidFill>
            </c:spPr>
            <c:extLst xmlns:c16r2="http://schemas.microsoft.com/office/drawing/2015/06/chart">
              <c:ext xmlns:c16="http://schemas.microsoft.com/office/drawing/2014/chart" uri="{C3380CC4-5D6E-409C-BE32-E72D297353CC}">
                <c16:uniqueId val="{00000007-A015-4B57-A7D9-8FA8CA94BF6B}"/>
              </c:ext>
            </c:extLst>
          </c:dPt>
          <c:dLbls>
            <c:spPr>
              <a:noFill/>
              <a:ln>
                <a:noFill/>
              </a:ln>
              <a:effectLst/>
            </c:spPr>
            <c:txPr>
              <a:bodyPr/>
              <a:lstStyle/>
              <a:p>
                <a:pPr>
                  <a:defRPr lang="en-US"/>
                </a:pPr>
                <a:endParaRPr lang="lv-LV"/>
              </a:p>
            </c:txPr>
            <c:showPercent val="1"/>
            <c:extLst xmlns:c16r2="http://schemas.microsoft.com/office/drawing/2015/06/chart">
              <c:ext xmlns:c15="http://schemas.microsoft.com/office/drawing/2012/chart" uri="{CE6537A1-D6FC-4f65-9D91-7224C49458BB}"/>
            </c:extLst>
          </c:dLbls>
          <c:cat>
            <c:strRef>
              <c:f>Sheet1!$M$5:$M$10</c:f>
              <c:strCache>
                <c:ptCount val="6"/>
                <c:pt idx="0">
                  <c:v>bērni </c:v>
                </c:pt>
                <c:pt idx="1">
                  <c:v>strādājošas personas</c:v>
                </c:pt>
                <c:pt idx="2">
                  <c:v>nestrādājošas personas</c:v>
                </c:pt>
                <c:pt idx="3">
                  <c:v>personas BKA</c:v>
                </c:pt>
                <c:pt idx="4">
                  <c:v>personas ar invaliditāti</c:v>
                </c:pt>
                <c:pt idx="5">
                  <c:v>pensijas vecuma personas</c:v>
                </c:pt>
              </c:strCache>
            </c:strRef>
          </c:cat>
          <c:val>
            <c:numRef>
              <c:f>Sheet1!$N$5:$N$10</c:f>
              <c:numCache>
                <c:formatCode>General</c:formatCode>
                <c:ptCount val="6"/>
                <c:pt idx="0">
                  <c:v>21.4</c:v>
                </c:pt>
                <c:pt idx="1">
                  <c:v>10.1</c:v>
                </c:pt>
                <c:pt idx="2">
                  <c:v>29.4</c:v>
                </c:pt>
                <c:pt idx="3">
                  <c:v>2.2999999999999998</c:v>
                </c:pt>
                <c:pt idx="4">
                  <c:v>21</c:v>
                </c:pt>
                <c:pt idx="5">
                  <c:v>15.8</c:v>
                </c:pt>
              </c:numCache>
            </c:numRef>
          </c:val>
          <c:extLst xmlns:c16r2="http://schemas.microsoft.com/office/drawing/2015/06/chart">
            <c:ext xmlns:c16="http://schemas.microsoft.com/office/drawing/2014/chart" uri="{C3380CC4-5D6E-409C-BE32-E72D297353CC}">
              <c16:uniqueId val="{00000008-A015-4B57-A7D9-8FA8CA94BF6B}"/>
            </c:ext>
          </c:extLst>
        </c:ser>
        <c:dLbls>
          <c:showPercent val="1"/>
        </c:dLbls>
        <c:firstSliceAng val="0"/>
      </c:pieChart>
    </c:plotArea>
    <c:plotVisOnly val="1"/>
    <c:dispBlanksAs val="zero"/>
  </c:chart>
  <c:spPr>
    <a:no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lv-LV"/>
  <c:chart>
    <c:title>
      <c:tx>
        <c:rich>
          <a:bodyPr/>
          <a:lstStyle/>
          <a:p>
            <a:pPr>
              <a:defRPr lang="en-US"/>
            </a:pPr>
            <a:r>
              <a:rPr lang="lv-LV" sz="1200">
                <a:latin typeface="Times New Roman" panose="02020603050405020304" pitchFamily="18" charset="0"/>
                <a:cs typeface="Times New Roman" panose="02020603050405020304" pitchFamily="18" charset="0"/>
              </a:rPr>
              <a:t>Novados</a:t>
            </a:r>
          </a:p>
        </c:rich>
      </c:tx>
      <c:layout/>
    </c:title>
    <c:plotArea>
      <c:layout/>
      <c:pieChart>
        <c:varyColors val="1"/>
        <c:ser>
          <c:idx val="0"/>
          <c:order val="0"/>
          <c:dPt>
            <c:idx val="1"/>
            <c:spPr>
              <a:solidFill>
                <a:srgbClr val="FFC000"/>
              </a:solidFill>
            </c:spPr>
            <c:extLst xmlns:c16r2="http://schemas.microsoft.com/office/drawing/2015/06/chart">
              <c:ext xmlns:c16="http://schemas.microsoft.com/office/drawing/2014/chart" uri="{C3380CC4-5D6E-409C-BE32-E72D297353CC}">
                <c16:uniqueId val="{00000000-A84D-483E-988E-182F3B50916B}"/>
              </c:ext>
            </c:extLst>
          </c:dPt>
          <c:dPt>
            <c:idx val="4"/>
            <c:spPr>
              <a:solidFill>
                <a:schemeClr val="accent6">
                  <a:lumMod val="75000"/>
                </a:schemeClr>
              </a:solidFill>
            </c:spPr>
            <c:extLst xmlns:c16r2="http://schemas.microsoft.com/office/drawing/2015/06/chart">
              <c:ext xmlns:c16="http://schemas.microsoft.com/office/drawing/2014/chart" uri="{C3380CC4-5D6E-409C-BE32-E72D297353CC}">
                <c16:uniqueId val="{00000001-A84D-483E-988E-182F3B50916B}"/>
              </c:ext>
            </c:extLst>
          </c:dPt>
          <c:dPt>
            <c:idx val="5"/>
            <c:spPr>
              <a:solidFill>
                <a:schemeClr val="bg1">
                  <a:lumMod val="85000"/>
                </a:schemeClr>
              </a:solidFill>
            </c:spPr>
            <c:extLst xmlns:c16r2="http://schemas.microsoft.com/office/drawing/2015/06/chart">
              <c:ext xmlns:c16="http://schemas.microsoft.com/office/drawing/2014/chart" uri="{C3380CC4-5D6E-409C-BE32-E72D297353CC}">
                <c16:uniqueId val="{00000002-A84D-483E-988E-182F3B50916B}"/>
              </c:ext>
            </c:extLst>
          </c:dPt>
          <c:dLbls>
            <c:dLbl>
              <c:idx val="0"/>
              <c:spPr/>
              <c:txPr>
                <a:bodyPr/>
                <a:lstStyle/>
                <a:p>
                  <a:pPr>
                    <a:defRPr lang="en-US">
                      <a:solidFill>
                        <a:schemeClr val="bg1"/>
                      </a:solidFill>
                    </a:defRPr>
                  </a:pPr>
                  <a:endParaRPr lang="lv-LV"/>
                </a:p>
              </c:txPr>
            </c:dLbl>
            <c:spPr>
              <a:noFill/>
              <a:ln>
                <a:noFill/>
              </a:ln>
              <a:effectLst/>
            </c:spPr>
            <c:txPr>
              <a:bodyPr/>
              <a:lstStyle/>
              <a:p>
                <a:pPr>
                  <a:defRPr lang="en-US"/>
                </a:pPr>
                <a:endParaRPr lang="lv-LV"/>
              </a:p>
            </c:txPr>
            <c:showPercent val="1"/>
            <c:showLeaderLines val="1"/>
            <c:extLst xmlns:c16r2="http://schemas.microsoft.com/office/drawing/2015/06/chart">
              <c:ext xmlns:c15="http://schemas.microsoft.com/office/drawing/2012/chart" uri="{CE6537A1-D6FC-4f65-9D91-7224C49458BB}"/>
            </c:extLst>
          </c:dLbls>
          <c:cat>
            <c:strRef>
              <c:f>Sheet1!$J$5:$J$10</c:f>
              <c:strCache>
                <c:ptCount val="6"/>
                <c:pt idx="0">
                  <c:v>bērni </c:v>
                </c:pt>
                <c:pt idx="1">
                  <c:v>strādājošas personas</c:v>
                </c:pt>
                <c:pt idx="2">
                  <c:v>nestrādājošas personas</c:v>
                </c:pt>
                <c:pt idx="3">
                  <c:v>personas BKA</c:v>
                </c:pt>
                <c:pt idx="4">
                  <c:v>personas ar invaliditāti</c:v>
                </c:pt>
                <c:pt idx="5">
                  <c:v>pensijas vecuma personas</c:v>
                </c:pt>
              </c:strCache>
            </c:strRef>
          </c:cat>
          <c:val>
            <c:numRef>
              <c:f>Sheet1!$K$5:$K$10</c:f>
              <c:numCache>
                <c:formatCode>General</c:formatCode>
                <c:ptCount val="6"/>
                <c:pt idx="0">
                  <c:v>22.6</c:v>
                </c:pt>
                <c:pt idx="1">
                  <c:v>7.5</c:v>
                </c:pt>
                <c:pt idx="2">
                  <c:v>54</c:v>
                </c:pt>
                <c:pt idx="3">
                  <c:v>2.4</c:v>
                </c:pt>
                <c:pt idx="4">
                  <c:v>6.8</c:v>
                </c:pt>
                <c:pt idx="5">
                  <c:v>6.6</c:v>
                </c:pt>
              </c:numCache>
            </c:numRef>
          </c:val>
          <c:extLst xmlns:c16r2="http://schemas.microsoft.com/office/drawing/2015/06/chart">
            <c:ext xmlns:c16="http://schemas.microsoft.com/office/drawing/2014/chart" uri="{C3380CC4-5D6E-409C-BE32-E72D297353CC}">
              <c16:uniqueId val="{00000004-A84D-483E-988E-182F3B50916B}"/>
            </c:ext>
          </c:extLst>
        </c:ser>
        <c:dLbls>
          <c:showPercent val="1"/>
        </c:dLbls>
        <c:firstSliceAng val="0"/>
      </c:pieChart>
    </c:plotArea>
    <c:plotVisOnly val="1"/>
    <c:dispBlanksAs val="zero"/>
  </c:chart>
  <c:spPr>
    <a:noFill/>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73B90B-CE82-4E90-9395-F470467D705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E0D41454-98E1-4916-9F46-300A096A8DE6}">
      <dgm:prSet phldrT="[Text]" custT="1"/>
      <dgm:spPr/>
      <dgm:t>
        <a:bodyPr/>
        <a:lstStyle/>
        <a:p>
          <a:r>
            <a:rPr lang="lv-LV" sz="1100">
              <a:latin typeface="Times New Roman" panose="02020603050405020304" pitchFamily="18" charset="0"/>
              <a:cs typeface="Times New Roman" panose="02020603050405020304" pitchFamily="18" charset="0"/>
            </a:rPr>
            <a:t>1. Gadījuma individuāls izvērtējums</a:t>
          </a:r>
          <a:endParaRPr lang="en-US" sz="1100">
            <a:latin typeface="Times New Roman" panose="02020603050405020304" pitchFamily="18" charset="0"/>
            <a:cs typeface="Times New Roman" panose="02020603050405020304" pitchFamily="18" charset="0"/>
          </a:endParaRPr>
        </a:p>
      </dgm:t>
    </dgm:pt>
    <dgm:pt modelId="{D71ACAB4-75A7-4593-8226-3608336280D9}" type="parTrans" cxnId="{7B453216-2876-4EFA-8354-3A219E1C0CFF}">
      <dgm:prSet/>
      <dgm:spPr/>
      <dgm:t>
        <a:bodyPr/>
        <a:lstStyle/>
        <a:p>
          <a:endParaRPr lang="en-US" sz="1100">
            <a:latin typeface="Times New Roman" panose="02020603050405020304" pitchFamily="18" charset="0"/>
            <a:cs typeface="Times New Roman" panose="02020603050405020304" pitchFamily="18" charset="0"/>
          </a:endParaRPr>
        </a:p>
      </dgm:t>
    </dgm:pt>
    <dgm:pt modelId="{B0C271F7-F1D5-4BA1-B04C-B04A9DD50C6A}" type="sibTrans" cxnId="{7B453216-2876-4EFA-8354-3A219E1C0CFF}">
      <dgm:prSet/>
      <dgm:spPr/>
      <dgm:t>
        <a:bodyPr/>
        <a:lstStyle/>
        <a:p>
          <a:endParaRPr lang="en-US" sz="1100">
            <a:latin typeface="Times New Roman" panose="02020603050405020304" pitchFamily="18" charset="0"/>
            <a:cs typeface="Times New Roman" panose="02020603050405020304" pitchFamily="18" charset="0"/>
          </a:endParaRPr>
        </a:p>
      </dgm:t>
    </dgm:pt>
    <dgm:pt modelId="{D9CF954F-5AD7-4B55-9858-5A4107354323}">
      <dgm:prSet phldrT="[Text]" custT="1"/>
      <dgm:spPr>
        <a:solidFill>
          <a:schemeClr val="accent3">
            <a:lumMod val="40000"/>
            <a:lumOff val="60000"/>
          </a:schemeClr>
        </a:solidFill>
      </dgm:spPr>
      <dgm:t>
        <a:bodyPr/>
        <a:lstStyle/>
        <a:p>
          <a:r>
            <a:rPr lang="lv-LV" sz="1100">
              <a:solidFill>
                <a:sysClr val="windowText" lastClr="000000"/>
              </a:solidFill>
              <a:latin typeface="Times New Roman" panose="02020603050405020304" pitchFamily="18" charset="0"/>
              <a:cs typeface="Times New Roman" panose="02020603050405020304" pitchFamily="18" charset="0"/>
            </a:rPr>
            <a:t>2. Atbilstība specifiskā  atbalsta veidam</a:t>
          </a:r>
          <a:endParaRPr lang="en-US" sz="1100">
            <a:solidFill>
              <a:sysClr val="windowText" lastClr="000000"/>
            </a:solidFill>
            <a:latin typeface="Times New Roman" panose="02020603050405020304" pitchFamily="18" charset="0"/>
            <a:cs typeface="Times New Roman" panose="02020603050405020304" pitchFamily="18" charset="0"/>
          </a:endParaRPr>
        </a:p>
      </dgm:t>
    </dgm:pt>
    <dgm:pt modelId="{A547B6A6-69E2-4E5D-9E3F-CCFAB73D02FB}" type="parTrans" cxnId="{239840BB-2EA1-4266-AA28-52393A97B8D3}">
      <dgm:prSet custT="1"/>
      <dgm:spPr/>
      <dgm:t>
        <a:bodyPr/>
        <a:lstStyle/>
        <a:p>
          <a:endParaRPr lang="en-US" sz="1100">
            <a:latin typeface="Times New Roman" panose="02020603050405020304" pitchFamily="18" charset="0"/>
            <a:cs typeface="Times New Roman" panose="02020603050405020304" pitchFamily="18" charset="0"/>
          </a:endParaRPr>
        </a:p>
      </dgm:t>
    </dgm:pt>
    <dgm:pt modelId="{DD97E5D9-F14A-401C-A003-18C2D3A3A589}" type="sibTrans" cxnId="{239840BB-2EA1-4266-AA28-52393A97B8D3}">
      <dgm:prSet/>
      <dgm:spPr/>
      <dgm:t>
        <a:bodyPr/>
        <a:lstStyle/>
        <a:p>
          <a:endParaRPr lang="en-US" sz="1100">
            <a:latin typeface="Times New Roman" panose="02020603050405020304" pitchFamily="18" charset="0"/>
            <a:cs typeface="Times New Roman" panose="02020603050405020304" pitchFamily="18" charset="0"/>
          </a:endParaRPr>
        </a:p>
      </dgm:t>
    </dgm:pt>
    <dgm:pt modelId="{7C7726E8-2012-41B8-B11B-8D51449C25D1}">
      <dgm:prSet phldrT="[Text]" custT="1"/>
      <dgm:spPr>
        <a:solidFill>
          <a:schemeClr val="accent3">
            <a:lumMod val="40000"/>
            <a:lumOff val="60000"/>
          </a:schemeClr>
        </a:solidFill>
      </dgm:spPr>
      <dgm:t>
        <a:bodyPr/>
        <a:lstStyle/>
        <a:p>
          <a:r>
            <a:rPr lang="lv-LV" sz="1100">
              <a:solidFill>
                <a:sysClr val="windowText" lastClr="000000"/>
              </a:solidFill>
              <a:latin typeface="Times New Roman" panose="02020603050405020304" pitchFamily="18" charset="0"/>
              <a:cs typeface="Times New Roman" panose="02020603050405020304" pitchFamily="18" charset="0"/>
            </a:rPr>
            <a:t>3.1. Atbalsta ilgums</a:t>
          </a:r>
          <a:endParaRPr lang="en-US" sz="1100">
            <a:solidFill>
              <a:sysClr val="windowText" lastClr="000000"/>
            </a:solidFill>
            <a:latin typeface="Times New Roman" panose="02020603050405020304" pitchFamily="18" charset="0"/>
            <a:cs typeface="Times New Roman" panose="02020603050405020304" pitchFamily="18" charset="0"/>
          </a:endParaRPr>
        </a:p>
      </dgm:t>
    </dgm:pt>
    <dgm:pt modelId="{74EF89E4-17BC-49A6-A233-13FADBDD71D6}" type="parTrans" cxnId="{CD0C304D-B596-440B-A117-781B6EDA5237}">
      <dgm:prSet custT="1"/>
      <dgm:spPr/>
      <dgm:t>
        <a:bodyPr/>
        <a:lstStyle/>
        <a:p>
          <a:endParaRPr lang="en-US" sz="1100">
            <a:latin typeface="Times New Roman" panose="02020603050405020304" pitchFamily="18" charset="0"/>
            <a:cs typeface="Times New Roman" panose="02020603050405020304" pitchFamily="18" charset="0"/>
          </a:endParaRPr>
        </a:p>
      </dgm:t>
    </dgm:pt>
    <dgm:pt modelId="{A0B4DE85-22E9-43B6-B78E-571E649D8709}" type="sibTrans" cxnId="{CD0C304D-B596-440B-A117-781B6EDA5237}">
      <dgm:prSet/>
      <dgm:spPr/>
      <dgm:t>
        <a:bodyPr/>
        <a:lstStyle/>
        <a:p>
          <a:endParaRPr lang="en-US" sz="1100">
            <a:latin typeface="Times New Roman" panose="02020603050405020304" pitchFamily="18" charset="0"/>
            <a:cs typeface="Times New Roman" panose="02020603050405020304" pitchFamily="18" charset="0"/>
          </a:endParaRPr>
        </a:p>
      </dgm:t>
    </dgm:pt>
    <dgm:pt modelId="{E224898F-506D-4468-B953-FADC87C637B8}">
      <dgm:prSet phldrT="[Text]" custT="1"/>
      <dgm:spPr>
        <a:solidFill>
          <a:schemeClr val="accent3">
            <a:lumMod val="40000"/>
            <a:lumOff val="60000"/>
          </a:schemeClr>
        </a:solidFill>
      </dgm:spPr>
      <dgm:t>
        <a:bodyPr/>
        <a:lstStyle/>
        <a:p>
          <a:pPr algn="ctr"/>
          <a:r>
            <a:rPr lang="lv-LV" sz="1100">
              <a:solidFill>
                <a:sysClr val="windowText" lastClr="000000"/>
              </a:solidFill>
              <a:latin typeface="Times New Roman" panose="02020603050405020304" pitchFamily="18" charset="0"/>
              <a:cs typeface="Times New Roman" panose="02020603050405020304" pitchFamily="18" charset="0"/>
            </a:rPr>
            <a:t>3.3. Līdzdalības pasākumu noteikšana</a:t>
          </a:r>
          <a:endParaRPr lang="en-US" sz="1100">
            <a:solidFill>
              <a:sysClr val="windowText" lastClr="000000"/>
            </a:solidFill>
            <a:latin typeface="Times New Roman" panose="02020603050405020304" pitchFamily="18" charset="0"/>
            <a:cs typeface="Times New Roman" panose="02020603050405020304" pitchFamily="18" charset="0"/>
          </a:endParaRPr>
        </a:p>
      </dgm:t>
    </dgm:pt>
    <dgm:pt modelId="{0A055310-A478-4FDE-A017-F52764BE8334}" type="parTrans" cxnId="{AD56E1CB-8954-453F-89AD-8B5D738FF237}">
      <dgm:prSet custT="1"/>
      <dgm:spPr/>
      <dgm:t>
        <a:bodyPr/>
        <a:lstStyle/>
        <a:p>
          <a:endParaRPr lang="en-US" sz="1100">
            <a:latin typeface="Times New Roman" panose="02020603050405020304" pitchFamily="18" charset="0"/>
            <a:cs typeface="Times New Roman" panose="02020603050405020304" pitchFamily="18" charset="0"/>
          </a:endParaRPr>
        </a:p>
      </dgm:t>
    </dgm:pt>
    <dgm:pt modelId="{E323634B-559B-41DB-A779-DD849BFCB031}" type="sibTrans" cxnId="{AD56E1CB-8954-453F-89AD-8B5D738FF237}">
      <dgm:prSet/>
      <dgm:spPr/>
      <dgm:t>
        <a:bodyPr/>
        <a:lstStyle/>
        <a:p>
          <a:endParaRPr lang="en-US" sz="1100">
            <a:latin typeface="Times New Roman" panose="02020603050405020304" pitchFamily="18" charset="0"/>
            <a:cs typeface="Times New Roman" panose="02020603050405020304" pitchFamily="18" charset="0"/>
          </a:endParaRPr>
        </a:p>
      </dgm:t>
    </dgm:pt>
    <dgm:pt modelId="{AF206DA4-78A5-4BEF-BC49-1F27436B77F4}">
      <dgm:prSet phldrT="[Text]" custT="1"/>
      <dgm:spPr>
        <a:solidFill>
          <a:schemeClr val="bg1">
            <a:lumMod val="85000"/>
          </a:schemeClr>
        </a:solidFill>
      </dgm:spPr>
      <dgm:t>
        <a:bodyPr/>
        <a:lstStyle/>
        <a:p>
          <a:r>
            <a:rPr lang="lv-LV" sz="1100">
              <a:solidFill>
                <a:sysClr val="windowText" lastClr="000000"/>
              </a:solidFill>
              <a:latin typeface="Times New Roman" panose="02020603050405020304" pitchFamily="18" charset="0"/>
              <a:cs typeface="Times New Roman" panose="02020603050405020304" pitchFamily="18" charset="0"/>
            </a:rPr>
            <a:t>Atbilstība citiem atbalsta veidiem</a:t>
          </a:r>
          <a:endParaRPr lang="en-US" sz="1100">
            <a:solidFill>
              <a:sysClr val="windowText" lastClr="000000"/>
            </a:solidFill>
            <a:latin typeface="Times New Roman" panose="02020603050405020304" pitchFamily="18" charset="0"/>
            <a:cs typeface="Times New Roman" panose="02020603050405020304" pitchFamily="18" charset="0"/>
          </a:endParaRPr>
        </a:p>
      </dgm:t>
    </dgm:pt>
    <dgm:pt modelId="{80165B0F-9E74-4C2C-A115-4BD5FC655B61}" type="parTrans" cxnId="{7D54A4FE-3485-4FC6-B162-C4734DDD6FA6}">
      <dgm:prSet custT="1"/>
      <dgm:spPr/>
      <dgm:t>
        <a:bodyPr/>
        <a:lstStyle/>
        <a:p>
          <a:endParaRPr lang="en-US" sz="1100">
            <a:latin typeface="Times New Roman" panose="02020603050405020304" pitchFamily="18" charset="0"/>
            <a:cs typeface="Times New Roman" panose="02020603050405020304" pitchFamily="18" charset="0"/>
          </a:endParaRPr>
        </a:p>
      </dgm:t>
    </dgm:pt>
    <dgm:pt modelId="{B8EC601B-EFF2-4BE7-9779-A5FC327FC4A4}" type="sibTrans" cxnId="{7D54A4FE-3485-4FC6-B162-C4734DDD6FA6}">
      <dgm:prSet/>
      <dgm:spPr/>
      <dgm:t>
        <a:bodyPr/>
        <a:lstStyle/>
        <a:p>
          <a:endParaRPr lang="en-US" sz="1100">
            <a:latin typeface="Times New Roman" panose="02020603050405020304" pitchFamily="18" charset="0"/>
            <a:cs typeface="Times New Roman" panose="02020603050405020304" pitchFamily="18" charset="0"/>
          </a:endParaRPr>
        </a:p>
      </dgm:t>
    </dgm:pt>
    <dgm:pt modelId="{B4AFD46C-A284-4C0D-9CE2-AEFA9DECA1FE}">
      <dgm:prSet phldrT="[Text]" custT="1"/>
      <dgm:spPr>
        <a:solidFill>
          <a:schemeClr val="bg1">
            <a:lumMod val="85000"/>
          </a:schemeClr>
        </a:solidFill>
      </dgm:spPr>
      <dgm:t>
        <a:bodyPr/>
        <a:lstStyle/>
        <a:p>
          <a:r>
            <a:rPr lang="lv-LV" sz="1100">
              <a:solidFill>
                <a:sysClr val="windowText" lastClr="000000"/>
              </a:solidFill>
              <a:latin typeface="Times New Roman" panose="02020603050405020304" pitchFamily="18" charset="0"/>
              <a:cs typeface="Times New Roman" panose="02020603050405020304" pitchFamily="18" charset="0"/>
            </a:rPr>
            <a:t>Konkrētā atbalsta sniegšana atbilstoši kritērijiem </a:t>
          </a:r>
          <a:endParaRPr lang="en-US" sz="1100">
            <a:solidFill>
              <a:sysClr val="windowText" lastClr="000000"/>
            </a:solidFill>
            <a:latin typeface="Times New Roman" panose="02020603050405020304" pitchFamily="18" charset="0"/>
            <a:cs typeface="Times New Roman" panose="02020603050405020304" pitchFamily="18" charset="0"/>
          </a:endParaRPr>
        </a:p>
      </dgm:t>
    </dgm:pt>
    <dgm:pt modelId="{54BD3231-3604-4292-A95F-FF3090EF6083}" type="parTrans" cxnId="{18C72B33-8A1C-4EAD-A088-5E8C50D8E79B}">
      <dgm:prSet custT="1"/>
      <dgm:spPr/>
      <dgm:t>
        <a:bodyPr/>
        <a:lstStyle/>
        <a:p>
          <a:endParaRPr lang="en-US" sz="1100">
            <a:latin typeface="Times New Roman" panose="02020603050405020304" pitchFamily="18" charset="0"/>
            <a:cs typeface="Times New Roman" panose="02020603050405020304" pitchFamily="18" charset="0"/>
          </a:endParaRPr>
        </a:p>
      </dgm:t>
    </dgm:pt>
    <dgm:pt modelId="{F806727B-1F98-4853-90EC-B469040DDBC0}" type="sibTrans" cxnId="{18C72B33-8A1C-4EAD-A088-5E8C50D8E79B}">
      <dgm:prSet/>
      <dgm:spPr/>
      <dgm:t>
        <a:bodyPr/>
        <a:lstStyle/>
        <a:p>
          <a:endParaRPr lang="en-US" sz="1100">
            <a:latin typeface="Times New Roman" panose="02020603050405020304" pitchFamily="18" charset="0"/>
            <a:cs typeface="Times New Roman" panose="02020603050405020304" pitchFamily="18" charset="0"/>
          </a:endParaRPr>
        </a:p>
      </dgm:t>
    </dgm:pt>
    <dgm:pt modelId="{9BB55898-8EF0-4FDE-BFF8-7EB344352C05}">
      <dgm:prSet custT="1"/>
      <dgm:spPr>
        <a:solidFill>
          <a:schemeClr val="accent3">
            <a:lumMod val="40000"/>
            <a:lumOff val="60000"/>
          </a:schemeClr>
        </a:solidFill>
      </dgm:spPr>
      <dgm:t>
        <a:bodyPr/>
        <a:lstStyle/>
        <a:p>
          <a:r>
            <a:rPr lang="lv-LV" sz="1100">
              <a:solidFill>
                <a:sysClr val="windowText" lastClr="000000"/>
              </a:solidFill>
              <a:latin typeface="Times New Roman" panose="02020603050405020304" pitchFamily="18" charset="0"/>
              <a:cs typeface="Times New Roman" panose="02020603050405020304" pitchFamily="18" charset="0"/>
            </a:rPr>
            <a:t>3.2. Atbalsta apmērs</a:t>
          </a:r>
          <a:endParaRPr lang="en-US" sz="1100">
            <a:solidFill>
              <a:sysClr val="windowText" lastClr="000000"/>
            </a:solidFill>
            <a:latin typeface="Times New Roman" panose="02020603050405020304" pitchFamily="18" charset="0"/>
            <a:cs typeface="Times New Roman" panose="02020603050405020304" pitchFamily="18" charset="0"/>
          </a:endParaRPr>
        </a:p>
      </dgm:t>
    </dgm:pt>
    <dgm:pt modelId="{8E6EDE40-124E-45CF-A65A-3B406DAC327E}" type="parTrans" cxnId="{D0688DC7-478B-4EBF-9516-650BBFAA1C17}">
      <dgm:prSet custT="1"/>
      <dgm:spPr/>
      <dgm:t>
        <a:bodyPr/>
        <a:lstStyle/>
        <a:p>
          <a:endParaRPr lang="en-US" sz="1100">
            <a:latin typeface="Times New Roman" panose="02020603050405020304" pitchFamily="18" charset="0"/>
            <a:cs typeface="Times New Roman" panose="02020603050405020304" pitchFamily="18" charset="0"/>
          </a:endParaRPr>
        </a:p>
      </dgm:t>
    </dgm:pt>
    <dgm:pt modelId="{AA0F1689-7647-4932-A076-5D770318A066}" type="sibTrans" cxnId="{D0688DC7-478B-4EBF-9516-650BBFAA1C17}">
      <dgm:prSet/>
      <dgm:spPr/>
      <dgm:t>
        <a:bodyPr/>
        <a:lstStyle/>
        <a:p>
          <a:endParaRPr lang="en-US" sz="1100">
            <a:latin typeface="Times New Roman" panose="02020603050405020304" pitchFamily="18" charset="0"/>
            <a:cs typeface="Times New Roman" panose="02020603050405020304" pitchFamily="18" charset="0"/>
          </a:endParaRPr>
        </a:p>
      </dgm:t>
    </dgm:pt>
    <dgm:pt modelId="{3196D9E4-4363-4BB2-A035-0FE4AC3EDC9C}" type="pres">
      <dgm:prSet presAssocID="{9C73B90B-CE82-4E90-9395-F470467D7051}" presName="diagram" presStyleCnt="0">
        <dgm:presLayoutVars>
          <dgm:chPref val="1"/>
          <dgm:dir/>
          <dgm:animOne val="branch"/>
          <dgm:animLvl val="lvl"/>
          <dgm:resizeHandles val="exact"/>
        </dgm:presLayoutVars>
      </dgm:prSet>
      <dgm:spPr/>
      <dgm:t>
        <a:bodyPr/>
        <a:lstStyle/>
        <a:p>
          <a:endParaRPr lang="lv-LV"/>
        </a:p>
      </dgm:t>
    </dgm:pt>
    <dgm:pt modelId="{B0203654-DC18-4E44-A1E8-22F7D4CDE87D}" type="pres">
      <dgm:prSet presAssocID="{E0D41454-98E1-4916-9F46-300A096A8DE6}" presName="root1" presStyleCnt="0"/>
      <dgm:spPr/>
    </dgm:pt>
    <dgm:pt modelId="{97BE0890-E2BD-4403-8E62-95451B6B58C8}" type="pres">
      <dgm:prSet presAssocID="{E0D41454-98E1-4916-9F46-300A096A8DE6}" presName="LevelOneTextNode" presStyleLbl="node0" presStyleIdx="0" presStyleCnt="1">
        <dgm:presLayoutVars>
          <dgm:chPref val="3"/>
        </dgm:presLayoutVars>
      </dgm:prSet>
      <dgm:spPr/>
      <dgm:t>
        <a:bodyPr/>
        <a:lstStyle/>
        <a:p>
          <a:endParaRPr lang="lv-LV"/>
        </a:p>
      </dgm:t>
    </dgm:pt>
    <dgm:pt modelId="{995971FD-A653-4AEC-9984-5A46D4EC97B1}" type="pres">
      <dgm:prSet presAssocID="{E0D41454-98E1-4916-9F46-300A096A8DE6}" presName="level2hierChild" presStyleCnt="0"/>
      <dgm:spPr/>
    </dgm:pt>
    <dgm:pt modelId="{9EA54462-BAAE-446E-94E7-988E1DC3C123}" type="pres">
      <dgm:prSet presAssocID="{A547B6A6-69E2-4E5D-9E3F-CCFAB73D02FB}" presName="conn2-1" presStyleLbl="parChTrans1D2" presStyleIdx="0" presStyleCnt="2"/>
      <dgm:spPr/>
      <dgm:t>
        <a:bodyPr/>
        <a:lstStyle/>
        <a:p>
          <a:endParaRPr lang="lv-LV"/>
        </a:p>
      </dgm:t>
    </dgm:pt>
    <dgm:pt modelId="{96FC1B2A-DE99-4C4A-9BAB-BDFCD6A445E8}" type="pres">
      <dgm:prSet presAssocID="{A547B6A6-69E2-4E5D-9E3F-CCFAB73D02FB}" presName="connTx" presStyleLbl="parChTrans1D2" presStyleIdx="0" presStyleCnt="2"/>
      <dgm:spPr/>
      <dgm:t>
        <a:bodyPr/>
        <a:lstStyle/>
        <a:p>
          <a:endParaRPr lang="lv-LV"/>
        </a:p>
      </dgm:t>
    </dgm:pt>
    <dgm:pt modelId="{980F08BB-BBB3-4622-8247-DC7F922DE8EE}" type="pres">
      <dgm:prSet presAssocID="{D9CF954F-5AD7-4B55-9858-5A4107354323}" presName="root2" presStyleCnt="0"/>
      <dgm:spPr/>
    </dgm:pt>
    <dgm:pt modelId="{76884E23-5A3E-45D1-A89B-BE9EA3FF5C5F}" type="pres">
      <dgm:prSet presAssocID="{D9CF954F-5AD7-4B55-9858-5A4107354323}" presName="LevelTwoTextNode" presStyleLbl="node2" presStyleIdx="0" presStyleCnt="2" custLinFactNeighborY="-4416">
        <dgm:presLayoutVars>
          <dgm:chPref val="3"/>
        </dgm:presLayoutVars>
      </dgm:prSet>
      <dgm:spPr/>
      <dgm:t>
        <a:bodyPr/>
        <a:lstStyle/>
        <a:p>
          <a:endParaRPr lang="lv-LV"/>
        </a:p>
      </dgm:t>
    </dgm:pt>
    <dgm:pt modelId="{470D50AB-E080-45C7-8F23-C8DE407C6313}" type="pres">
      <dgm:prSet presAssocID="{D9CF954F-5AD7-4B55-9858-5A4107354323}" presName="level3hierChild" presStyleCnt="0"/>
      <dgm:spPr/>
    </dgm:pt>
    <dgm:pt modelId="{0A3E4636-3C27-4923-A68F-0ED5EDD29EA4}" type="pres">
      <dgm:prSet presAssocID="{74EF89E4-17BC-49A6-A233-13FADBDD71D6}" presName="conn2-1" presStyleLbl="parChTrans1D3" presStyleIdx="0" presStyleCnt="4"/>
      <dgm:spPr/>
      <dgm:t>
        <a:bodyPr/>
        <a:lstStyle/>
        <a:p>
          <a:endParaRPr lang="lv-LV"/>
        </a:p>
      </dgm:t>
    </dgm:pt>
    <dgm:pt modelId="{8191D852-4DCF-483E-8B57-3953A085FA08}" type="pres">
      <dgm:prSet presAssocID="{74EF89E4-17BC-49A6-A233-13FADBDD71D6}" presName="connTx" presStyleLbl="parChTrans1D3" presStyleIdx="0" presStyleCnt="4"/>
      <dgm:spPr/>
      <dgm:t>
        <a:bodyPr/>
        <a:lstStyle/>
        <a:p>
          <a:endParaRPr lang="lv-LV"/>
        </a:p>
      </dgm:t>
    </dgm:pt>
    <dgm:pt modelId="{51816A9A-85E3-4003-A598-941F4C008257}" type="pres">
      <dgm:prSet presAssocID="{7C7726E8-2012-41B8-B11B-8D51449C25D1}" presName="root2" presStyleCnt="0"/>
      <dgm:spPr/>
    </dgm:pt>
    <dgm:pt modelId="{F8A54C4E-7939-46CB-ACCB-11A1CAFB92F0}" type="pres">
      <dgm:prSet presAssocID="{7C7726E8-2012-41B8-B11B-8D51449C25D1}" presName="LevelTwoTextNode" presStyleLbl="node3" presStyleIdx="0" presStyleCnt="4">
        <dgm:presLayoutVars>
          <dgm:chPref val="3"/>
        </dgm:presLayoutVars>
      </dgm:prSet>
      <dgm:spPr/>
      <dgm:t>
        <a:bodyPr/>
        <a:lstStyle/>
        <a:p>
          <a:endParaRPr lang="lv-LV"/>
        </a:p>
      </dgm:t>
    </dgm:pt>
    <dgm:pt modelId="{649799C1-F045-47A0-82DF-122FD5E325B4}" type="pres">
      <dgm:prSet presAssocID="{7C7726E8-2012-41B8-B11B-8D51449C25D1}" presName="level3hierChild" presStyleCnt="0"/>
      <dgm:spPr/>
    </dgm:pt>
    <dgm:pt modelId="{D2EA3792-C2EF-4BDE-B748-D3A41C40E225}" type="pres">
      <dgm:prSet presAssocID="{8E6EDE40-124E-45CF-A65A-3B406DAC327E}" presName="conn2-1" presStyleLbl="parChTrans1D3" presStyleIdx="1" presStyleCnt="4"/>
      <dgm:spPr/>
      <dgm:t>
        <a:bodyPr/>
        <a:lstStyle/>
        <a:p>
          <a:endParaRPr lang="lv-LV"/>
        </a:p>
      </dgm:t>
    </dgm:pt>
    <dgm:pt modelId="{29E3862E-6A97-4013-8339-F219BEF8629D}" type="pres">
      <dgm:prSet presAssocID="{8E6EDE40-124E-45CF-A65A-3B406DAC327E}" presName="connTx" presStyleLbl="parChTrans1D3" presStyleIdx="1" presStyleCnt="4"/>
      <dgm:spPr/>
      <dgm:t>
        <a:bodyPr/>
        <a:lstStyle/>
        <a:p>
          <a:endParaRPr lang="lv-LV"/>
        </a:p>
      </dgm:t>
    </dgm:pt>
    <dgm:pt modelId="{41B203AD-0A06-4584-ACEC-B863CF53ECCA}" type="pres">
      <dgm:prSet presAssocID="{9BB55898-8EF0-4FDE-BFF8-7EB344352C05}" presName="root2" presStyleCnt="0"/>
      <dgm:spPr/>
    </dgm:pt>
    <dgm:pt modelId="{65104BAC-128B-42F8-8CC2-F61B9A293CD2}" type="pres">
      <dgm:prSet presAssocID="{9BB55898-8EF0-4FDE-BFF8-7EB344352C05}" presName="LevelTwoTextNode" presStyleLbl="node3" presStyleIdx="1" presStyleCnt="4">
        <dgm:presLayoutVars>
          <dgm:chPref val="3"/>
        </dgm:presLayoutVars>
      </dgm:prSet>
      <dgm:spPr/>
      <dgm:t>
        <a:bodyPr/>
        <a:lstStyle/>
        <a:p>
          <a:endParaRPr lang="lv-LV"/>
        </a:p>
      </dgm:t>
    </dgm:pt>
    <dgm:pt modelId="{036D5CDF-4F70-453F-937D-57FC0A8A2FB4}" type="pres">
      <dgm:prSet presAssocID="{9BB55898-8EF0-4FDE-BFF8-7EB344352C05}" presName="level3hierChild" presStyleCnt="0"/>
      <dgm:spPr/>
    </dgm:pt>
    <dgm:pt modelId="{1382DAFB-F1A4-4039-B42D-228631A0750C}" type="pres">
      <dgm:prSet presAssocID="{0A055310-A478-4FDE-A017-F52764BE8334}" presName="conn2-1" presStyleLbl="parChTrans1D3" presStyleIdx="2" presStyleCnt="4"/>
      <dgm:spPr/>
      <dgm:t>
        <a:bodyPr/>
        <a:lstStyle/>
        <a:p>
          <a:endParaRPr lang="lv-LV"/>
        </a:p>
      </dgm:t>
    </dgm:pt>
    <dgm:pt modelId="{79887621-27FE-4FA9-8986-005D192F1438}" type="pres">
      <dgm:prSet presAssocID="{0A055310-A478-4FDE-A017-F52764BE8334}" presName="connTx" presStyleLbl="parChTrans1D3" presStyleIdx="2" presStyleCnt="4"/>
      <dgm:spPr/>
      <dgm:t>
        <a:bodyPr/>
        <a:lstStyle/>
        <a:p>
          <a:endParaRPr lang="lv-LV"/>
        </a:p>
      </dgm:t>
    </dgm:pt>
    <dgm:pt modelId="{D29D7F04-C741-4323-8E6A-878747FB9F45}" type="pres">
      <dgm:prSet presAssocID="{E224898F-506D-4468-B953-FADC87C637B8}" presName="root2" presStyleCnt="0"/>
      <dgm:spPr/>
    </dgm:pt>
    <dgm:pt modelId="{1E2FB2A7-3ABE-4C81-87AC-973CB5D798B0}" type="pres">
      <dgm:prSet presAssocID="{E224898F-506D-4468-B953-FADC87C637B8}" presName="LevelTwoTextNode" presStyleLbl="node3" presStyleIdx="2" presStyleCnt="4">
        <dgm:presLayoutVars>
          <dgm:chPref val="3"/>
        </dgm:presLayoutVars>
      </dgm:prSet>
      <dgm:spPr/>
      <dgm:t>
        <a:bodyPr/>
        <a:lstStyle/>
        <a:p>
          <a:endParaRPr lang="lv-LV"/>
        </a:p>
      </dgm:t>
    </dgm:pt>
    <dgm:pt modelId="{1DDDC67A-2AF5-4DBB-81E9-194AC8E06911}" type="pres">
      <dgm:prSet presAssocID="{E224898F-506D-4468-B953-FADC87C637B8}" presName="level3hierChild" presStyleCnt="0"/>
      <dgm:spPr/>
    </dgm:pt>
    <dgm:pt modelId="{AE2D41D1-5DF0-46D8-9F22-4F0F1BC600A4}" type="pres">
      <dgm:prSet presAssocID="{80165B0F-9E74-4C2C-A115-4BD5FC655B61}" presName="conn2-1" presStyleLbl="parChTrans1D2" presStyleIdx="1" presStyleCnt="2"/>
      <dgm:spPr/>
      <dgm:t>
        <a:bodyPr/>
        <a:lstStyle/>
        <a:p>
          <a:endParaRPr lang="lv-LV"/>
        </a:p>
      </dgm:t>
    </dgm:pt>
    <dgm:pt modelId="{3C4BA363-5C6C-4208-A307-E96078D860DF}" type="pres">
      <dgm:prSet presAssocID="{80165B0F-9E74-4C2C-A115-4BD5FC655B61}" presName="connTx" presStyleLbl="parChTrans1D2" presStyleIdx="1" presStyleCnt="2"/>
      <dgm:spPr/>
      <dgm:t>
        <a:bodyPr/>
        <a:lstStyle/>
        <a:p>
          <a:endParaRPr lang="lv-LV"/>
        </a:p>
      </dgm:t>
    </dgm:pt>
    <dgm:pt modelId="{8ABF47A5-94E2-4BF2-AC03-57726880C4CE}" type="pres">
      <dgm:prSet presAssocID="{AF206DA4-78A5-4BEF-BC49-1F27436B77F4}" presName="root2" presStyleCnt="0"/>
      <dgm:spPr/>
    </dgm:pt>
    <dgm:pt modelId="{F4AB1CD3-EEF1-4425-BE05-550CEF11518F}" type="pres">
      <dgm:prSet presAssocID="{AF206DA4-78A5-4BEF-BC49-1F27436B77F4}" presName="LevelTwoTextNode" presStyleLbl="node2" presStyleIdx="1" presStyleCnt="2">
        <dgm:presLayoutVars>
          <dgm:chPref val="3"/>
        </dgm:presLayoutVars>
      </dgm:prSet>
      <dgm:spPr/>
      <dgm:t>
        <a:bodyPr/>
        <a:lstStyle/>
        <a:p>
          <a:endParaRPr lang="lv-LV"/>
        </a:p>
      </dgm:t>
    </dgm:pt>
    <dgm:pt modelId="{4DBF14B6-86F6-4998-A4A3-1EFC0AE6639F}" type="pres">
      <dgm:prSet presAssocID="{AF206DA4-78A5-4BEF-BC49-1F27436B77F4}" presName="level3hierChild" presStyleCnt="0"/>
      <dgm:spPr/>
    </dgm:pt>
    <dgm:pt modelId="{16FC83C9-168E-4E2A-9E1E-B5E81AAA29FB}" type="pres">
      <dgm:prSet presAssocID="{54BD3231-3604-4292-A95F-FF3090EF6083}" presName="conn2-1" presStyleLbl="parChTrans1D3" presStyleIdx="3" presStyleCnt="4"/>
      <dgm:spPr/>
      <dgm:t>
        <a:bodyPr/>
        <a:lstStyle/>
        <a:p>
          <a:endParaRPr lang="lv-LV"/>
        </a:p>
      </dgm:t>
    </dgm:pt>
    <dgm:pt modelId="{F5426771-E967-4C86-92C9-94C5D59C5717}" type="pres">
      <dgm:prSet presAssocID="{54BD3231-3604-4292-A95F-FF3090EF6083}" presName="connTx" presStyleLbl="parChTrans1D3" presStyleIdx="3" presStyleCnt="4"/>
      <dgm:spPr/>
      <dgm:t>
        <a:bodyPr/>
        <a:lstStyle/>
        <a:p>
          <a:endParaRPr lang="lv-LV"/>
        </a:p>
      </dgm:t>
    </dgm:pt>
    <dgm:pt modelId="{6D44A5F9-0120-4C31-A364-027DD3232CF9}" type="pres">
      <dgm:prSet presAssocID="{B4AFD46C-A284-4C0D-9CE2-AEFA9DECA1FE}" presName="root2" presStyleCnt="0"/>
      <dgm:spPr/>
    </dgm:pt>
    <dgm:pt modelId="{8E72C8F7-1E8B-4F55-8907-AB611440562D}" type="pres">
      <dgm:prSet presAssocID="{B4AFD46C-A284-4C0D-9CE2-AEFA9DECA1FE}" presName="LevelTwoTextNode" presStyleLbl="node3" presStyleIdx="3" presStyleCnt="4">
        <dgm:presLayoutVars>
          <dgm:chPref val="3"/>
        </dgm:presLayoutVars>
      </dgm:prSet>
      <dgm:spPr/>
      <dgm:t>
        <a:bodyPr/>
        <a:lstStyle/>
        <a:p>
          <a:endParaRPr lang="lv-LV"/>
        </a:p>
      </dgm:t>
    </dgm:pt>
    <dgm:pt modelId="{F98FEA18-89BF-4E1B-8DBA-7AC9C7F29F79}" type="pres">
      <dgm:prSet presAssocID="{B4AFD46C-A284-4C0D-9CE2-AEFA9DECA1FE}" presName="level3hierChild" presStyleCnt="0"/>
      <dgm:spPr/>
    </dgm:pt>
  </dgm:ptLst>
  <dgm:cxnLst>
    <dgm:cxn modelId="{62761955-EF4E-4035-91ED-3E68099B729E}" type="presOf" srcId="{8E6EDE40-124E-45CF-A65A-3B406DAC327E}" destId="{29E3862E-6A97-4013-8339-F219BEF8629D}" srcOrd="1" destOrd="0" presId="urn:microsoft.com/office/officeart/2005/8/layout/hierarchy2"/>
    <dgm:cxn modelId="{6F9136E4-9627-4D41-B4E9-460BC0BFD4FE}" type="presOf" srcId="{80165B0F-9E74-4C2C-A115-4BD5FC655B61}" destId="{AE2D41D1-5DF0-46D8-9F22-4F0F1BC600A4}" srcOrd="0" destOrd="0" presId="urn:microsoft.com/office/officeart/2005/8/layout/hierarchy2"/>
    <dgm:cxn modelId="{032A0958-ED26-473A-88F8-BD225EC0A245}" type="presOf" srcId="{80165B0F-9E74-4C2C-A115-4BD5FC655B61}" destId="{3C4BA363-5C6C-4208-A307-E96078D860DF}" srcOrd="1" destOrd="0" presId="urn:microsoft.com/office/officeart/2005/8/layout/hierarchy2"/>
    <dgm:cxn modelId="{7B453216-2876-4EFA-8354-3A219E1C0CFF}" srcId="{9C73B90B-CE82-4E90-9395-F470467D7051}" destId="{E0D41454-98E1-4916-9F46-300A096A8DE6}" srcOrd="0" destOrd="0" parTransId="{D71ACAB4-75A7-4593-8226-3608336280D9}" sibTransId="{B0C271F7-F1D5-4BA1-B04C-B04A9DD50C6A}"/>
    <dgm:cxn modelId="{15C07FAB-9577-41B5-AF74-19DBEC2DBCDC}" type="presOf" srcId="{7C7726E8-2012-41B8-B11B-8D51449C25D1}" destId="{F8A54C4E-7939-46CB-ACCB-11A1CAFB92F0}" srcOrd="0" destOrd="0" presId="urn:microsoft.com/office/officeart/2005/8/layout/hierarchy2"/>
    <dgm:cxn modelId="{239840BB-2EA1-4266-AA28-52393A97B8D3}" srcId="{E0D41454-98E1-4916-9F46-300A096A8DE6}" destId="{D9CF954F-5AD7-4B55-9858-5A4107354323}" srcOrd="0" destOrd="0" parTransId="{A547B6A6-69E2-4E5D-9E3F-CCFAB73D02FB}" sibTransId="{DD97E5D9-F14A-401C-A003-18C2D3A3A589}"/>
    <dgm:cxn modelId="{3E20133A-C75F-42C3-8AB3-CDB6E570FF90}" type="presOf" srcId="{54BD3231-3604-4292-A95F-FF3090EF6083}" destId="{F5426771-E967-4C86-92C9-94C5D59C5717}" srcOrd="1" destOrd="0" presId="urn:microsoft.com/office/officeart/2005/8/layout/hierarchy2"/>
    <dgm:cxn modelId="{F6CF32E5-E038-43A5-826D-F5CC816F7789}" type="presOf" srcId="{74EF89E4-17BC-49A6-A233-13FADBDD71D6}" destId="{0A3E4636-3C27-4923-A68F-0ED5EDD29EA4}" srcOrd="0" destOrd="0" presId="urn:microsoft.com/office/officeart/2005/8/layout/hierarchy2"/>
    <dgm:cxn modelId="{6F5FF9B1-68E4-43D3-B587-64B2CD66FE8B}" type="presOf" srcId="{E0D41454-98E1-4916-9F46-300A096A8DE6}" destId="{97BE0890-E2BD-4403-8E62-95451B6B58C8}" srcOrd="0" destOrd="0" presId="urn:microsoft.com/office/officeart/2005/8/layout/hierarchy2"/>
    <dgm:cxn modelId="{A662A30D-90C4-4AED-97F8-F811F6622789}" type="presOf" srcId="{8E6EDE40-124E-45CF-A65A-3B406DAC327E}" destId="{D2EA3792-C2EF-4BDE-B748-D3A41C40E225}" srcOrd="0" destOrd="0" presId="urn:microsoft.com/office/officeart/2005/8/layout/hierarchy2"/>
    <dgm:cxn modelId="{AD56E1CB-8954-453F-89AD-8B5D738FF237}" srcId="{D9CF954F-5AD7-4B55-9858-5A4107354323}" destId="{E224898F-506D-4468-B953-FADC87C637B8}" srcOrd="2" destOrd="0" parTransId="{0A055310-A478-4FDE-A017-F52764BE8334}" sibTransId="{E323634B-559B-41DB-A779-DD849BFCB031}"/>
    <dgm:cxn modelId="{837804E0-A857-44D7-9355-430C5CEEB3DF}" type="presOf" srcId="{54BD3231-3604-4292-A95F-FF3090EF6083}" destId="{16FC83C9-168E-4E2A-9E1E-B5E81AAA29FB}" srcOrd="0" destOrd="0" presId="urn:microsoft.com/office/officeart/2005/8/layout/hierarchy2"/>
    <dgm:cxn modelId="{5D8DFBFC-885E-4E84-863D-A61FA2FB9E19}" type="presOf" srcId="{E224898F-506D-4468-B953-FADC87C637B8}" destId="{1E2FB2A7-3ABE-4C81-87AC-973CB5D798B0}" srcOrd="0" destOrd="0" presId="urn:microsoft.com/office/officeart/2005/8/layout/hierarchy2"/>
    <dgm:cxn modelId="{7D54A4FE-3485-4FC6-B162-C4734DDD6FA6}" srcId="{E0D41454-98E1-4916-9F46-300A096A8DE6}" destId="{AF206DA4-78A5-4BEF-BC49-1F27436B77F4}" srcOrd="1" destOrd="0" parTransId="{80165B0F-9E74-4C2C-A115-4BD5FC655B61}" sibTransId="{B8EC601B-EFF2-4BE7-9779-A5FC327FC4A4}"/>
    <dgm:cxn modelId="{CD0C304D-B596-440B-A117-781B6EDA5237}" srcId="{D9CF954F-5AD7-4B55-9858-5A4107354323}" destId="{7C7726E8-2012-41B8-B11B-8D51449C25D1}" srcOrd="0" destOrd="0" parTransId="{74EF89E4-17BC-49A6-A233-13FADBDD71D6}" sibTransId="{A0B4DE85-22E9-43B6-B78E-571E649D8709}"/>
    <dgm:cxn modelId="{8BFFD368-6EBD-4A11-B531-347D601D6704}" type="presOf" srcId="{AF206DA4-78A5-4BEF-BC49-1F27436B77F4}" destId="{F4AB1CD3-EEF1-4425-BE05-550CEF11518F}" srcOrd="0" destOrd="0" presId="urn:microsoft.com/office/officeart/2005/8/layout/hierarchy2"/>
    <dgm:cxn modelId="{DBEAD752-07AE-402E-961B-D2D693ECEC1C}" type="presOf" srcId="{9BB55898-8EF0-4FDE-BFF8-7EB344352C05}" destId="{65104BAC-128B-42F8-8CC2-F61B9A293CD2}" srcOrd="0" destOrd="0" presId="urn:microsoft.com/office/officeart/2005/8/layout/hierarchy2"/>
    <dgm:cxn modelId="{D0688DC7-478B-4EBF-9516-650BBFAA1C17}" srcId="{D9CF954F-5AD7-4B55-9858-5A4107354323}" destId="{9BB55898-8EF0-4FDE-BFF8-7EB344352C05}" srcOrd="1" destOrd="0" parTransId="{8E6EDE40-124E-45CF-A65A-3B406DAC327E}" sibTransId="{AA0F1689-7647-4932-A076-5D770318A066}"/>
    <dgm:cxn modelId="{A9A23D57-55C2-4AFA-A2C4-E6F6E13581F6}" type="presOf" srcId="{74EF89E4-17BC-49A6-A233-13FADBDD71D6}" destId="{8191D852-4DCF-483E-8B57-3953A085FA08}" srcOrd="1" destOrd="0" presId="urn:microsoft.com/office/officeart/2005/8/layout/hierarchy2"/>
    <dgm:cxn modelId="{12A270E0-9FF9-49F4-AE3D-9F09938A3920}" type="presOf" srcId="{0A055310-A478-4FDE-A017-F52764BE8334}" destId="{1382DAFB-F1A4-4039-B42D-228631A0750C}" srcOrd="0" destOrd="0" presId="urn:microsoft.com/office/officeart/2005/8/layout/hierarchy2"/>
    <dgm:cxn modelId="{91653B77-9412-4C71-8D2A-D8393D34F744}" type="presOf" srcId="{D9CF954F-5AD7-4B55-9858-5A4107354323}" destId="{76884E23-5A3E-45D1-A89B-BE9EA3FF5C5F}" srcOrd="0" destOrd="0" presId="urn:microsoft.com/office/officeart/2005/8/layout/hierarchy2"/>
    <dgm:cxn modelId="{468C3E41-3456-49F9-8AF7-87ABF0D396F2}" type="presOf" srcId="{A547B6A6-69E2-4E5D-9E3F-CCFAB73D02FB}" destId="{9EA54462-BAAE-446E-94E7-988E1DC3C123}" srcOrd="0" destOrd="0" presId="urn:microsoft.com/office/officeart/2005/8/layout/hierarchy2"/>
    <dgm:cxn modelId="{13560A42-6528-4529-919E-E5B1568F7B4F}" type="presOf" srcId="{A547B6A6-69E2-4E5D-9E3F-CCFAB73D02FB}" destId="{96FC1B2A-DE99-4C4A-9BAB-BDFCD6A445E8}" srcOrd="1" destOrd="0" presId="urn:microsoft.com/office/officeart/2005/8/layout/hierarchy2"/>
    <dgm:cxn modelId="{18C72B33-8A1C-4EAD-A088-5E8C50D8E79B}" srcId="{AF206DA4-78A5-4BEF-BC49-1F27436B77F4}" destId="{B4AFD46C-A284-4C0D-9CE2-AEFA9DECA1FE}" srcOrd="0" destOrd="0" parTransId="{54BD3231-3604-4292-A95F-FF3090EF6083}" sibTransId="{F806727B-1F98-4853-90EC-B469040DDBC0}"/>
    <dgm:cxn modelId="{16162BB5-2FEF-476D-A4FD-2D9BA308ECF0}" type="presOf" srcId="{9C73B90B-CE82-4E90-9395-F470467D7051}" destId="{3196D9E4-4363-4BB2-A035-0FE4AC3EDC9C}" srcOrd="0" destOrd="0" presId="urn:microsoft.com/office/officeart/2005/8/layout/hierarchy2"/>
    <dgm:cxn modelId="{CD80F12F-BA3D-49F7-95A5-475EA5A671E3}" type="presOf" srcId="{0A055310-A478-4FDE-A017-F52764BE8334}" destId="{79887621-27FE-4FA9-8986-005D192F1438}" srcOrd="1" destOrd="0" presId="urn:microsoft.com/office/officeart/2005/8/layout/hierarchy2"/>
    <dgm:cxn modelId="{EDBDB739-221C-4075-AF18-8988B3922EFD}" type="presOf" srcId="{B4AFD46C-A284-4C0D-9CE2-AEFA9DECA1FE}" destId="{8E72C8F7-1E8B-4F55-8907-AB611440562D}" srcOrd="0" destOrd="0" presId="urn:microsoft.com/office/officeart/2005/8/layout/hierarchy2"/>
    <dgm:cxn modelId="{CAAE4858-6C51-4279-84B6-6396B0DF4EC9}" type="presParOf" srcId="{3196D9E4-4363-4BB2-A035-0FE4AC3EDC9C}" destId="{B0203654-DC18-4E44-A1E8-22F7D4CDE87D}" srcOrd="0" destOrd="0" presId="urn:microsoft.com/office/officeart/2005/8/layout/hierarchy2"/>
    <dgm:cxn modelId="{E9CAAAAC-C4C7-49B3-86C7-698E53CB7F36}" type="presParOf" srcId="{B0203654-DC18-4E44-A1E8-22F7D4CDE87D}" destId="{97BE0890-E2BD-4403-8E62-95451B6B58C8}" srcOrd="0" destOrd="0" presId="urn:microsoft.com/office/officeart/2005/8/layout/hierarchy2"/>
    <dgm:cxn modelId="{C985B204-1D99-4DED-885E-5B164D4DBA01}" type="presParOf" srcId="{B0203654-DC18-4E44-A1E8-22F7D4CDE87D}" destId="{995971FD-A653-4AEC-9984-5A46D4EC97B1}" srcOrd="1" destOrd="0" presId="urn:microsoft.com/office/officeart/2005/8/layout/hierarchy2"/>
    <dgm:cxn modelId="{B28C1F7C-A0C4-4C6E-ABA2-2C63E39EB4B8}" type="presParOf" srcId="{995971FD-A653-4AEC-9984-5A46D4EC97B1}" destId="{9EA54462-BAAE-446E-94E7-988E1DC3C123}" srcOrd="0" destOrd="0" presId="urn:microsoft.com/office/officeart/2005/8/layout/hierarchy2"/>
    <dgm:cxn modelId="{EF2B00E1-9917-44CD-805B-569DB4445311}" type="presParOf" srcId="{9EA54462-BAAE-446E-94E7-988E1DC3C123}" destId="{96FC1B2A-DE99-4C4A-9BAB-BDFCD6A445E8}" srcOrd="0" destOrd="0" presId="urn:microsoft.com/office/officeart/2005/8/layout/hierarchy2"/>
    <dgm:cxn modelId="{027977C0-C319-49B7-8E09-C9A36D118370}" type="presParOf" srcId="{995971FD-A653-4AEC-9984-5A46D4EC97B1}" destId="{980F08BB-BBB3-4622-8247-DC7F922DE8EE}" srcOrd="1" destOrd="0" presId="urn:microsoft.com/office/officeart/2005/8/layout/hierarchy2"/>
    <dgm:cxn modelId="{0CDBE363-F009-4EF0-B982-417478BB444D}" type="presParOf" srcId="{980F08BB-BBB3-4622-8247-DC7F922DE8EE}" destId="{76884E23-5A3E-45D1-A89B-BE9EA3FF5C5F}" srcOrd="0" destOrd="0" presId="urn:microsoft.com/office/officeart/2005/8/layout/hierarchy2"/>
    <dgm:cxn modelId="{EE1C6D56-9235-49D3-9442-482A3B9C113A}" type="presParOf" srcId="{980F08BB-BBB3-4622-8247-DC7F922DE8EE}" destId="{470D50AB-E080-45C7-8F23-C8DE407C6313}" srcOrd="1" destOrd="0" presId="urn:microsoft.com/office/officeart/2005/8/layout/hierarchy2"/>
    <dgm:cxn modelId="{265ED562-E2D6-49AE-877E-5F1C3351B48B}" type="presParOf" srcId="{470D50AB-E080-45C7-8F23-C8DE407C6313}" destId="{0A3E4636-3C27-4923-A68F-0ED5EDD29EA4}" srcOrd="0" destOrd="0" presId="urn:microsoft.com/office/officeart/2005/8/layout/hierarchy2"/>
    <dgm:cxn modelId="{58684823-673F-4570-A3C4-C65A8EC3BC9C}" type="presParOf" srcId="{0A3E4636-3C27-4923-A68F-0ED5EDD29EA4}" destId="{8191D852-4DCF-483E-8B57-3953A085FA08}" srcOrd="0" destOrd="0" presId="urn:microsoft.com/office/officeart/2005/8/layout/hierarchy2"/>
    <dgm:cxn modelId="{B25E459F-F543-4072-ACC1-5C5687ACCE63}" type="presParOf" srcId="{470D50AB-E080-45C7-8F23-C8DE407C6313}" destId="{51816A9A-85E3-4003-A598-941F4C008257}" srcOrd="1" destOrd="0" presId="urn:microsoft.com/office/officeart/2005/8/layout/hierarchy2"/>
    <dgm:cxn modelId="{6787CE24-A92E-4D1A-943D-B5C43E231C35}" type="presParOf" srcId="{51816A9A-85E3-4003-A598-941F4C008257}" destId="{F8A54C4E-7939-46CB-ACCB-11A1CAFB92F0}" srcOrd="0" destOrd="0" presId="urn:microsoft.com/office/officeart/2005/8/layout/hierarchy2"/>
    <dgm:cxn modelId="{7A9E88A8-C5B9-4432-8147-673AE933CAF9}" type="presParOf" srcId="{51816A9A-85E3-4003-A598-941F4C008257}" destId="{649799C1-F045-47A0-82DF-122FD5E325B4}" srcOrd="1" destOrd="0" presId="urn:microsoft.com/office/officeart/2005/8/layout/hierarchy2"/>
    <dgm:cxn modelId="{034DADFA-02BB-4635-8E93-6EF64207E348}" type="presParOf" srcId="{470D50AB-E080-45C7-8F23-C8DE407C6313}" destId="{D2EA3792-C2EF-4BDE-B748-D3A41C40E225}" srcOrd="2" destOrd="0" presId="urn:microsoft.com/office/officeart/2005/8/layout/hierarchy2"/>
    <dgm:cxn modelId="{CCC7A6EA-33E7-4693-9D69-35429F1D432A}" type="presParOf" srcId="{D2EA3792-C2EF-4BDE-B748-D3A41C40E225}" destId="{29E3862E-6A97-4013-8339-F219BEF8629D}" srcOrd="0" destOrd="0" presId="urn:microsoft.com/office/officeart/2005/8/layout/hierarchy2"/>
    <dgm:cxn modelId="{E810DCC1-DE5F-4269-A32A-DBB0E978EB18}" type="presParOf" srcId="{470D50AB-E080-45C7-8F23-C8DE407C6313}" destId="{41B203AD-0A06-4584-ACEC-B863CF53ECCA}" srcOrd="3" destOrd="0" presId="urn:microsoft.com/office/officeart/2005/8/layout/hierarchy2"/>
    <dgm:cxn modelId="{76AE2EC8-39AC-4F40-88B1-F3DD1465E80C}" type="presParOf" srcId="{41B203AD-0A06-4584-ACEC-B863CF53ECCA}" destId="{65104BAC-128B-42F8-8CC2-F61B9A293CD2}" srcOrd="0" destOrd="0" presId="urn:microsoft.com/office/officeart/2005/8/layout/hierarchy2"/>
    <dgm:cxn modelId="{4339DAEE-F791-4906-B757-3AEFAC6CF2F9}" type="presParOf" srcId="{41B203AD-0A06-4584-ACEC-B863CF53ECCA}" destId="{036D5CDF-4F70-453F-937D-57FC0A8A2FB4}" srcOrd="1" destOrd="0" presId="urn:microsoft.com/office/officeart/2005/8/layout/hierarchy2"/>
    <dgm:cxn modelId="{923AB8B2-581C-4803-AABA-0DCDB2283F11}" type="presParOf" srcId="{470D50AB-E080-45C7-8F23-C8DE407C6313}" destId="{1382DAFB-F1A4-4039-B42D-228631A0750C}" srcOrd="4" destOrd="0" presId="urn:microsoft.com/office/officeart/2005/8/layout/hierarchy2"/>
    <dgm:cxn modelId="{2C9E14B8-B04B-4395-B9F9-D28351CBC389}" type="presParOf" srcId="{1382DAFB-F1A4-4039-B42D-228631A0750C}" destId="{79887621-27FE-4FA9-8986-005D192F1438}" srcOrd="0" destOrd="0" presId="urn:microsoft.com/office/officeart/2005/8/layout/hierarchy2"/>
    <dgm:cxn modelId="{44EFCA1F-19E4-4CC1-9D2A-DDF07258FAA2}" type="presParOf" srcId="{470D50AB-E080-45C7-8F23-C8DE407C6313}" destId="{D29D7F04-C741-4323-8E6A-878747FB9F45}" srcOrd="5" destOrd="0" presId="urn:microsoft.com/office/officeart/2005/8/layout/hierarchy2"/>
    <dgm:cxn modelId="{719E6A6F-2823-4466-A00F-548A8B0A6810}" type="presParOf" srcId="{D29D7F04-C741-4323-8E6A-878747FB9F45}" destId="{1E2FB2A7-3ABE-4C81-87AC-973CB5D798B0}" srcOrd="0" destOrd="0" presId="urn:microsoft.com/office/officeart/2005/8/layout/hierarchy2"/>
    <dgm:cxn modelId="{6EA5B790-4F30-42FC-BAFB-63C647A7DCCD}" type="presParOf" srcId="{D29D7F04-C741-4323-8E6A-878747FB9F45}" destId="{1DDDC67A-2AF5-4DBB-81E9-194AC8E06911}" srcOrd="1" destOrd="0" presId="urn:microsoft.com/office/officeart/2005/8/layout/hierarchy2"/>
    <dgm:cxn modelId="{FF62DAD9-3473-44E8-9A1C-8215ADA92D4B}" type="presParOf" srcId="{995971FD-A653-4AEC-9984-5A46D4EC97B1}" destId="{AE2D41D1-5DF0-46D8-9F22-4F0F1BC600A4}" srcOrd="2" destOrd="0" presId="urn:microsoft.com/office/officeart/2005/8/layout/hierarchy2"/>
    <dgm:cxn modelId="{A9DE4BC1-4BB1-429F-99E2-99DA726B5896}" type="presParOf" srcId="{AE2D41D1-5DF0-46D8-9F22-4F0F1BC600A4}" destId="{3C4BA363-5C6C-4208-A307-E96078D860DF}" srcOrd="0" destOrd="0" presId="urn:microsoft.com/office/officeart/2005/8/layout/hierarchy2"/>
    <dgm:cxn modelId="{736A48F0-B044-4EDD-9038-E268E71BF1E9}" type="presParOf" srcId="{995971FD-A653-4AEC-9984-5A46D4EC97B1}" destId="{8ABF47A5-94E2-4BF2-AC03-57726880C4CE}" srcOrd="3" destOrd="0" presId="urn:microsoft.com/office/officeart/2005/8/layout/hierarchy2"/>
    <dgm:cxn modelId="{9A141A85-BD7C-4105-9F57-1F3AF6BDB212}" type="presParOf" srcId="{8ABF47A5-94E2-4BF2-AC03-57726880C4CE}" destId="{F4AB1CD3-EEF1-4425-BE05-550CEF11518F}" srcOrd="0" destOrd="0" presId="urn:microsoft.com/office/officeart/2005/8/layout/hierarchy2"/>
    <dgm:cxn modelId="{F937C4E3-9AFF-49F4-8DA7-05E561E3F1F9}" type="presParOf" srcId="{8ABF47A5-94E2-4BF2-AC03-57726880C4CE}" destId="{4DBF14B6-86F6-4998-A4A3-1EFC0AE6639F}" srcOrd="1" destOrd="0" presId="urn:microsoft.com/office/officeart/2005/8/layout/hierarchy2"/>
    <dgm:cxn modelId="{AB066533-DEF2-4FAE-9766-0816A18A995C}" type="presParOf" srcId="{4DBF14B6-86F6-4998-A4A3-1EFC0AE6639F}" destId="{16FC83C9-168E-4E2A-9E1E-B5E81AAA29FB}" srcOrd="0" destOrd="0" presId="urn:microsoft.com/office/officeart/2005/8/layout/hierarchy2"/>
    <dgm:cxn modelId="{D7E449FE-B666-43CB-A2F5-AE0C40ED26FF}" type="presParOf" srcId="{16FC83C9-168E-4E2A-9E1E-B5E81AAA29FB}" destId="{F5426771-E967-4C86-92C9-94C5D59C5717}" srcOrd="0" destOrd="0" presId="urn:microsoft.com/office/officeart/2005/8/layout/hierarchy2"/>
    <dgm:cxn modelId="{FF0A5E8D-7E75-4753-A286-CE7D82DF9A1A}" type="presParOf" srcId="{4DBF14B6-86F6-4998-A4A3-1EFC0AE6639F}" destId="{6D44A5F9-0120-4C31-A364-027DD3232CF9}" srcOrd="1" destOrd="0" presId="urn:microsoft.com/office/officeart/2005/8/layout/hierarchy2"/>
    <dgm:cxn modelId="{8185A9D7-37F7-4D00-AA29-68F526D46238}" type="presParOf" srcId="{6D44A5F9-0120-4C31-A364-027DD3232CF9}" destId="{8E72C8F7-1E8B-4F55-8907-AB611440562D}" srcOrd="0" destOrd="0" presId="urn:microsoft.com/office/officeart/2005/8/layout/hierarchy2"/>
    <dgm:cxn modelId="{95939793-B4A9-4A37-B44D-B68C0B66E0AD}" type="presParOf" srcId="{6D44A5F9-0120-4C31-A364-027DD3232CF9}" destId="{F98FEA18-89BF-4E1B-8DBA-7AC9C7F29F79}" srcOrd="1" destOrd="0" presId="urn:microsoft.com/office/officeart/2005/8/layout/hierarchy2"/>
  </dgm:cxnLst>
  <dgm:bg/>
  <dgm:whole/>
  <dgm:extLst>
    <a:ext uri="http://schemas.microsoft.com/office/drawing/2008/diagram">
      <dsp:dataModelExt xmlns:dsp="http://schemas.microsoft.com/office/drawing/2008/diagram" xmlns="" relId="rId1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BE0890-E2BD-4403-8E62-95451B6B58C8}">
      <dsp:nvSpPr>
        <dsp:cNvPr id="0" name=""/>
        <dsp:cNvSpPr/>
      </dsp:nvSpPr>
      <dsp:spPr>
        <a:xfrm>
          <a:off x="383491" y="1488992"/>
          <a:ext cx="1294164" cy="6470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lv-LV" sz="1100" kern="1200">
              <a:latin typeface="Times New Roman" panose="02020603050405020304" pitchFamily="18" charset="0"/>
              <a:cs typeface="Times New Roman" panose="02020603050405020304" pitchFamily="18" charset="0"/>
            </a:rPr>
            <a:t>1. Gadījuma individuāls izvērtējums</a:t>
          </a:r>
          <a:endParaRPr lang="en-US" sz="1100" kern="1200">
            <a:latin typeface="Times New Roman" panose="02020603050405020304" pitchFamily="18" charset="0"/>
            <a:cs typeface="Times New Roman" panose="02020603050405020304" pitchFamily="18" charset="0"/>
          </a:endParaRPr>
        </a:p>
      </dsp:txBody>
      <dsp:txXfrm>
        <a:off x="402443" y="1507944"/>
        <a:ext cx="1256260" cy="609178"/>
      </dsp:txXfrm>
    </dsp:sp>
    <dsp:sp modelId="{9EA54462-BAAE-446E-94E7-988E1DC3C123}">
      <dsp:nvSpPr>
        <dsp:cNvPr id="0" name=""/>
        <dsp:cNvSpPr/>
      </dsp:nvSpPr>
      <dsp:spPr>
        <a:xfrm rot="18229152">
          <a:off x="1471442" y="1405959"/>
          <a:ext cx="930093" cy="40429"/>
        </a:xfrm>
        <a:custGeom>
          <a:avLst/>
          <a:gdLst/>
          <a:ahLst/>
          <a:cxnLst/>
          <a:rect l="0" t="0" r="0" b="0"/>
          <a:pathLst>
            <a:path>
              <a:moveTo>
                <a:pt x="0" y="20214"/>
              </a:moveTo>
              <a:lnTo>
                <a:pt x="930093" y="202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latin typeface="Times New Roman" panose="02020603050405020304" pitchFamily="18" charset="0"/>
            <a:cs typeface="Times New Roman" panose="02020603050405020304" pitchFamily="18" charset="0"/>
          </a:endParaRPr>
        </a:p>
      </dsp:txBody>
      <dsp:txXfrm>
        <a:off x="1913236" y="1402921"/>
        <a:ext cx="46504" cy="46504"/>
      </dsp:txXfrm>
    </dsp:sp>
    <dsp:sp modelId="{76884E23-5A3E-45D1-A89B-BE9EA3FF5C5F}">
      <dsp:nvSpPr>
        <dsp:cNvPr id="0" name=""/>
        <dsp:cNvSpPr/>
      </dsp:nvSpPr>
      <dsp:spPr>
        <a:xfrm>
          <a:off x="2195321" y="716272"/>
          <a:ext cx="1294164" cy="647082"/>
        </a:xfrm>
        <a:prstGeom prst="roundRect">
          <a:avLst>
            <a:gd name="adj" fmla="val 10000"/>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lv-LV" sz="1100" kern="1200">
              <a:solidFill>
                <a:sysClr val="windowText" lastClr="000000"/>
              </a:solidFill>
              <a:latin typeface="Times New Roman" panose="02020603050405020304" pitchFamily="18" charset="0"/>
              <a:cs typeface="Times New Roman" panose="02020603050405020304" pitchFamily="18" charset="0"/>
            </a:rPr>
            <a:t>2. Atbilstība specifiskā  atbalsta veidam</a:t>
          </a:r>
          <a:endParaRPr lang="en-US" sz="1100" kern="1200">
            <a:solidFill>
              <a:sysClr val="windowText" lastClr="000000"/>
            </a:solidFill>
            <a:latin typeface="Times New Roman" panose="02020603050405020304" pitchFamily="18" charset="0"/>
            <a:cs typeface="Times New Roman" panose="02020603050405020304" pitchFamily="18" charset="0"/>
          </a:endParaRPr>
        </a:p>
      </dsp:txBody>
      <dsp:txXfrm>
        <a:off x="2214273" y="735224"/>
        <a:ext cx="1256260" cy="609178"/>
      </dsp:txXfrm>
    </dsp:sp>
    <dsp:sp modelId="{0A3E4636-3C27-4923-A68F-0ED5EDD29EA4}">
      <dsp:nvSpPr>
        <dsp:cNvPr id="0" name=""/>
        <dsp:cNvSpPr/>
      </dsp:nvSpPr>
      <dsp:spPr>
        <a:xfrm rot="18352991">
          <a:off x="3306726" y="661814"/>
          <a:ext cx="883186" cy="40429"/>
        </a:xfrm>
        <a:custGeom>
          <a:avLst/>
          <a:gdLst/>
          <a:ahLst/>
          <a:cxnLst/>
          <a:rect l="0" t="0" r="0" b="0"/>
          <a:pathLst>
            <a:path>
              <a:moveTo>
                <a:pt x="0" y="20214"/>
              </a:moveTo>
              <a:lnTo>
                <a:pt x="883186" y="20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latin typeface="Times New Roman" panose="02020603050405020304" pitchFamily="18" charset="0"/>
            <a:cs typeface="Times New Roman" panose="02020603050405020304" pitchFamily="18" charset="0"/>
          </a:endParaRPr>
        </a:p>
      </dsp:txBody>
      <dsp:txXfrm>
        <a:off x="3726239" y="659949"/>
        <a:ext cx="44159" cy="44159"/>
      </dsp:txXfrm>
    </dsp:sp>
    <dsp:sp modelId="{F8A54C4E-7939-46CB-ACCB-11A1CAFB92F0}">
      <dsp:nvSpPr>
        <dsp:cNvPr id="0" name=""/>
        <dsp:cNvSpPr/>
      </dsp:nvSpPr>
      <dsp:spPr>
        <a:xfrm>
          <a:off x="4007152" y="703"/>
          <a:ext cx="1294164" cy="647082"/>
        </a:xfrm>
        <a:prstGeom prst="roundRect">
          <a:avLst>
            <a:gd name="adj" fmla="val 10000"/>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lv-LV" sz="1100" kern="1200">
              <a:solidFill>
                <a:sysClr val="windowText" lastClr="000000"/>
              </a:solidFill>
              <a:latin typeface="Times New Roman" panose="02020603050405020304" pitchFamily="18" charset="0"/>
              <a:cs typeface="Times New Roman" panose="02020603050405020304" pitchFamily="18" charset="0"/>
            </a:rPr>
            <a:t>3.1. Atbalsta ilgums</a:t>
          </a:r>
          <a:endParaRPr lang="en-US" sz="1100" kern="1200">
            <a:solidFill>
              <a:sysClr val="windowText" lastClr="000000"/>
            </a:solidFill>
            <a:latin typeface="Times New Roman" panose="02020603050405020304" pitchFamily="18" charset="0"/>
            <a:cs typeface="Times New Roman" panose="02020603050405020304" pitchFamily="18" charset="0"/>
          </a:endParaRPr>
        </a:p>
      </dsp:txBody>
      <dsp:txXfrm>
        <a:off x="4026104" y="19655"/>
        <a:ext cx="1256260" cy="609178"/>
      </dsp:txXfrm>
    </dsp:sp>
    <dsp:sp modelId="{D2EA3792-C2EF-4BDE-B748-D3A41C40E225}">
      <dsp:nvSpPr>
        <dsp:cNvPr id="0" name=""/>
        <dsp:cNvSpPr/>
      </dsp:nvSpPr>
      <dsp:spPr>
        <a:xfrm rot="189571">
          <a:off x="3489092" y="1033886"/>
          <a:ext cx="518453" cy="40429"/>
        </a:xfrm>
        <a:custGeom>
          <a:avLst/>
          <a:gdLst/>
          <a:ahLst/>
          <a:cxnLst/>
          <a:rect l="0" t="0" r="0" b="0"/>
          <a:pathLst>
            <a:path>
              <a:moveTo>
                <a:pt x="0" y="20214"/>
              </a:moveTo>
              <a:lnTo>
                <a:pt x="518453" y="20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latin typeface="Times New Roman" panose="02020603050405020304" pitchFamily="18" charset="0"/>
            <a:cs typeface="Times New Roman" panose="02020603050405020304" pitchFamily="18" charset="0"/>
          </a:endParaRPr>
        </a:p>
      </dsp:txBody>
      <dsp:txXfrm>
        <a:off x="3735357" y="1041140"/>
        <a:ext cx="25922" cy="25922"/>
      </dsp:txXfrm>
    </dsp:sp>
    <dsp:sp modelId="{65104BAC-128B-42F8-8CC2-F61B9A293CD2}">
      <dsp:nvSpPr>
        <dsp:cNvPr id="0" name=""/>
        <dsp:cNvSpPr/>
      </dsp:nvSpPr>
      <dsp:spPr>
        <a:xfrm>
          <a:off x="4007152" y="744848"/>
          <a:ext cx="1294164" cy="647082"/>
        </a:xfrm>
        <a:prstGeom prst="roundRect">
          <a:avLst>
            <a:gd name="adj" fmla="val 10000"/>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lv-LV" sz="1100" kern="1200">
              <a:solidFill>
                <a:sysClr val="windowText" lastClr="000000"/>
              </a:solidFill>
              <a:latin typeface="Times New Roman" panose="02020603050405020304" pitchFamily="18" charset="0"/>
              <a:cs typeface="Times New Roman" panose="02020603050405020304" pitchFamily="18" charset="0"/>
            </a:rPr>
            <a:t>3.2. Atbalsta apmērs</a:t>
          </a:r>
          <a:endParaRPr lang="en-US" sz="1100" kern="1200">
            <a:solidFill>
              <a:sysClr val="windowText" lastClr="000000"/>
            </a:solidFill>
            <a:latin typeface="Times New Roman" panose="02020603050405020304" pitchFamily="18" charset="0"/>
            <a:cs typeface="Times New Roman" panose="02020603050405020304" pitchFamily="18" charset="0"/>
          </a:endParaRPr>
        </a:p>
      </dsp:txBody>
      <dsp:txXfrm>
        <a:off x="4026104" y="763800"/>
        <a:ext cx="1256260" cy="609178"/>
      </dsp:txXfrm>
    </dsp:sp>
    <dsp:sp modelId="{1382DAFB-F1A4-4039-B42D-228631A0750C}">
      <dsp:nvSpPr>
        <dsp:cNvPr id="0" name=""/>
        <dsp:cNvSpPr/>
      </dsp:nvSpPr>
      <dsp:spPr>
        <a:xfrm rot="3370848">
          <a:off x="3283272" y="1405959"/>
          <a:ext cx="930093" cy="40429"/>
        </a:xfrm>
        <a:custGeom>
          <a:avLst/>
          <a:gdLst/>
          <a:ahLst/>
          <a:cxnLst/>
          <a:rect l="0" t="0" r="0" b="0"/>
          <a:pathLst>
            <a:path>
              <a:moveTo>
                <a:pt x="0" y="20214"/>
              </a:moveTo>
              <a:lnTo>
                <a:pt x="930093" y="20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latin typeface="Times New Roman" panose="02020603050405020304" pitchFamily="18" charset="0"/>
            <a:cs typeface="Times New Roman" panose="02020603050405020304" pitchFamily="18" charset="0"/>
          </a:endParaRPr>
        </a:p>
      </dsp:txBody>
      <dsp:txXfrm>
        <a:off x="3725066" y="1402921"/>
        <a:ext cx="46504" cy="46504"/>
      </dsp:txXfrm>
    </dsp:sp>
    <dsp:sp modelId="{1E2FB2A7-3ABE-4C81-87AC-973CB5D798B0}">
      <dsp:nvSpPr>
        <dsp:cNvPr id="0" name=""/>
        <dsp:cNvSpPr/>
      </dsp:nvSpPr>
      <dsp:spPr>
        <a:xfrm>
          <a:off x="4007152" y="1488992"/>
          <a:ext cx="1294164" cy="647082"/>
        </a:xfrm>
        <a:prstGeom prst="roundRect">
          <a:avLst>
            <a:gd name="adj" fmla="val 10000"/>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lv-LV" sz="1100" kern="1200">
              <a:solidFill>
                <a:sysClr val="windowText" lastClr="000000"/>
              </a:solidFill>
              <a:latin typeface="Times New Roman" panose="02020603050405020304" pitchFamily="18" charset="0"/>
              <a:cs typeface="Times New Roman" panose="02020603050405020304" pitchFamily="18" charset="0"/>
            </a:rPr>
            <a:t>3.3. Līdzdalības pasākumu noteikšana</a:t>
          </a:r>
          <a:endParaRPr lang="en-US" sz="1100" kern="1200">
            <a:solidFill>
              <a:sysClr val="windowText" lastClr="000000"/>
            </a:solidFill>
            <a:latin typeface="Times New Roman" panose="02020603050405020304" pitchFamily="18" charset="0"/>
            <a:cs typeface="Times New Roman" panose="02020603050405020304" pitchFamily="18" charset="0"/>
          </a:endParaRPr>
        </a:p>
      </dsp:txBody>
      <dsp:txXfrm>
        <a:off x="4026104" y="1507944"/>
        <a:ext cx="1256260" cy="609178"/>
      </dsp:txXfrm>
    </dsp:sp>
    <dsp:sp modelId="{AE2D41D1-5DF0-46D8-9F22-4F0F1BC600A4}">
      <dsp:nvSpPr>
        <dsp:cNvPr id="0" name=""/>
        <dsp:cNvSpPr/>
      </dsp:nvSpPr>
      <dsp:spPr>
        <a:xfrm rot="3310531">
          <a:off x="1483242" y="2164391"/>
          <a:ext cx="906492" cy="40429"/>
        </a:xfrm>
        <a:custGeom>
          <a:avLst/>
          <a:gdLst/>
          <a:ahLst/>
          <a:cxnLst/>
          <a:rect l="0" t="0" r="0" b="0"/>
          <a:pathLst>
            <a:path>
              <a:moveTo>
                <a:pt x="0" y="20214"/>
              </a:moveTo>
              <a:lnTo>
                <a:pt x="906492" y="202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latin typeface="Times New Roman" panose="02020603050405020304" pitchFamily="18" charset="0"/>
            <a:cs typeface="Times New Roman" panose="02020603050405020304" pitchFamily="18" charset="0"/>
          </a:endParaRPr>
        </a:p>
      </dsp:txBody>
      <dsp:txXfrm>
        <a:off x="1913826" y="2161943"/>
        <a:ext cx="45324" cy="45324"/>
      </dsp:txXfrm>
    </dsp:sp>
    <dsp:sp modelId="{F4AB1CD3-EEF1-4425-BE05-550CEF11518F}">
      <dsp:nvSpPr>
        <dsp:cNvPr id="0" name=""/>
        <dsp:cNvSpPr/>
      </dsp:nvSpPr>
      <dsp:spPr>
        <a:xfrm>
          <a:off x="2195321" y="2233137"/>
          <a:ext cx="1294164" cy="647082"/>
        </a:xfrm>
        <a:prstGeom prst="roundRect">
          <a:avLst>
            <a:gd name="adj" fmla="val 10000"/>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lv-LV" sz="1100" kern="1200">
              <a:solidFill>
                <a:sysClr val="windowText" lastClr="000000"/>
              </a:solidFill>
              <a:latin typeface="Times New Roman" panose="02020603050405020304" pitchFamily="18" charset="0"/>
              <a:cs typeface="Times New Roman" panose="02020603050405020304" pitchFamily="18" charset="0"/>
            </a:rPr>
            <a:t>Atbilstība citiem atbalsta veidiem</a:t>
          </a:r>
          <a:endParaRPr lang="en-US" sz="1100" kern="1200">
            <a:solidFill>
              <a:sysClr val="windowText" lastClr="000000"/>
            </a:solidFill>
            <a:latin typeface="Times New Roman" panose="02020603050405020304" pitchFamily="18" charset="0"/>
            <a:cs typeface="Times New Roman" panose="02020603050405020304" pitchFamily="18" charset="0"/>
          </a:endParaRPr>
        </a:p>
      </dsp:txBody>
      <dsp:txXfrm>
        <a:off x="2214273" y="2252089"/>
        <a:ext cx="1256260" cy="609178"/>
      </dsp:txXfrm>
    </dsp:sp>
    <dsp:sp modelId="{16FC83C9-168E-4E2A-9E1E-B5E81AAA29FB}">
      <dsp:nvSpPr>
        <dsp:cNvPr id="0" name=""/>
        <dsp:cNvSpPr/>
      </dsp:nvSpPr>
      <dsp:spPr>
        <a:xfrm>
          <a:off x="3489486" y="2536463"/>
          <a:ext cx="517665" cy="40429"/>
        </a:xfrm>
        <a:custGeom>
          <a:avLst/>
          <a:gdLst/>
          <a:ahLst/>
          <a:cxnLst/>
          <a:rect l="0" t="0" r="0" b="0"/>
          <a:pathLst>
            <a:path>
              <a:moveTo>
                <a:pt x="0" y="20214"/>
              </a:moveTo>
              <a:lnTo>
                <a:pt x="517665" y="20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latin typeface="Times New Roman" panose="02020603050405020304" pitchFamily="18" charset="0"/>
            <a:cs typeface="Times New Roman" panose="02020603050405020304" pitchFamily="18" charset="0"/>
          </a:endParaRPr>
        </a:p>
      </dsp:txBody>
      <dsp:txXfrm>
        <a:off x="3735377" y="2543736"/>
        <a:ext cx="25883" cy="25883"/>
      </dsp:txXfrm>
    </dsp:sp>
    <dsp:sp modelId="{8E72C8F7-1E8B-4F55-8907-AB611440562D}">
      <dsp:nvSpPr>
        <dsp:cNvPr id="0" name=""/>
        <dsp:cNvSpPr/>
      </dsp:nvSpPr>
      <dsp:spPr>
        <a:xfrm>
          <a:off x="4007152" y="2233137"/>
          <a:ext cx="1294164" cy="647082"/>
        </a:xfrm>
        <a:prstGeom prst="roundRect">
          <a:avLst>
            <a:gd name="adj" fmla="val 10000"/>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lv-LV" sz="1100" kern="1200">
              <a:solidFill>
                <a:sysClr val="windowText" lastClr="000000"/>
              </a:solidFill>
              <a:latin typeface="Times New Roman" panose="02020603050405020304" pitchFamily="18" charset="0"/>
              <a:cs typeface="Times New Roman" panose="02020603050405020304" pitchFamily="18" charset="0"/>
            </a:rPr>
            <a:t>Konkrētā atbalsta sniegšana atbilstoši kritērijiem </a:t>
          </a:r>
          <a:endParaRPr lang="en-US" sz="1100" kern="1200">
            <a:solidFill>
              <a:sysClr val="windowText" lastClr="000000"/>
            </a:solidFill>
            <a:latin typeface="Times New Roman" panose="02020603050405020304" pitchFamily="18" charset="0"/>
            <a:cs typeface="Times New Roman" panose="02020603050405020304" pitchFamily="18" charset="0"/>
          </a:endParaRPr>
        </a:p>
      </dsp:txBody>
      <dsp:txXfrm>
        <a:off x="4026104" y="2252089"/>
        <a:ext cx="1256260" cy="60917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59D38-DB35-4DE8-9124-5CD2D5FDF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461</Pages>
  <Words>810927</Words>
  <Characters>462229</Characters>
  <Application>Microsoft Office Word</Application>
  <DocSecurity>0</DocSecurity>
  <Lines>3851</Lines>
  <Paragraphs>2541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1270615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Evija</dc:creator>
  <cp:keywords/>
  <dc:description/>
  <cp:lastModifiedBy>Evija</cp:lastModifiedBy>
  <cp:revision>11</cp:revision>
  <cp:lastPrinted>2019-06-20T07:51:00Z</cp:lastPrinted>
  <dcterms:created xsi:type="dcterms:W3CDTF">2019-06-19T08:57:00Z</dcterms:created>
  <dcterms:modified xsi:type="dcterms:W3CDTF">2019-06-20T08:27:00Z</dcterms:modified>
</cp:coreProperties>
</file>