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03E" w:rsidRPr="0045703E" w:rsidRDefault="0045703E" w:rsidP="00C83135">
      <w:pPr>
        <w:autoSpaceDE w:val="0"/>
        <w:autoSpaceDN w:val="0"/>
        <w:adjustRightInd w:val="0"/>
        <w:spacing w:after="0" w:line="240" w:lineRule="auto"/>
        <w:ind w:firstLine="425"/>
        <w:jc w:val="both"/>
        <w:rPr>
          <w:rFonts w:cstheme="minorHAnsi"/>
          <w:color w:val="000000"/>
        </w:rPr>
      </w:pPr>
      <w:r w:rsidRPr="0045703E">
        <w:rPr>
          <w:rFonts w:cstheme="minorHAnsi"/>
          <w:color w:val="000000"/>
        </w:rPr>
        <w:t xml:space="preserve">Labklājības ministrijas īstenotā projektā “Profesionāla sociālā darba attīstība pašvaldībās” ietvaros atbilstoši “Profesionāla sociālā darba attīstības pamatnostādnes 2014.-2020.gadam” noteiktajam plānots uzsāk darbu pie nākamās metodikas izstrādes </w:t>
      </w:r>
      <w:r w:rsidRPr="0045703E">
        <w:rPr>
          <w:rFonts w:cstheme="minorHAnsi"/>
          <w:b/>
          <w:bCs/>
          <w:color w:val="000000"/>
        </w:rPr>
        <w:t>sociālajam darbam ar grupām</w:t>
      </w:r>
      <w:r w:rsidRPr="0045703E">
        <w:rPr>
          <w:rFonts w:cstheme="minorHAnsi"/>
          <w:color w:val="000000"/>
        </w:rPr>
        <w:t>. Metodikas izstrādes mērķis ir stiprināt sociālo darbinieku kompetenci darbā ar klientiem grupās, padziļinot izpratni par grupu veidiem un to piemērošanu atšķirīgām vai homogēnām klientu grupām, grupas plānošanas un veidošanas nosacījumiem, grupas attīstības fāzēm un dinamikai, kā arī par grupu darba pieejām un metodēm, tajā skaitā par darbu grupā kopienas kontekstā.</w:t>
      </w:r>
    </w:p>
    <w:p w:rsidR="0045703E" w:rsidRPr="0045703E" w:rsidRDefault="0045703E" w:rsidP="00C83135">
      <w:pPr>
        <w:autoSpaceDE w:val="0"/>
        <w:autoSpaceDN w:val="0"/>
        <w:adjustRightInd w:val="0"/>
        <w:spacing w:after="0" w:line="240" w:lineRule="auto"/>
        <w:ind w:firstLine="425"/>
        <w:jc w:val="both"/>
        <w:rPr>
          <w:rFonts w:cstheme="minorHAnsi"/>
          <w:color w:val="000000"/>
        </w:rPr>
      </w:pPr>
      <w:bookmarkStart w:id="0" w:name="_GoBack"/>
      <w:bookmarkEnd w:id="0"/>
      <w:r w:rsidRPr="0045703E">
        <w:rPr>
          <w:rFonts w:cstheme="minorHAnsi"/>
          <w:color w:val="000000"/>
        </w:rPr>
        <w:t xml:space="preserve">Sociālais darbs grupās, kā viena no sociālā darba profesijas metodēm, sāka attīstīties 20. gs. trešajā dekādē. Tas attīstījās laikā, kad tika pārskatīts sadalījums starp sociālajiem darbiniekiem, kuri strādāja ar sociālām problēmām, kas piemīt cilvēkam (piemēram, atkarība) un sociālajiem darbiniekiem, kuri strādāja ar cilvēkiem, kurus skar sabiedrībā esošas sociālas problēmas (piemēram, nabadzība). Šī atšķirīgā perspektīva atspoguļojās dažāda veida aģentūru organizācijā, kuras visas var tikt klasificētas kā sociālās labklājības organizācijas, lai gan to pakalpojumu nodrošināšanas metodes atšķīrās. Dažas no šīm metodēm joprojām tiek izmantotas sociālajā darbā. </w:t>
      </w:r>
    </w:p>
    <w:p w:rsidR="0045703E" w:rsidRPr="0045703E" w:rsidRDefault="0045703E" w:rsidP="00C83135">
      <w:pPr>
        <w:autoSpaceDE w:val="0"/>
        <w:autoSpaceDN w:val="0"/>
        <w:adjustRightInd w:val="0"/>
        <w:spacing w:after="0" w:line="240" w:lineRule="auto"/>
        <w:ind w:firstLine="425"/>
        <w:jc w:val="both"/>
        <w:rPr>
          <w:rFonts w:cstheme="minorHAnsi"/>
          <w:color w:val="000000"/>
        </w:rPr>
      </w:pPr>
      <w:r w:rsidRPr="0045703E">
        <w:rPr>
          <w:rFonts w:cstheme="minorHAnsi"/>
          <w:color w:val="000000"/>
        </w:rPr>
        <w:t xml:space="preserve">Laikā, kad zināšanas no sociālajām zinātnēm, psiholoģijas un psihoanalīzes ienāca sociālajā darbā, tas ietekmēja sociālo darbinieku izmantotos konceptus, principus un tehnikas. Sociālie koncepti, kas radīja iespējamu sociālo procesu analīzi, kuru rezultātā notiek pārmaiņas, pastiprināja mazu un lielu grupu nozīmi. Jaunās zināšanas par cilvēku uzvedības motivēšanu ne tikai palīdzēja ieraudzīt jaunus aspektus problēmām, kuras cilvēki izjūt kā indivīdi, bet arī interpretēt indivīdu mijiedarbību grupā daudz </w:t>
      </w:r>
      <w:proofErr w:type="spellStart"/>
      <w:r w:rsidRPr="0045703E">
        <w:rPr>
          <w:rFonts w:cstheme="minorHAnsi"/>
          <w:color w:val="000000"/>
        </w:rPr>
        <w:t>jēgpilnāk</w:t>
      </w:r>
      <w:proofErr w:type="spellEnd"/>
      <w:r w:rsidRPr="0045703E">
        <w:rPr>
          <w:rFonts w:cstheme="minorHAnsi"/>
          <w:color w:val="000000"/>
        </w:rPr>
        <w:t>. Līdz ar zināšanām par labirintiem, caur kuriem pakāpeniski notiek pārmaiņas grupās, tika atklāts, ka sociālās izmaiņas cilvēkos var notikt ātrāk, ja tie iemācās virzīt grupas aktivitātes, kas veidotas ar mērķi sasniegt rezultātu.</w:t>
      </w:r>
    </w:p>
    <w:p w:rsidR="0045703E" w:rsidRPr="0045703E" w:rsidRDefault="0045703E" w:rsidP="00C83135">
      <w:pPr>
        <w:autoSpaceDE w:val="0"/>
        <w:autoSpaceDN w:val="0"/>
        <w:adjustRightInd w:val="0"/>
        <w:spacing w:after="0" w:line="240" w:lineRule="auto"/>
        <w:ind w:firstLine="425"/>
        <w:jc w:val="both"/>
        <w:rPr>
          <w:rFonts w:cstheme="minorHAnsi"/>
          <w:color w:val="000000"/>
        </w:rPr>
      </w:pPr>
    </w:p>
    <w:p w:rsidR="0045703E" w:rsidRPr="0045703E" w:rsidRDefault="0045703E" w:rsidP="00C83135">
      <w:pPr>
        <w:autoSpaceDE w:val="0"/>
        <w:autoSpaceDN w:val="0"/>
        <w:adjustRightInd w:val="0"/>
        <w:spacing w:after="0" w:line="240" w:lineRule="auto"/>
        <w:ind w:firstLine="425"/>
        <w:jc w:val="both"/>
        <w:rPr>
          <w:rFonts w:cstheme="minorHAnsi"/>
          <w:color w:val="000000"/>
        </w:rPr>
      </w:pPr>
      <w:r w:rsidRPr="0045703E">
        <w:rPr>
          <w:rFonts w:cstheme="minorHAnsi"/>
          <w:color w:val="000000"/>
        </w:rPr>
        <w:t>Sociālais darbs ar grupām kā profesijas specializācija tika atzīta 1955. gadā, nodibinoties Sociālo darbinieku nacionālajai asociācijai (NASW, ASV).</w:t>
      </w:r>
    </w:p>
    <w:p w:rsidR="0045703E" w:rsidRPr="0045703E" w:rsidRDefault="0045703E" w:rsidP="00C83135">
      <w:pPr>
        <w:autoSpaceDE w:val="0"/>
        <w:autoSpaceDN w:val="0"/>
        <w:adjustRightInd w:val="0"/>
        <w:spacing w:after="0" w:line="240" w:lineRule="auto"/>
        <w:ind w:firstLine="425"/>
        <w:jc w:val="both"/>
        <w:rPr>
          <w:rFonts w:cstheme="minorHAnsi"/>
          <w:color w:val="000000"/>
        </w:rPr>
      </w:pPr>
    </w:p>
    <w:p w:rsidR="0045703E" w:rsidRPr="00C83135" w:rsidRDefault="0045703E" w:rsidP="00C83135">
      <w:pPr>
        <w:autoSpaceDE w:val="0"/>
        <w:autoSpaceDN w:val="0"/>
        <w:adjustRightInd w:val="0"/>
        <w:spacing w:after="120" w:line="240" w:lineRule="auto"/>
        <w:jc w:val="both"/>
        <w:rPr>
          <w:rFonts w:cstheme="minorHAnsi"/>
          <w:b/>
          <w:color w:val="000000"/>
        </w:rPr>
      </w:pPr>
      <w:r w:rsidRPr="00C83135">
        <w:rPr>
          <w:rFonts w:cstheme="minorHAnsi"/>
          <w:b/>
          <w:color w:val="000000"/>
        </w:rPr>
        <w:t>Izstrādājamā metodiskā materiāla sociālajam darbam ar grupu indikatīvie satura elementi:</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1.</w:t>
      </w:r>
      <w:r w:rsidRPr="0045703E">
        <w:rPr>
          <w:rFonts w:cstheme="minorHAnsi"/>
          <w:color w:val="000000"/>
        </w:rPr>
        <w:tab/>
        <w:t xml:space="preserve">Sociālā darba ar grupu nozīme/ vērtība un grupu veidi, to atšķirības (piemēram, atbalsta grupas un to veidi, </w:t>
      </w:r>
      <w:proofErr w:type="spellStart"/>
      <w:r w:rsidRPr="0045703E">
        <w:rPr>
          <w:rFonts w:cstheme="minorHAnsi"/>
          <w:color w:val="000000"/>
        </w:rPr>
        <w:t>psihoizglītojošās</w:t>
      </w:r>
      <w:proofErr w:type="spellEnd"/>
      <w:r w:rsidRPr="0045703E">
        <w:rPr>
          <w:rFonts w:cstheme="minorHAnsi"/>
          <w:color w:val="000000"/>
        </w:rPr>
        <w:t xml:space="preserve"> grupas, terapeitiskās grupas, </w:t>
      </w:r>
      <w:proofErr w:type="spellStart"/>
      <w:r w:rsidRPr="0045703E">
        <w:rPr>
          <w:rFonts w:cstheme="minorHAnsi"/>
          <w:color w:val="000000"/>
        </w:rPr>
        <w:t>psihosociālās</w:t>
      </w:r>
      <w:proofErr w:type="spellEnd"/>
      <w:r w:rsidRPr="0045703E">
        <w:rPr>
          <w:rFonts w:cstheme="minorHAnsi"/>
          <w:color w:val="000000"/>
        </w:rPr>
        <w:t xml:space="preserve"> grupas, pašpalīdzības grupas u.c.).</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2.</w:t>
      </w:r>
      <w:r w:rsidRPr="0045703E">
        <w:rPr>
          <w:rFonts w:cstheme="minorHAnsi"/>
          <w:color w:val="000000"/>
        </w:rPr>
        <w:tab/>
        <w:t xml:space="preserve">Sociālā darba ar grupu modeļi (piemēram, kognitīvi </w:t>
      </w:r>
      <w:proofErr w:type="spellStart"/>
      <w:r w:rsidRPr="0045703E">
        <w:rPr>
          <w:rFonts w:cstheme="minorHAnsi"/>
          <w:color w:val="000000"/>
        </w:rPr>
        <w:t>biheiviorālais</w:t>
      </w:r>
      <w:proofErr w:type="spellEnd"/>
      <w:r w:rsidRPr="0045703E">
        <w:rPr>
          <w:rFonts w:cstheme="minorHAnsi"/>
          <w:color w:val="000000"/>
        </w:rPr>
        <w:t xml:space="preserve">, </w:t>
      </w:r>
      <w:proofErr w:type="spellStart"/>
      <w:r w:rsidRPr="0045703E">
        <w:rPr>
          <w:rFonts w:cstheme="minorHAnsi"/>
          <w:i/>
          <w:iCs/>
          <w:color w:val="000000"/>
        </w:rPr>
        <w:t>empowerment</w:t>
      </w:r>
      <w:proofErr w:type="spellEnd"/>
      <w:r w:rsidRPr="0045703E">
        <w:rPr>
          <w:rFonts w:cstheme="minorHAnsi"/>
          <w:color w:val="000000"/>
        </w:rPr>
        <w:t>, savstarpējās palīdzēšanas, uz uzdevumu centrētais, u.c.).</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3.</w:t>
      </w:r>
      <w:r w:rsidRPr="0045703E">
        <w:rPr>
          <w:rFonts w:cstheme="minorHAnsi"/>
          <w:color w:val="000000"/>
        </w:rPr>
        <w:tab/>
        <w:t xml:space="preserve">Sociālā darba ar grupu veidošanas principi (piemēram, pēc mērķa grupas (piemēram, audžuģimenes), pēc sociālās problēmas (piemēram, </w:t>
      </w:r>
      <w:proofErr w:type="spellStart"/>
      <w:r w:rsidRPr="0045703E">
        <w:rPr>
          <w:rFonts w:cstheme="minorHAnsi"/>
          <w:color w:val="000000"/>
        </w:rPr>
        <w:t>bezpajumtniecība</w:t>
      </w:r>
      <w:proofErr w:type="spellEnd"/>
      <w:r w:rsidRPr="0045703E">
        <w:rPr>
          <w:rFonts w:cstheme="minorHAnsi"/>
          <w:color w:val="000000"/>
        </w:rPr>
        <w:t>)).</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4.</w:t>
      </w:r>
      <w:r w:rsidRPr="0045703E">
        <w:rPr>
          <w:rFonts w:cstheme="minorHAnsi"/>
          <w:color w:val="000000"/>
        </w:rPr>
        <w:tab/>
        <w:t>Sociālais darbs grupā ar specifiskām mērķa grupām (piemēram, garīgā veselība, vielu atkarības, vardarbība u.c.).</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5.</w:t>
      </w:r>
      <w:r w:rsidRPr="0045703E">
        <w:rPr>
          <w:rFonts w:cstheme="minorHAnsi"/>
          <w:color w:val="000000"/>
        </w:rPr>
        <w:tab/>
        <w:t>Sociālais darbs grupā dažādiem vecuma posmiem.</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6.</w:t>
      </w:r>
      <w:r w:rsidRPr="0045703E">
        <w:rPr>
          <w:rFonts w:cstheme="minorHAnsi"/>
          <w:color w:val="000000"/>
        </w:rPr>
        <w:tab/>
        <w:t>Grupas struktūra, mijiedarbība un attīstības līmeņi.</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7.</w:t>
      </w:r>
      <w:r w:rsidRPr="0045703E">
        <w:rPr>
          <w:rFonts w:cstheme="minorHAnsi"/>
          <w:color w:val="000000"/>
        </w:rPr>
        <w:tab/>
        <w:t xml:space="preserve">Grupas vadīšanas veidi (tiešais, </w:t>
      </w:r>
      <w:proofErr w:type="spellStart"/>
      <w:r w:rsidRPr="0045703E">
        <w:rPr>
          <w:rFonts w:cstheme="minorHAnsi"/>
          <w:i/>
          <w:iCs/>
          <w:color w:val="000000"/>
        </w:rPr>
        <w:t>fasilitējošais</w:t>
      </w:r>
      <w:proofErr w:type="spellEnd"/>
      <w:r w:rsidRPr="0045703E">
        <w:rPr>
          <w:rFonts w:cstheme="minorHAnsi"/>
          <w:color w:val="000000"/>
        </w:rPr>
        <w:t>, ierosinošais, elastīgais).</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8.</w:t>
      </w:r>
      <w:r w:rsidRPr="0045703E">
        <w:rPr>
          <w:rFonts w:cstheme="minorHAnsi"/>
          <w:color w:val="000000"/>
        </w:rPr>
        <w:tab/>
        <w:t>Grupas mērķu definēšanas 3 perspektīvas – dalībnieku individuālie mērķi, sociālā darbinieka mērķi, grupas kā sistēmas mērķi.</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9.</w:t>
      </w:r>
      <w:r w:rsidRPr="0045703E">
        <w:rPr>
          <w:rFonts w:cstheme="minorHAnsi"/>
          <w:color w:val="000000"/>
        </w:rPr>
        <w:tab/>
        <w:t>Palīdzēšanas fāzes grupā.</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10.</w:t>
      </w:r>
      <w:r w:rsidRPr="0045703E">
        <w:rPr>
          <w:rFonts w:cstheme="minorHAnsi"/>
          <w:color w:val="000000"/>
        </w:rPr>
        <w:tab/>
        <w:t>Grupas dalībnieku izvērtēšana, process, novērtēšana un noslēgums/šķiršanās.</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11.</w:t>
      </w:r>
      <w:r w:rsidRPr="0045703E">
        <w:rPr>
          <w:rFonts w:cstheme="minorHAnsi"/>
          <w:color w:val="000000"/>
        </w:rPr>
        <w:tab/>
        <w:t>Komunikācija un konfliktu risināšana grupās.</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12.</w:t>
      </w:r>
      <w:r w:rsidRPr="0045703E">
        <w:rPr>
          <w:rFonts w:cstheme="minorHAnsi"/>
          <w:color w:val="000000"/>
        </w:rPr>
        <w:tab/>
        <w:t>Grupu darba pieejas un metodes.</w:t>
      </w:r>
    </w:p>
    <w:p w:rsidR="0045703E" w:rsidRPr="0045703E" w:rsidRDefault="0045703E" w:rsidP="00C83135">
      <w:pPr>
        <w:autoSpaceDE w:val="0"/>
        <w:autoSpaceDN w:val="0"/>
        <w:adjustRightInd w:val="0"/>
        <w:spacing w:after="0" w:line="240" w:lineRule="auto"/>
        <w:ind w:left="720" w:hanging="360"/>
        <w:jc w:val="both"/>
        <w:rPr>
          <w:rFonts w:cstheme="minorHAnsi"/>
          <w:color w:val="000000"/>
        </w:rPr>
      </w:pPr>
      <w:r w:rsidRPr="0045703E">
        <w:rPr>
          <w:rFonts w:cstheme="minorHAnsi"/>
          <w:color w:val="000000"/>
        </w:rPr>
        <w:t>13.</w:t>
      </w:r>
      <w:r w:rsidRPr="0045703E">
        <w:rPr>
          <w:rFonts w:cstheme="minorHAnsi"/>
          <w:color w:val="000000"/>
        </w:rPr>
        <w:tab/>
        <w:t>Grupu darbs un kopienas konteksts.</w:t>
      </w:r>
    </w:p>
    <w:p w:rsidR="004C36F2" w:rsidRPr="0045703E" w:rsidRDefault="004C36F2" w:rsidP="00C83135">
      <w:pPr>
        <w:jc w:val="both"/>
        <w:rPr>
          <w:rFonts w:cstheme="minorHAnsi"/>
        </w:rPr>
      </w:pPr>
    </w:p>
    <w:sectPr w:rsidR="004C36F2" w:rsidRPr="0045703E" w:rsidSect="0045703E">
      <w:pgSz w:w="12240" w:h="15840"/>
      <w:pgMar w:top="851"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3E"/>
    <w:rsid w:val="0045703E"/>
    <w:rsid w:val="004C36F2"/>
    <w:rsid w:val="00C83135"/>
    <w:rsid w:val="00EA1761"/>
    <w:rsid w:val="00ED7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06396-7727-4244-8C0A-6BB6072B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2212</Words>
  <Characters>1262</Characters>
  <Application>Microsoft Office Word</Application>
  <DocSecurity>0</DocSecurity>
  <Lines>10</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Muceniece</dc:creator>
  <cp:keywords/>
  <dc:description/>
  <cp:lastModifiedBy>Agnese Jurjāne</cp:lastModifiedBy>
  <cp:revision>2</cp:revision>
  <dcterms:created xsi:type="dcterms:W3CDTF">2020-03-05T13:32:00Z</dcterms:created>
  <dcterms:modified xsi:type="dcterms:W3CDTF">2020-03-09T07:16:00Z</dcterms:modified>
</cp:coreProperties>
</file>