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89" w:rsidRPr="00CB4F63" w:rsidRDefault="009839A3" w:rsidP="009839A3">
      <w:pPr>
        <w:spacing w:before="120" w:after="120"/>
        <w:rPr>
          <w:rFonts w:ascii="Verdana" w:hAnsi="Verdana"/>
          <w:b/>
          <w:bCs/>
          <w:sz w:val="20"/>
          <w:szCs w:val="20"/>
        </w:rPr>
      </w:pPr>
      <w:r>
        <w:rPr>
          <w:rFonts w:ascii="Verdana" w:hAnsi="Verdana"/>
          <w:b/>
          <w:bCs/>
          <w:sz w:val="20"/>
          <w:szCs w:val="20"/>
          <w:u w:val="single"/>
        </w:rPr>
        <w:t>Bērnu un ģimenes  jomas g</w:t>
      </w:r>
      <w:r w:rsidRPr="00CB4F63">
        <w:rPr>
          <w:rFonts w:ascii="Verdana" w:hAnsi="Verdana"/>
          <w:b/>
          <w:bCs/>
          <w:sz w:val="20"/>
          <w:szCs w:val="20"/>
          <w:u w:val="single"/>
        </w:rPr>
        <w:t>alvenie politikas rezultatīvie rādītāji</w:t>
      </w:r>
      <w:r w:rsidRPr="00CB4F63">
        <w:rPr>
          <w:rFonts w:ascii="Verdana" w:hAnsi="Verdana"/>
          <w:b/>
          <w:bCs/>
          <w:sz w:val="20"/>
          <w:szCs w:val="20"/>
        </w:rPr>
        <w:t>: </w:t>
      </w:r>
    </w:p>
    <w:tbl>
      <w:tblPr>
        <w:tblStyle w:val="ListTable3-Accent6"/>
        <w:tblW w:w="5000" w:type="pct"/>
        <w:tblLook w:val="04A0" w:firstRow="1" w:lastRow="0" w:firstColumn="1" w:lastColumn="0" w:noHBand="0" w:noVBand="1"/>
      </w:tblPr>
      <w:tblGrid>
        <w:gridCol w:w="6630"/>
        <w:gridCol w:w="728"/>
        <w:gridCol w:w="728"/>
        <w:gridCol w:w="728"/>
        <w:gridCol w:w="728"/>
        <w:gridCol w:w="833"/>
        <w:gridCol w:w="833"/>
        <w:gridCol w:w="833"/>
        <w:gridCol w:w="833"/>
        <w:gridCol w:w="847"/>
        <w:gridCol w:w="839"/>
      </w:tblGrid>
      <w:tr w:rsidR="00E57999" w:rsidRPr="0081069A" w:rsidTr="00E57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77" w:type="pct"/>
          </w:tcPr>
          <w:p w:rsidR="00E57999" w:rsidRPr="00E56D7C" w:rsidRDefault="00E57999" w:rsidP="006D3312">
            <w:pPr>
              <w:jc w:val="center"/>
              <w:rPr>
                <w:rFonts w:ascii="Verdana" w:hAnsi="Verdana"/>
                <w:sz w:val="18"/>
                <w:szCs w:val="18"/>
              </w:rPr>
            </w:pPr>
            <w:r w:rsidRPr="00E56D7C">
              <w:rPr>
                <w:rFonts w:ascii="Verdana" w:hAnsi="Verdana"/>
                <w:sz w:val="18"/>
                <w:szCs w:val="18"/>
              </w:rPr>
              <w:t>Rādītājs</w:t>
            </w:r>
          </w:p>
        </w:tc>
        <w:tc>
          <w:tcPr>
            <w:tcW w:w="250"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2009</w:t>
            </w:r>
          </w:p>
        </w:tc>
        <w:tc>
          <w:tcPr>
            <w:tcW w:w="250"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2010</w:t>
            </w:r>
          </w:p>
        </w:tc>
        <w:tc>
          <w:tcPr>
            <w:tcW w:w="250"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2011</w:t>
            </w:r>
          </w:p>
        </w:tc>
        <w:tc>
          <w:tcPr>
            <w:tcW w:w="250"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2012</w:t>
            </w:r>
          </w:p>
        </w:tc>
        <w:tc>
          <w:tcPr>
            <w:tcW w:w="286"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2013</w:t>
            </w:r>
          </w:p>
        </w:tc>
        <w:tc>
          <w:tcPr>
            <w:tcW w:w="286"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2014</w:t>
            </w:r>
          </w:p>
        </w:tc>
        <w:tc>
          <w:tcPr>
            <w:tcW w:w="286"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2015</w:t>
            </w:r>
          </w:p>
        </w:tc>
        <w:tc>
          <w:tcPr>
            <w:tcW w:w="286"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2016</w:t>
            </w:r>
          </w:p>
        </w:tc>
        <w:tc>
          <w:tcPr>
            <w:tcW w:w="289"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E56D7C">
              <w:rPr>
                <w:rFonts w:ascii="Verdana" w:hAnsi="Verdana"/>
                <w:sz w:val="18"/>
                <w:szCs w:val="18"/>
              </w:rPr>
              <w:t>2017</w:t>
            </w:r>
          </w:p>
        </w:tc>
        <w:tc>
          <w:tcPr>
            <w:tcW w:w="288" w:type="pct"/>
          </w:tcPr>
          <w:p w:rsidR="00E57999" w:rsidRPr="00E56D7C" w:rsidRDefault="00E57999" w:rsidP="006D3312">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r>
      <w:tr w:rsidR="00E57999" w:rsidRPr="00477789" w:rsidTr="00E57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6D3312">
            <w:pPr>
              <w:spacing w:before="120"/>
              <w:rPr>
                <w:rFonts w:ascii="Verdana" w:hAnsi="Verdana"/>
                <w:b w:val="0"/>
                <w:bCs w:val="0"/>
                <w:sz w:val="20"/>
                <w:szCs w:val="20"/>
              </w:rPr>
            </w:pPr>
            <w:r w:rsidRPr="00477789">
              <w:rPr>
                <w:rFonts w:ascii="Verdana" w:hAnsi="Verdana"/>
                <w:b w:val="0"/>
                <w:bCs w:val="0"/>
                <w:sz w:val="20"/>
                <w:szCs w:val="20"/>
              </w:rPr>
              <w:t>Izdevumi ģimenēm ar bērniem (no IKP)</w:t>
            </w:r>
            <w:r w:rsidRPr="00477789">
              <w:rPr>
                <w:rFonts w:ascii="Verdana" w:hAnsi="Verdana"/>
                <w:b w:val="0"/>
                <w:bCs w:val="0"/>
                <w:sz w:val="20"/>
                <w:szCs w:val="20"/>
                <w:vertAlign w:val="superscript"/>
              </w:rPr>
              <w:t>1</w:t>
            </w:r>
            <w:r w:rsidRPr="00477789">
              <w:rPr>
                <w:rFonts w:ascii="Verdana" w:hAnsi="Verdana"/>
                <w:b w:val="0"/>
                <w:bCs w:val="0"/>
                <w:sz w:val="20"/>
                <w:szCs w:val="20"/>
              </w:rPr>
              <w:t>, %</w:t>
            </w:r>
          </w:p>
        </w:tc>
        <w:tc>
          <w:tcPr>
            <w:tcW w:w="250"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1.7</w:t>
            </w:r>
          </w:p>
        </w:tc>
        <w:tc>
          <w:tcPr>
            <w:tcW w:w="250"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1.5</w:t>
            </w:r>
          </w:p>
        </w:tc>
        <w:tc>
          <w:tcPr>
            <w:tcW w:w="250"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1.1</w:t>
            </w:r>
          </w:p>
        </w:tc>
        <w:tc>
          <w:tcPr>
            <w:tcW w:w="250"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1.0</w:t>
            </w:r>
          </w:p>
        </w:tc>
        <w:tc>
          <w:tcPr>
            <w:tcW w:w="286"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1.2</w:t>
            </w:r>
          </w:p>
        </w:tc>
        <w:tc>
          <w:tcPr>
            <w:tcW w:w="286"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1.3</w:t>
            </w:r>
          </w:p>
        </w:tc>
        <w:tc>
          <w:tcPr>
            <w:tcW w:w="286"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1.6</w:t>
            </w:r>
            <w:r w:rsidR="00AC23F8">
              <w:rPr>
                <w:rFonts w:ascii="Verdana" w:hAnsi="Verdana"/>
                <w:sz w:val="20"/>
                <w:szCs w:val="20"/>
              </w:rPr>
              <w:t>*</w:t>
            </w:r>
          </w:p>
        </w:tc>
        <w:tc>
          <w:tcPr>
            <w:tcW w:w="286" w:type="pct"/>
          </w:tcPr>
          <w:p w:rsidR="00E57999" w:rsidRPr="00477789" w:rsidRDefault="00AC23F8"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1.6*</w:t>
            </w:r>
          </w:p>
        </w:tc>
        <w:tc>
          <w:tcPr>
            <w:tcW w:w="289"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w:t>
            </w:r>
          </w:p>
        </w:tc>
        <w:tc>
          <w:tcPr>
            <w:tcW w:w="288" w:type="pct"/>
          </w:tcPr>
          <w:p w:rsidR="00E57999" w:rsidRPr="00477789" w:rsidRDefault="00E57999" w:rsidP="006D3312">
            <w:pPr>
              <w:spacing w:before="120"/>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E57999" w:rsidRPr="00477789" w:rsidTr="00E57999">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r w:rsidRPr="00477789">
              <w:rPr>
                <w:rFonts w:ascii="Verdana" w:hAnsi="Verdana"/>
                <w:b w:val="0"/>
                <w:bCs w:val="0"/>
                <w:sz w:val="20"/>
                <w:szCs w:val="20"/>
              </w:rPr>
              <w:t>Summārais dzimstības koeficients</w:t>
            </w:r>
            <w:r w:rsidRPr="00477789">
              <w:rPr>
                <w:rFonts w:ascii="Verdana" w:hAnsi="Verdana"/>
                <w:b w:val="0"/>
                <w:bCs w:val="0"/>
                <w:sz w:val="20"/>
                <w:szCs w:val="20"/>
                <w:vertAlign w:val="superscript"/>
              </w:rPr>
              <w:t>1</w:t>
            </w:r>
            <w:r w:rsidRPr="00477789">
              <w:rPr>
                <w:rFonts w:ascii="Verdana" w:hAnsi="Verdana"/>
                <w:b w:val="0"/>
                <w:bCs w:val="0"/>
                <w:sz w:val="20"/>
                <w:szCs w:val="20"/>
              </w:rPr>
              <w:t>, %</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1.5</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1.4</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1.3</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1.4</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1.5</w:t>
            </w:r>
          </w:p>
        </w:tc>
        <w:tc>
          <w:tcPr>
            <w:tcW w:w="286" w:type="pct"/>
          </w:tcPr>
          <w:p w:rsidR="00E57999" w:rsidRPr="00477789" w:rsidRDefault="00E57999" w:rsidP="00C33D61">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w:t>
            </w:r>
            <w:r>
              <w:rPr>
                <w:rFonts w:ascii="Verdana" w:hAnsi="Verdana"/>
                <w:sz w:val="20"/>
                <w:szCs w:val="20"/>
              </w:rPr>
              <w:t>7</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1.7</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w:t>
            </w:r>
          </w:p>
        </w:tc>
        <w:tc>
          <w:tcPr>
            <w:tcW w:w="289"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w:t>
            </w:r>
          </w:p>
        </w:tc>
        <w:tc>
          <w:tcPr>
            <w:tcW w:w="288"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1.6</w:t>
            </w:r>
          </w:p>
        </w:tc>
      </w:tr>
      <w:tr w:rsidR="00E57999" w:rsidRPr="00477789" w:rsidTr="00E57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r w:rsidRPr="00477789">
              <w:rPr>
                <w:rFonts w:ascii="Verdana" w:hAnsi="Verdana"/>
                <w:b w:val="0"/>
                <w:bCs w:val="0"/>
                <w:sz w:val="20"/>
                <w:szCs w:val="20"/>
              </w:rPr>
              <w:t>Nabadzības riska indekss mājsaimniecībās, kurās viens pieaugušais audzina vismaz vienu bērnu</w:t>
            </w:r>
            <w:r w:rsidRPr="00477789">
              <w:rPr>
                <w:rFonts w:ascii="Verdana" w:hAnsi="Verdana"/>
                <w:b w:val="0"/>
                <w:bCs w:val="0"/>
                <w:sz w:val="20"/>
                <w:szCs w:val="20"/>
                <w:vertAlign w:val="superscript"/>
              </w:rPr>
              <w:t>1</w:t>
            </w:r>
            <w:r w:rsidRPr="00477789">
              <w:rPr>
                <w:rFonts w:ascii="Verdana" w:hAnsi="Verdana"/>
                <w:b w:val="0"/>
                <w:bCs w:val="0"/>
                <w:sz w:val="20"/>
                <w:szCs w:val="20"/>
              </w:rPr>
              <w:t>, %</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39.0</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39.6</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41.5</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38.3</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41.1</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37.0</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34.4</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34.3</w:t>
            </w:r>
          </w:p>
        </w:tc>
        <w:tc>
          <w:tcPr>
            <w:tcW w:w="289"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32.6</w:t>
            </w:r>
          </w:p>
        </w:tc>
        <w:tc>
          <w:tcPr>
            <w:tcW w:w="288"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w:t>
            </w:r>
          </w:p>
        </w:tc>
      </w:tr>
      <w:tr w:rsidR="00E57999" w:rsidRPr="00477789" w:rsidTr="00E57999">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r w:rsidRPr="00477789">
              <w:rPr>
                <w:rFonts w:ascii="Verdana" w:hAnsi="Verdana"/>
                <w:b w:val="0"/>
                <w:bCs w:val="0"/>
                <w:sz w:val="20"/>
                <w:szCs w:val="20"/>
              </w:rPr>
              <w:t>Nabadzības riska indekss mājsaimniecībās, ko veido 2 pieaugušie un 3 un vairāk apgādībā esošu bērnu</w:t>
            </w:r>
            <w:r w:rsidRPr="00477789">
              <w:rPr>
                <w:rFonts w:ascii="Verdana" w:hAnsi="Verdana"/>
                <w:b w:val="0"/>
                <w:bCs w:val="0"/>
                <w:sz w:val="20"/>
                <w:szCs w:val="20"/>
                <w:vertAlign w:val="superscript"/>
              </w:rPr>
              <w:t>1</w:t>
            </w:r>
            <w:r w:rsidRPr="00477789">
              <w:rPr>
                <w:rFonts w:ascii="Verdana" w:hAnsi="Verdana"/>
                <w:b w:val="0"/>
                <w:bCs w:val="0"/>
                <w:sz w:val="20"/>
                <w:szCs w:val="20"/>
              </w:rPr>
              <w:t>, %</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37.6</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37.1</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35.9</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32.6</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27.7</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34.5</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25.5</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19.8</w:t>
            </w:r>
          </w:p>
        </w:tc>
        <w:tc>
          <w:tcPr>
            <w:tcW w:w="289"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20.7</w:t>
            </w:r>
          </w:p>
        </w:tc>
        <w:tc>
          <w:tcPr>
            <w:tcW w:w="288"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w:t>
            </w:r>
          </w:p>
        </w:tc>
      </w:tr>
      <w:tr w:rsidR="00E57999" w:rsidRPr="00477789" w:rsidTr="00E57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r w:rsidRPr="00477789">
              <w:rPr>
                <w:rFonts w:ascii="Verdana" w:hAnsi="Verdana"/>
                <w:b w:val="0"/>
                <w:bCs w:val="0"/>
                <w:sz w:val="20"/>
                <w:szCs w:val="20"/>
              </w:rPr>
              <w:t>Nabadzības riska indekss bērniem (0-17 gadi) kopumā</w:t>
            </w:r>
            <w:r w:rsidRPr="00477789">
              <w:rPr>
                <w:rFonts w:ascii="Verdana" w:hAnsi="Verdana"/>
                <w:b w:val="0"/>
                <w:bCs w:val="0"/>
                <w:sz w:val="20"/>
                <w:szCs w:val="20"/>
                <w:vertAlign w:val="superscript"/>
              </w:rPr>
              <w:t>1</w:t>
            </w:r>
            <w:r w:rsidRPr="00477789">
              <w:rPr>
                <w:rFonts w:ascii="Verdana" w:hAnsi="Verdana"/>
                <w:b w:val="0"/>
                <w:bCs w:val="0"/>
                <w:sz w:val="20"/>
                <w:szCs w:val="20"/>
              </w:rPr>
              <w:t>, %</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26.3</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24.7</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24.4</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23.4</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24.3</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23.2</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77789">
              <w:rPr>
                <w:rFonts w:ascii="Verdana" w:hAnsi="Verdana"/>
                <w:sz w:val="20"/>
                <w:szCs w:val="20"/>
              </w:rPr>
              <w:t>18.6</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18.4</w:t>
            </w:r>
          </w:p>
        </w:tc>
        <w:tc>
          <w:tcPr>
            <w:tcW w:w="289"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17.5</w:t>
            </w:r>
          </w:p>
        </w:tc>
        <w:tc>
          <w:tcPr>
            <w:tcW w:w="288"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w:t>
            </w:r>
          </w:p>
        </w:tc>
      </w:tr>
      <w:tr w:rsidR="00E57999" w:rsidRPr="00477789" w:rsidTr="00E57999">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r w:rsidRPr="00477789">
              <w:rPr>
                <w:rFonts w:ascii="Verdana" w:hAnsi="Verdana"/>
                <w:b w:val="0"/>
                <w:bCs w:val="0"/>
                <w:sz w:val="20"/>
                <w:szCs w:val="20"/>
              </w:rPr>
              <w:t>Personu skaits, kurām ar bāriņtiesas lēmumu pārtrauktas bērna aizgādības tiesības, ja konstatēta vecāku vardarbība pret bērnu vai ir pamatotas aizdomas par vardarbību pret bērnu, attiecībā pret visu personu skaitu, kurām pārskata gadā pārtrauktas bērna aizgādības tiesības, %</w:t>
            </w:r>
            <w:r w:rsidRPr="00477789">
              <w:rPr>
                <w:rFonts w:ascii="Verdana" w:hAnsi="Verdana"/>
                <w:b w:val="0"/>
                <w:bCs w:val="0"/>
                <w:sz w:val="20"/>
                <w:szCs w:val="20"/>
                <w:vertAlign w:val="superscript"/>
              </w:rPr>
              <w:t>2</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10.0</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10.9</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9.5</w:t>
            </w:r>
          </w:p>
        </w:tc>
        <w:tc>
          <w:tcPr>
            <w:tcW w:w="250"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9.9</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12.0</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12.5</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14.98</w:t>
            </w:r>
          </w:p>
        </w:tc>
        <w:tc>
          <w:tcPr>
            <w:tcW w:w="286"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77789">
              <w:rPr>
                <w:rFonts w:ascii="Verdana" w:hAnsi="Verdana"/>
                <w:sz w:val="20"/>
                <w:szCs w:val="20"/>
              </w:rPr>
              <w:t>15.5</w:t>
            </w:r>
          </w:p>
        </w:tc>
        <w:tc>
          <w:tcPr>
            <w:tcW w:w="289" w:type="pct"/>
          </w:tcPr>
          <w:p w:rsidR="00E57999" w:rsidRPr="0047778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17.8</w:t>
            </w:r>
          </w:p>
        </w:tc>
        <w:tc>
          <w:tcPr>
            <w:tcW w:w="288" w:type="pct"/>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14.4</w:t>
            </w:r>
          </w:p>
        </w:tc>
      </w:tr>
      <w:tr w:rsidR="00E57999" w:rsidRPr="00477789" w:rsidTr="00E57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pct"/>
          </w:tcPr>
          <w:p w:rsidR="00E57999" w:rsidRPr="00477789" w:rsidRDefault="00E57999" w:rsidP="00477789">
            <w:pPr>
              <w:spacing w:before="120"/>
              <w:rPr>
                <w:rFonts w:ascii="Verdana" w:hAnsi="Verdana"/>
                <w:b w:val="0"/>
                <w:bCs w:val="0"/>
                <w:sz w:val="20"/>
                <w:szCs w:val="20"/>
              </w:rPr>
            </w:pPr>
            <w:proofErr w:type="spellStart"/>
            <w:r w:rsidRPr="00477789">
              <w:rPr>
                <w:rFonts w:ascii="Verdana" w:hAnsi="Verdana"/>
                <w:b w:val="0"/>
                <w:bCs w:val="0"/>
                <w:sz w:val="20"/>
                <w:szCs w:val="20"/>
              </w:rPr>
              <w:t>Ārpusģimenes</w:t>
            </w:r>
            <w:proofErr w:type="spellEnd"/>
            <w:r w:rsidRPr="00477789">
              <w:rPr>
                <w:rFonts w:ascii="Verdana" w:hAnsi="Verdana"/>
                <w:b w:val="0"/>
                <w:bCs w:val="0"/>
                <w:sz w:val="20"/>
                <w:szCs w:val="20"/>
              </w:rPr>
              <w:t xml:space="preserve"> aprūpē esošo bērnu īpatsvars visu nepilngadīgo bērnu skaitā valstī, %</w:t>
            </w:r>
            <w:r w:rsidRPr="00477789">
              <w:rPr>
                <w:rFonts w:ascii="Verdana" w:hAnsi="Verdana"/>
                <w:b w:val="0"/>
                <w:bCs w:val="0"/>
                <w:sz w:val="20"/>
                <w:szCs w:val="20"/>
                <w:vertAlign w:val="superscript"/>
              </w:rPr>
              <w:t>3</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w:t>
            </w:r>
          </w:p>
        </w:tc>
        <w:tc>
          <w:tcPr>
            <w:tcW w:w="250"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2.3</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2.0</w:t>
            </w:r>
          </w:p>
        </w:tc>
        <w:tc>
          <w:tcPr>
            <w:tcW w:w="286"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2.0</w:t>
            </w:r>
          </w:p>
        </w:tc>
        <w:tc>
          <w:tcPr>
            <w:tcW w:w="289" w:type="pct"/>
          </w:tcPr>
          <w:p w:rsidR="00E57999" w:rsidRPr="0047778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1.9</w:t>
            </w:r>
          </w:p>
        </w:tc>
        <w:tc>
          <w:tcPr>
            <w:tcW w:w="288" w:type="pct"/>
          </w:tcPr>
          <w:p w:rsidR="00E5799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1.8</w:t>
            </w:r>
          </w:p>
        </w:tc>
      </w:tr>
      <w:tr w:rsidR="00E57999" w:rsidRPr="00D21D9B" w:rsidTr="00E57999">
        <w:tc>
          <w:tcPr>
            <w:cnfStyle w:val="001000000000" w:firstRow="0" w:lastRow="0" w:firstColumn="1" w:lastColumn="0" w:oddVBand="0" w:evenVBand="0" w:oddHBand="0" w:evenHBand="0" w:firstRowFirstColumn="0" w:firstRowLastColumn="0" w:lastRowFirstColumn="0" w:lastRowLastColumn="0"/>
            <w:tcW w:w="2277" w:type="pct"/>
          </w:tcPr>
          <w:p w:rsidR="00E57999" w:rsidRPr="00942A35" w:rsidRDefault="00E57999" w:rsidP="00C33D61">
            <w:pPr>
              <w:spacing w:before="120"/>
              <w:rPr>
                <w:rFonts w:ascii="Verdana" w:hAnsi="Verdana"/>
                <w:b w:val="0"/>
                <w:bCs w:val="0"/>
                <w:sz w:val="20"/>
                <w:szCs w:val="20"/>
              </w:rPr>
            </w:pPr>
            <w:r w:rsidRPr="00477789">
              <w:rPr>
                <w:rFonts w:ascii="Verdana" w:hAnsi="Verdana"/>
                <w:b w:val="0"/>
                <w:bCs w:val="0"/>
                <w:sz w:val="20"/>
                <w:szCs w:val="20"/>
              </w:rPr>
              <w:t>Aizbildnībā un audžuģimenēs (ģimeniskā vidē) dzīvojošu bērnu īpatsvars visu ārpusģimenes aprūpē esošo bērnu skaitā, %</w:t>
            </w:r>
            <w:r>
              <w:rPr>
                <w:rFonts w:ascii="Verdana" w:hAnsi="Verdana"/>
                <w:b w:val="0"/>
                <w:bCs w:val="0"/>
                <w:sz w:val="20"/>
                <w:szCs w:val="20"/>
                <w:vertAlign w:val="superscript"/>
              </w:rPr>
              <w:t>2</w:t>
            </w:r>
          </w:p>
        </w:tc>
        <w:tc>
          <w:tcPr>
            <w:tcW w:w="250"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78.1</w:t>
            </w:r>
          </w:p>
        </w:tc>
        <w:tc>
          <w:tcPr>
            <w:tcW w:w="250"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78.3</w:t>
            </w:r>
          </w:p>
        </w:tc>
        <w:tc>
          <w:tcPr>
            <w:tcW w:w="250"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77.8</w:t>
            </w:r>
          </w:p>
        </w:tc>
        <w:tc>
          <w:tcPr>
            <w:tcW w:w="250"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76.7</w:t>
            </w:r>
          </w:p>
        </w:tc>
        <w:tc>
          <w:tcPr>
            <w:tcW w:w="286"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77.9</w:t>
            </w:r>
          </w:p>
        </w:tc>
        <w:tc>
          <w:tcPr>
            <w:tcW w:w="286"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79.6</w:t>
            </w:r>
          </w:p>
        </w:tc>
        <w:tc>
          <w:tcPr>
            <w:tcW w:w="286"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80.4</w:t>
            </w:r>
          </w:p>
        </w:tc>
        <w:tc>
          <w:tcPr>
            <w:tcW w:w="286"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82.5</w:t>
            </w:r>
          </w:p>
        </w:tc>
        <w:tc>
          <w:tcPr>
            <w:tcW w:w="289" w:type="pct"/>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84.5</w:t>
            </w:r>
          </w:p>
        </w:tc>
        <w:tc>
          <w:tcPr>
            <w:tcW w:w="288" w:type="pct"/>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87.7</w:t>
            </w:r>
          </w:p>
        </w:tc>
      </w:tr>
      <w:tr w:rsidR="00E57999" w:rsidRPr="00D21D9B" w:rsidTr="00E57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pct"/>
          </w:tcPr>
          <w:p w:rsidR="00E57999" w:rsidRPr="00942A35" w:rsidRDefault="00E57999" w:rsidP="00C33D61">
            <w:pPr>
              <w:spacing w:before="120"/>
              <w:rPr>
                <w:rFonts w:ascii="Verdana" w:hAnsi="Verdana"/>
                <w:b w:val="0"/>
                <w:bCs w:val="0"/>
                <w:sz w:val="20"/>
                <w:szCs w:val="20"/>
              </w:rPr>
            </w:pPr>
            <w:r w:rsidRPr="00477789">
              <w:rPr>
                <w:rFonts w:ascii="Verdana" w:hAnsi="Verdana"/>
                <w:b w:val="0"/>
                <w:bCs w:val="0"/>
                <w:sz w:val="20"/>
                <w:szCs w:val="20"/>
              </w:rPr>
              <w:t>Adoptēto bērnu īpatsvars visu adoptējamo bērnu skaitā, %</w:t>
            </w:r>
            <w:r w:rsidRPr="00C33D61">
              <w:rPr>
                <w:rFonts w:ascii="Verdana" w:hAnsi="Verdana"/>
                <w:b w:val="0"/>
                <w:bCs w:val="0"/>
                <w:sz w:val="20"/>
                <w:szCs w:val="20"/>
                <w:vertAlign w:val="superscript"/>
              </w:rPr>
              <w:t>4</w:t>
            </w:r>
          </w:p>
        </w:tc>
        <w:tc>
          <w:tcPr>
            <w:tcW w:w="250"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18.3</w:t>
            </w:r>
          </w:p>
        </w:tc>
        <w:tc>
          <w:tcPr>
            <w:tcW w:w="250"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18.6</w:t>
            </w:r>
          </w:p>
        </w:tc>
        <w:tc>
          <w:tcPr>
            <w:tcW w:w="250"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21.1</w:t>
            </w:r>
          </w:p>
        </w:tc>
        <w:tc>
          <w:tcPr>
            <w:tcW w:w="250"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19.5</w:t>
            </w:r>
          </w:p>
        </w:tc>
        <w:tc>
          <w:tcPr>
            <w:tcW w:w="286"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17.8</w:t>
            </w:r>
          </w:p>
        </w:tc>
        <w:tc>
          <w:tcPr>
            <w:tcW w:w="286"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22.7</w:t>
            </w:r>
          </w:p>
        </w:tc>
        <w:tc>
          <w:tcPr>
            <w:tcW w:w="286"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20.8</w:t>
            </w:r>
          </w:p>
        </w:tc>
        <w:tc>
          <w:tcPr>
            <w:tcW w:w="286"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19.2</w:t>
            </w:r>
          </w:p>
        </w:tc>
        <w:tc>
          <w:tcPr>
            <w:tcW w:w="289" w:type="pct"/>
          </w:tcPr>
          <w:p w:rsidR="00E57999" w:rsidRPr="00D81041"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15.6</w:t>
            </w:r>
          </w:p>
        </w:tc>
        <w:tc>
          <w:tcPr>
            <w:tcW w:w="288" w:type="pct"/>
          </w:tcPr>
          <w:p w:rsidR="00E57999" w:rsidRDefault="00E57999" w:rsidP="006D3312">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12.8</w:t>
            </w:r>
          </w:p>
        </w:tc>
      </w:tr>
      <w:tr w:rsidR="00E57999" w:rsidRPr="00D21D9B" w:rsidTr="00843F63">
        <w:trPr>
          <w:trHeight w:val="182"/>
        </w:trPr>
        <w:tc>
          <w:tcPr>
            <w:cnfStyle w:val="001000000000" w:firstRow="0" w:lastRow="0" w:firstColumn="1" w:lastColumn="0" w:oddVBand="0" w:evenVBand="0" w:oddHBand="0" w:evenHBand="0" w:firstRowFirstColumn="0" w:firstRowLastColumn="0" w:lastRowFirstColumn="0" w:lastRowLastColumn="0"/>
            <w:tcW w:w="2277" w:type="pct"/>
            <w:tcBorders>
              <w:bottom w:val="nil"/>
            </w:tcBorders>
          </w:tcPr>
          <w:p w:rsidR="00E57999" w:rsidRPr="00477789" w:rsidRDefault="00E57999" w:rsidP="00C33D61">
            <w:pPr>
              <w:spacing w:before="120"/>
              <w:rPr>
                <w:rFonts w:ascii="Verdana" w:hAnsi="Verdana"/>
                <w:sz w:val="20"/>
                <w:szCs w:val="20"/>
              </w:rPr>
            </w:pPr>
          </w:p>
        </w:tc>
        <w:tc>
          <w:tcPr>
            <w:tcW w:w="250"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50"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50"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50"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6"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6"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6"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6" w:type="pct"/>
            <w:tcBorders>
              <w:bottom w:val="nil"/>
            </w:tcBorders>
          </w:tcPr>
          <w:p w:rsidR="00E57999"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9" w:type="pct"/>
            <w:tcBorders>
              <w:bottom w:val="nil"/>
            </w:tcBorders>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288" w:type="pct"/>
            <w:tcBorders>
              <w:bottom w:val="nil"/>
            </w:tcBorders>
          </w:tcPr>
          <w:p w:rsidR="00E57999" w:rsidRPr="00D81041" w:rsidRDefault="00E57999" w:rsidP="006D3312">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E57999" w:rsidRPr="00AC23F8" w:rsidTr="00843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pct"/>
            <w:gridSpan w:val="10"/>
            <w:tcBorders>
              <w:top w:val="nil"/>
              <w:left w:val="nil"/>
              <w:bottom w:val="nil"/>
            </w:tcBorders>
          </w:tcPr>
          <w:p w:rsidR="00E57999" w:rsidRPr="00AC23F8" w:rsidRDefault="00E57999" w:rsidP="00920782">
            <w:pPr>
              <w:rPr>
                <w:b w:val="0"/>
                <w:bCs w:val="0"/>
              </w:rPr>
            </w:pPr>
            <w:r w:rsidRPr="00AC23F8">
              <w:rPr>
                <w:b w:val="0"/>
                <w:bCs w:val="0"/>
                <w:vertAlign w:val="superscript"/>
              </w:rPr>
              <w:t>1</w:t>
            </w:r>
            <w:r w:rsidRPr="00AC23F8">
              <w:rPr>
                <w:b w:val="0"/>
                <w:bCs w:val="0"/>
              </w:rPr>
              <w:t>Datu avots: Centrālā statistikas pārvalde (CSP)</w:t>
            </w:r>
            <w:r w:rsidRPr="00AC23F8">
              <w:rPr>
                <w:b w:val="0"/>
                <w:bCs w:val="0"/>
              </w:rPr>
              <w:br/>
            </w:r>
            <w:r w:rsidRPr="00AC23F8">
              <w:rPr>
                <w:b w:val="0"/>
                <w:bCs w:val="0"/>
                <w:vertAlign w:val="superscript"/>
              </w:rPr>
              <w:t>2</w:t>
            </w:r>
            <w:r w:rsidRPr="00AC23F8">
              <w:rPr>
                <w:b w:val="0"/>
                <w:bCs w:val="0"/>
              </w:rPr>
              <w:t xml:space="preserve">Datu avots: Valsts bērnu tiesību aizsardzības inspekcija </w:t>
            </w:r>
            <w:r w:rsidRPr="00AC23F8">
              <w:rPr>
                <w:b w:val="0"/>
                <w:bCs w:val="0"/>
              </w:rPr>
              <w:br/>
            </w:r>
            <w:r w:rsidRPr="00AC23F8">
              <w:rPr>
                <w:b w:val="0"/>
                <w:bCs w:val="0"/>
                <w:vertAlign w:val="superscript"/>
              </w:rPr>
              <w:t>3</w:t>
            </w:r>
            <w:r w:rsidRPr="00AC23F8">
              <w:rPr>
                <w:b w:val="0"/>
                <w:bCs w:val="0"/>
              </w:rPr>
              <w:t>Datu avots: CSP, VBTAI, Labklājības ministrija </w:t>
            </w:r>
            <w:r w:rsidRPr="00AC23F8">
              <w:rPr>
                <w:b w:val="0"/>
                <w:bCs w:val="0"/>
              </w:rPr>
              <w:br/>
            </w:r>
            <w:r w:rsidRPr="00AC23F8">
              <w:rPr>
                <w:b w:val="0"/>
                <w:bCs w:val="0"/>
                <w:vertAlign w:val="superscript"/>
              </w:rPr>
              <w:t>4</w:t>
            </w:r>
            <w:r w:rsidRPr="00AC23F8">
              <w:rPr>
                <w:b w:val="0"/>
                <w:bCs w:val="0"/>
              </w:rPr>
              <w:t>Datu avots: Labklājības ministrija</w:t>
            </w:r>
          </w:p>
          <w:p w:rsidR="00AC23F8" w:rsidRPr="00AC23F8" w:rsidRDefault="00AC23F8" w:rsidP="00AC23F8">
            <w:pPr>
              <w:rPr>
                <w:b w:val="0"/>
              </w:rPr>
            </w:pPr>
            <w:r w:rsidRPr="00AC23F8">
              <w:rPr>
                <w:b w:val="0"/>
              </w:rPr>
              <w:t>5 Datu avots: EUROSTAT (ESSPROS dati)</w:t>
            </w:r>
          </w:p>
          <w:p w:rsidR="00AC23F8" w:rsidRPr="00AC23F8" w:rsidRDefault="00AC23F8" w:rsidP="00920782">
            <w:pPr>
              <w:rPr>
                <w:b w:val="0"/>
              </w:rPr>
            </w:pPr>
            <w:r>
              <w:rPr>
                <w:b w:val="0"/>
              </w:rPr>
              <w:t>“ * ” – provizoriski dati</w:t>
            </w:r>
          </w:p>
          <w:p w:rsidR="00E57999" w:rsidRPr="00AC23F8" w:rsidRDefault="00E57999" w:rsidP="00920782">
            <w:pPr>
              <w:rPr>
                <w:b w:val="0"/>
                <w:bCs w:val="0"/>
              </w:rPr>
            </w:pPr>
            <w:r w:rsidRPr="00AC23F8">
              <w:rPr>
                <w:b w:val="0"/>
                <w:bCs w:val="0"/>
              </w:rPr>
              <w:t>“...” – dati vēl nav pieejami</w:t>
            </w:r>
          </w:p>
        </w:tc>
        <w:tc>
          <w:tcPr>
            <w:tcW w:w="288" w:type="pct"/>
            <w:tcBorders>
              <w:top w:val="nil"/>
              <w:left w:val="nil"/>
              <w:bottom w:val="nil"/>
              <w:right w:val="nil"/>
            </w:tcBorders>
          </w:tcPr>
          <w:p w:rsidR="00E57999" w:rsidRPr="00AC23F8" w:rsidRDefault="00E57999" w:rsidP="00920782">
            <w:pPr>
              <w:cnfStyle w:val="000000100000" w:firstRow="0" w:lastRow="0" w:firstColumn="0" w:lastColumn="0" w:oddVBand="0" w:evenVBand="0" w:oddHBand="1" w:evenHBand="0" w:firstRowFirstColumn="0" w:firstRowLastColumn="0" w:lastRowFirstColumn="0" w:lastRowLastColumn="0"/>
              <w:rPr>
                <w:vertAlign w:val="superscript"/>
              </w:rPr>
            </w:pPr>
          </w:p>
        </w:tc>
      </w:tr>
    </w:tbl>
    <w:p w:rsidR="00A66077" w:rsidRPr="00A66077" w:rsidRDefault="00A66077" w:rsidP="00820B6E">
      <w:pPr>
        <w:spacing w:after="0" w:line="240" w:lineRule="auto"/>
      </w:pPr>
      <w:r w:rsidRPr="00A66077">
        <w:t> </w:t>
      </w:r>
    </w:p>
    <w:p w:rsidR="00A66077" w:rsidRPr="00A66077" w:rsidRDefault="00A66077" w:rsidP="00A66077">
      <w:r w:rsidRPr="00A66077">
        <w:t> </w:t>
      </w:r>
    </w:p>
    <w:p w:rsidR="00121828" w:rsidRDefault="00121828">
      <w:bookmarkStart w:id="0" w:name="_GoBack"/>
      <w:bookmarkEnd w:id="0"/>
    </w:p>
    <w:sectPr w:rsidR="00121828" w:rsidSect="00820B6E">
      <w:pgSz w:w="16838" w:h="11906" w:orient="landscape"/>
      <w:pgMar w:top="45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1417"/>
    <w:multiLevelType w:val="multilevel"/>
    <w:tmpl w:val="EF1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7"/>
    <w:rsid w:val="00121828"/>
    <w:rsid w:val="00477789"/>
    <w:rsid w:val="004E0888"/>
    <w:rsid w:val="006E001B"/>
    <w:rsid w:val="00734E76"/>
    <w:rsid w:val="00794C55"/>
    <w:rsid w:val="00820B6E"/>
    <w:rsid w:val="00843F63"/>
    <w:rsid w:val="00920782"/>
    <w:rsid w:val="009839A3"/>
    <w:rsid w:val="009843E4"/>
    <w:rsid w:val="00A66077"/>
    <w:rsid w:val="00AC23F8"/>
    <w:rsid w:val="00C33D61"/>
    <w:rsid w:val="00E57999"/>
    <w:rsid w:val="00ED03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67C8F-8B87-4F90-8F25-45235273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38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D038D"/>
    <w:rPr>
      <w:b/>
      <w:bCs/>
    </w:rPr>
  </w:style>
  <w:style w:type="paragraph" w:styleId="BalloonText">
    <w:name w:val="Balloon Text"/>
    <w:basedOn w:val="Normal"/>
    <w:link w:val="BalloonTextChar"/>
    <w:uiPriority w:val="99"/>
    <w:semiHidden/>
    <w:unhideWhenUsed/>
    <w:rsid w:val="0082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6E"/>
    <w:rPr>
      <w:rFonts w:ascii="Segoe UI" w:hAnsi="Segoe UI" w:cs="Segoe UI"/>
      <w:sz w:val="18"/>
      <w:szCs w:val="18"/>
    </w:rPr>
  </w:style>
  <w:style w:type="table" w:styleId="ListTable3-Accent6">
    <w:name w:val="List Table 3 Accent 6"/>
    <w:basedOn w:val="TableNormal"/>
    <w:uiPriority w:val="48"/>
    <w:rsid w:val="009839A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6672">
      <w:bodyDiv w:val="1"/>
      <w:marLeft w:val="0"/>
      <w:marRight w:val="0"/>
      <w:marTop w:val="0"/>
      <w:marBottom w:val="0"/>
      <w:divBdr>
        <w:top w:val="none" w:sz="0" w:space="0" w:color="auto"/>
        <w:left w:val="none" w:sz="0" w:space="0" w:color="auto"/>
        <w:bottom w:val="none" w:sz="0" w:space="0" w:color="auto"/>
        <w:right w:val="none" w:sz="0" w:space="0" w:color="auto"/>
      </w:divBdr>
    </w:div>
    <w:div w:id="20576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Buse</dc:creator>
  <cp:keywords/>
  <dc:description/>
  <cp:lastModifiedBy>Brigita Buse</cp:lastModifiedBy>
  <cp:revision>2</cp:revision>
  <cp:lastPrinted>2018-02-28T10:49:00Z</cp:lastPrinted>
  <dcterms:created xsi:type="dcterms:W3CDTF">2019-07-03T07:37:00Z</dcterms:created>
  <dcterms:modified xsi:type="dcterms:W3CDTF">2019-07-03T07:37:00Z</dcterms:modified>
</cp:coreProperties>
</file>